
<file path=[Content_Types].xml><?xml version="1.0" encoding="utf-8"?>
<Types xmlns="http://schemas.openxmlformats.org/package/2006/content-types">
  <Default Extension="bin" ContentType="application/vnd.openxmlformats-officedocument.oleObject"/>
  <Default Extension="png" ContentType="image/png"/>
  <Default Extension="emf" ContentType="image/x-emf"/>
  <Default Extension="jpeg" ContentType="image/jpeg"/>
  <Default Extension="rels" ContentType="application/vnd.openxmlformats-package.relationships+xml"/>
  <Default Extension="xml" ContentType="application/xml"/>
  <Default Extension="docx" ContentType="application/vnd.openxmlformats-officedocument.wordprocessingml.document"/>
  <Default Extension="pptx" ContentType="application/vnd.openxmlformats-officedocument.presentationml.presentation"/>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9.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xml" ContentType="application/vnd.ms-office.intelligenc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DB4DB3E" w14:textId="52E8EC28" w:rsidR="00F6114E" w:rsidRPr="00C9711A" w:rsidRDefault="001A60A6" w:rsidP="003D7E92">
      <w:pPr>
        <w:widowControl w:val="0"/>
        <w:jc w:val="right"/>
        <w:rPr>
          <w:rFonts w:ascii="Arial Narrow" w:hAnsi="Arial Narrow" w:cs="Book Antiqua"/>
          <w:lang w:val="es-CR"/>
        </w:rPr>
      </w:pPr>
      <w:bookmarkStart w:id="0" w:name="_GoBack"/>
      <w:r>
        <w:rPr>
          <w:rFonts w:ascii="Arial Narrow" w:hAnsi="Arial Narrow" w:cs="Book Antiqua"/>
          <w:lang w:val="es-CR"/>
        </w:rPr>
        <w:t>1206</w:t>
      </w:r>
      <w:r w:rsidR="00F6114E" w:rsidRPr="00C9711A">
        <w:rPr>
          <w:rFonts w:ascii="Arial Narrow" w:hAnsi="Arial Narrow" w:cs="Book Antiqua"/>
          <w:lang w:val="es-CR"/>
        </w:rPr>
        <w:t>-PLA-EV-2021</w:t>
      </w:r>
    </w:p>
    <w:bookmarkEnd w:id="0"/>
    <w:p w14:paraId="5F22A788" w14:textId="77777777" w:rsidR="00191F44" w:rsidRPr="00C9711A" w:rsidRDefault="00191F44" w:rsidP="00C9711A">
      <w:pPr>
        <w:widowControl w:val="0"/>
        <w:ind w:left="3540"/>
        <w:jc w:val="right"/>
        <w:rPr>
          <w:rFonts w:ascii="Arial Narrow" w:hAnsi="Arial Narrow" w:cs="Book Antiqua"/>
          <w:snapToGrid w:val="0"/>
        </w:rPr>
      </w:pPr>
      <w:r w:rsidRPr="00C9711A">
        <w:rPr>
          <w:rFonts w:ascii="Arial Narrow" w:hAnsi="Arial Narrow" w:cs="Book Antiqua"/>
        </w:rPr>
        <w:t xml:space="preserve">Ref. SICE: </w:t>
      </w:r>
      <w:r w:rsidRPr="00C9711A">
        <w:rPr>
          <w:rFonts w:ascii="Arial Narrow" w:hAnsi="Arial Narrow" w:cs="Book Antiqua"/>
          <w:b/>
          <w:u w:val="single"/>
        </w:rPr>
        <w:t>198-19</w:t>
      </w:r>
      <w:r w:rsidRPr="00C9711A">
        <w:rPr>
          <w:rFonts w:ascii="Arial Narrow" w:hAnsi="Arial Narrow" w:cs="Book Antiqua"/>
        </w:rPr>
        <w:t>/1166-2020/750-2020</w:t>
      </w:r>
    </w:p>
    <w:p w14:paraId="4CA7E071" w14:textId="77777777" w:rsidR="00F6114E" w:rsidRPr="00C9711A" w:rsidRDefault="00F6114E" w:rsidP="00F6114E">
      <w:pPr>
        <w:widowControl w:val="0"/>
        <w:rPr>
          <w:rFonts w:ascii="Arial Narrow" w:hAnsi="Arial Narrow" w:cs="Book Antiqua"/>
          <w:snapToGrid w:val="0"/>
          <w:lang w:val="es-CR"/>
        </w:rPr>
      </w:pPr>
    </w:p>
    <w:p w14:paraId="5F5A23DE" w14:textId="77777777" w:rsidR="00F6114E" w:rsidRPr="00C9711A" w:rsidRDefault="00F6114E" w:rsidP="00C9711A">
      <w:pPr>
        <w:widowControl w:val="0"/>
        <w:spacing w:line="360" w:lineRule="auto"/>
        <w:rPr>
          <w:rFonts w:ascii="Arial Narrow" w:hAnsi="Arial Narrow" w:cs="Book Antiqua"/>
          <w:lang w:val="es-CR"/>
        </w:rPr>
      </w:pPr>
    </w:p>
    <w:p w14:paraId="201EED2B" w14:textId="077626E2" w:rsidR="00F6114E" w:rsidRPr="00C9711A" w:rsidRDefault="003D7E92" w:rsidP="00C9711A">
      <w:pPr>
        <w:widowControl w:val="0"/>
        <w:spacing w:line="360" w:lineRule="auto"/>
        <w:rPr>
          <w:rFonts w:ascii="Arial Narrow" w:hAnsi="Arial Narrow" w:cs="Book Antiqua"/>
          <w:lang w:val="es-CR"/>
        </w:rPr>
      </w:pPr>
      <w:r>
        <w:rPr>
          <w:rFonts w:ascii="Arial Narrow" w:hAnsi="Arial Narrow" w:cs="Book Antiqua"/>
          <w:lang w:val="es-CR"/>
        </w:rPr>
        <w:t>2</w:t>
      </w:r>
      <w:r w:rsidR="00847990">
        <w:rPr>
          <w:rFonts w:ascii="Arial Narrow" w:hAnsi="Arial Narrow" w:cs="Book Antiqua"/>
          <w:lang w:val="es-CR"/>
        </w:rPr>
        <w:t>6</w:t>
      </w:r>
      <w:r w:rsidR="00F6114E" w:rsidRPr="00C9711A">
        <w:rPr>
          <w:rFonts w:ascii="Arial Narrow" w:hAnsi="Arial Narrow" w:cs="Book Antiqua"/>
          <w:lang w:val="es-CR"/>
        </w:rPr>
        <w:t xml:space="preserve"> de octubre de</w:t>
      </w:r>
      <w:r w:rsidR="00847990">
        <w:rPr>
          <w:rFonts w:ascii="Arial Narrow" w:hAnsi="Arial Narrow" w:cs="Book Antiqua"/>
          <w:lang w:val="es-CR"/>
        </w:rPr>
        <w:t>l</w:t>
      </w:r>
      <w:r w:rsidR="00F6114E" w:rsidRPr="00C9711A">
        <w:rPr>
          <w:rFonts w:ascii="Arial Narrow" w:hAnsi="Arial Narrow" w:cs="Book Antiqua"/>
          <w:lang w:val="es-CR"/>
        </w:rPr>
        <w:t xml:space="preserve"> 2021</w:t>
      </w:r>
    </w:p>
    <w:p w14:paraId="5D7D4537" w14:textId="77777777" w:rsidR="00F6114E" w:rsidRPr="00C9711A" w:rsidRDefault="00F6114E" w:rsidP="00C9711A">
      <w:pPr>
        <w:widowControl w:val="0"/>
        <w:spacing w:line="360" w:lineRule="auto"/>
        <w:rPr>
          <w:rFonts w:ascii="Arial Narrow" w:hAnsi="Arial Narrow" w:cs="Book Antiqua"/>
          <w:snapToGrid w:val="0"/>
          <w:lang w:val="es-CR"/>
        </w:rPr>
      </w:pPr>
    </w:p>
    <w:p w14:paraId="29D52A78" w14:textId="77777777" w:rsidR="00F6114E" w:rsidRPr="00C9711A" w:rsidRDefault="00F6114E" w:rsidP="00C9711A">
      <w:pPr>
        <w:widowControl w:val="0"/>
        <w:spacing w:line="360" w:lineRule="auto"/>
        <w:rPr>
          <w:rFonts w:ascii="Arial Narrow" w:hAnsi="Arial Narrow" w:cs="Book Antiqua"/>
          <w:snapToGrid w:val="0"/>
          <w:lang w:val="es-CR"/>
        </w:rPr>
      </w:pPr>
    </w:p>
    <w:p w14:paraId="71CB0F1D" w14:textId="77777777" w:rsidR="00F6114E" w:rsidRPr="00C9711A" w:rsidRDefault="00F6114E" w:rsidP="00C9711A">
      <w:pPr>
        <w:widowControl w:val="0"/>
        <w:spacing w:line="360" w:lineRule="auto"/>
        <w:rPr>
          <w:rFonts w:ascii="Arial Narrow" w:hAnsi="Arial Narrow" w:cs="Book Antiqua"/>
          <w:snapToGrid w:val="0"/>
          <w:lang w:val="es-CR"/>
        </w:rPr>
      </w:pPr>
    </w:p>
    <w:p w14:paraId="160FBD5B" w14:textId="77777777" w:rsidR="00F6114E" w:rsidRPr="00C9711A" w:rsidRDefault="00F6114E" w:rsidP="00C9711A">
      <w:pPr>
        <w:widowControl w:val="0"/>
        <w:spacing w:line="360" w:lineRule="auto"/>
        <w:rPr>
          <w:rFonts w:ascii="Arial Narrow" w:hAnsi="Arial Narrow" w:cs="Book Antiqua"/>
          <w:snapToGrid w:val="0"/>
          <w:lang w:val="es-CR"/>
        </w:rPr>
      </w:pPr>
      <w:r w:rsidRPr="00C9711A">
        <w:rPr>
          <w:rFonts w:ascii="Arial Narrow" w:hAnsi="Arial Narrow" w:cs="Book Antiqua"/>
          <w:snapToGrid w:val="0"/>
          <w:lang w:val="es-CR"/>
        </w:rPr>
        <w:t>Licenciada</w:t>
      </w:r>
    </w:p>
    <w:p w14:paraId="74DFFC3C" w14:textId="77777777" w:rsidR="00F6114E" w:rsidRPr="00C9711A" w:rsidRDefault="00F6114E" w:rsidP="00C9711A">
      <w:pPr>
        <w:widowControl w:val="0"/>
        <w:spacing w:line="360" w:lineRule="auto"/>
        <w:rPr>
          <w:rFonts w:ascii="Arial Narrow" w:hAnsi="Arial Narrow" w:cs="Book Antiqua"/>
          <w:snapToGrid w:val="0"/>
          <w:lang w:val="es-CR"/>
        </w:rPr>
      </w:pPr>
      <w:r w:rsidRPr="00C9711A">
        <w:rPr>
          <w:rFonts w:ascii="Arial Narrow" w:hAnsi="Arial Narrow" w:cs="Book Antiqua"/>
          <w:snapToGrid w:val="0"/>
          <w:lang w:val="es-CR"/>
        </w:rPr>
        <w:t xml:space="preserve">Silvia Navarro Romanini </w:t>
      </w:r>
    </w:p>
    <w:p w14:paraId="4FDC8222" w14:textId="77777777" w:rsidR="00F6114E" w:rsidRPr="00C9711A" w:rsidRDefault="00F6114E" w:rsidP="00C9711A">
      <w:pPr>
        <w:widowControl w:val="0"/>
        <w:spacing w:line="360" w:lineRule="auto"/>
        <w:rPr>
          <w:rFonts w:ascii="Arial Narrow" w:hAnsi="Arial Narrow" w:cs="Book Antiqua"/>
          <w:snapToGrid w:val="0"/>
          <w:lang w:val="es-CR"/>
        </w:rPr>
      </w:pPr>
      <w:r w:rsidRPr="00C9711A">
        <w:rPr>
          <w:rFonts w:ascii="Arial Narrow" w:hAnsi="Arial Narrow" w:cs="Book Antiqua"/>
          <w:snapToGrid w:val="0"/>
          <w:lang w:val="es-CR"/>
        </w:rPr>
        <w:t>Secretaría General de la Corte</w:t>
      </w:r>
    </w:p>
    <w:p w14:paraId="59792166" w14:textId="77777777" w:rsidR="00F6114E" w:rsidRPr="00C9711A" w:rsidRDefault="00F6114E" w:rsidP="00C9711A">
      <w:pPr>
        <w:widowControl w:val="0"/>
        <w:spacing w:line="360" w:lineRule="auto"/>
        <w:rPr>
          <w:rFonts w:ascii="Arial Narrow" w:hAnsi="Arial Narrow" w:cs="Book Antiqua"/>
          <w:snapToGrid w:val="0"/>
          <w:lang w:val="es-CR"/>
        </w:rPr>
      </w:pPr>
    </w:p>
    <w:p w14:paraId="17033819" w14:textId="77777777" w:rsidR="00F6114E" w:rsidRPr="00C9711A" w:rsidRDefault="00F6114E" w:rsidP="00C9711A">
      <w:pPr>
        <w:widowControl w:val="0"/>
        <w:spacing w:line="360" w:lineRule="auto"/>
        <w:rPr>
          <w:rFonts w:ascii="Arial Narrow" w:hAnsi="Arial Narrow" w:cs="Book Antiqua"/>
          <w:snapToGrid w:val="0"/>
          <w:lang w:val="es-CR"/>
        </w:rPr>
      </w:pPr>
      <w:r w:rsidRPr="00C9711A">
        <w:rPr>
          <w:rFonts w:ascii="Arial Narrow" w:hAnsi="Arial Narrow" w:cs="Book Antiqua"/>
          <w:snapToGrid w:val="0"/>
          <w:lang w:val="es-CR"/>
        </w:rPr>
        <w:t>Estimada señora:</w:t>
      </w:r>
    </w:p>
    <w:p w14:paraId="718BDC17" w14:textId="77777777" w:rsidR="00F6114E" w:rsidRPr="00C9711A" w:rsidRDefault="00F6114E" w:rsidP="00C9711A">
      <w:pPr>
        <w:spacing w:line="360" w:lineRule="auto"/>
        <w:jc w:val="both"/>
        <w:rPr>
          <w:rFonts w:ascii="Arial Narrow" w:hAnsi="Arial Narrow"/>
          <w:snapToGrid w:val="0"/>
          <w:sz w:val="20"/>
          <w:szCs w:val="20"/>
          <w:lang w:val="es-CR"/>
        </w:rPr>
      </w:pPr>
    </w:p>
    <w:p w14:paraId="43935F38" w14:textId="48BF247A" w:rsidR="00F6114E" w:rsidRPr="00C9711A" w:rsidRDefault="00F6114E" w:rsidP="00C9711A">
      <w:pPr>
        <w:spacing w:line="360" w:lineRule="auto"/>
        <w:jc w:val="both"/>
        <w:rPr>
          <w:rFonts w:ascii="Arial Narrow" w:hAnsi="Arial Narrow" w:cs="Arial"/>
        </w:rPr>
      </w:pPr>
      <w:r w:rsidRPr="00C9711A">
        <w:rPr>
          <w:rFonts w:ascii="Arial Narrow" w:hAnsi="Arial Narrow" w:cs="Book Antiqua"/>
          <w:lang w:val="es-CR"/>
        </w:rPr>
        <w:t xml:space="preserve">      Le remito el informe </w:t>
      </w:r>
      <w:r w:rsidRPr="00C9711A">
        <w:rPr>
          <w:rFonts w:ascii="Arial Narrow" w:hAnsi="Arial Narrow" w:cs="Book Antiqua"/>
        </w:rPr>
        <w:t>suscrito por la Ingeniera Elena Gabriela Picado González</w:t>
      </w:r>
      <w:r w:rsidRPr="00C9711A">
        <w:rPr>
          <w:rFonts w:ascii="Arial Narrow" w:hAnsi="Arial Narrow" w:cs="Arial"/>
        </w:rPr>
        <w:t>, Jef</w:t>
      </w:r>
      <w:r w:rsidR="00B963AA">
        <w:rPr>
          <w:rFonts w:ascii="Arial Narrow" w:hAnsi="Arial Narrow" w:cs="Arial"/>
        </w:rPr>
        <w:t>a</w:t>
      </w:r>
      <w:r w:rsidRPr="00C9711A">
        <w:rPr>
          <w:rFonts w:ascii="Arial Narrow" w:hAnsi="Arial Narrow" w:cs="Arial"/>
        </w:rPr>
        <w:t xml:space="preserve"> a.i. del Subproceso de Evaluación</w:t>
      </w:r>
      <w:r w:rsidRPr="00C9711A">
        <w:rPr>
          <w:rFonts w:ascii="Arial Narrow" w:hAnsi="Arial Narrow" w:cs="Book Antiqua"/>
        </w:rPr>
        <w:t xml:space="preserve">, relacionado con la evaluación realizada al cumplimiento del </w:t>
      </w:r>
      <w:r w:rsidRPr="00C9711A">
        <w:rPr>
          <w:rFonts w:ascii="Arial Narrow" w:eastAsia="Calibri" w:hAnsi="Arial Narrow"/>
          <w:color w:val="000000"/>
        </w:rPr>
        <w:t>Plan Estratégico Institucional para los años 2019 y 2020.</w:t>
      </w:r>
    </w:p>
    <w:p w14:paraId="692FF490" w14:textId="07B8D32B" w:rsidR="00F6114E" w:rsidRPr="00C9711A" w:rsidRDefault="00F6114E" w:rsidP="00C9711A">
      <w:pPr>
        <w:spacing w:line="360" w:lineRule="auto"/>
        <w:ind w:right="49" w:firstLine="708"/>
        <w:jc w:val="both"/>
        <w:rPr>
          <w:rFonts w:ascii="Arial Narrow" w:hAnsi="Arial Narrow"/>
          <w:lang w:val="es-CR"/>
        </w:rPr>
      </w:pPr>
    </w:p>
    <w:p w14:paraId="01EFD406" w14:textId="3B25BE72" w:rsidR="00F6114E" w:rsidRPr="00C9711A" w:rsidRDefault="00512F1F" w:rsidP="00C9711A">
      <w:pPr>
        <w:spacing w:line="360" w:lineRule="auto"/>
        <w:jc w:val="both"/>
        <w:rPr>
          <w:rFonts w:ascii="Arial Narrow" w:hAnsi="Arial Narrow"/>
        </w:rPr>
      </w:pPr>
      <w:r w:rsidRPr="00C9711A">
        <w:rPr>
          <w:rFonts w:ascii="Arial Narrow" w:hAnsi="Arial Narrow" w:cs="Book Antiqua"/>
          <w:lang w:val="es-CR"/>
        </w:rPr>
        <w:t xml:space="preserve">     </w:t>
      </w:r>
      <w:r w:rsidR="00F6114E" w:rsidRPr="00C9711A">
        <w:rPr>
          <w:rFonts w:ascii="Arial Narrow" w:hAnsi="Arial Narrow" w:cs="Book Antiqua"/>
          <w:lang w:val="es-CR"/>
        </w:rPr>
        <w:t xml:space="preserve">Con el fin de que se manifestaran al respecto, mediante oficio </w:t>
      </w:r>
      <w:r w:rsidR="00F6114E" w:rsidRPr="00C9711A">
        <w:rPr>
          <w:rFonts w:ascii="Arial Narrow" w:hAnsi="Arial Narrow" w:cs="Book Antiqua"/>
          <w:snapToGrid w:val="0"/>
        </w:rPr>
        <w:t>1106-PLA EV-2021</w:t>
      </w:r>
      <w:r w:rsidR="00F6114E" w:rsidRPr="00C9711A">
        <w:rPr>
          <w:rFonts w:ascii="Arial Narrow" w:hAnsi="Arial Narrow" w:cs="Book Antiqua"/>
          <w:lang w:val="es-CR"/>
        </w:rPr>
        <w:t xml:space="preserve"> el 27 de setiembre del 2021, el preliminar de este documento fue puesto en conocimiento </w:t>
      </w:r>
      <w:r w:rsidR="00847990">
        <w:rPr>
          <w:rFonts w:ascii="Arial Narrow" w:hAnsi="Arial Narrow" w:cs="Book Antiqua"/>
          <w:lang w:val="es-CR"/>
        </w:rPr>
        <w:t>de</w:t>
      </w:r>
      <w:r w:rsidR="003D7E92">
        <w:rPr>
          <w:rFonts w:ascii="Arial Narrow" w:hAnsi="Arial Narrow" w:cs="Book Antiqua"/>
          <w:lang w:val="es-CR"/>
        </w:rPr>
        <w:t>l</w:t>
      </w:r>
      <w:r w:rsidR="00F6114E" w:rsidRPr="00C9711A">
        <w:rPr>
          <w:rFonts w:ascii="Arial Narrow" w:hAnsi="Arial Narrow" w:cs="Book Antiqua"/>
          <w:lang w:val="es-CR"/>
        </w:rPr>
        <w:t xml:space="preserve"> </w:t>
      </w:r>
      <w:r w:rsidR="00F6114E" w:rsidRPr="00C9711A">
        <w:rPr>
          <w:rFonts w:ascii="Arial Narrow" w:hAnsi="Arial Narrow"/>
        </w:rPr>
        <w:t>Máster Walter Espinoza Espinoza, Director Programa 928 Organismo de Investigación Judicial;</w:t>
      </w:r>
      <w:r w:rsidR="003D6ACA" w:rsidRPr="00C9711A">
        <w:rPr>
          <w:rFonts w:ascii="Arial Narrow" w:hAnsi="Arial Narrow"/>
        </w:rPr>
        <w:t xml:space="preserve"> </w:t>
      </w:r>
      <w:r w:rsidR="00F6114E" w:rsidRPr="00C9711A">
        <w:rPr>
          <w:rFonts w:ascii="Arial Narrow" w:hAnsi="Arial Narrow"/>
        </w:rPr>
        <w:t xml:space="preserve">Máster Ana Eugenia Romero Jenkins, Directora Ejecutiva; Licda. Maricruz Chacón </w:t>
      </w:r>
      <w:r w:rsidR="003D6ACA" w:rsidRPr="00C9711A">
        <w:rPr>
          <w:rFonts w:ascii="Arial Narrow" w:hAnsi="Arial Narrow"/>
        </w:rPr>
        <w:t>Cubillo, Directora</w:t>
      </w:r>
      <w:r w:rsidR="00F6114E" w:rsidRPr="00C9711A">
        <w:rPr>
          <w:rFonts w:ascii="Arial Narrow" w:hAnsi="Arial Narrow"/>
        </w:rPr>
        <w:t xml:space="preserve"> Centro de Apoyo, Coordinación y Mejoramiento de la Función Jurisdiccional; Máster Warner Molina Ruíz, Jefe Programa 929 Ministerio </w:t>
      </w:r>
      <w:r w:rsidR="003D6ACA" w:rsidRPr="00C9711A">
        <w:rPr>
          <w:rFonts w:ascii="Arial Narrow" w:hAnsi="Arial Narrow"/>
        </w:rPr>
        <w:t>Público; Máster</w:t>
      </w:r>
      <w:r w:rsidR="00F6114E" w:rsidRPr="00C9711A">
        <w:rPr>
          <w:rFonts w:ascii="Arial Narrow" w:hAnsi="Arial Narrow"/>
        </w:rPr>
        <w:t xml:space="preserve"> Juan Carlos Pérez Murillo, Jefe Programa 930 Defensa </w:t>
      </w:r>
      <w:r w:rsidR="003D6ACA" w:rsidRPr="00C9711A">
        <w:rPr>
          <w:rFonts w:ascii="Arial Narrow" w:hAnsi="Arial Narrow"/>
        </w:rPr>
        <w:t>Pública; Máster</w:t>
      </w:r>
      <w:r w:rsidR="00F6114E" w:rsidRPr="00C9711A">
        <w:rPr>
          <w:rFonts w:ascii="Arial Narrow" w:hAnsi="Arial Narrow"/>
        </w:rPr>
        <w:t xml:space="preserve"> Sara Arce Moya, Jefa Programa 950 Servicio de Atención y Protección de Víctimas y </w:t>
      </w:r>
      <w:r w:rsidR="003D6ACA" w:rsidRPr="00C9711A">
        <w:rPr>
          <w:rFonts w:ascii="Arial Narrow" w:hAnsi="Arial Narrow"/>
        </w:rPr>
        <w:t>Testigos; Secretaría</w:t>
      </w:r>
      <w:r w:rsidR="00F6114E" w:rsidRPr="00C9711A">
        <w:rPr>
          <w:rFonts w:ascii="Arial Narrow" w:hAnsi="Arial Narrow"/>
        </w:rPr>
        <w:t xml:space="preserve"> General de la </w:t>
      </w:r>
      <w:r w:rsidR="003D6ACA" w:rsidRPr="00C9711A">
        <w:rPr>
          <w:rFonts w:ascii="Arial Narrow" w:hAnsi="Arial Narrow"/>
        </w:rPr>
        <w:t>Corte; Despacho</w:t>
      </w:r>
      <w:r w:rsidR="00F6114E" w:rsidRPr="00C9711A">
        <w:rPr>
          <w:rFonts w:ascii="Arial Narrow" w:hAnsi="Arial Narrow"/>
        </w:rPr>
        <w:t xml:space="preserve"> de la </w:t>
      </w:r>
      <w:r w:rsidR="003D6ACA" w:rsidRPr="00C9711A">
        <w:rPr>
          <w:rFonts w:ascii="Arial Narrow" w:hAnsi="Arial Narrow"/>
        </w:rPr>
        <w:t>Presidencia; Comisión</w:t>
      </w:r>
      <w:r w:rsidR="00F6114E" w:rsidRPr="00C9711A">
        <w:rPr>
          <w:rFonts w:ascii="Arial Narrow" w:hAnsi="Arial Narrow"/>
        </w:rPr>
        <w:t xml:space="preserve"> de Transparencia </w:t>
      </w:r>
      <w:r w:rsidR="003D6ACA" w:rsidRPr="00C9711A">
        <w:rPr>
          <w:rFonts w:ascii="Arial Narrow" w:hAnsi="Arial Narrow"/>
        </w:rPr>
        <w:t>Institucional; Comisión</w:t>
      </w:r>
      <w:r w:rsidR="00F6114E" w:rsidRPr="00C9711A">
        <w:rPr>
          <w:rFonts w:ascii="Arial Narrow" w:hAnsi="Arial Narrow"/>
        </w:rPr>
        <w:t xml:space="preserve"> de la Jurisdicción de Familia, Niñez y </w:t>
      </w:r>
      <w:r w:rsidR="003D6ACA" w:rsidRPr="00C9711A">
        <w:rPr>
          <w:rFonts w:ascii="Arial Narrow" w:hAnsi="Arial Narrow"/>
        </w:rPr>
        <w:t>Adolescencia; Comisión</w:t>
      </w:r>
      <w:r w:rsidR="00F6114E" w:rsidRPr="00C9711A">
        <w:rPr>
          <w:rFonts w:ascii="Arial Narrow" w:hAnsi="Arial Narrow"/>
        </w:rPr>
        <w:t xml:space="preserve"> de Gestión </w:t>
      </w:r>
      <w:r w:rsidR="003D6ACA" w:rsidRPr="00C9711A">
        <w:rPr>
          <w:rFonts w:ascii="Arial Narrow" w:hAnsi="Arial Narrow"/>
        </w:rPr>
        <w:t>Ambiental; Comisión</w:t>
      </w:r>
      <w:r w:rsidR="00F6114E" w:rsidRPr="00C9711A">
        <w:rPr>
          <w:rFonts w:ascii="Arial Narrow" w:hAnsi="Arial Narrow"/>
        </w:rPr>
        <w:t xml:space="preserve"> Institucional de </w:t>
      </w:r>
      <w:r w:rsidR="003D6ACA" w:rsidRPr="00C9711A">
        <w:rPr>
          <w:rFonts w:ascii="Arial Narrow" w:hAnsi="Arial Narrow"/>
        </w:rPr>
        <w:t>Teletrabajo; Comisión</w:t>
      </w:r>
      <w:r w:rsidR="00F6114E" w:rsidRPr="00C9711A">
        <w:rPr>
          <w:rFonts w:ascii="Arial Narrow" w:hAnsi="Arial Narrow"/>
        </w:rPr>
        <w:t xml:space="preserve"> de </w:t>
      </w:r>
      <w:r w:rsidR="003D6ACA" w:rsidRPr="00C9711A">
        <w:rPr>
          <w:rFonts w:ascii="Arial Narrow" w:hAnsi="Arial Narrow"/>
        </w:rPr>
        <w:t>Emergencias; Comisión</w:t>
      </w:r>
      <w:r w:rsidR="00F6114E" w:rsidRPr="00C9711A">
        <w:rPr>
          <w:rFonts w:ascii="Arial Narrow" w:hAnsi="Arial Narrow"/>
        </w:rPr>
        <w:t xml:space="preserve"> de </w:t>
      </w:r>
      <w:r w:rsidR="003D6ACA" w:rsidRPr="00C9711A">
        <w:rPr>
          <w:rFonts w:ascii="Arial Narrow" w:hAnsi="Arial Narrow"/>
        </w:rPr>
        <w:t>Construcciones; Comisión</w:t>
      </w:r>
      <w:r w:rsidR="00F6114E" w:rsidRPr="00C9711A">
        <w:rPr>
          <w:rFonts w:ascii="Arial Narrow" w:hAnsi="Arial Narrow"/>
        </w:rPr>
        <w:t xml:space="preserve"> de la Jurisdicción Agraria y </w:t>
      </w:r>
      <w:r w:rsidR="003D6ACA" w:rsidRPr="00C9711A">
        <w:rPr>
          <w:rFonts w:ascii="Arial Narrow" w:hAnsi="Arial Narrow"/>
        </w:rPr>
        <w:t>Agroambiental; Comisión</w:t>
      </w:r>
      <w:r w:rsidR="00F6114E" w:rsidRPr="00C9711A">
        <w:rPr>
          <w:rFonts w:ascii="Arial Narrow" w:hAnsi="Arial Narrow"/>
        </w:rPr>
        <w:t xml:space="preserve"> Nacional para el Mejoramiento de la </w:t>
      </w:r>
      <w:r w:rsidR="00F6114E" w:rsidRPr="00C9711A">
        <w:rPr>
          <w:rFonts w:ascii="Arial Narrow" w:hAnsi="Arial Narrow"/>
        </w:rPr>
        <w:lastRenderedPageBreak/>
        <w:t xml:space="preserve">Administración de </w:t>
      </w:r>
      <w:r w:rsidR="003D6ACA" w:rsidRPr="00C9711A">
        <w:rPr>
          <w:rFonts w:ascii="Arial Narrow" w:hAnsi="Arial Narrow"/>
        </w:rPr>
        <w:t>Justicia; Sala</w:t>
      </w:r>
      <w:r w:rsidR="00F6114E" w:rsidRPr="00C9711A">
        <w:rPr>
          <w:rFonts w:ascii="Arial Narrow" w:hAnsi="Arial Narrow"/>
        </w:rPr>
        <w:t xml:space="preserve"> </w:t>
      </w:r>
      <w:r w:rsidR="003D6ACA" w:rsidRPr="00C9711A">
        <w:rPr>
          <w:rFonts w:ascii="Arial Narrow" w:hAnsi="Arial Narrow"/>
        </w:rPr>
        <w:t>Primera; Sala</w:t>
      </w:r>
      <w:r w:rsidR="00F6114E" w:rsidRPr="00C9711A">
        <w:rPr>
          <w:rFonts w:ascii="Arial Narrow" w:hAnsi="Arial Narrow"/>
        </w:rPr>
        <w:t xml:space="preserve"> </w:t>
      </w:r>
      <w:r w:rsidR="003D6ACA" w:rsidRPr="00C9711A">
        <w:rPr>
          <w:rFonts w:ascii="Arial Narrow" w:hAnsi="Arial Narrow"/>
        </w:rPr>
        <w:t>Segunda; Sala</w:t>
      </w:r>
      <w:r w:rsidR="00F6114E" w:rsidRPr="00C9711A">
        <w:rPr>
          <w:rFonts w:ascii="Arial Narrow" w:hAnsi="Arial Narrow"/>
        </w:rPr>
        <w:t xml:space="preserve"> </w:t>
      </w:r>
      <w:r w:rsidR="003D6ACA" w:rsidRPr="00C9711A">
        <w:rPr>
          <w:rFonts w:ascii="Arial Narrow" w:hAnsi="Arial Narrow"/>
        </w:rPr>
        <w:t>Tercera; Sala</w:t>
      </w:r>
      <w:r w:rsidR="00F6114E" w:rsidRPr="00C9711A">
        <w:rPr>
          <w:rFonts w:ascii="Arial Narrow" w:hAnsi="Arial Narrow"/>
        </w:rPr>
        <w:t xml:space="preserve"> </w:t>
      </w:r>
      <w:r w:rsidR="003D6ACA" w:rsidRPr="00C9711A">
        <w:rPr>
          <w:rFonts w:ascii="Arial Narrow" w:hAnsi="Arial Narrow"/>
        </w:rPr>
        <w:t>Constitucional; Inspección</w:t>
      </w:r>
      <w:r w:rsidR="00F6114E" w:rsidRPr="00C9711A">
        <w:rPr>
          <w:rFonts w:ascii="Arial Narrow" w:hAnsi="Arial Narrow"/>
        </w:rPr>
        <w:t xml:space="preserve"> </w:t>
      </w:r>
      <w:r w:rsidR="003D6ACA" w:rsidRPr="00C9711A">
        <w:rPr>
          <w:rFonts w:ascii="Arial Narrow" w:hAnsi="Arial Narrow"/>
        </w:rPr>
        <w:t>Judicial; Oficina</w:t>
      </w:r>
      <w:r w:rsidR="00F6114E" w:rsidRPr="00C9711A">
        <w:rPr>
          <w:rFonts w:ascii="Arial Narrow" w:hAnsi="Arial Narrow"/>
        </w:rPr>
        <w:t xml:space="preserve"> de Control </w:t>
      </w:r>
      <w:r w:rsidR="003D6ACA" w:rsidRPr="00C9711A">
        <w:rPr>
          <w:rFonts w:ascii="Arial Narrow" w:hAnsi="Arial Narrow"/>
        </w:rPr>
        <w:t>Interno; Dirección</w:t>
      </w:r>
      <w:r w:rsidR="00F6114E" w:rsidRPr="00C9711A">
        <w:rPr>
          <w:rFonts w:ascii="Arial Narrow" w:hAnsi="Arial Narrow"/>
        </w:rPr>
        <w:t xml:space="preserve"> </w:t>
      </w:r>
      <w:r w:rsidR="003D6ACA" w:rsidRPr="00C9711A">
        <w:rPr>
          <w:rFonts w:ascii="Arial Narrow" w:hAnsi="Arial Narrow"/>
        </w:rPr>
        <w:t>Jurídica; Dirección</w:t>
      </w:r>
      <w:r w:rsidR="00F6114E" w:rsidRPr="00C9711A">
        <w:rPr>
          <w:rFonts w:ascii="Arial Narrow" w:hAnsi="Arial Narrow"/>
        </w:rPr>
        <w:t xml:space="preserve"> de Gestión </w:t>
      </w:r>
      <w:r w:rsidR="003D6ACA" w:rsidRPr="00C9711A">
        <w:rPr>
          <w:rFonts w:ascii="Arial Narrow" w:hAnsi="Arial Narrow"/>
        </w:rPr>
        <w:t>Humana; Dirección</w:t>
      </w:r>
      <w:r w:rsidR="00F6114E" w:rsidRPr="00C9711A">
        <w:rPr>
          <w:rFonts w:ascii="Arial Narrow" w:hAnsi="Arial Narrow"/>
        </w:rPr>
        <w:t xml:space="preserve"> de Tecnología de la </w:t>
      </w:r>
      <w:r w:rsidR="003D6ACA" w:rsidRPr="00C9711A">
        <w:rPr>
          <w:rFonts w:ascii="Arial Narrow" w:hAnsi="Arial Narrow"/>
        </w:rPr>
        <w:t>Información; Administraciones</w:t>
      </w:r>
      <w:r w:rsidR="00F6114E" w:rsidRPr="00C9711A">
        <w:rPr>
          <w:rFonts w:ascii="Arial Narrow" w:hAnsi="Arial Narrow"/>
        </w:rPr>
        <w:t xml:space="preserve"> </w:t>
      </w:r>
      <w:r w:rsidR="003D6ACA" w:rsidRPr="00C9711A">
        <w:rPr>
          <w:rFonts w:ascii="Arial Narrow" w:hAnsi="Arial Narrow"/>
        </w:rPr>
        <w:t>Regionales; Secretaria</w:t>
      </w:r>
      <w:r w:rsidR="00F6114E" w:rsidRPr="00C9711A">
        <w:rPr>
          <w:rFonts w:ascii="Arial Narrow" w:hAnsi="Arial Narrow"/>
        </w:rPr>
        <w:t xml:space="preserve"> Técnica de Genero y Acceso a la </w:t>
      </w:r>
      <w:r w:rsidR="003D6ACA" w:rsidRPr="00C9711A">
        <w:rPr>
          <w:rFonts w:ascii="Arial Narrow" w:hAnsi="Arial Narrow"/>
        </w:rPr>
        <w:t>Justicia; Secretaría</w:t>
      </w:r>
      <w:r w:rsidR="00F6114E" w:rsidRPr="00C9711A">
        <w:rPr>
          <w:rFonts w:ascii="Arial Narrow" w:hAnsi="Arial Narrow"/>
        </w:rPr>
        <w:t xml:space="preserve"> Técnica de Ética y </w:t>
      </w:r>
      <w:r w:rsidR="003D6ACA" w:rsidRPr="00C9711A">
        <w:rPr>
          <w:rFonts w:ascii="Arial Narrow" w:hAnsi="Arial Narrow"/>
        </w:rPr>
        <w:t>Valores; Programa</w:t>
      </w:r>
      <w:r w:rsidR="00F6114E" w:rsidRPr="00C9711A">
        <w:rPr>
          <w:rFonts w:ascii="Arial Narrow" w:hAnsi="Arial Narrow"/>
        </w:rPr>
        <w:t xml:space="preserve"> de Justicia Restaurativa</w:t>
      </w:r>
      <w:r w:rsidRPr="00C9711A">
        <w:rPr>
          <w:rFonts w:ascii="Arial Narrow" w:hAnsi="Arial Narrow"/>
        </w:rPr>
        <w:t>;</w:t>
      </w:r>
      <w:r w:rsidR="003D6ACA" w:rsidRPr="00C9711A">
        <w:rPr>
          <w:rFonts w:ascii="Arial Narrow" w:hAnsi="Arial Narrow"/>
        </w:rPr>
        <w:t xml:space="preserve"> </w:t>
      </w:r>
      <w:r w:rsidR="00F6114E" w:rsidRPr="00C9711A">
        <w:rPr>
          <w:rFonts w:ascii="Arial Narrow" w:hAnsi="Arial Narrow"/>
        </w:rPr>
        <w:t>Escuela Judicial</w:t>
      </w:r>
      <w:r w:rsidRPr="00C9711A">
        <w:rPr>
          <w:rFonts w:ascii="Arial Narrow" w:hAnsi="Arial Narrow"/>
        </w:rPr>
        <w:t>;</w:t>
      </w:r>
      <w:r w:rsidR="003D6ACA" w:rsidRPr="00C9711A">
        <w:rPr>
          <w:rFonts w:ascii="Arial Narrow" w:hAnsi="Arial Narrow"/>
        </w:rPr>
        <w:t xml:space="preserve"> </w:t>
      </w:r>
      <w:r w:rsidR="00F6114E" w:rsidRPr="00C9711A">
        <w:rPr>
          <w:rFonts w:ascii="Arial Narrow" w:hAnsi="Arial Narrow"/>
        </w:rPr>
        <w:t>Centro de Información Jurisprudencial</w:t>
      </w:r>
      <w:r w:rsidRPr="00C9711A">
        <w:rPr>
          <w:rFonts w:ascii="Arial Narrow" w:hAnsi="Arial Narrow"/>
        </w:rPr>
        <w:t>;</w:t>
      </w:r>
      <w:r w:rsidR="003D6ACA" w:rsidRPr="00C9711A">
        <w:rPr>
          <w:rFonts w:ascii="Arial Narrow" w:hAnsi="Arial Narrow"/>
        </w:rPr>
        <w:t xml:space="preserve"> </w:t>
      </w:r>
      <w:r w:rsidR="00F6114E" w:rsidRPr="00C9711A">
        <w:rPr>
          <w:rFonts w:ascii="Arial Narrow" w:hAnsi="Arial Narrow"/>
        </w:rPr>
        <w:t>Centro de Conciliación del Poder Judicial</w:t>
      </w:r>
      <w:r w:rsidRPr="00C9711A">
        <w:rPr>
          <w:rFonts w:ascii="Arial Narrow" w:hAnsi="Arial Narrow"/>
        </w:rPr>
        <w:t>;</w:t>
      </w:r>
      <w:r w:rsidR="003D6ACA" w:rsidRPr="00C9711A">
        <w:rPr>
          <w:rFonts w:ascii="Arial Narrow" w:hAnsi="Arial Narrow"/>
        </w:rPr>
        <w:t xml:space="preserve"> </w:t>
      </w:r>
      <w:r w:rsidR="00F6114E" w:rsidRPr="00C9711A">
        <w:rPr>
          <w:rFonts w:ascii="Arial Narrow" w:hAnsi="Arial Narrow"/>
        </w:rPr>
        <w:t>Contraloría de Servicios del Poder Judicial</w:t>
      </w:r>
      <w:r w:rsidRPr="00C9711A">
        <w:rPr>
          <w:rFonts w:ascii="Arial Narrow" w:hAnsi="Arial Narrow"/>
        </w:rPr>
        <w:t>;</w:t>
      </w:r>
      <w:r w:rsidR="003D6ACA" w:rsidRPr="00C9711A">
        <w:rPr>
          <w:rFonts w:ascii="Arial Narrow" w:hAnsi="Arial Narrow"/>
        </w:rPr>
        <w:t xml:space="preserve"> </w:t>
      </w:r>
      <w:r w:rsidR="00F6114E" w:rsidRPr="00C9711A">
        <w:rPr>
          <w:rFonts w:ascii="Arial Narrow" w:hAnsi="Arial Narrow"/>
        </w:rPr>
        <w:t>Departamento de Prensa y Comunicación Organizacional</w:t>
      </w:r>
      <w:r w:rsidRPr="00C9711A">
        <w:rPr>
          <w:rFonts w:ascii="Arial Narrow" w:hAnsi="Arial Narrow"/>
        </w:rPr>
        <w:t>;</w:t>
      </w:r>
      <w:r w:rsidR="003D6ACA" w:rsidRPr="00C9711A">
        <w:rPr>
          <w:rFonts w:ascii="Arial Narrow" w:hAnsi="Arial Narrow"/>
        </w:rPr>
        <w:t xml:space="preserve"> </w:t>
      </w:r>
      <w:r w:rsidR="00F6114E" w:rsidRPr="00C9711A">
        <w:rPr>
          <w:rFonts w:ascii="Arial Narrow" w:hAnsi="Arial Narrow"/>
        </w:rPr>
        <w:t>Departamento de Trabajo Social y Psicología</w:t>
      </w:r>
      <w:r w:rsidRPr="00C9711A">
        <w:rPr>
          <w:rFonts w:ascii="Arial Narrow" w:hAnsi="Arial Narrow"/>
        </w:rPr>
        <w:t>,</w:t>
      </w:r>
      <w:r w:rsidR="003D6ACA" w:rsidRPr="00C9711A">
        <w:rPr>
          <w:rFonts w:ascii="Arial Narrow" w:hAnsi="Arial Narrow"/>
        </w:rPr>
        <w:t xml:space="preserve"> </w:t>
      </w:r>
      <w:r w:rsidR="00F6114E" w:rsidRPr="00C9711A">
        <w:rPr>
          <w:rFonts w:ascii="Arial Narrow" w:hAnsi="Arial Narrow"/>
        </w:rPr>
        <w:t>Juzgado Notarial</w:t>
      </w:r>
      <w:r w:rsidRPr="00C9711A">
        <w:rPr>
          <w:rFonts w:ascii="Arial Narrow" w:hAnsi="Arial Narrow"/>
        </w:rPr>
        <w:t>.</w:t>
      </w:r>
    </w:p>
    <w:p w14:paraId="4E32A793" w14:textId="77777777" w:rsidR="00F6114E" w:rsidRPr="00C9711A" w:rsidRDefault="00F6114E" w:rsidP="00C9711A">
      <w:pPr>
        <w:spacing w:line="360" w:lineRule="auto"/>
        <w:jc w:val="both"/>
        <w:rPr>
          <w:rFonts w:ascii="Arial Narrow" w:hAnsi="Arial Narrow"/>
          <w:lang w:val="es-CR"/>
        </w:rPr>
      </w:pPr>
      <w:bookmarkStart w:id="1" w:name="_Hlk84513702"/>
    </w:p>
    <w:p w14:paraId="509E70B5" w14:textId="429F76D7" w:rsidR="00F976DF" w:rsidRPr="00763BCA" w:rsidRDefault="0090635B" w:rsidP="00F976DF">
      <w:pPr>
        <w:spacing w:line="360" w:lineRule="auto"/>
        <w:jc w:val="both"/>
        <w:rPr>
          <w:rFonts w:ascii="Arial Narrow" w:hAnsi="Arial Narrow"/>
        </w:rPr>
      </w:pPr>
      <w:r>
        <w:rPr>
          <w:rFonts w:ascii="Arial Narrow" w:hAnsi="Arial Narrow"/>
          <w:lang w:val="es-CR"/>
        </w:rPr>
        <w:t>C</w:t>
      </w:r>
      <w:r w:rsidRPr="005A107E">
        <w:rPr>
          <w:rFonts w:ascii="Arial Narrow" w:hAnsi="Arial Narrow"/>
        </w:rPr>
        <w:t>omo respuesta se recibió correo electrónico del 30 setiembre 2021, por parte de la Administración de Puntarenas; correo electrónico del 30 de setiembre 2021, suscrito por el Licenciado Minor Arguedas Rojas, Administrador Regional de Grecia; correo electrónico del 1</w:t>
      </w:r>
      <w:r w:rsidR="008763E5">
        <w:rPr>
          <w:rFonts w:ascii="Arial Narrow" w:hAnsi="Arial Narrow"/>
        </w:rPr>
        <w:t>°</w:t>
      </w:r>
      <w:r w:rsidRPr="005A107E">
        <w:rPr>
          <w:rFonts w:ascii="Arial Narrow" w:hAnsi="Arial Narrow"/>
        </w:rPr>
        <w:t xml:space="preserve"> de octubre 2021, suscrito por Ana Eugenia Romero Jenkins, Directora, Dirección Ejecutiva; correo electrónico del 4 de octubre 2021, suscrito por la Licenciada Margarita Sánchez Fallas, Administradora de la Secretaría Técnica de Género; Correo electrónico </w:t>
      </w:r>
      <w:r w:rsidR="008763E5">
        <w:rPr>
          <w:rFonts w:ascii="Arial Narrow" w:hAnsi="Arial Narrow"/>
        </w:rPr>
        <w:t xml:space="preserve">del </w:t>
      </w:r>
      <w:r w:rsidRPr="005A107E">
        <w:rPr>
          <w:rFonts w:ascii="Arial Narrow" w:hAnsi="Arial Narrow"/>
        </w:rPr>
        <w:t xml:space="preserve">4 de octubre 2021, suscrito </w:t>
      </w:r>
      <w:r w:rsidR="00766F1A">
        <w:rPr>
          <w:rFonts w:ascii="Arial Narrow" w:hAnsi="Arial Narrow"/>
        </w:rPr>
        <w:t xml:space="preserve">por la </w:t>
      </w:r>
      <w:r w:rsidRPr="005A107E">
        <w:rPr>
          <w:rFonts w:ascii="Arial Narrow" w:hAnsi="Arial Narrow"/>
        </w:rPr>
        <w:t>MSc. Alba Gutiérrez Villalobos</w:t>
      </w:r>
      <w:r w:rsidR="008763E5">
        <w:rPr>
          <w:rFonts w:ascii="Arial Narrow" w:hAnsi="Arial Narrow"/>
        </w:rPr>
        <w:t>, Jefe del</w:t>
      </w:r>
      <w:r w:rsidRPr="005A107E">
        <w:rPr>
          <w:rFonts w:ascii="Arial Narrow" w:hAnsi="Arial Narrow"/>
        </w:rPr>
        <w:t xml:space="preserve"> Departamento de Trabajo Social y Psicología; </w:t>
      </w:r>
      <w:r w:rsidR="008763E5">
        <w:rPr>
          <w:rFonts w:ascii="Arial Narrow" w:hAnsi="Arial Narrow"/>
        </w:rPr>
        <w:t>c</w:t>
      </w:r>
      <w:r w:rsidRPr="005A107E">
        <w:rPr>
          <w:rFonts w:ascii="Arial Narrow" w:hAnsi="Arial Narrow"/>
        </w:rPr>
        <w:t xml:space="preserve">orreo electrónico 4 de octubre 2021, suscrito por </w:t>
      </w:r>
      <w:r w:rsidR="00864EC4">
        <w:rPr>
          <w:rFonts w:ascii="Arial Narrow" w:hAnsi="Arial Narrow"/>
        </w:rPr>
        <w:t xml:space="preserve">la </w:t>
      </w:r>
      <w:r w:rsidR="008763E5">
        <w:rPr>
          <w:rFonts w:ascii="Arial Narrow" w:hAnsi="Arial Narrow"/>
        </w:rPr>
        <w:t>Má</w:t>
      </w:r>
      <w:r w:rsidR="00864EC4">
        <w:rPr>
          <w:rFonts w:ascii="Arial Narrow" w:hAnsi="Arial Narrow"/>
        </w:rPr>
        <w:t xml:space="preserve">ster </w:t>
      </w:r>
      <w:r w:rsidRPr="005A107E">
        <w:rPr>
          <w:rFonts w:ascii="Arial Narrow" w:hAnsi="Arial Narrow"/>
        </w:rPr>
        <w:t xml:space="preserve">Kattia Morales Navarro, </w:t>
      </w:r>
      <w:r w:rsidR="003D7E92">
        <w:rPr>
          <w:rFonts w:ascii="Arial Narrow" w:hAnsi="Arial Narrow"/>
        </w:rPr>
        <w:t>D</w:t>
      </w:r>
      <w:r w:rsidRPr="005A107E">
        <w:rPr>
          <w:rFonts w:ascii="Arial Narrow" w:hAnsi="Arial Narrow"/>
        </w:rPr>
        <w:t>irectora de la Dirección de Tecnología de Información</w:t>
      </w:r>
      <w:r>
        <w:rPr>
          <w:rFonts w:ascii="Arial Narrow" w:hAnsi="Arial Narrow"/>
        </w:rPr>
        <w:t xml:space="preserve">; </w:t>
      </w:r>
      <w:r w:rsidRPr="005A107E">
        <w:rPr>
          <w:rFonts w:ascii="Arial Narrow" w:hAnsi="Arial Narrow"/>
        </w:rPr>
        <w:t xml:space="preserve">correo electrónico del 5 de octubre 2021, suscrito </w:t>
      </w:r>
      <w:r w:rsidR="00766F1A">
        <w:rPr>
          <w:rFonts w:ascii="Arial Narrow" w:hAnsi="Arial Narrow"/>
        </w:rPr>
        <w:t>por</w:t>
      </w:r>
      <w:r w:rsidR="008763E5">
        <w:rPr>
          <w:rFonts w:ascii="Arial Narrow" w:hAnsi="Arial Narrow"/>
        </w:rPr>
        <w:t xml:space="preserve"> el Lic.</w:t>
      </w:r>
      <w:r w:rsidR="00766F1A">
        <w:rPr>
          <w:rFonts w:ascii="Arial Narrow" w:hAnsi="Arial Narrow"/>
        </w:rPr>
        <w:t xml:space="preserve"> </w:t>
      </w:r>
      <w:r w:rsidRPr="005A107E">
        <w:rPr>
          <w:rFonts w:ascii="Arial Narrow" w:hAnsi="Arial Narrow"/>
        </w:rPr>
        <w:t xml:space="preserve">Omar Brenes Campos, Subjefe a.i Oficina de Planes y Operaciones y </w:t>
      </w:r>
      <w:r w:rsidR="008763E5">
        <w:rPr>
          <w:rFonts w:ascii="Arial Narrow" w:hAnsi="Arial Narrow"/>
        </w:rPr>
        <w:t xml:space="preserve">Lic. </w:t>
      </w:r>
      <w:r w:rsidRPr="005A107E">
        <w:rPr>
          <w:rFonts w:ascii="Arial Narrow" w:hAnsi="Arial Narrow"/>
        </w:rPr>
        <w:t>Walter Espinoza Espinoza, Director General del Organismo de Investigación Judicial; correo electrónico 5 de octubre 2021,</w:t>
      </w:r>
      <w:r w:rsidR="008763E5">
        <w:rPr>
          <w:rFonts w:ascii="Arial Narrow" w:hAnsi="Arial Narrow"/>
        </w:rPr>
        <w:t xml:space="preserve"> </w:t>
      </w:r>
      <w:r w:rsidRPr="005A107E">
        <w:rPr>
          <w:rFonts w:ascii="Arial Narrow" w:hAnsi="Arial Narrow"/>
        </w:rPr>
        <w:t xml:space="preserve">suscrito </w:t>
      </w:r>
      <w:r w:rsidR="00766F1A">
        <w:rPr>
          <w:rFonts w:ascii="Arial Narrow" w:hAnsi="Arial Narrow"/>
        </w:rPr>
        <w:t xml:space="preserve">por </w:t>
      </w:r>
      <w:r w:rsidRPr="005A107E">
        <w:rPr>
          <w:rFonts w:ascii="Arial Narrow" w:hAnsi="Arial Narrow"/>
        </w:rPr>
        <w:t>Anyi Espinoza Méndez, Secretaria de la Administración Regional de Pérez Zeledón;</w:t>
      </w:r>
      <w:r>
        <w:rPr>
          <w:rFonts w:ascii="Arial Narrow" w:hAnsi="Arial Narrow"/>
        </w:rPr>
        <w:t xml:space="preserve"> como respuesta extemporáneas se recibió</w:t>
      </w:r>
      <w:r w:rsidRPr="005A107E">
        <w:rPr>
          <w:rFonts w:ascii="Arial Narrow" w:hAnsi="Arial Narrow"/>
        </w:rPr>
        <w:t xml:space="preserve"> correo electrónico </w:t>
      </w:r>
      <w:r w:rsidR="008763E5">
        <w:rPr>
          <w:rFonts w:ascii="Arial Narrow" w:hAnsi="Arial Narrow"/>
        </w:rPr>
        <w:t xml:space="preserve">del </w:t>
      </w:r>
      <w:r w:rsidRPr="005A107E">
        <w:rPr>
          <w:rFonts w:ascii="Arial Narrow" w:hAnsi="Arial Narrow"/>
        </w:rPr>
        <w:t>6 de octubre 202</w:t>
      </w:r>
      <w:r w:rsidR="003D7E92">
        <w:rPr>
          <w:rFonts w:ascii="Arial Narrow" w:hAnsi="Arial Narrow"/>
        </w:rPr>
        <w:t>1</w:t>
      </w:r>
      <w:r w:rsidRPr="005A107E">
        <w:rPr>
          <w:rFonts w:ascii="Arial Narrow" w:hAnsi="Arial Narrow"/>
        </w:rPr>
        <w:t xml:space="preserve">, suscrito por el Magistrado Gerardo Rubén Alfaro Vargas, </w:t>
      </w:r>
      <w:r w:rsidR="008763E5">
        <w:rPr>
          <w:rFonts w:ascii="Arial Narrow" w:hAnsi="Arial Narrow"/>
        </w:rPr>
        <w:t>R</w:t>
      </w:r>
      <w:r w:rsidRPr="005A107E">
        <w:rPr>
          <w:rFonts w:ascii="Arial Narrow" w:hAnsi="Arial Narrow"/>
        </w:rPr>
        <w:t>ector de Justicia Restaurativa</w:t>
      </w:r>
      <w:r w:rsidR="008763E5">
        <w:rPr>
          <w:rFonts w:ascii="Arial Narrow" w:hAnsi="Arial Narrow"/>
        </w:rPr>
        <w:t>,</w:t>
      </w:r>
      <w:r w:rsidRPr="00AF26DA">
        <w:rPr>
          <w:rFonts w:ascii="Arial Narrow" w:hAnsi="Arial Narrow"/>
        </w:rPr>
        <w:t xml:space="preserve"> </w:t>
      </w:r>
      <w:r w:rsidRPr="00763BCA">
        <w:rPr>
          <w:rFonts w:ascii="Arial Narrow" w:hAnsi="Arial Narrow"/>
        </w:rPr>
        <w:t xml:space="preserve">correo electrónico </w:t>
      </w:r>
      <w:r w:rsidR="008763E5">
        <w:rPr>
          <w:rFonts w:ascii="Arial Narrow" w:hAnsi="Arial Narrow"/>
        </w:rPr>
        <w:t xml:space="preserve">del </w:t>
      </w:r>
      <w:r w:rsidRPr="00763BCA">
        <w:rPr>
          <w:rFonts w:ascii="Arial Narrow" w:hAnsi="Arial Narrow"/>
        </w:rPr>
        <w:t>6 de octubre 2021</w:t>
      </w:r>
      <w:r>
        <w:rPr>
          <w:rFonts w:ascii="Arial Narrow" w:hAnsi="Arial Narrow"/>
        </w:rPr>
        <w:t xml:space="preserve">, suscrito </w:t>
      </w:r>
      <w:r w:rsidR="00766F1A">
        <w:rPr>
          <w:rFonts w:ascii="Arial Narrow" w:hAnsi="Arial Narrow"/>
        </w:rPr>
        <w:t xml:space="preserve">por la </w:t>
      </w:r>
      <w:r w:rsidRPr="00763BCA">
        <w:rPr>
          <w:rFonts w:ascii="Arial Narrow" w:hAnsi="Arial Narrow"/>
        </w:rPr>
        <w:t xml:space="preserve">Licda. Rebeca Guardia Morales, Directora a.í. </w:t>
      </w:r>
      <w:r w:rsidR="003D7E92">
        <w:rPr>
          <w:rFonts w:ascii="Arial Narrow" w:hAnsi="Arial Narrow"/>
        </w:rPr>
        <w:t xml:space="preserve">de la </w:t>
      </w:r>
      <w:r w:rsidRPr="00763BCA">
        <w:rPr>
          <w:rFonts w:ascii="Arial Narrow" w:hAnsi="Arial Narrow"/>
        </w:rPr>
        <w:t>Escuela Judicial</w:t>
      </w:r>
      <w:r>
        <w:rPr>
          <w:rFonts w:ascii="Arial Narrow" w:hAnsi="Arial Narrow"/>
        </w:rPr>
        <w:t>,</w:t>
      </w:r>
      <w:r w:rsidRPr="00763BCA">
        <w:rPr>
          <w:rFonts w:ascii="Arial Narrow" w:hAnsi="Arial Narrow"/>
        </w:rPr>
        <w:t xml:space="preserve"> correo electrónico </w:t>
      </w:r>
      <w:r w:rsidR="008763E5">
        <w:rPr>
          <w:rFonts w:ascii="Arial Narrow" w:hAnsi="Arial Narrow"/>
        </w:rPr>
        <w:t xml:space="preserve">del </w:t>
      </w:r>
      <w:r w:rsidRPr="00763BCA">
        <w:rPr>
          <w:rFonts w:ascii="Arial Narrow" w:hAnsi="Arial Narrow"/>
        </w:rPr>
        <w:t xml:space="preserve">6 de octubre 2021, suscrito por </w:t>
      </w:r>
      <w:r w:rsidR="00766F1A">
        <w:rPr>
          <w:rFonts w:ascii="Arial Narrow" w:hAnsi="Arial Narrow"/>
        </w:rPr>
        <w:t xml:space="preserve">el </w:t>
      </w:r>
      <w:r w:rsidRPr="00763BCA">
        <w:rPr>
          <w:rFonts w:ascii="Arial Narrow" w:hAnsi="Arial Narrow"/>
        </w:rPr>
        <w:t xml:space="preserve">MSc. Juan Carlos Pérez Murillo, Director Defensa Pública; correo electrónico </w:t>
      </w:r>
      <w:r w:rsidR="008763E5">
        <w:rPr>
          <w:rFonts w:ascii="Arial Narrow" w:hAnsi="Arial Narrow"/>
        </w:rPr>
        <w:t xml:space="preserve">del </w:t>
      </w:r>
      <w:r w:rsidRPr="00763BCA">
        <w:rPr>
          <w:rFonts w:ascii="Arial Narrow" w:hAnsi="Arial Narrow"/>
        </w:rPr>
        <w:t xml:space="preserve">6 de octubre 2021, suscrito por </w:t>
      </w:r>
      <w:r w:rsidR="00766F1A">
        <w:rPr>
          <w:rFonts w:ascii="Arial Narrow" w:hAnsi="Arial Narrow"/>
        </w:rPr>
        <w:t xml:space="preserve">la </w:t>
      </w:r>
      <w:r w:rsidR="008763E5">
        <w:rPr>
          <w:rFonts w:ascii="Arial Narrow" w:hAnsi="Arial Narrow"/>
        </w:rPr>
        <w:t>M</w:t>
      </w:r>
      <w:r w:rsidRPr="00763BCA">
        <w:rPr>
          <w:rFonts w:ascii="Arial Narrow" w:hAnsi="Arial Narrow"/>
        </w:rPr>
        <w:t xml:space="preserve">áster Maricruz Chacón Cubillo, Directora del Centro de Apoyo, Coordinación y Mejoramiento </w:t>
      </w:r>
      <w:r w:rsidRPr="00763BCA">
        <w:rPr>
          <w:rFonts w:ascii="Arial Narrow" w:hAnsi="Arial Narrow"/>
        </w:rPr>
        <w:lastRenderedPageBreak/>
        <w:t>de la Función Jurisdiccional</w:t>
      </w:r>
      <w:r w:rsidR="00F976DF">
        <w:rPr>
          <w:rFonts w:ascii="Arial Narrow" w:hAnsi="Arial Narrow"/>
        </w:rPr>
        <w:t>;</w:t>
      </w:r>
      <w:r w:rsidR="00766F1A">
        <w:rPr>
          <w:rFonts w:ascii="Arial Narrow" w:hAnsi="Arial Narrow"/>
        </w:rPr>
        <w:t xml:space="preserve"> </w:t>
      </w:r>
      <w:r w:rsidR="00F976DF">
        <w:rPr>
          <w:rFonts w:ascii="Arial Narrow" w:hAnsi="Arial Narrow"/>
        </w:rPr>
        <w:t xml:space="preserve">correo electrónico </w:t>
      </w:r>
      <w:r w:rsidR="00766F1A">
        <w:rPr>
          <w:rFonts w:ascii="Arial Narrow" w:hAnsi="Arial Narrow"/>
        </w:rPr>
        <w:t xml:space="preserve">del </w:t>
      </w:r>
      <w:r w:rsidR="00F976DF">
        <w:rPr>
          <w:rFonts w:ascii="Arial Narrow" w:hAnsi="Arial Narrow"/>
        </w:rPr>
        <w:t xml:space="preserve">11 de octubre 2021, suscrito por </w:t>
      </w:r>
      <w:r w:rsidR="00766F1A">
        <w:rPr>
          <w:rFonts w:ascii="Arial Narrow" w:hAnsi="Arial Narrow"/>
        </w:rPr>
        <w:t xml:space="preserve">el </w:t>
      </w:r>
      <w:r w:rsidR="00F976DF">
        <w:rPr>
          <w:rFonts w:ascii="Arial Narrow" w:hAnsi="Arial Narrow"/>
        </w:rPr>
        <w:t>Lic. William Cerdas Zuñiga, Administrador Regional de Turrialba.</w:t>
      </w:r>
    </w:p>
    <w:p w14:paraId="1BB8B350" w14:textId="6956BE1F" w:rsidR="001954BC" w:rsidRPr="00C9711A" w:rsidRDefault="001954BC">
      <w:pPr>
        <w:spacing w:line="360" w:lineRule="auto"/>
        <w:jc w:val="both"/>
        <w:rPr>
          <w:rFonts w:ascii="Arial Narrow" w:hAnsi="Arial Narrow"/>
          <w:lang w:val="es-CR"/>
        </w:rPr>
      </w:pPr>
    </w:p>
    <w:bookmarkEnd w:id="1"/>
    <w:p w14:paraId="4ECB2D41" w14:textId="1C973CD1" w:rsidR="00F6114E" w:rsidRPr="00C9711A" w:rsidRDefault="00C9711A" w:rsidP="00F6114E">
      <w:pPr>
        <w:jc w:val="both"/>
        <w:rPr>
          <w:rFonts w:ascii="Arial Narrow" w:hAnsi="Arial Narrow" w:cs="Book Antiqua"/>
          <w:snapToGrid w:val="0"/>
          <w:lang w:val="es-CR"/>
        </w:rPr>
      </w:pPr>
      <w:r>
        <w:rPr>
          <w:rFonts w:ascii="Arial Narrow" w:hAnsi="Arial Narrow" w:cs="Book Antiqua"/>
          <w:snapToGrid w:val="0"/>
          <w:lang w:val="es-CR"/>
        </w:rPr>
        <w:t xml:space="preserve">Este informe fue elaborado por la Licda. Melissa Mesén Trejos, Coordinadora de Unidad y por la Licda. Karla Calvo Jiménez, Profesional 2, ambas servidoras del Subproceso de Evaluación. </w:t>
      </w:r>
      <w:r w:rsidR="00F6114E" w:rsidRPr="00C9711A">
        <w:rPr>
          <w:rFonts w:ascii="Arial Narrow" w:hAnsi="Arial Narrow" w:cs="Book Antiqua"/>
          <w:snapToGrid w:val="0"/>
          <w:lang w:val="es-CR"/>
        </w:rPr>
        <w:t>Las observaciones se consideraron en lo pertinente en el informe que se presenta.</w:t>
      </w:r>
    </w:p>
    <w:p w14:paraId="6393E31D" w14:textId="77777777" w:rsidR="00F6114E" w:rsidRPr="00C9711A" w:rsidRDefault="00F6114E" w:rsidP="00F6114E">
      <w:pPr>
        <w:jc w:val="both"/>
        <w:rPr>
          <w:rFonts w:ascii="Arial Narrow" w:hAnsi="Arial Narrow" w:cs="Book Antiqua"/>
          <w:snapToGrid w:val="0"/>
          <w:lang w:val="es-CR"/>
        </w:rPr>
      </w:pPr>
    </w:p>
    <w:p w14:paraId="3B7CBAD5" w14:textId="77777777" w:rsidR="00F6114E" w:rsidRPr="00C9711A" w:rsidRDefault="00F6114E" w:rsidP="00F6114E">
      <w:pPr>
        <w:widowControl w:val="0"/>
        <w:jc w:val="both"/>
        <w:rPr>
          <w:rFonts w:ascii="Arial Narrow" w:hAnsi="Arial Narrow" w:cs="Book Antiqua"/>
          <w:snapToGrid w:val="0"/>
          <w:lang w:val="es-CR"/>
        </w:rPr>
      </w:pPr>
      <w:r w:rsidRPr="00C9711A">
        <w:rPr>
          <w:rFonts w:ascii="Arial Narrow" w:hAnsi="Arial Narrow" w:cs="Book Antiqua"/>
          <w:snapToGrid w:val="0"/>
          <w:lang w:val="es-CR"/>
        </w:rPr>
        <w:t>Atentamente,</w:t>
      </w:r>
    </w:p>
    <w:p w14:paraId="3B185B6A" w14:textId="5B3AAC77" w:rsidR="00F6114E" w:rsidRDefault="00F6114E" w:rsidP="00F6114E">
      <w:pPr>
        <w:widowControl w:val="0"/>
        <w:jc w:val="both"/>
        <w:rPr>
          <w:rFonts w:ascii="Arial Narrow" w:hAnsi="Arial Narrow" w:cs="Book Antiqua"/>
          <w:snapToGrid w:val="0"/>
          <w:lang w:val="es-CR"/>
        </w:rPr>
      </w:pPr>
    </w:p>
    <w:p w14:paraId="74F73EEC" w14:textId="4C35E0F0" w:rsidR="000D5893" w:rsidRDefault="000D5893" w:rsidP="00F6114E">
      <w:pPr>
        <w:widowControl w:val="0"/>
        <w:jc w:val="both"/>
        <w:rPr>
          <w:rFonts w:ascii="Arial Narrow" w:hAnsi="Arial Narrow" w:cs="Book Antiqua"/>
          <w:snapToGrid w:val="0"/>
          <w:lang w:val="es-CR"/>
        </w:rPr>
      </w:pPr>
    </w:p>
    <w:p w14:paraId="4A03451B" w14:textId="77777777" w:rsidR="000D5893" w:rsidRPr="00C9711A" w:rsidRDefault="000D5893" w:rsidP="00F6114E">
      <w:pPr>
        <w:widowControl w:val="0"/>
        <w:jc w:val="both"/>
        <w:rPr>
          <w:rFonts w:ascii="Arial Narrow" w:hAnsi="Arial Narrow" w:cs="Book Antiqua"/>
          <w:snapToGrid w:val="0"/>
          <w:lang w:val="es-CR"/>
        </w:rPr>
      </w:pPr>
    </w:p>
    <w:p w14:paraId="3077C9C6" w14:textId="77777777" w:rsidR="00F6114E" w:rsidRPr="00C9711A" w:rsidRDefault="00F6114E" w:rsidP="00F6114E">
      <w:pPr>
        <w:widowControl w:val="0"/>
        <w:jc w:val="both"/>
        <w:rPr>
          <w:rFonts w:ascii="Arial Narrow" w:hAnsi="Arial Narrow" w:cs="Book Antiqua"/>
          <w:snapToGrid w:val="0"/>
          <w:lang w:val="es-CR"/>
        </w:rPr>
      </w:pPr>
    </w:p>
    <w:p w14:paraId="1C29C52F" w14:textId="77777777" w:rsidR="008E7984" w:rsidRPr="00C9711A" w:rsidRDefault="008E7984" w:rsidP="008E7984">
      <w:pPr>
        <w:rPr>
          <w:rFonts w:ascii="Arial Narrow" w:hAnsi="Arial Narrow" w:cs="Book Antiqua"/>
          <w:snapToGrid w:val="0"/>
          <w:lang w:val="pt-BR"/>
        </w:rPr>
      </w:pPr>
      <w:r w:rsidRPr="00C9711A">
        <w:rPr>
          <w:rFonts w:ascii="Arial Narrow" w:hAnsi="Arial Narrow" w:cs="Book Antiqua"/>
          <w:snapToGrid w:val="0"/>
          <w:lang w:val="pt-BR"/>
        </w:rPr>
        <w:t>Máster Erick Antonio Mora Leiva, Jefe</w:t>
      </w:r>
    </w:p>
    <w:p w14:paraId="097E61D6" w14:textId="77777777" w:rsidR="008E7984" w:rsidRPr="00C9711A" w:rsidRDefault="008E7984" w:rsidP="008E7984">
      <w:pPr>
        <w:rPr>
          <w:rFonts w:ascii="Arial Narrow" w:hAnsi="Arial Narrow" w:cs="Book Antiqua"/>
          <w:snapToGrid w:val="0"/>
          <w:lang w:val="pt-BR"/>
        </w:rPr>
      </w:pPr>
      <w:r w:rsidRPr="00C9711A">
        <w:rPr>
          <w:rFonts w:ascii="Arial Narrow" w:hAnsi="Arial Narrow" w:cs="Book Antiqua"/>
          <w:snapToGrid w:val="0"/>
          <w:lang w:val="pt-BR"/>
        </w:rPr>
        <w:t>Proceso de Planeación y Evaluación</w:t>
      </w:r>
    </w:p>
    <w:p w14:paraId="607A2814" w14:textId="77777777" w:rsidR="00F6114E" w:rsidRPr="00C9711A" w:rsidRDefault="00F6114E" w:rsidP="00F6114E">
      <w:pPr>
        <w:widowControl w:val="0"/>
        <w:rPr>
          <w:rFonts w:ascii="Arial Narrow" w:hAnsi="Arial Narrow" w:cs="Book Antiqua"/>
          <w:snapToGrid w:val="0"/>
          <w:lang w:val="es-CR"/>
        </w:rPr>
      </w:pPr>
    </w:p>
    <w:p w14:paraId="4960769C" w14:textId="77777777" w:rsidR="00F6114E" w:rsidRPr="00C9711A" w:rsidRDefault="00F6114E" w:rsidP="00F6114E">
      <w:pPr>
        <w:widowControl w:val="0"/>
        <w:rPr>
          <w:rFonts w:ascii="Arial Narrow" w:hAnsi="Arial Narrow" w:cs="Book Antiqua"/>
          <w:snapToGrid w:val="0"/>
          <w:lang w:val="es-CR"/>
        </w:rPr>
      </w:pPr>
    </w:p>
    <w:p w14:paraId="14B3155E" w14:textId="77777777" w:rsidR="00F6114E" w:rsidRPr="00C9711A" w:rsidRDefault="00F6114E" w:rsidP="00F6114E">
      <w:pPr>
        <w:rPr>
          <w:rFonts w:ascii="Arial Narrow" w:hAnsi="Arial Narrow" w:cs="Book Antiqua"/>
          <w:b/>
          <w:bCs/>
          <w:i/>
          <w:iCs/>
          <w:lang w:val="es-CR"/>
        </w:rPr>
      </w:pPr>
      <w:r w:rsidRPr="00C9711A">
        <w:rPr>
          <w:rFonts w:ascii="Arial Narrow" w:hAnsi="Arial Narrow" w:cs="Book Antiqua"/>
          <w:b/>
          <w:bCs/>
          <w:i/>
          <w:iCs/>
          <w:lang w:val="es-CR"/>
        </w:rPr>
        <w:t>Se adjuntan respuestas recibidas</w:t>
      </w:r>
    </w:p>
    <w:p w14:paraId="354770B2" w14:textId="77777777" w:rsidR="00F6114E" w:rsidRPr="00F6114E" w:rsidRDefault="00F6114E" w:rsidP="00F6114E">
      <w:pPr>
        <w:rPr>
          <w:rFonts w:ascii="Book Antiqua" w:hAnsi="Book Antiqua" w:cs="Book Antiqua"/>
          <w:b/>
          <w:bCs/>
          <w:i/>
          <w:iCs/>
          <w:lang w:val="es-CR"/>
        </w:rPr>
      </w:pPr>
    </w:p>
    <w:tbl>
      <w:tblPr>
        <w:tblW w:w="5000" w:type="pct"/>
        <w:jc w:val="center"/>
        <w:tblCellMar>
          <w:left w:w="70" w:type="dxa"/>
          <w:right w:w="70" w:type="dxa"/>
        </w:tblCellMar>
        <w:tblLook w:val="04A0" w:firstRow="1" w:lastRow="0" w:firstColumn="1" w:lastColumn="0" w:noHBand="0" w:noVBand="1"/>
      </w:tblPr>
      <w:tblGrid>
        <w:gridCol w:w="4312"/>
        <w:gridCol w:w="3757"/>
      </w:tblGrid>
      <w:tr w:rsidR="00F21A41" w:rsidRPr="00F6114E" w14:paraId="6E39C146" w14:textId="77777777" w:rsidTr="00C9711A">
        <w:trPr>
          <w:trHeight w:val="600"/>
          <w:jc w:val="center"/>
        </w:trPr>
        <w:tc>
          <w:tcPr>
            <w:tcW w:w="2672" w:type="pct"/>
            <w:tcBorders>
              <w:top w:val="single" w:sz="4" w:space="0" w:color="000000"/>
              <w:left w:val="single" w:sz="4" w:space="0" w:color="000000"/>
              <w:bottom w:val="single" w:sz="4" w:space="0" w:color="000000"/>
              <w:right w:val="single" w:sz="4" w:space="0" w:color="000000"/>
            </w:tcBorders>
            <w:shd w:val="clear" w:color="auto" w:fill="2F5496" w:themeFill="accent1" w:themeFillShade="BF"/>
          </w:tcPr>
          <w:p w14:paraId="77A90896" w14:textId="6C8E438B" w:rsidR="00F21A41" w:rsidRPr="00C9711A" w:rsidRDefault="002B6AC0" w:rsidP="0008541E">
            <w:pPr>
              <w:jc w:val="center"/>
              <w:rPr>
                <w:rFonts w:ascii="Arial Narrow" w:hAnsi="Arial Narrow"/>
                <w:b/>
                <w:bCs/>
                <w:color w:val="FFFFFF"/>
                <w:sz w:val="20"/>
                <w:szCs w:val="20"/>
                <w:lang w:val="es-CR" w:eastAsia="es-CR"/>
              </w:rPr>
            </w:pPr>
            <w:r w:rsidRPr="00C9711A">
              <w:rPr>
                <w:rFonts w:ascii="Arial Narrow" w:hAnsi="Arial Narrow"/>
                <w:b/>
                <w:bCs/>
                <w:color w:val="FFFFFF"/>
                <w:sz w:val="20"/>
                <w:szCs w:val="20"/>
                <w:lang w:val="es-CR" w:eastAsia="es-CR"/>
              </w:rPr>
              <w:t>Oficina</w:t>
            </w:r>
          </w:p>
        </w:tc>
        <w:tc>
          <w:tcPr>
            <w:tcW w:w="2328" w:type="pct"/>
            <w:tcBorders>
              <w:top w:val="single" w:sz="4" w:space="0" w:color="000000"/>
              <w:left w:val="nil"/>
              <w:bottom w:val="single" w:sz="4" w:space="0" w:color="000000"/>
              <w:right w:val="single" w:sz="4" w:space="0" w:color="000000"/>
            </w:tcBorders>
            <w:shd w:val="clear" w:color="auto" w:fill="2F5496" w:themeFill="accent1" w:themeFillShade="BF"/>
          </w:tcPr>
          <w:p w14:paraId="2ABB4B05" w14:textId="1135C407" w:rsidR="00F21A41" w:rsidRDefault="002B6AC0" w:rsidP="0008541E">
            <w:pPr>
              <w:jc w:val="center"/>
              <w:rPr>
                <w:rFonts w:ascii="Book Antiqua" w:hAnsi="Book Antiqua"/>
                <w:b/>
                <w:bCs/>
                <w:color w:val="FFFFFF"/>
                <w:sz w:val="20"/>
                <w:szCs w:val="20"/>
                <w:lang w:val="es-CR" w:eastAsia="es-CR"/>
              </w:rPr>
            </w:pPr>
            <w:r>
              <w:rPr>
                <w:rFonts w:ascii="Book Antiqua" w:hAnsi="Book Antiqua"/>
                <w:b/>
                <w:bCs/>
                <w:color w:val="FFFFFF"/>
                <w:sz w:val="20"/>
                <w:szCs w:val="20"/>
                <w:lang w:val="es-CR" w:eastAsia="es-CR"/>
              </w:rPr>
              <w:t xml:space="preserve">Respuesta </w:t>
            </w:r>
          </w:p>
        </w:tc>
      </w:tr>
      <w:tr w:rsidR="00D35B60" w:rsidRPr="00F6114E" w14:paraId="2B65A846" w14:textId="2F8C0950" w:rsidTr="00C9711A">
        <w:trPr>
          <w:trHeight w:val="600"/>
          <w:jc w:val="center"/>
        </w:trPr>
        <w:tc>
          <w:tcPr>
            <w:tcW w:w="2672" w:type="pct"/>
            <w:tcBorders>
              <w:top w:val="single" w:sz="4" w:space="0" w:color="000000"/>
              <w:left w:val="single" w:sz="4" w:space="0" w:color="000000"/>
              <w:bottom w:val="single" w:sz="4" w:space="0" w:color="000000"/>
              <w:right w:val="single" w:sz="4" w:space="0" w:color="000000"/>
            </w:tcBorders>
            <w:shd w:val="clear" w:color="auto" w:fill="auto"/>
            <w:hideMark/>
          </w:tcPr>
          <w:p w14:paraId="10BB2353" w14:textId="4C048775" w:rsidR="00D35B60" w:rsidRPr="00C9711A" w:rsidRDefault="00D35B60">
            <w:pPr>
              <w:jc w:val="center"/>
              <w:rPr>
                <w:rFonts w:ascii="Arial Narrow" w:hAnsi="Arial Narrow"/>
                <w:b/>
                <w:bCs/>
                <w:sz w:val="20"/>
                <w:szCs w:val="20"/>
                <w:lang w:val="es-CR" w:eastAsia="es-CR"/>
              </w:rPr>
            </w:pPr>
          </w:p>
          <w:p w14:paraId="7646E5A4" w14:textId="1B015939" w:rsidR="00D35B60" w:rsidRPr="00C9711A" w:rsidRDefault="00D35B60">
            <w:pPr>
              <w:jc w:val="center"/>
              <w:rPr>
                <w:rFonts w:ascii="Arial Narrow" w:hAnsi="Arial Narrow"/>
                <w:b/>
                <w:bCs/>
                <w:sz w:val="20"/>
                <w:szCs w:val="20"/>
                <w:lang w:val="es-CR" w:eastAsia="es-CR"/>
              </w:rPr>
            </w:pPr>
            <w:r w:rsidRPr="00C9711A">
              <w:rPr>
                <w:rFonts w:ascii="Arial Narrow" w:hAnsi="Arial Narrow"/>
                <w:b/>
                <w:bCs/>
                <w:sz w:val="20"/>
                <w:szCs w:val="20"/>
                <w:lang w:val="es-CR" w:eastAsia="es-CR"/>
              </w:rPr>
              <w:t>Administración Regional de Puntarenas</w:t>
            </w:r>
          </w:p>
        </w:tc>
        <w:tc>
          <w:tcPr>
            <w:tcW w:w="2328" w:type="pct"/>
            <w:tcBorders>
              <w:top w:val="single" w:sz="4" w:space="0" w:color="000000"/>
              <w:left w:val="nil"/>
              <w:bottom w:val="single" w:sz="4" w:space="0" w:color="000000"/>
              <w:right w:val="single" w:sz="4" w:space="0" w:color="000000"/>
            </w:tcBorders>
            <w:shd w:val="clear" w:color="auto" w:fill="auto"/>
          </w:tcPr>
          <w:p w14:paraId="18E4B127" w14:textId="3FC5FB55" w:rsidR="00D35B60" w:rsidRPr="00C9711A" w:rsidRDefault="00D35B60">
            <w:pPr>
              <w:jc w:val="center"/>
              <w:rPr>
                <w:rFonts w:ascii="Book Antiqua" w:hAnsi="Book Antiqua"/>
                <w:b/>
                <w:bCs/>
                <w:color w:val="FFFFFF"/>
                <w:sz w:val="20"/>
                <w:szCs w:val="20"/>
                <w:lang w:val="es-CR" w:eastAsia="es-CR"/>
              </w:rPr>
            </w:pPr>
            <w:r>
              <w:rPr>
                <w:rFonts w:ascii="Book Antiqua" w:hAnsi="Book Antiqua"/>
                <w:b/>
                <w:bCs/>
                <w:color w:val="FFFFFF"/>
                <w:sz w:val="20"/>
                <w:szCs w:val="20"/>
                <w:lang w:val="es-CR" w:eastAsia="es-CR"/>
              </w:rPr>
              <w:object w:dxaOrig="1508" w:dyaOrig="984" w14:anchorId="74FD983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7.25pt;height:46.45pt" o:ole="">
                  <v:imagedata r:id="rId11" o:title=""/>
                </v:shape>
                <o:OLEObject Type="Embed" ProgID="Package" ShapeID="_x0000_i1025" DrawAspect="Icon" ObjectID="_1696768444" r:id="rId12"/>
              </w:object>
            </w:r>
          </w:p>
        </w:tc>
      </w:tr>
      <w:tr w:rsidR="00D35B60" w:rsidRPr="00F6114E" w14:paraId="187FA156" w14:textId="77777777" w:rsidTr="00C9711A">
        <w:trPr>
          <w:trHeight w:val="735"/>
          <w:jc w:val="center"/>
        </w:trPr>
        <w:tc>
          <w:tcPr>
            <w:tcW w:w="2672" w:type="pct"/>
            <w:tcBorders>
              <w:top w:val="single" w:sz="4" w:space="0" w:color="000000"/>
              <w:left w:val="single" w:sz="4" w:space="0" w:color="000000"/>
              <w:bottom w:val="single" w:sz="4" w:space="0" w:color="000000"/>
              <w:right w:val="single" w:sz="4" w:space="0" w:color="000000"/>
            </w:tcBorders>
            <w:shd w:val="clear" w:color="auto" w:fill="auto"/>
          </w:tcPr>
          <w:p w14:paraId="6EE91F41" w14:textId="056E4493" w:rsidR="00D35B60" w:rsidRPr="00C9711A" w:rsidRDefault="00D35B60" w:rsidP="0008541E">
            <w:pPr>
              <w:jc w:val="center"/>
              <w:rPr>
                <w:rFonts w:ascii="Arial Narrow" w:hAnsi="Arial Narrow"/>
                <w:b/>
                <w:bCs/>
                <w:sz w:val="20"/>
                <w:szCs w:val="20"/>
                <w:lang w:val="es-CR" w:eastAsia="es-CR"/>
              </w:rPr>
            </w:pPr>
            <w:r w:rsidRPr="00C9711A">
              <w:rPr>
                <w:rFonts w:ascii="Arial Narrow" w:hAnsi="Arial Narrow"/>
                <w:b/>
                <w:bCs/>
                <w:sz w:val="20"/>
                <w:szCs w:val="20"/>
                <w:lang w:val="es-CR" w:eastAsia="es-CR"/>
              </w:rPr>
              <w:t>Secretaría Técnica de Genero</w:t>
            </w:r>
          </w:p>
        </w:tc>
        <w:tc>
          <w:tcPr>
            <w:tcW w:w="2328" w:type="pct"/>
            <w:tcBorders>
              <w:top w:val="single" w:sz="4" w:space="0" w:color="000000"/>
              <w:left w:val="nil"/>
              <w:bottom w:val="single" w:sz="4" w:space="0" w:color="000000"/>
              <w:right w:val="single" w:sz="4" w:space="0" w:color="000000"/>
            </w:tcBorders>
            <w:shd w:val="clear" w:color="auto" w:fill="auto"/>
          </w:tcPr>
          <w:p w14:paraId="0060EF83" w14:textId="03484ABB" w:rsidR="00D35B60" w:rsidRPr="0008541E" w:rsidRDefault="00D35B60" w:rsidP="0008541E">
            <w:pPr>
              <w:jc w:val="center"/>
              <w:rPr>
                <w:rFonts w:ascii="Book Antiqua" w:hAnsi="Book Antiqua"/>
                <w:b/>
                <w:bCs/>
                <w:color w:val="FFFFFF"/>
                <w:sz w:val="20"/>
                <w:szCs w:val="20"/>
                <w:lang w:val="es-CR" w:eastAsia="es-CR"/>
              </w:rPr>
            </w:pPr>
            <w:r>
              <w:rPr>
                <w:rFonts w:ascii="Book Antiqua" w:hAnsi="Book Antiqua"/>
                <w:b/>
                <w:bCs/>
                <w:color w:val="FFFFFF"/>
                <w:sz w:val="20"/>
                <w:szCs w:val="20"/>
                <w:lang w:val="es-CR" w:eastAsia="es-CR"/>
              </w:rPr>
              <w:object w:dxaOrig="1508" w:dyaOrig="984" w14:anchorId="1F971D35">
                <v:shape id="_x0000_i1026" type="#_x0000_t75" style="width:77.25pt;height:46.45pt" o:ole="">
                  <v:imagedata r:id="rId13" o:title=""/>
                </v:shape>
                <o:OLEObject Type="Embed" ProgID="Package" ShapeID="_x0000_i1026" DrawAspect="Icon" ObjectID="_1696768445" r:id="rId14"/>
              </w:object>
            </w:r>
          </w:p>
        </w:tc>
      </w:tr>
      <w:tr w:rsidR="00D35B60" w:rsidRPr="00F6114E" w14:paraId="162F542A" w14:textId="77777777" w:rsidTr="00C9711A">
        <w:trPr>
          <w:trHeight w:val="735"/>
          <w:jc w:val="center"/>
        </w:trPr>
        <w:tc>
          <w:tcPr>
            <w:tcW w:w="2672" w:type="pct"/>
            <w:tcBorders>
              <w:top w:val="single" w:sz="4" w:space="0" w:color="000000"/>
              <w:left w:val="single" w:sz="4" w:space="0" w:color="000000"/>
              <w:bottom w:val="single" w:sz="4" w:space="0" w:color="000000"/>
              <w:right w:val="single" w:sz="4" w:space="0" w:color="000000"/>
            </w:tcBorders>
            <w:shd w:val="clear" w:color="auto" w:fill="auto"/>
          </w:tcPr>
          <w:p w14:paraId="1606EA61" w14:textId="77777777" w:rsidR="00D35B60" w:rsidRPr="00C9711A" w:rsidRDefault="00D35B60" w:rsidP="00D35B60">
            <w:pPr>
              <w:jc w:val="center"/>
              <w:rPr>
                <w:rFonts w:ascii="Arial Narrow" w:hAnsi="Arial Narrow"/>
                <w:b/>
                <w:bCs/>
                <w:sz w:val="20"/>
                <w:szCs w:val="20"/>
                <w:lang w:val="es-CR" w:eastAsia="es-CR"/>
              </w:rPr>
            </w:pPr>
            <w:r w:rsidRPr="00C9711A">
              <w:rPr>
                <w:rFonts w:ascii="Arial Narrow" w:hAnsi="Arial Narrow"/>
                <w:b/>
                <w:bCs/>
                <w:sz w:val="20"/>
                <w:szCs w:val="20"/>
                <w:lang w:val="es-CR" w:eastAsia="es-CR"/>
              </w:rPr>
              <w:t>Administración Regional de Grecia.</w:t>
            </w:r>
          </w:p>
          <w:p w14:paraId="225A41F0" w14:textId="77777777" w:rsidR="00D35B60" w:rsidRPr="00C9711A" w:rsidRDefault="00D35B60" w:rsidP="00D35B60">
            <w:pPr>
              <w:jc w:val="center"/>
              <w:rPr>
                <w:rFonts w:ascii="Arial Narrow" w:hAnsi="Arial Narrow"/>
                <w:b/>
                <w:bCs/>
                <w:sz w:val="20"/>
                <w:szCs w:val="20"/>
                <w:lang w:val="es-CR" w:eastAsia="es-CR"/>
              </w:rPr>
            </w:pPr>
          </w:p>
          <w:p w14:paraId="661E348C" w14:textId="77777777" w:rsidR="00D35B60" w:rsidRPr="00C9711A" w:rsidRDefault="00D35B60" w:rsidP="0008541E">
            <w:pPr>
              <w:jc w:val="center"/>
              <w:rPr>
                <w:rFonts w:ascii="Arial Narrow" w:hAnsi="Arial Narrow"/>
                <w:b/>
                <w:bCs/>
                <w:sz w:val="20"/>
                <w:szCs w:val="20"/>
                <w:lang w:val="es-CR" w:eastAsia="es-CR"/>
              </w:rPr>
            </w:pPr>
          </w:p>
        </w:tc>
        <w:tc>
          <w:tcPr>
            <w:tcW w:w="2328" w:type="pct"/>
            <w:tcBorders>
              <w:top w:val="single" w:sz="4" w:space="0" w:color="000000"/>
              <w:left w:val="nil"/>
              <w:bottom w:val="single" w:sz="4" w:space="0" w:color="000000"/>
              <w:right w:val="single" w:sz="4" w:space="0" w:color="000000"/>
            </w:tcBorders>
            <w:shd w:val="clear" w:color="auto" w:fill="auto"/>
          </w:tcPr>
          <w:p w14:paraId="2FD2D566" w14:textId="378A442A" w:rsidR="00D35B60" w:rsidRPr="0008541E" w:rsidRDefault="00D35B60" w:rsidP="0008541E">
            <w:pPr>
              <w:jc w:val="center"/>
              <w:rPr>
                <w:rFonts w:ascii="Book Antiqua" w:hAnsi="Book Antiqua"/>
                <w:b/>
                <w:bCs/>
                <w:color w:val="FFFFFF"/>
                <w:sz w:val="20"/>
                <w:szCs w:val="20"/>
                <w:lang w:val="es-CR" w:eastAsia="es-CR"/>
              </w:rPr>
            </w:pPr>
            <w:r>
              <w:rPr>
                <w:rFonts w:ascii="Book Antiqua" w:hAnsi="Book Antiqua"/>
                <w:b/>
                <w:bCs/>
                <w:color w:val="FFFFFF"/>
                <w:sz w:val="20"/>
                <w:szCs w:val="20"/>
                <w:lang w:val="es-CR" w:eastAsia="es-CR"/>
              </w:rPr>
              <w:object w:dxaOrig="1508" w:dyaOrig="984" w14:anchorId="35090ED1">
                <v:shape id="_x0000_i1027" type="#_x0000_t75" style="width:77.25pt;height:46.45pt" o:ole="">
                  <v:imagedata r:id="rId15" o:title=""/>
                </v:shape>
                <o:OLEObject Type="Embed" ProgID="Package" ShapeID="_x0000_i1027" DrawAspect="Icon" ObjectID="_1696768446" r:id="rId16"/>
              </w:object>
            </w:r>
          </w:p>
        </w:tc>
      </w:tr>
      <w:tr w:rsidR="00D35B60" w:rsidRPr="00F6114E" w14:paraId="51654DBE" w14:textId="77777777" w:rsidTr="00C9711A">
        <w:trPr>
          <w:trHeight w:val="735"/>
          <w:jc w:val="center"/>
        </w:trPr>
        <w:tc>
          <w:tcPr>
            <w:tcW w:w="2672" w:type="pct"/>
            <w:tcBorders>
              <w:top w:val="single" w:sz="4" w:space="0" w:color="000000"/>
              <w:left w:val="single" w:sz="4" w:space="0" w:color="000000"/>
              <w:bottom w:val="single" w:sz="4" w:space="0" w:color="000000"/>
              <w:right w:val="single" w:sz="4" w:space="0" w:color="000000"/>
            </w:tcBorders>
            <w:shd w:val="clear" w:color="auto" w:fill="auto"/>
          </w:tcPr>
          <w:p w14:paraId="3C4B1ED1" w14:textId="612C238D" w:rsidR="00D35B60" w:rsidRPr="00C9711A" w:rsidRDefault="00D35B60" w:rsidP="0008541E">
            <w:pPr>
              <w:jc w:val="center"/>
              <w:rPr>
                <w:rFonts w:ascii="Arial Narrow" w:hAnsi="Arial Narrow"/>
                <w:b/>
                <w:bCs/>
                <w:sz w:val="20"/>
                <w:szCs w:val="20"/>
                <w:lang w:val="es-CR" w:eastAsia="es-CR"/>
              </w:rPr>
            </w:pPr>
            <w:r w:rsidRPr="00C9711A">
              <w:rPr>
                <w:rFonts w:ascii="Arial Narrow" w:hAnsi="Arial Narrow"/>
                <w:b/>
                <w:bCs/>
                <w:sz w:val="20"/>
                <w:szCs w:val="20"/>
                <w:lang w:val="es-CR" w:eastAsia="es-CR"/>
              </w:rPr>
              <w:t>Dirección Ejecutiva</w:t>
            </w:r>
          </w:p>
        </w:tc>
        <w:tc>
          <w:tcPr>
            <w:tcW w:w="2328" w:type="pct"/>
            <w:tcBorders>
              <w:top w:val="single" w:sz="4" w:space="0" w:color="000000"/>
              <w:left w:val="nil"/>
              <w:bottom w:val="single" w:sz="4" w:space="0" w:color="000000"/>
              <w:right w:val="single" w:sz="4" w:space="0" w:color="000000"/>
            </w:tcBorders>
            <w:shd w:val="clear" w:color="auto" w:fill="auto"/>
          </w:tcPr>
          <w:p w14:paraId="28EA0807" w14:textId="036E6EAA" w:rsidR="00D35B60" w:rsidRPr="0008541E" w:rsidRDefault="00D35B60" w:rsidP="0008541E">
            <w:pPr>
              <w:jc w:val="center"/>
              <w:rPr>
                <w:rFonts w:ascii="Book Antiqua" w:hAnsi="Book Antiqua"/>
                <w:b/>
                <w:bCs/>
                <w:color w:val="FFFFFF"/>
                <w:sz w:val="20"/>
                <w:szCs w:val="20"/>
                <w:lang w:val="es-CR" w:eastAsia="es-CR"/>
              </w:rPr>
            </w:pPr>
            <w:r>
              <w:rPr>
                <w:rFonts w:ascii="Book Antiqua" w:hAnsi="Book Antiqua"/>
                <w:b/>
                <w:bCs/>
                <w:color w:val="FFFFFF"/>
                <w:sz w:val="20"/>
                <w:szCs w:val="20"/>
                <w:lang w:val="es-CR" w:eastAsia="es-CR"/>
              </w:rPr>
              <w:object w:dxaOrig="1508" w:dyaOrig="984" w14:anchorId="2B1FF107">
                <v:shape id="_x0000_i1028" type="#_x0000_t75" style="width:77.25pt;height:46.45pt" o:ole="">
                  <v:imagedata r:id="rId17" o:title=""/>
                </v:shape>
                <o:OLEObject Type="Embed" ProgID="Package" ShapeID="_x0000_i1028" DrawAspect="Icon" ObjectID="_1696768447" r:id="rId18"/>
              </w:object>
            </w:r>
          </w:p>
        </w:tc>
      </w:tr>
      <w:tr w:rsidR="00D35B60" w:rsidRPr="00F6114E" w14:paraId="1ED0FFD4" w14:textId="77777777" w:rsidTr="00C9711A">
        <w:trPr>
          <w:trHeight w:val="735"/>
          <w:jc w:val="center"/>
        </w:trPr>
        <w:tc>
          <w:tcPr>
            <w:tcW w:w="2672" w:type="pct"/>
            <w:tcBorders>
              <w:top w:val="single" w:sz="4" w:space="0" w:color="000000"/>
              <w:left w:val="single" w:sz="4" w:space="0" w:color="000000"/>
              <w:bottom w:val="single" w:sz="4" w:space="0" w:color="000000"/>
              <w:right w:val="single" w:sz="4" w:space="0" w:color="000000"/>
            </w:tcBorders>
            <w:shd w:val="clear" w:color="auto" w:fill="auto"/>
          </w:tcPr>
          <w:p w14:paraId="13CE6D6F" w14:textId="00C61FBC" w:rsidR="00D35B60" w:rsidRPr="00C9711A" w:rsidRDefault="00D35B60" w:rsidP="0008541E">
            <w:pPr>
              <w:jc w:val="center"/>
              <w:rPr>
                <w:rFonts w:ascii="Arial Narrow" w:hAnsi="Arial Narrow"/>
                <w:b/>
                <w:bCs/>
                <w:sz w:val="20"/>
                <w:szCs w:val="20"/>
                <w:lang w:val="es-CR" w:eastAsia="es-CR"/>
              </w:rPr>
            </w:pPr>
            <w:r w:rsidRPr="00C9711A">
              <w:rPr>
                <w:rFonts w:ascii="Arial Narrow" w:hAnsi="Arial Narrow"/>
                <w:b/>
                <w:bCs/>
                <w:sz w:val="20"/>
                <w:szCs w:val="20"/>
                <w:lang w:val="es-CR" w:eastAsia="es-CR"/>
              </w:rPr>
              <w:t>Oficina Rectora Justicia Restaurativa</w:t>
            </w:r>
          </w:p>
        </w:tc>
        <w:tc>
          <w:tcPr>
            <w:tcW w:w="2328" w:type="pct"/>
            <w:tcBorders>
              <w:top w:val="single" w:sz="4" w:space="0" w:color="000000"/>
              <w:left w:val="nil"/>
              <w:bottom w:val="single" w:sz="4" w:space="0" w:color="000000"/>
              <w:right w:val="single" w:sz="4" w:space="0" w:color="000000"/>
            </w:tcBorders>
            <w:shd w:val="clear" w:color="auto" w:fill="auto"/>
          </w:tcPr>
          <w:p w14:paraId="7148E56E" w14:textId="0D843A70" w:rsidR="00D35B60" w:rsidRPr="0008541E" w:rsidRDefault="00D35B60" w:rsidP="0008541E">
            <w:pPr>
              <w:jc w:val="center"/>
              <w:rPr>
                <w:rFonts w:ascii="Book Antiqua" w:hAnsi="Book Antiqua"/>
                <w:b/>
                <w:bCs/>
                <w:color w:val="FFFFFF"/>
                <w:sz w:val="20"/>
                <w:szCs w:val="20"/>
                <w:lang w:val="es-CR" w:eastAsia="es-CR"/>
              </w:rPr>
            </w:pPr>
            <w:r>
              <w:rPr>
                <w:rFonts w:ascii="Book Antiqua" w:hAnsi="Book Antiqua"/>
                <w:b/>
                <w:bCs/>
                <w:color w:val="FFFFFF"/>
                <w:sz w:val="20"/>
                <w:szCs w:val="20"/>
                <w:lang w:val="es-CR" w:eastAsia="es-CR"/>
              </w:rPr>
              <w:object w:dxaOrig="1508" w:dyaOrig="984" w14:anchorId="2A7CB6F9">
                <v:shape id="_x0000_i1029" type="#_x0000_t75" style="width:77.25pt;height:46.45pt" o:ole="">
                  <v:imagedata r:id="rId19" o:title=""/>
                </v:shape>
                <o:OLEObject Type="Embed" ProgID="Package" ShapeID="_x0000_i1029" DrawAspect="Icon" ObjectID="_1696768448" r:id="rId20"/>
              </w:object>
            </w:r>
          </w:p>
        </w:tc>
      </w:tr>
      <w:tr w:rsidR="00D35B60" w:rsidRPr="00F6114E" w14:paraId="401748FE" w14:textId="77777777" w:rsidTr="00C9711A">
        <w:trPr>
          <w:trHeight w:val="735"/>
          <w:jc w:val="center"/>
        </w:trPr>
        <w:tc>
          <w:tcPr>
            <w:tcW w:w="2672" w:type="pct"/>
            <w:tcBorders>
              <w:top w:val="single" w:sz="4" w:space="0" w:color="000000"/>
              <w:left w:val="single" w:sz="4" w:space="0" w:color="000000"/>
              <w:bottom w:val="single" w:sz="4" w:space="0" w:color="000000"/>
              <w:right w:val="single" w:sz="4" w:space="0" w:color="000000"/>
            </w:tcBorders>
            <w:shd w:val="clear" w:color="auto" w:fill="auto"/>
          </w:tcPr>
          <w:p w14:paraId="573C43F3" w14:textId="7C2985B5" w:rsidR="00D35B60" w:rsidRPr="00C9711A" w:rsidRDefault="00D35B60" w:rsidP="0008541E">
            <w:pPr>
              <w:jc w:val="center"/>
              <w:rPr>
                <w:rFonts w:ascii="Arial Narrow" w:hAnsi="Arial Narrow"/>
                <w:b/>
                <w:bCs/>
                <w:sz w:val="20"/>
                <w:szCs w:val="20"/>
                <w:lang w:val="es-CR" w:eastAsia="es-CR"/>
              </w:rPr>
            </w:pPr>
            <w:r w:rsidRPr="00C9711A">
              <w:rPr>
                <w:rFonts w:ascii="Arial Narrow" w:hAnsi="Arial Narrow"/>
                <w:b/>
                <w:bCs/>
                <w:sz w:val="20"/>
                <w:szCs w:val="20"/>
                <w:lang w:val="es-CR" w:eastAsia="es-CR"/>
              </w:rPr>
              <w:t>Organismo de Investigación Judicial</w:t>
            </w:r>
          </w:p>
        </w:tc>
        <w:tc>
          <w:tcPr>
            <w:tcW w:w="2328" w:type="pct"/>
            <w:tcBorders>
              <w:top w:val="single" w:sz="4" w:space="0" w:color="000000"/>
              <w:left w:val="nil"/>
              <w:bottom w:val="single" w:sz="4" w:space="0" w:color="000000"/>
              <w:right w:val="single" w:sz="4" w:space="0" w:color="000000"/>
            </w:tcBorders>
            <w:shd w:val="clear" w:color="auto" w:fill="auto"/>
          </w:tcPr>
          <w:p w14:paraId="3E0795CC" w14:textId="1D3A8196" w:rsidR="00D35B60" w:rsidRPr="0008541E" w:rsidRDefault="00D35B60" w:rsidP="0008541E">
            <w:pPr>
              <w:jc w:val="center"/>
              <w:rPr>
                <w:rFonts w:ascii="Book Antiqua" w:hAnsi="Book Antiqua"/>
                <w:b/>
                <w:bCs/>
                <w:color w:val="FFFFFF"/>
                <w:sz w:val="20"/>
                <w:szCs w:val="20"/>
                <w:lang w:val="es-CR" w:eastAsia="es-CR"/>
              </w:rPr>
            </w:pPr>
            <w:r>
              <w:rPr>
                <w:rFonts w:ascii="Book Antiqua" w:hAnsi="Book Antiqua"/>
                <w:b/>
                <w:bCs/>
                <w:color w:val="FFFFFF"/>
                <w:sz w:val="20"/>
                <w:szCs w:val="20"/>
                <w:lang w:val="es-CR" w:eastAsia="es-CR"/>
              </w:rPr>
              <w:object w:dxaOrig="1508" w:dyaOrig="984" w14:anchorId="688A1F92">
                <v:shape id="_x0000_i1030" type="#_x0000_t75" style="width:77.25pt;height:51.7pt" o:ole="">
                  <v:imagedata r:id="rId21" o:title=""/>
                </v:shape>
                <o:OLEObject Type="Embed" ProgID="Package" ShapeID="_x0000_i1030" DrawAspect="Icon" ObjectID="_1696768449" r:id="rId22"/>
              </w:object>
            </w:r>
          </w:p>
        </w:tc>
      </w:tr>
      <w:tr w:rsidR="00D35B60" w:rsidRPr="00F6114E" w14:paraId="3291B4B5" w14:textId="77777777" w:rsidTr="00C9711A">
        <w:trPr>
          <w:trHeight w:val="735"/>
          <w:jc w:val="center"/>
        </w:trPr>
        <w:tc>
          <w:tcPr>
            <w:tcW w:w="2672" w:type="pct"/>
            <w:tcBorders>
              <w:top w:val="single" w:sz="4" w:space="0" w:color="000000"/>
              <w:left w:val="single" w:sz="4" w:space="0" w:color="000000"/>
              <w:bottom w:val="single" w:sz="4" w:space="0" w:color="000000"/>
              <w:right w:val="single" w:sz="4" w:space="0" w:color="000000"/>
            </w:tcBorders>
            <w:shd w:val="clear" w:color="auto" w:fill="auto"/>
          </w:tcPr>
          <w:p w14:paraId="5858096B" w14:textId="34770DA3" w:rsidR="00D35B60" w:rsidRPr="00C9711A" w:rsidRDefault="00D35B60" w:rsidP="0008541E">
            <w:pPr>
              <w:jc w:val="center"/>
              <w:rPr>
                <w:rFonts w:ascii="Arial Narrow" w:hAnsi="Arial Narrow"/>
                <w:b/>
                <w:bCs/>
                <w:sz w:val="20"/>
                <w:szCs w:val="20"/>
                <w:lang w:val="es-CR" w:eastAsia="es-CR"/>
              </w:rPr>
            </w:pPr>
            <w:r w:rsidRPr="00C9711A">
              <w:rPr>
                <w:rFonts w:ascii="Arial Narrow" w:hAnsi="Arial Narrow"/>
                <w:b/>
                <w:bCs/>
                <w:sz w:val="20"/>
                <w:szCs w:val="20"/>
                <w:lang w:val="es-CR" w:eastAsia="es-CR"/>
              </w:rPr>
              <w:lastRenderedPageBreak/>
              <w:t>Administración Regional de Pérez Zeledón</w:t>
            </w:r>
          </w:p>
        </w:tc>
        <w:tc>
          <w:tcPr>
            <w:tcW w:w="2328" w:type="pct"/>
            <w:tcBorders>
              <w:top w:val="single" w:sz="4" w:space="0" w:color="000000"/>
              <w:left w:val="nil"/>
              <w:bottom w:val="single" w:sz="4" w:space="0" w:color="000000"/>
              <w:right w:val="single" w:sz="4" w:space="0" w:color="000000"/>
            </w:tcBorders>
            <w:shd w:val="clear" w:color="auto" w:fill="auto"/>
          </w:tcPr>
          <w:p w14:paraId="446E4335" w14:textId="3B7F4FF0" w:rsidR="00D35B60" w:rsidRPr="0008541E" w:rsidRDefault="00D35B60" w:rsidP="0008541E">
            <w:pPr>
              <w:jc w:val="center"/>
              <w:rPr>
                <w:rFonts w:ascii="Book Antiqua" w:hAnsi="Book Antiqua"/>
                <w:b/>
                <w:bCs/>
                <w:color w:val="FFFFFF"/>
                <w:sz w:val="20"/>
                <w:szCs w:val="20"/>
                <w:lang w:val="es-CR" w:eastAsia="es-CR"/>
              </w:rPr>
            </w:pPr>
            <w:r>
              <w:rPr>
                <w:rFonts w:ascii="Book Antiqua" w:hAnsi="Book Antiqua"/>
                <w:b/>
                <w:bCs/>
                <w:color w:val="FFFFFF"/>
                <w:sz w:val="20"/>
                <w:szCs w:val="20"/>
                <w:lang w:val="es-CR" w:eastAsia="es-CR"/>
              </w:rPr>
              <w:object w:dxaOrig="1508" w:dyaOrig="984" w14:anchorId="1E2A6E86">
                <v:shape id="_x0000_i1031" type="#_x0000_t75" style="width:77.25pt;height:51.7pt" o:ole="">
                  <v:imagedata r:id="rId23" o:title=""/>
                </v:shape>
                <o:OLEObject Type="Embed" ProgID="Package" ShapeID="_x0000_i1031" DrawAspect="Icon" ObjectID="_1696768450" r:id="rId24"/>
              </w:object>
            </w:r>
          </w:p>
        </w:tc>
      </w:tr>
      <w:tr w:rsidR="00D35B60" w:rsidRPr="00F6114E" w14:paraId="4A77B9AC" w14:textId="77777777" w:rsidTr="00C9711A">
        <w:trPr>
          <w:trHeight w:val="735"/>
          <w:jc w:val="center"/>
        </w:trPr>
        <w:tc>
          <w:tcPr>
            <w:tcW w:w="2672" w:type="pct"/>
            <w:tcBorders>
              <w:top w:val="single" w:sz="4" w:space="0" w:color="000000"/>
              <w:left w:val="single" w:sz="4" w:space="0" w:color="000000"/>
              <w:bottom w:val="single" w:sz="4" w:space="0" w:color="000000"/>
              <w:right w:val="single" w:sz="4" w:space="0" w:color="000000"/>
            </w:tcBorders>
            <w:shd w:val="clear" w:color="auto" w:fill="auto"/>
          </w:tcPr>
          <w:p w14:paraId="5549A46B" w14:textId="165C1ECF" w:rsidR="00D35B60" w:rsidRPr="00C9711A" w:rsidRDefault="00D35B60" w:rsidP="0008541E">
            <w:pPr>
              <w:jc w:val="center"/>
              <w:rPr>
                <w:rFonts w:ascii="Arial Narrow" w:hAnsi="Arial Narrow"/>
                <w:b/>
                <w:bCs/>
                <w:sz w:val="20"/>
                <w:szCs w:val="20"/>
                <w:lang w:val="es-CR" w:eastAsia="es-CR"/>
              </w:rPr>
            </w:pPr>
            <w:r w:rsidRPr="00C9711A">
              <w:rPr>
                <w:rFonts w:ascii="Arial Narrow" w:hAnsi="Arial Narrow"/>
                <w:b/>
                <w:bCs/>
                <w:sz w:val="20"/>
                <w:szCs w:val="20"/>
                <w:lang w:val="es-CR" w:eastAsia="es-CR"/>
              </w:rPr>
              <w:t xml:space="preserve">Departamento de Trabajo Social y Psicología </w:t>
            </w:r>
          </w:p>
        </w:tc>
        <w:tc>
          <w:tcPr>
            <w:tcW w:w="2328" w:type="pct"/>
            <w:tcBorders>
              <w:top w:val="single" w:sz="4" w:space="0" w:color="000000"/>
              <w:left w:val="nil"/>
              <w:bottom w:val="single" w:sz="4" w:space="0" w:color="000000"/>
              <w:right w:val="single" w:sz="4" w:space="0" w:color="000000"/>
            </w:tcBorders>
            <w:shd w:val="clear" w:color="auto" w:fill="auto"/>
          </w:tcPr>
          <w:p w14:paraId="0535870C" w14:textId="24F9CA24" w:rsidR="00D35B60" w:rsidRPr="0008541E" w:rsidRDefault="00D35B60" w:rsidP="0008541E">
            <w:pPr>
              <w:jc w:val="center"/>
              <w:rPr>
                <w:rFonts w:ascii="Book Antiqua" w:hAnsi="Book Antiqua"/>
                <w:b/>
                <w:bCs/>
                <w:color w:val="FFFFFF"/>
                <w:sz w:val="20"/>
                <w:szCs w:val="20"/>
                <w:lang w:val="es-CR" w:eastAsia="es-CR"/>
              </w:rPr>
            </w:pPr>
            <w:r>
              <w:rPr>
                <w:rFonts w:ascii="Book Antiqua" w:hAnsi="Book Antiqua"/>
                <w:b/>
                <w:bCs/>
                <w:color w:val="FFFFFF"/>
                <w:sz w:val="20"/>
                <w:szCs w:val="20"/>
                <w:lang w:val="es-CR" w:eastAsia="es-CR"/>
              </w:rPr>
              <w:object w:dxaOrig="1508" w:dyaOrig="984" w14:anchorId="1DCC9DD9">
                <v:shape id="_x0000_i1032" type="#_x0000_t75" style="width:77.25pt;height:51.7pt" o:ole="">
                  <v:imagedata r:id="rId25" o:title=""/>
                </v:shape>
                <o:OLEObject Type="Embed" ProgID="Package" ShapeID="_x0000_i1032" DrawAspect="Icon" ObjectID="_1696768451" r:id="rId26"/>
              </w:object>
            </w:r>
          </w:p>
        </w:tc>
      </w:tr>
      <w:tr w:rsidR="00D35B60" w:rsidRPr="00F6114E" w14:paraId="007A461C" w14:textId="77777777" w:rsidTr="00C9711A">
        <w:trPr>
          <w:trHeight w:val="735"/>
          <w:jc w:val="center"/>
        </w:trPr>
        <w:tc>
          <w:tcPr>
            <w:tcW w:w="2672" w:type="pct"/>
            <w:tcBorders>
              <w:top w:val="single" w:sz="4" w:space="0" w:color="000000"/>
              <w:left w:val="single" w:sz="4" w:space="0" w:color="000000"/>
              <w:bottom w:val="single" w:sz="4" w:space="0" w:color="000000"/>
              <w:right w:val="single" w:sz="4" w:space="0" w:color="000000"/>
            </w:tcBorders>
            <w:shd w:val="clear" w:color="auto" w:fill="auto"/>
          </w:tcPr>
          <w:p w14:paraId="6E1AC6DC" w14:textId="13BB4B34" w:rsidR="00D35B60" w:rsidRPr="00C9711A" w:rsidRDefault="00D35B60" w:rsidP="0008541E">
            <w:pPr>
              <w:jc w:val="center"/>
              <w:rPr>
                <w:rFonts w:ascii="Arial Narrow" w:hAnsi="Arial Narrow"/>
                <w:b/>
                <w:bCs/>
                <w:sz w:val="20"/>
                <w:szCs w:val="20"/>
                <w:lang w:val="es-CR" w:eastAsia="es-CR"/>
              </w:rPr>
            </w:pPr>
            <w:r w:rsidRPr="00C9711A">
              <w:rPr>
                <w:rFonts w:ascii="Arial Narrow" w:hAnsi="Arial Narrow"/>
                <w:b/>
                <w:bCs/>
                <w:sz w:val="20"/>
                <w:szCs w:val="20"/>
                <w:lang w:val="es-CR" w:eastAsia="es-CR"/>
              </w:rPr>
              <w:t>Dirección de Tecnología de la Información</w:t>
            </w:r>
          </w:p>
        </w:tc>
        <w:tc>
          <w:tcPr>
            <w:tcW w:w="2328" w:type="pct"/>
            <w:tcBorders>
              <w:top w:val="single" w:sz="4" w:space="0" w:color="000000"/>
              <w:left w:val="nil"/>
              <w:bottom w:val="single" w:sz="4" w:space="0" w:color="000000"/>
              <w:right w:val="single" w:sz="4" w:space="0" w:color="000000"/>
            </w:tcBorders>
            <w:shd w:val="clear" w:color="auto" w:fill="auto"/>
          </w:tcPr>
          <w:p w14:paraId="144BDBC9" w14:textId="1B0F8F66" w:rsidR="00D35B60" w:rsidRPr="0008541E" w:rsidRDefault="004D1F0E" w:rsidP="0008541E">
            <w:pPr>
              <w:jc w:val="center"/>
              <w:rPr>
                <w:rFonts w:ascii="Book Antiqua" w:hAnsi="Book Antiqua"/>
                <w:b/>
                <w:bCs/>
                <w:color w:val="FFFFFF"/>
                <w:sz w:val="20"/>
                <w:szCs w:val="20"/>
                <w:lang w:val="es-CR" w:eastAsia="es-CR"/>
              </w:rPr>
            </w:pPr>
            <w:r>
              <w:rPr>
                <w:rFonts w:ascii="Book Antiqua" w:hAnsi="Book Antiqua"/>
                <w:b/>
                <w:bCs/>
                <w:color w:val="FFFFFF"/>
                <w:sz w:val="20"/>
                <w:szCs w:val="20"/>
                <w:lang w:val="es-CR" w:eastAsia="es-CR"/>
              </w:rPr>
              <w:object w:dxaOrig="1508" w:dyaOrig="984" w14:anchorId="3EFD03C3">
                <v:shape id="_x0000_i1033" type="#_x0000_t75" style="width:77.25pt;height:51.7pt" o:ole="">
                  <v:imagedata r:id="rId27" o:title=""/>
                </v:shape>
                <o:OLEObject Type="Embed" ProgID="Package" ShapeID="_x0000_i1033" DrawAspect="Icon" ObjectID="_1696768452" r:id="rId28"/>
              </w:object>
            </w:r>
          </w:p>
        </w:tc>
      </w:tr>
      <w:tr w:rsidR="00436548" w:rsidRPr="00F6114E" w14:paraId="3C68C972" w14:textId="77777777" w:rsidTr="002B6AC0">
        <w:trPr>
          <w:trHeight w:val="735"/>
          <w:jc w:val="center"/>
        </w:trPr>
        <w:tc>
          <w:tcPr>
            <w:tcW w:w="2672" w:type="pct"/>
            <w:tcBorders>
              <w:top w:val="single" w:sz="4" w:space="0" w:color="000000"/>
              <w:left w:val="single" w:sz="4" w:space="0" w:color="000000"/>
              <w:bottom w:val="single" w:sz="4" w:space="0" w:color="000000"/>
              <w:right w:val="single" w:sz="4" w:space="0" w:color="000000"/>
            </w:tcBorders>
            <w:shd w:val="clear" w:color="auto" w:fill="auto"/>
          </w:tcPr>
          <w:p w14:paraId="169F487E" w14:textId="628E0016" w:rsidR="00436548" w:rsidRPr="00C9711A" w:rsidRDefault="008623E9" w:rsidP="0008541E">
            <w:pPr>
              <w:jc w:val="center"/>
              <w:rPr>
                <w:rFonts w:ascii="Arial Narrow" w:hAnsi="Arial Narrow"/>
                <w:b/>
                <w:bCs/>
                <w:sz w:val="20"/>
                <w:szCs w:val="20"/>
                <w:lang w:val="es-CR" w:eastAsia="es-CR"/>
              </w:rPr>
            </w:pPr>
            <w:r w:rsidRPr="00C9711A">
              <w:rPr>
                <w:rFonts w:ascii="Arial Narrow" w:hAnsi="Arial Narrow"/>
                <w:b/>
                <w:bCs/>
                <w:sz w:val="20"/>
                <w:szCs w:val="20"/>
                <w:lang w:val="es-CR" w:eastAsia="es-CR"/>
              </w:rPr>
              <w:t xml:space="preserve">Escuela Judicial </w:t>
            </w:r>
          </w:p>
        </w:tc>
        <w:tc>
          <w:tcPr>
            <w:tcW w:w="2328" w:type="pct"/>
            <w:tcBorders>
              <w:top w:val="single" w:sz="4" w:space="0" w:color="000000"/>
              <w:left w:val="nil"/>
              <w:bottom w:val="single" w:sz="4" w:space="0" w:color="000000"/>
              <w:right w:val="single" w:sz="4" w:space="0" w:color="000000"/>
            </w:tcBorders>
            <w:shd w:val="clear" w:color="auto" w:fill="auto"/>
          </w:tcPr>
          <w:p w14:paraId="77ACD4B3" w14:textId="68C702FA" w:rsidR="00436548" w:rsidRDefault="008623E9" w:rsidP="0008541E">
            <w:pPr>
              <w:jc w:val="center"/>
              <w:rPr>
                <w:rFonts w:ascii="Book Antiqua" w:hAnsi="Book Antiqua"/>
                <w:b/>
                <w:bCs/>
                <w:color w:val="FFFFFF"/>
                <w:sz w:val="20"/>
                <w:szCs w:val="20"/>
                <w:lang w:val="es-CR" w:eastAsia="es-CR"/>
              </w:rPr>
            </w:pPr>
            <w:r>
              <w:rPr>
                <w:rFonts w:ascii="Book Antiqua" w:hAnsi="Book Antiqua"/>
                <w:b/>
                <w:bCs/>
                <w:color w:val="FFFFFF"/>
                <w:sz w:val="20"/>
                <w:szCs w:val="20"/>
                <w:lang w:val="es-CR" w:eastAsia="es-CR"/>
              </w:rPr>
              <w:object w:dxaOrig="1508" w:dyaOrig="984" w14:anchorId="35CA19B9">
                <v:shape id="_x0000_i1034" type="#_x0000_t75" style="width:77.25pt;height:46.45pt" o:ole="">
                  <v:imagedata r:id="rId29" o:title=""/>
                </v:shape>
                <o:OLEObject Type="Embed" ProgID="Package" ShapeID="_x0000_i1034" DrawAspect="Icon" ObjectID="_1696768453" r:id="rId30"/>
              </w:object>
            </w:r>
          </w:p>
        </w:tc>
      </w:tr>
      <w:tr w:rsidR="00436548" w:rsidRPr="00F6114E" w14:paraId="256D4C56" w14:textId="77777777" w:rsidTr="002B6AC0">
        <w:trPr>
          <w:trHeight w:val="735"/>
          <w:jc w:val="center"/>
        </w:trPr>
        <w:tc>
          <w:tcPr>
            <w:tcW w:w="2672" w:type="pct"/>
            <w:tcBorders>
              <w:top w:val="single" w:sz="4" w:space="0" w:color="000000"/>
              <w:left w:val="single" w:sz="4" w:space="0" w:color="000000"/>
              <w:bottom w:val="single" w:sz="4" w:space="0" w:color="000000"/>
              <w:right w:val="single" w:sz="4" w:space="0" w:color="000000"/>
            </w:tcBorders>
            <w:shd w:val="clear" w:color="auto" w:fill="auto"/>
          </w:tcPr>
          <w:p w14:paraId="1B04DBFB" w14:textId="625E694F" w:rsidR="00436548" w:rsidRPr="00C9711A" w:rsidRDefault="008623E9" w:rsidP="0008541E">
            <w:pPr>
              <w:jc w:val="center"/>
              <w:rPr>
                <w:rFonts w:ascii="Arial Narrow" w:hAnsi="Arial Narrow"/>
                <w:b/>
                <w:bCs/>
                <w:sz w:val="20"/>
                <w:szCs w:val="20"/>
                <w:lang w:val="es-CR" w:eastAsia="es-CR"/>
              </w:rPr>
            </w:pPr>
            <w:r w:rsidRPr="00C9711A">
              <w:rPr>
                <w:rFonts w:ascii="Arial Narrow" w:hAnsi="Arial Narrow"/>
                <w:b/>
                <w:bCs/>
                <w:sz w:val="20"/>
                <w:szCs w:val="20"/>
                <w:lang w:val="es-CR" w:eastAsia="es-CR"/>
              </w:rPr>
              <w:t xml:space="preserve">Defensa Pública </w:t>
            </w:r>
          </w:p>
        </w:tc>
        <w:tc>
          <w:tcPr>
            <w:tcW w:w="2328" w:type="pct"/>
            <w:tcBorders>
              <w:top w:val="single" w:sz="4" w:space="0" w:color="000000"/>
              <w:left w:val="nil"/>
              <w:bottom w:val="single" w:sz="4" w:space="0" w:color="000000"/>
              <w:right w:val="single" w:sz="4" w:space="0" w:color="000000"/>
            </w:tcBorders>
            <w:shd w:val="clear" w:color="auto" w:fill="auto"/>
          </w:tcPr>
          <w:p w14:paraId="2477DD30" w14:textId="07CB7E27" w:rsidR="00436548" w:rsidRDefault="008623E9" w:rsidP="0008541E">
            <w:pPr>
              <w:jc w:val="center"/>
              <w:rPr>
                <w:rFonts w:ascii="Book Antiqua" w:hAnsi="Book Antiqua"/>
                <w:b/>
                <w:bCs/>
                <w:color w:val="FFFFFF"/>
                <w:sz w:val="20"/>
                <w:szCs w:val="20"/>
                <w:lang w:val="es-CR" w:eastAsia="es-CR"/>
              </w:rPr>
            </w:pPr>
            <w:r>
              <w:rPr>
                <w:rFonts w:ascii="Book Antiqua" w:hAnsi="Book Antiqua"/>
                <w:b/>
                <w:bCs/>
                <w:color w:val="FFFFFF"/>
                <w:sz w:val="20"/>
                <w:szCs w:val="20"/>
                <w:lang w:val="es-CR" w:eastAsia="es-CR"/>
              </w:rPr>
              <w:object w:dxaOrig="1508" w:dyaOrig="984" w14:anchorId="24B34CB3">
                <v:shape id="_x0000_i1035" type="#_x0000_t75" style="width:77.25pt;height:46.45pt" o:ole="">
                  <v:imagedata r:id="rId31" o:title=""/>
                </v:shape>
                <o:OLEObject Type="Embed" ProgID="Package" ShapeID="_x0000_i1035" DrawAspect="Icon" ObjectID="_1696768454" r:id="rId32"/>
              </w:object>
            </w:r>
          </w:p>
        </w:tc>
      </w:tr>
      <w:tr w:rsidR="00436548" w:rsidRPr="00F6114E" w14:paraId="10A7D48C" w14:textId="77777777" w:rsidTr="002B6AC0">
        <w:trPr>
          <w:trHeight w:val="735"/>
          <w:jc w:val="center"/>
        </w:trPr>
        <w:tc>
          <w:tcPr>
            <w:tcW w:w="2672" w:type="pct"/>
            <w:tcBorders>
              <w:top w:val="single" w:sz="4" w:space="0" w:color="000000"/>
              <w:left w:val="single" w:sz="4" w:space="0" w:color="000000"/>
              <w:bottom w:val="single" w:sz="4" w:space="0" w:color="000000"/>
              <w:right w:val="single" w:sz="4" w:space="0" w:color="000000"/>
            </w:tcBorders>
            <w:shd w:val="clear" w:color="auto" w:fill="auto"/>
          </w:tcPr>
          <w:p w14:paraId="6446299F" w14:textId="77777777" w:rsidR="008623E9" w:rsidRPr="00C9711A" w:rsidRDefault="008623E9" w:rsidP="00C9711A">
            <w:pPr>
              <w:jc w:val="center"/>
              <w:rPr>
                <w:rFonts w:ascii="Arial Narrow" w:hAnsi="Arial Narrow"/>
                <w:b/>
                <w:bCs/>
                <w:sz w:val="20"/>
                <w:szCs w:val="20"/>
                <w:lang w:val="es-CR" w:eastAsia="es-CR"/>
              </w:rPr>
            </w:pPr>
            <w:r w:rsidRPr="00C9711A">
              <w:rPr>
                <w:rFonts w:ascii="Arial Narrow" w:hAnsi="Arial Narrow"/>
                <w:b/>
                <w:bCs/>
                <w:sz w:val="20"/>
                <w:szCs w:val="20"/>
                <w:lang w:val="es-CR" w:eastAsia="es-CR"/>
              </w:rPr>
              <w:t>Centro de Apoyo, Coordinación y Mejoramiento de la Función Jurisdiccional.</w:t>
            </w:r>
          </w:p>
          <w:p w14:paraId="68132391" w14:textId="77777777" w:rsidR="00436548" w:rsidRPr="00C9711A" w:rsidRDefault="00436548">
            <w:pPr>
              <w:jc w:val="center"/>
              <w:rPr>
                <w:rFonts w:ascii="Arial Narrow" w:hAnsi="Arial Narrow"/>
                <w:b/>
                <w:bCs/>
                <w:sz w:val="20"/>
                <w:szCs w:val="20"/>
                <w:lang w:val="es-CR" w:eastAsia="es-CR"/>
              </w:rPr>
            </w:pPr>
          </w:p>
        </w:tc>
        <w:tc>
          <w:tcPr>
            <w:tcW w:w="2328" w:type="pct"/>
            <w:tcBorders>
              <w:top w:val="single" w:sz="4" w:space="0" w:color="000000"/>
              <w:left w:val="nil"/>
              <w:bottom w:val="single" w:sz="4" w:space="0" w:color="000000"/>
              <w:right w:val="single" w:sz="4" w:space="0" w:color="000000"/>
            </w:tcBorders>
            <w:shd w:val="clear" w:color="auto" w:fill="auto"/>
          </w:tcPr>
          <w:p w14:paraId="4148606C" w14:textId="62C54200" w:rsidR="00436548" w:rsidRDefault="00766F1A" w:rsidP="0008541E">
            <w:pPr>
              <w:jc w:val="center"/>
              <w:rPr>
                <w:rFonts w:ascii="Book Antiqua" w:hAnsi="Book Antiqua"/>
                <w:b/>
                <w:bCs/>
                <w:color w:val="FFFFFF"/>
                <w:sz w:val="20"/>
                <w:szCs w:val="20"/>
                <w:lang w:val="es-CR" w:eastAsia="es-CR"/>
              </w:rPr>
            </w:pPr>
            <w:r>
              <w:rPr>
                <w:rFonts w:ascii="Book Antiqua" w:hAnsi="Book Antiqua"/>
                <w:b/>
                <w:bCs/>
                <w:color w:val="FFFFFF"/>
                <w:sz w:val="20"/>
                <w:szCs w:val="20"/>
                <w:lang w:val="es-CR" w:eastAsia="es-CR"/>
              </w:rPr>
              <w:object w:dxaOrig="1376" w:dyaOrig="899" w14:anchorId="4E5372DD">
                <v:shape id="_x0000_i1036" type="#_x0000_t75" style="width:66.75pt;height:46.45pt" o:ole="">
                  <v:imagedata r:id="rId33" o:title=""/>
                </v:shape>
                <o:OLEObject Type="Embed" ProgID="Package" ShapeID="_x0000_i1036" DrawAspect="Icon" ObjectID="_1696768455" r:id="rId34"/>
              </w:object>
            </w:r>
          </w:p>
        </w:tc>
      </w:tr>
      <w:tr w:rsidR="00F976DF" w:rsidRPr="00F6114E" w14:paraId="46EA3E28" w14:textId="77777777" w:rsidTr="002B6AC0">
        <w:trPr>
          <w:trHeight w:val="735"/>
          <w:jc w:val="center"/>
        </w:trPr>
        <w:tc>
          <w:tcPr>
            <w:tcW w:w="2672" w:type="pct"/>
            <w:tcBorders>
              <w:top w:val="single" w:sz="4" w:space="0" w:color="000000"/>
              <w:left w:val="single" w:sz="4" w:space="0" w:color="000000"/>
              <w:bottom w:val="single" w:sz="4" w:space="0" w:color="000000"/>
              <w:right w:val="single" w:sz="4" w:space="0" w:color="000000"/>
            </w:tcBorders>
            <w:shd w:val="clear" w:color="auto" w:fill="auto"/>
          </w:tcPr>
          <w:p w14:paraId="372913CE" w14:textId="4BAF9FD6" w:rsidR="00F976DF" w:rsidRPr="00C9711A" w:rsidRDefault="00F976DF">
            <w:pPr>
              <w:jc w:val="center"/>
              <w:rPr>
                <w:rFonts w:ascii="Arial Narrow" w:hAnsi="Arial Narrow"/>
                <w:b/>
                <w:bCs/>
                <w:sz w:val="20"/>
                <w:szCs w:val="20"/>
                <w:lang w:val="es-CR" w:eastAsia="es-CR"/>
              </w:rPr>
            </w:pPr>
            <w:r w:rsidRPr="00C9711A">
              <w:rPr>
                <w:rFonts w:ascii="Arial Narrow" w:hAnsi="Arial Narrow"/>
                <w:b/>
                <w:bCs/>
                <w:sz w:val="20"/>
                <w:szCs w:val="20"/>
                <w:lang w:val="es-CR" w:eastAsia="es-CR"/>
              </w:rPr>
              <w:t xml:space="preserve">Administración Regional de </w:t>
            </w:r>
            <w:r w:rsidR="00766F1A" w:rsidRPr="00766F1A">
              <w:rPr>
                <w:rFonts w:ascii="Arial Narrow" w:hAnsi="Arial Narrow"/>
                <w:b/>
                <w:bCs/>
                <w:sz w:val="20"/>
                <w:szCs w:val="20"/>
                <w:lang w:val="es-CR" w:eastAsia="es-CR"/>
              </w:rPr>
              <w:t>Turrialba</w:t>
            </w:r>
          </w:p>
        </w:tc>
        <w:tc>
          <w:tcPr>
            <w:tcW w:w="2328" w:type="pct"/>
            <w:tcBorders>
              <w:top w:val="single" w:sz="4" w:space="0" w:color="000000"/>
              <w:left w:val="nil"/>
              <w:bottom w:val="single" w:sz="4" w:space="0" w:color="000000"/>
              <w:right w:val="single" w:sz="4" w:space="0" w:color="000000"/>
            </w:tcBorders>
            <w:shd w:val="clear" w:color="auto" w:fill="auto"/>
          </w:tcPr>
          <w:p w14:paraId="3DE9A1A0" w14:textId="59DD8E0F" w:rsidR="00F976DF" w:rsidRDefault="00F976DF" w:rsidP="0008541E">
            <w:pPr>
              <w:jc w:val="center"/>
              <w:rPr>
                <w:rFonts w:ascii="Book Antiqua" w:hAnsi="Book Antiqua"/>
                <w:b/>
                <w:bCs/>
                <w:color w:val="FFFFFF"/>
                <w:sz w:val="20"/>
                <w:szCs w:val="20"/>
                <w:lang w:val="es-CR" w:eastAsia="es-CR"/>
              </w:rPr>
            </w:pPr>
            <w:r>
              <w:rPr>
                <w:rFonts w:ascii="Book Antiqua" w:hAnsi="Book Antiqua"/>
                <w:b/>
                <w:bCs/>
                <w:color w:val="FFFFFF"/>
                <w:sz w:val="20"/>
                <w:szCs w:val="20"/>
                <w:lang w:val="es-CR" w:eastAsia="es-CR"/>
              </w:rPr>
              <w:object w:dxaOrig="1508" w:dyaOrig="984" w14:anchorId="239FC53F">
                <v:shape id="_x0000_i1037" type="#_x0000_t75" style="width:77.25pt;height:46.45pt" o:ole="">
                  <v:imagedata r:id="rId35" o:title=""/>
                </v:shape>
                <o:OLEObject Type="Embed" ProgID="Package" ShapeID="_x0000_i1037" DrawAspect="Icon" ObjectID="_1696768456" r:id="rId36"/>
              </w:object>
            </w:r>
          </w:p>
        </w:tc>
      </w:tr>
    </w:tbl>
    <w:p w14:paraId="25F71BC7" w14:textId="5BEDD82E" w:rsidR="00F6114E" w:rsidRPr="00F6114E" w:rsidRDefault="00F6114E" w:rsidP="00F6114E">
      <w:pPr>
        <w:rPr>
          <w:rFonts w:ascii="Book Antiqua" w:hAnsi="Book Antiqua" w:cs="Book Antiqua"/>
          <w:snapToGrid w:val="0"/>
          <w:lang w:val="pt-BR"/>
        </w:rPr>
      </w:pPr>
    </w:p>
    <w:p w14:paraId="13F1651B" w14:textId="77777777" w:rsidR="00F6114E" w:rsidRPr="00F6114E" w:rsidRDefault="00F6114E" w:rsidP="00F6114E">
      <w:pPr>
        <w:rPr>
          <w:rFonts w:ascii="Book Antiqua" w:hAnsi="Book Antiqua" w:cs="Book Antiqua"/>
          <w:sz w:val="20"/>
          <w:szCs w:val="20"/>
          <w:lang w:val="es-CR"/>
        </w:rPr>
      </w:pPr>
      <w:bookmarkStart w:id="2" w:name="_Hlk46826541"/>
    </w:p>
    <w:bookmarkEnd w:id="2"/>
    <w:p w14:paraId="1BEB67E8" w14:textId="636D7E1F" w:rsidR="00191F44" w:rsidRDefault="000D5893">
      <w:pPr>
        <w:tabs>
          <w:tab w:val="left" w:pos="7230"/>
        </w:tabs>
        <w:spacing w:line="360" w:lineRule="auto"/>
        <w:rPr>
          <w:rFonts w:ascii="Arial Narrow" w:hAnsi="Arial Narrow"/>
          <w:snapToGrid w:val="0"/>
        </w:rPr>
      </w:pPr>
      <w:r>
        <w:rPr>
          <w:rFonts w:ascii="Arial Narrow" w:hAnsi="Arial Narrow"/>
          <w:snapToGrid w:val="0"/>
        </w:rPr>
        <w:t>Copias:</w:t>
      </w:r>
    </w:p>
    <w:p w14:paraId="7A8C56EE" w14:textId="74EFE956" w:rsidR="000D5893" w:rsidRPr="008B4649" w:rsidRDefault="000D5893">
      <w:pPr>
        <w:tabs>
          <w:tab w:val="left" w:pos="7230"/>
        </w:tabs>
        <w:spacing w:line="360" w:lineRule="auto"/>
        <w:rPr>
          <w:rFonts w:ascii="Arial Narrow" w:hAnsi="Arial Narrow"/>
          <w:snapToGrid w:val="0"/>
        </w:rPr>
      </w:pPr>
    </w:p>
    <w:p w14:paraId="50826E80" w14:textId="77777777" w:rsidR="00AD1FFF" w:rsidRPr="008B4649" w:rsidRDefault="00AD1FFF" w:rsidP="00AD1FFF">
      <w:pPr>
        <w:pStyle w:val="Prrafodelista"/>
        <w:numPr>
          <w:ilvl w:val="0"/>
          <w:numId w:val="134"/>
        </w:numPr>
        <w:rPr>
          <w:rFonts w:ascii="Arial Narrow" w:hAnsi="Arial Narrow"/>
          <w:lang w:val="es-CR"/>
        </w:rPr>
      </w:pPr>
      <w:r w:rsidRPr="008B4649">
        <w:rPr>
          <w:rFonts w:ascii="Arial Narrow" w:hAnsi="Arial Narrow"/>
        </w:rPr>
        <w:t>Máster Ana Eugenia Romero Jenkins</w:t>
      </w:r>
    </w:p>
    <w:p w14:paraId="36D5F9C5" w14:textId="77777777" w:rsidR="00AD1FFF" w:rsidRPr="008B4649" w:rsidRDefault="00AD1FFF" w:rsidP="00AD1FFF">
      <w:pPr>
        <w:pStyle w:val="Prrafodelista"/>
        <w:rPr>
          <w:rFonts w:ascii="Arial Narrow" w:eastAsiaTheme="minorHAnsi" w:hAnsi="Arial Narrow"/>
          <w:lang w:eastAsia="en-US"/>
        </w:rPr>
      </w:pPr>
      <w:r w:rsidRPr="008B4649">
        <w:rPr>
          <w:rFonts w:ascii="Arial Narrow" w:hAnsi="Arial Narrow"/>
        </w:rPr>
        <w:t>Directora Ejecutiva</w:t>
      </w:r>
    </w:p>
    <w:p w14:paraId="49DBC92A" w14:textId="77777777" w:rsidR="00AD1FFF" w:rsidRPr="008B4649" w:rsidRDefault="00AD1FFF" w:rsidP="00AD1FFF">
      <w:pPr>
        <w:rPr>
          <w:rFonts w:ascii="Arial Narrow" w:hAnsi="Arial Narrow"/>
        </w:rPr>
      </w:pPr>
    </w:p>
    <w:p w14:paraId="0FC13EDB" w14:textId="77777777" w:rsidR="00AD1FFF" w:rsidRPr="008B4649" w:rsidRDefault="00AD1FFF" w:rsidP="00AD1FFF">
      <w:pPr>
        <w:pStyle w:val="Prrafodelista"/>
        <w:numPr>
          <w:ilvl w:val="0"/>
          <w:numId w:val="134"/>
        </w:numPr>
        <w:rPr>
          <w:rFonts w:ascii="Arial Narrow" w:hAnsi="Arial Narrow"/>
        </w:rPr>
      </w:pPr>
      <w:r w:rsidRPr="008B4649">
        <w:rPr>
          <w:rFonts w:ascii="Arial Narrow" w:hAnsi="Arial Narrow"/>
        </w:rPr>
        <w:t>Licda. Maricruz Chacón Cubillo</w:t>
      </w:r>
    </w:p>
    <w:p w14:paraId="03950EEF" w14:textId="77777777" w:rsidR="00AD1FFF" w:rsidRPr="008B4649" w:rsidRDefault="00AD1FFF" w:rsidP="00AD1FFF">
      <w:pPr>
        <w:pStyle w:val="Prrafodelista"/>
        <w:rPr>
          <w:rFonts w:ascii="Arial Narrow" w:eastAsiaTheme="minorHAnsi" w:hAnsi="Arial Narrow"/>
        </w:rPr>
      </w:pPr>
      <w:r w:rsidRPr="008B4649">
        <w:rPr>
          <w:rFonts w:ascii="Arial Narrow" w:hAnsi="Arial Narrow"/>
        </w:rPr>
        <w:t>Directora Centro de Apoyo, Coordinación y Mejoramiento de la Función Jurisdiccional</w:t>
      </w:r>
    </w:p>
    <w:p w14:paraId="086AA338" w14:textId="77777777" w:rsidR="00AD1FFF" w:rsidRPr="008B4649" w:rsidRDefault="00AD1FFF" w:rsidP="00AD1FFF">
      <w:pPr>
        <w:rPr>
          <w:rFonts w:ascii="Arial Narrow" w:hAnsi="Arial Narrow"/>
        </w:rPr>
      </w:pPr>
    </w:p>
    <w:p w14:paraId="7E045E40" w14:textId="77777777" w:rsidR="00AD1FFF" w:rsidRPr="008B4649" w:rsidRDefault="00AD1FFF" w:rsidP="00AD1FFF">
      <w:pPr>
        <w:pStyle w:val="Prrafodelista"/>
        <w:numPr>
          <w:ilvl w:val="0"/>
          <w:numId w:val="134"/>
        </w:numPr>
        <w:rPr>
          <w:rFonts w:ascii="Arial Narrow" w:hAnsi="Arial Narrow"/>
        </w:rPr>
      </w:pPr>
      <w:r w:rsidRPr="008B4649">
        <w:rPr>
          <w:rFonts w:ascii="Arial Narrow" w:hAnsi="Arial Narrow"/>
        </w:rPr>
        <w:t>Máster Walter Espinoza Espinoza, Director</w:t>
      </w:r>
    </w:p>
    <w:p w14:paraId="08A0C553" w14:textId="77777777" w:rsidR="00AD1FFF" w:rsidRPr="008B4649" w:rsidRDefault="00AD1FFF" w:rsidP="00AD1FFF">
      <w:pPr>
        <w:pStyle w:val="Prrafodelista"/>
        <w:rPr>
          <w:rFonts w:ascii="Arial Narrow" w:eastAsiaTheme="minorHAnsi" w:hAnsi="Arial Narrow"/>
        </w:rPr>
      </w:pPr>
      <w:r w:rsidRPr="008B4649">
        <w:rPr>
          <w:rFonts w:ascii="Arial Narrow" w:hAnsi="Arial Narrow"/>
        </w:rPr>
        <w:t>Programa 928 Organismo de Investigación Judicial</w:t>
      </w:r>
    </w:p>
    <w:p w14:paraId="1ABEAF3C" w14:textId="77777777" w:rsidR="00AD1FFF" w:rsidRPr="008B4649" w:rsidRDefault="00AD1FFF" w:rsidP="00AD1FFF">
      <w:pPr>
        <w:rPr>
          <w:rFonts w:ascii="Arial Narrow" w:hAnsi="Arial Narrow"/>
        </w:rPr>
      </w:pPr>
    </w:p>
    <w:p w14:paraId="20555F79" w14:textId="77777777" w:rsidR="00AD1FFF" w:rsidRPr="008B4649" w:rsidRDefault="00AD1FFF" w:rsidP="00AD1FFF">
      <w:pPr>
        <w:pStyle w:val="Prrafodelista"/>
        <w:numPr>
          <w:ilvl w:val="0"/>
          <w:numId w:val="134"/>
        </w:numPr>
        <w:rPr>
          <w:rFonts w:ascii="Arial Narrow" w:hAnsi="Arial Narrow"/>
        </w:rPr>
      </w:pPr>
      <w:r w:rsidRPr="008B4649">
        <w:rPr>
          <w:rFonts w:ascii="Arial Narrow" w:hAnsi="Arial Narrow"/>
        </w:rPr>
        <w:t xml:space="preserve">Máster Warner Molina Ruíz, Jefe </w:t>
      </w:r>
    </w:p>
    <w:p w14:paraId="063C7429" w14:textId="77777777" w:rsidR="00AD1FFF" w:rsidRPr="008B4649" w:rsidRDefault="00AD1FFF" w:rsidP="00AD1FFF">
      <w:pPr>
        <w:pStyle w:val="Prrafodelista"/>
        <w:rPr>
          <w:rFonts w:ascii="Arial Narrow" w:eastAsiaTheme="minorHAnsi" w:hAnsi="Arial Narrow"/>
        </w:rPr>
      </w:pPr>
      <w:r w:rsidRPr="008B4649">
        <w:rPr>
          <w:rFonts w:ascii="Arial Narrow" w:hAnsi="Arial Narrow"/>
        </w:rPr>
        <w:t>Programa 929 Ministerio Público</w:t>
      </w:r>
    </w:p>
    <w:p w14:paraId="5840FC25" w14:textId="77777777" w:rsidR="00AD1FFF" w:rsidRPr="008B4649" w:rsidRDefault="00AD1FFF" w:rsidP="00AD1FFF">
      <w:pPr>
        <w:rPr>
          <w:rFonts w:ascii="Arial Narrow" w:hAnsi="Arial Narrow"/>
        </w:rPr>
      </w:pPr>
    </w:p>
    <w:p w14:paraId="5015FA92" w14:textId="77777777" w:rsidR="00AD1FFF" w:rsidRPr="008B4649" w:rsidRDefault="00AD1FFF" w:rsidP="00AD1FFF">
      <w:pPr>
        <w:pStyle w:val="Prrafodelista"/>
        <w:numPr>
          <w:ilvl w:val="0"/>
          <w:numId w:val="134"/>
        </w:numPr>
        <w:rPr>
          <w:rFonts w:ascii="Arial Narrow" w:hAnsi="Arial Narrow"/>
        </w:rPr>
      </w:pPr>
      <w:r w:rsidRPr="008B4649">
        <w:rPr>
          <w:rFonts w:ascii="Arial Narrow" w:hAnsi="Arial Narrow"/>
        </w:rPr>
        <w:lastRenderedPageBreak/>
        <w:t xml:space="preserve">Máster Juan Carlos Pérez Murillo, Jefe </w:t>
      </w:r>
    </w:p>
    <w:p w14:paraId="763A98CA" w14:textId="77777777" w:rsidR="00AD1FFF" w:rsidRPr="008B4649" w:rsidRDefault="00AD1FFF" w:rsidP="00AD1FFF">
      <w:pPr>
        <w:pStyle w:val="Prrafodelista"/>
        <w:rPr>
          <w:rFonts w:ascii="Arial Narrow" w:eastAsiaTheme="minorHAnsi" w:hAnsi="Arial Narrow"/>
        </w:rPr>
      </w:pPr>
      <w:r w:rsidRPr="008B4649">
        <w:rPr>
          <w:rFonts w:ascii="Arial Narrow" w:hAnsi="Arial Narrow"/>
        </w:rPr>
        <w:t>Programa 930 Defensa Pública</w:t>
      </w:r>
    </w:p>
    <w:p w14:paraId="410470D9" w14:textId="77777777" w:rsidR="00AD1FFF" w:rsidRPr="008B4649" w:rsidRDefault="00AD1FFF" w:rsidP="00AD1FFF">
      <w:pPr>
        <w:rPr>
          <w:rFonts w:ascii="Arial Narrow" w:hAnsi="Arial Narrow"/>
        </w:rPr>
      </w:pPr>
    </w:p>
    <w:p w14:paraId="626A0B39" w14:textId="77777777" w:rsidR="00AD1FFF" w:rsidRPr="008B4649" w:rsidRDefault="00AD1FFF" w:rsidP="00AD1FFF">
      <w:pPr>
        <w:pStyle w:val="Prrafodelista"/>
        <w:numPr>
          <w:ilvl w:val="0"/>
          <w:numId w:val="134"/>
        </w:numPr>
        <w:rPr>
          <w:rFonts w:ascii="Arial Narrow" w:hAnsi="Arial Narrow"/>
        </w:rPr>
      </w:pPr>
      <w:r w:rsidRPr="008B4649">
        <w:rPr>
          <w:rFonts w:ascii="Arial Narrow" w:hAnsi="Arial Narrow"/>
        </w:rPr>
        <w:t xml:space="preserve">Máster Sara Arce Moya, Jefa </w:t>
      </w:r>
    </w:p>
    <w:p w14:paraId="193D741C" w14:textId="77777777" w:rsidR="00AD1FFF" w:rsidRPr="008B4649" w:rsidRDefault="00AD1FFF" w:rsidP="00AD1FFF">
      <w:pPr>
        <w:pStyle w:val="Prrafodelista"/>
        <w:rPr>
          <w:rFonts w:ascii="Arial Narrow" w:eastAsiaTheme="minorHAnsi" w:hAnsi="Arial Narrow"/>
        </w:rPr>
      </w:pPr>
      <w:r w:rsidRPr="008B4649">
        <w:rPr>
          <w:rFonts w:ascii="Arial Narrow" w:hAnsi="Arial Narrow"/>
        </w:rPr>
        <w:t>Programa 950 Servicio de Atención y Protección de Víctimas y Testigos</w:t>
      </w:r>
    </w:p>
    <w:p w14:paraId="659C06F3" w14:textId="77777777" w:rsidR="00AD1FFF" w:rsidRPr="008B4649" w:rsidRDefault="00AD1FFF" w:rsidP="00AD1FFF">
      <w:pPr>
        <w:rPr>
          <w:rFonts w:ascii="Arial Narrow" w:hAnsi="Arial Narrow"/>
        </w:rPr>
      </w:pPr>
    </w:p>
    <w:p w14:paraId="2DC37BA2" w14:textId="77777777" w:rsidR="00AD1FFF" w:rsidRPr="008B4649" w:rsidRDefault="00AD1FFF" w:rsidP="00AD1FFF">
      <w:pPr>
        <w:pStyle w:val="Prrafodelista"/>
        <w:numPr>
          <w:ilvl w:val="0"/>
          <w:numId w:val="134"/>
        </w:numPr>
        <w:rPr>
          <w:rFonts w:ascii="Arial Narrow" w:hAnsi="Arial Narrow"/>
        </w:rPr>
      </w:pPr>
      <w:r w:rsidRPr="008B4649">
        <w:rPr>
          <w:rFonts w:ascii="Arial Narrow" w:hAnsi="Arial Narrow"/>
        </w:rPr>
        <w:t>Despacho de la Presidencia</w:t>
      </w:r>
    </w:p>
    <w:p w14:paraId="3F6ACA25" w14:textId="77777777" w:rsidR="00AD1FFF" w:rsidRPr="008B4649" w:rsidRDefault="00AD1FFF" w:rsidP="00AD1FFF">
      <w:pPr>
        <w:rPr>
          <w:rFonts w:ascii="Arial Narrow" w:eastAsiaTheme="minorHAnsi" w:hAnsi="Arial Narrow"/>
        </w:rPr>
      </w:pPr>
    </w:p>
    <w:p w14:paraId="7ED9D48A" w14:textId="77777777" w:rsidR="00AD1FFF" w:rsidRPr="008B4649" w:rsidRDefault="00AD1FFF" w:rsidP="00AD1FFF">
      <w:pPr>
        <w:pStyle w:val="Prrafodelista"/>
        <w:numPr>
          <w:ilvl w:val="0"/>
          <w:numId w:val="134"/>
        </w:numPr>
        <w:rPr>
          <w:rFonts w:ascii="Arial Narrow" w:hAnsi="Arial Narrow"/>
        </w:rPr>
      </w:pPr>
      <w:r w:rsidRPr="008B4649">
        <w:rPr>
          <w:rFonts w:ascii="Arial Narrow" w:hAnsi="Arial Narrow"/>
        </w:rPr>
        <w:t>Comisión de Transparencia Institucional</w:t>
      </w:r>
    </w:p>
    <w:p w14:paraId="05BBAFF1" w14:textId="77777777" w:rsidR="00AD1FFF" w:rsidRPr="008B4649" w:rsidRDefault="00AD1FFF" w:rsidP="00AD1FFF">
      <w:pPr>
        <w:pStyle w:val="Prrafodelista"/>
        <w:rPr>
          <w:rFonts w:ascii="Arial Narrow" w:eastAsiaTheme="minorHAnsi" w:hAnsi="Arial Narrow"/>
        </w:rPr>
      </w:pPr>
    </w:p>
    <w:p w14:paraId="0C596322" w14:textId="77777777" w:rsidR="00AD1FFF" w:rsidRPr="008B4649" w:rsidRDefault="00AD1FFF" w:rsidP="00AD1FFF">
      <w:pPr>
        <w:pStyle w:val="Prrafodelista"/>
        <w:numPr>
          <w:ilvl w:val="0"/>
          <w:numId w:val="134"/>
        </w:numPr>
        <w:rPr>
          <w:rFonts w:ascii="Arial Narrow" w:hAnsi="Arial Narrow"/>
        </w:rPr>
      </w:pPr>
      <w:r w:rsidRPr="008B4649">
        <w:rPr>
          <w:rFonts w:ascii="Arial Narrow" w:hAnsi="Arial Narrow"/>
        </w:rPr>
        <w:t>Comisión de la Jurisdicción de Familia, Niñez y Adolescencia</w:t>
      </w:r>
    </w:p>
    <w:p w14:paraId="5C3CB3C4" w14:textId="77777777" w:rsidR="00AD1FFF" w:rsidRPr="008B4649" w:rsidRDefault="00AD1FFF" w:rsidP="00AD1FFF">
      <w:pPr>
        <w:pStyle w:val="Prrafodelista"/>
        <w:rPr>
          <w:rFonts w:ascii="Arial Narrow" w:eastAsiaTheme="minorHAnsi" w:hAnsi="Arial Narrow"/>
        </w:rPr>
      </w:pPr>
    </w:p>
    <w:p w14:paraId="1FC94AAF" w14:textId="77777777" w:rsidR="00AD1FFF" w:rsidRPr="008B4649" w:rsidRDefault="00AD1FFF" w:rsidP="00AD1FFF">
      <w:pPr>
        <w:pStyle w:val="Prrafodelista"/>
        <w:numPr>
          <w:ilvl w:val="0"/>
          <w:numId w:val="134"/>
        </w:numPr>
        <w:rPr>
          <w:rFonts w:ascii="Arial Narrow" w:hAnsi="Arial Narrow"/>
        </w:rPr>
      </w:pPr>
      <w:r w:rsidRPr="008B4649">
        <w:rPr>
          <w:rFonts w:ascii="Arial Narrow" w:hAnsi="Arial Narrow"/>
        </w:rPr>
        <w:t>Comisión de Gestión Ambiental</w:t>
      </w:r>
    </w:p>
    <w:p w14:paraId="0842E54F" w14:textId="77777777" w:rsidR="00AD1FFF" w:rsidRPr="008B4649" w:rsidRDefault="00AD1FFF" w:rsidP="00AD1FFF">
      <w:pPr>
        <w:rPr>
          <w:rFonts w:ascii="Arial Narrow" w:eastAsiaTheme="minorHAnsi" w:hAnsi="Arial Narrow"/>
        </w:rPr>
      </w:pPr>
    </w:p>
    <w:p w14:paraId="0963B0FD" w14:textId="77777777" w:rsidR="00AD1FFF" w:rsidRPr="008B4649" w:rsidRDefault="00AD1FFF" w:rsidP="00AD1FFF">
      <w:pPr>
        <w:pStyle w:val="Prrafodelista"/>
        <w:numPr>
          <w:ilvl w:val="0"/>
          <w:numId w:val="134"/>
        </w:numPr>
        <w:rPr>
          <w:rFonts w:ascii="Arial Narrow" w:hAnsi="Arial Narrow"/>
        </w:rPr>
      </w:pPr>
      <w:r w:rsidRPr="008B4649">
        <w:rPr>
          <w:rFonts w:ascii="Arial Narrow" w:hAnsi="Arial Narrow"/>
        </w:rPr>
        <w:t>Comisión Institucional de Teletrabajo</w:t>
      </w:r>
    </w:p>
    <w:p w14:paraId="5089909B" w14:textId="77777777" w:rsidR="00AD1FFF" w:rsidRPr="008B4649" w:rsidRDefault="00AD1FFF" w:rsidP="00AD1FFF">
      <w:pPr>
        <w:pStyle w:val="Prrafodelista"/>
        <w:rPr>
          <w:rFonts w:ascii="Arial Narrow" w:eastAsiaTheme="minorHAnsi" w:hAnsi="Arial Narrow"/>
        </w:rPr>
      </w:pPr>
    </w:p>
    <w:p w14:paraId="487D7B13" w14:textId="77777777" w:rsidR="00AD1FFF" w:rsidRPr="008B4649" w:rsidRDefault="00AD1FFF" w:rsidP="00AD1FFF">
      <w:pPr>
        <w:pStyle w:val="Prrafodelista"/>
        <w:numPr>
          <w:ilvl w:val="0"/>
          <w:numId w:val="134"/>
        </w:numPr>
        <w:rPr>
          <w:rFonts w:ascii="Arial Narrow" w:hAnsi="Arial Narrow"/>
        </w:rPr>
      </w:pPr>
      <w:r w:rsidRPr="008B4649">
        <w:rPr>
          <w:rFonts w:ascii="Arial Narrow" w:hAnsi="Arial Narrow"/>
        </w:rPr>
        <w:t>Comisión de Emergencias</w:t>
      </w:r>
    </w:p>
    <w:p w14:paraId="10E76FE8" w14:textId="77777777" w:rsidR="00AD1FFF" w:rsidRPr="008B4649" w:rsidRDefault="00AD1FFF" w:rsidP="00AD1FFF">
      <w:pPr>
        <w:pStyle w:val="Prrafodelista"/>
        <w:rPr>
          <w:rFonts w:ascii="Arial Narrow" w:eastAsiaTheme="minorHAnsi" w:hAnsi="Arial Narrow"/>
        </w:rPr>
      </w:pPr>
    </w:p>
    <w:p w14:paraId="19BCCF41" w14:textId="77777777" w:rsidR="00AD1FFF" w:rsidRPr="008B4649" w:rsidRDefault="00AD1FFF" w:rsidP="00AD1FFF">
      <w:pPr>
        <w:pStyle w:val="Prrafodelista"/>
        <w:numPr>
          <w:ilvl w:val="0"/>
          <w:numId w:val="134"/>
        </w:numPr>
        <w:rPr>
          <w:rFonts w:ascii="Arial Narrow" w:hAnsi="Arial Narrow"/>
        </w:rPr>
      </w:pPr>
      <w:r w:rsidRPr="008B4649">
        <w:rPr>
          <w:rFonts w:ascii="Arial Narrow" w:hAnsi="Arial Narrow"/>
        </w:rPr>
        <w:t>Comisión de Construcciones</w:t>
      </w:r>
    </w:p>
    <w:p w14:paraId="7B67BE63" w14:textId="77777777" w:rsidR="00AD1FFF" w:rsidRPr="008B4649" w:rsidRDefault="00AD1FFF" w:rsidP="00AD1FFF">
      <w:pPr>
        <w:pStyle w:val="Prrafodelista"/>
        <w:rPr>
          <w:rFonts w:ascii="Arial Narrow" w:eastAsiaTheme="minorHAnsi" w:hAnsi="Arial Narrow"/>
        </w:rPr>
      </w:pPr>
    </w:p>
    <w:p w14:paraId="55FFCAA2" w14:textId="77777777" w:rsidR="00AD1FFF" w:rsidRPr="008B4649" w:rsidRDefault="00AD1FFF" w:rsidP="00AD1FFF">
      <w:pPr>
        <w:pStyle w:val="Prrafodelista"/>
        <w:numPr>
          <w:ilvl w:val="0"/>
          <w:numId w:val="134"/>
        </w:numPr>
        <w:rPr>
          <w:rFonts w:ascii="Arial Narrow" w:hAnsi="Arial Narrow"/>
        </w:rPr>
      </w:pPr>
      <w:r w:rsidRPr="008B4649">
        <w:rPr>
          <w:rFonts w:ascii="Arial Narrow" w:hAnsi="Arial Narrow"/>
        </w:rPr>
        <w:t>Comisión de la Jurisdicción Agraria y Agroambiental</w:t>
      </w:r>
    </w:p>
    <w:p w14:paraId="510D8DA1" w14:textId="77777777" w:rsidR="00AD1FFF" w:rsidRPr="008B4649" w:rsidRDefault="00AD1FFF" w:rsidP="00AD1FFF">
      <w:pPr>
        <w:pStyle w:val="Prrafodelista"/>
        <w:rPr>
          <w:rFonts w:ascii="Arial Narrow" w:eastAsiaTheme="minorHAnsi" w:hAnsi="Arial Narrow"/>
        </w:rPr>
      </w:pPr>
    </w:p>
    <w:p w14:paraId="0FFF3F18" w14:textId="77777777" w:rsidR="00AD1FFF" w:rsidRPr="008B4649" w:rsidRDefault="00AD1FFF" w:rsidP="00AD1FFF">
      <w:pPr>
        <w:pStyle w:val="Prrafodelista"/>
        <w:numPr>
          <w:ilvl w:val="0"/>
          <w:numId w:val="134"/>
        </w:numPr>
        <w:rPr>
          <w:rFonts w:ascii="Arial Narrow" w:hAnsi="Arial Narrow"/>
        </w:rPr>
      </w:pPr>
      <w:r w:rsidRPr="008B4649">
        <w:rPr>
          <w:rFonts w:ascii="Arial Narrow" w:hAnsi="Arial Narrow"/>
        </w:rPr>
        <w:t>Comisión Nacional para el Mejoramiento de la Administración de Justicia</w:t>
      </w:r>
    </w:p>
    <w:p w14:paraId="4E243AE2" w14:textId="77777777" w:rsidR="00AD1FFF" w:rsidRPr="008B4649" w:rsidRDefault="00AD1FFF" w:rsidP="00AD1FFF">
      <w:pPr>
        <w:rPr>
          <w:rFonts w:ascii="Arial Narrow" w:eastAsiaTheme="minorHAnsi" w:hAnsi="Arial Narrow"/>
        </w:rPr>
      </w:pPr>
    </w:p>
    <w:p w14:paraId="5EF3CEA9" w14:textId="77777777" w:rsidR="00AD1FFF" w:rsidRPr="008B4649" w:rsidRDefault="00AD1FFF" w:rsidP="00AD1FFF">
      <w:pPr>
        <w:pStyle w:val="Prrafodelista"/>
        <w:numPr>
          <w:ilvl w:val="0"/>
          <w:numId w:val="134"/>
        </w:numPr>
        <w:rPr>
          <w:rFonts w:ascii="Arial Narrow" w:hAnsi="Arial Narrow"/>
        </w:rPr>
      </w:pPr>
      <w:r w:rsidRPr="008B4649">
        <w:rPr>
          <w:rFonts w:ascii="Arial Narrow" w:hAnsi="Arial Narrow"/>
        </w:rPr>
        <w:t>Sala Primera</w:t>
      </w:r>
    </w:p>
    <w:p w14:paraId="4A4C0C13" w14:textId="77777777" w:rsidR="00AD1FFF" w:rsidRPr="008B4649" w:rsidRDefault="00AD1FFF" w:rsidP="00AD1FFF">
      <w:pPr>
        <w:rPr>
          <w:rFonts w:ascii="Arial Narrow" w:eastAsiaTheme="minorHAnsi" w:hAnsi="Arial Narrow"/>
        </w:rPr>
      </w:pPr>
    </w:p>
    <w:p w14:paraId="62781735" w14:textId="77777777" w:rsidR="00AD1FFF" w:rsidRPr="008B4649" w:rsidRDefault="00AD1FFF" w:rsidP="00AD1FFF">
      <w:pPr>
        <w:pStyle w:val="Prrafodelista"/>
        <w:numPr>
          <w:ilvl w:val="0"/>
          <w:numId w:val="134"/>
        </w:numPr>
        <w:rPr>
          <w:rFonts w:ascii="Arial Narrow" w:hAnsi="Arial Narrow"/>
        </w:rPr>
      </w:pPr>
      <w:r w:rsidRPr="008B4649">
        <w:rPr>
          <w:rFonts w:ascii="Arial Narrow" w:hAnsi="Arial Narrow"/>
        </w:rPr>
        <w:t>Sala Segunda</w:t>
      </w:r>
    </w:p>
    <w:p w14:paraId="341F3215" w14:textId="77777777" w:rsidR="00AD1FFF" w:rsidRPr="008B4649" w:rsidRDefault="00AD1FFF" w:rsidP="00AD1FFF">
      <w:pPr>
        <w:pStyle w:val="Prrafodelista"/>
        <w:rPr>
          <w:rFonts w:ascii="Arial Narrow" w:eastAsiaTheme="minorHAnsi" w:hAnsi="Arial Narrow"/>
        </w:rPr>
      </w:pPr>
    </w:p>
    <w:p w14:paraId="2BD123B3" w14:textId="77777777" w:rsidR="00AD1FFF" w:rsidRPr="008B4649" w:rsidRDefault="00AD1FFF" w:rsidP="00AD1FFF">
      <w:pPr>
        <w:pStyle w:val="Prrafodelista"/>
        <w:numPr>
          <w:ilvl w:val="0"/>
          <w:numId w:val="134"/>
        </w:numPr>
        <w:rPr>
          <w:rFonts w:ascii="Arial Narrow" w:hAnsi="Arial Narrow"/>
        </w:rPr>
      </w:pPr>
      <w:r w:rsidRPr="008B4649">
        <w:rPr>
          <w:rFonts w:ascii="Arial Narrow" w:hAnsi="Arial Narrow"/>
        </w:rPr>
        <w:t>Sala Tercera</w:t>
      </w:r>
    </w:p>
    <w:p w14:paraId="11535C3A" w14:textId="77777777" w:rsidR="00AD1FFF" w:rsidRPr="008B4649" w:rsidRDefault="00AD1FFF" w:rsidP="00AD1FFF">
      <w:pPr>
        <w:rPr>
          <w:rFonts w:ascii="Arial Narrow" w:eastAsiaTheme="minorHAnsi" w:hAnsi="Arial Narrow"/>
        </w:rPr>
      </w:pPr>
    </w:p>
    <w:p w14:paraId="4605DA83" w14:textId="77777777" w:rsidR="00AD1FFF" w:rsidRPr="008B4649" w:rsidRDefault="00AD1FFF" w:rsidP="00AD1FFF">
      <w:pPr>
        <w:pStyle w:val="Prrafodelista"/>
        <w:numPr>
          <w:ilvl w:val="0"/>
          <w:numId w:val="134"/>
        </w:numPr>
        <w:rPr>
          <w:rFonts w:ascii="Arial Narrow" w:hAnsi="Arial Narrow"/>
        </w:rPr>
      </w:pPr>
      <w:r w:rsidRPr="008B4649">
        <w:rPr>
          <w:rFonts w:ascii="Arial Narrow" w:hAnsi="Arial Narrow"/>
        </w:rPr>
        <w:t>Sala Constitucional</w:t>
      </w:r>
    </w:p>
    <w:p w14:paraId="699CAB54" w14:textId="77777777" w:rsidR="00AD1FFF" w:rsidRPr="008B4649" w:rsidRDefault="00AD1FFF" w:rsidP="00AD1FFF">
      <w:pPr>
        <w:rPr>
          <w:rFonts w:ascii="Arial Narrow" w:eastAsiaTheme="minorHAnsi" w:hAnsi="Arial Narrow"/>
        </w:rPr>
      </w:pPr>
    </w:p>
    <w:p w14:paraId="3A65AA41" w14:textId="77777777" w:rsidR="00AD1FFF" w:rsidRPr="008B4649" w:rsidRDefault="00AD1FFF" w:rsidP="00AD1FFF">
      <w:pPr>
        <w:pStyle w:val="Prrafodelista"/>
        <w:numPr>
          <w:ilvl w:val="0"/>
          <w:numId w:val="134"/>
        </w:numPr>
        <w:rPr>
          <w:rFonts w:ascii="Arial Narrow" w:hAnsi="Arial Narrow"/>
        </w:rPr>
      </w:pPr>
      <w:r w:rsidRPr="008B4649">
        <w:rPr>
          <w:rFonts w:ascii="Arial Narrow" w:hAnsi="Arial Narrow"/>
        </w:rPr>
        <w:t>Inspección Judicial</w:t>
      </w:r>
    </w:p>
    <w:p w14:paraId="6941594D" w14:textId="77777777" w:rsidR="00AD1FFF" w:rsidRPr="008B4649" w:rsidRDefault="00AD1FFF" w:rsidP="00AD1FFF">
      <w:pPr>
        <w:rPr>
          <w:rFonts w:ascii="Arial Narrow" w:eastAsiaTheme="minorHAnsi" w:hAnsi="Arial Narrow"/>
        </w:rPr>
      </w:pPr>
    </w:p>
    <w:p w14:paraId="0B0BC913" w14:textId="77777777" w:rsidR="00AD1FFF" w:rsidRPr="008B4649" w:rsidRDefault="00AD1FFF" w:rsidP="00AD1FFF">
      <w:pPr>
        <w:pStyle w:val="Prrafodelista"/>
        <w:numPr>
          <w:ilvl w:val="0"/>
          <w:numId w:val="134"/>
        </w:numPr>
        <w:rPr>
          <w:rFonts w:ascii="Arial Narrow" w:hAnsi="Arial Narrow"/>
        </w:rPr>
      </w:pPr>
      <w:r w:rsidRPr="008B4649">
        <w:rPr>
          <w:rFonts w:ascii="Arial Narrow" w:hAnsi="Arial Narrow"/>
        </w:rPr>
        <w:t>Oficina de Control Interno</w:t>
      </w:r>
    </w:p>
    <w:p w14:paraId="5E2D992B" w14:textId="77777777" w:rsidR="00AD1FFF" w:rsidRPr="008B4649" w:rsidRDefault="00AD1FFF" w:rsidP="00AD1FFF">
      <w:pPr>
        <w:rPr>
          <w:rFonts w:ascii="Arial Narrow" w:eastAsiaTheme="minorHAnsi" w:hAnsi="Arial Narrow"/>
        </w:rPr>
      </w:pPr>
    </w:p>
    <w:p w14:paraId="1659FA77" w14:textId="77777777" w:rsidR="00AD1FFF" w:rsidRPr="008B4649" w:rsidRDefault="00AD1FFF" w:rsidP="00AD1FFF">
      <w:pPr>
        <w:pStyle w:val="Prrafodelista"/>
        <w:numPr>
          <w:ilvl w:val="0"/>
          <w:numId w:val="134"/>
        </w:numPr>
        <w:rPr>
          <w:rFonts w:ascii="Arial Narrow" w:hAnsi="Arial Narrow"/>
        </w:rPr>
      </w:pPr>
      <w:r w:rsidRPr="008B4649">
        <w:rPr>
          <w:rFonts w:ascii="Arial Narrow" w:hAnsi="Arial Narrow"/>
        </w:rPr>
        <w:t>Dirección Jurídica</w:t>
      </w:r>
    </w:p>
    <w:p w14:paraId="14EA53AA" w14:textId="77777777" w:rsidR="00AD1FFF" w:rsidRPr="008B4649" w:rsidRDefault="00AD1FFF" w:rsidP="00AD1FFF">
      <w:pPr>
        <w:rPr>
          <w:rFonts w:ascii="Arial Narrow" w:eastAsiaTheme="minorHAnsi" w:hAnsi="Arial Narrow"/>
        </w:rPr>
      </w:pPr>
    </w:p>
    <w:p w14:paraId="7C986F94" w14:textId="77777777" w:rsidR="00AD1FFF" w:rsidRPr="008B4649" w:rsidRDefault="00AD1FFF" w:rsidP="00AD1FFF">
      <w:pPr>
        <w:pStyle w:val="Prrafodelista"/>
        <w:numPr>
          <w:ilvl w:val="0"/>
          <w:numId w:val="134"/>
        </w:numPr>
        <w:rPr>
          <w:rFonts w:ascii="Arial Narrow" w:hAnsi="Arial Narrow"/>
        </w:rPr>
      </w:pPr>
      <w:r w:rsidRPr="008B4649">
        <w:rPr>
          <w:rFonts w:ascii="Arial Narrow" w:hAnsi="Arial Narrow"/>
        </w:rPr>
        <w:t>Dirección de Gestión Humana</w:t>
      </w:r>
    </w:p>
    <w:p w14:paraId="7EFD8443" w14:textId="77777777" w:rsidR="00AD1FFF" w:rsidRPr="008B4649" w:rsidRDefault="00AD1FFF" w:rsidP="00AD1FFF">
      <w:pPr>
        <w:rPr>
          <w:rFonts w:ascii="Arial Narrow" w:eastAsiaTheme="minorHAnsi" w:hAnsi="Arial Narrow"/>
        </w:rPr>
      </w:pPr>
    </w:p>
    <w:p w14:paraId="5EC7F626" w14:textId="77777777" w:rsidR="00AD1FFF" w:rsidRPr="008B4649" w:rsidRDefault="00AD1FFF" w:rsidP="00AD1FFF">
      <w:pPr>
        <w:pStyle w:val="Prrafodelista"/>
        <w:numPr>
          <w:ilvl w:val="0"/>
          <w:numId w:val="134"/>
        </w:numPr>
        <w:rPr>
          <w:rFonts w:ascii="Arial Narrow" w:hAnsi="Arial Narrow"/>
        </w:rPr>
      </w:pPr>
      <w:r w:rsidRPr="008B4649">
        <w:rPr>
          <w:rFonts w:ascii="Arial Narrow" w:hAnsi="Arial Narrow"/>
        </w:rPr>
        <w:t>Dirección de Tecnología de la Información</w:t>
      </w:r>
    </w:p>
    <w:p w14:paraId="383AFABA" w14:textId="77777777" w:rsidR="00AD1FFF" w:rsidRPr="008B4649" w:rsidRDefault="00AD1FFF" w:rsidP="00AD1FFF">
      <w:pPr>
        <w:rPr>
          <w:rFonts w:ascii="Arial Narrow" w:eastAsiaTheme="minorHAnsi" w:hAnsi="Arial Narrow"/>
        </w:rPr>
      </w:pPr>
    </w:p>
    <w:p w14:paraId="49B19320" w14:textId="77777777" w:rsidR="00AD1FFF" w:rsidRPr="008B4649" w:rsidRDefault="00AD1FFF" w:rsidP="00AD1FFF">
      <w:pPr>
        <w:pStyle w:val="Prrafodelista"/>
        <w:numPr>
          <w:ilvl w:val="0"/>
          <w:numId w:val="134"/>
        </w:numPr>
        <w:rPr>
          <w:rFonts w:ascii="Arial Narrow" w:hAnsi="Arial Narrow"/>
        </w:rPr>
      </w:pPr>
      <w:r w:rsidRPr="008B4649">
        <w:rPr>
          <w:rFonts w:ascii="Arial Narrow" w:hAnsi="Arial Narrow"/>
        </w:rPr>
        <w:lastRenderedPageBreak/>
        <w:t>Administraciones Regionales</w:t>
      </w:r>
    </w:p>
    <w:p w14:paraId="3C661F7F" w14:textId="77777777" w:rsidR="00AD1FFF" w:rsidRPr="008B4649" w:rsidRDefault="00AD1FFF" w:rsidP="00AD1FFF">
      <w:pPr>
        <w:rPr>
          <w:rFonts w:ascii="Arial Narrow" w:eastAsiaTheme="minorHAnsi" w:hAnsi="Arial Narrow"/>
        </w:rPr>
      </w:pPr>
    </w:p>
    <w:p w14:paraId="34D3220E" w14:textId="77777777" w:rsidR="00AD1FFF" w:rsidRPr="008B4649" w:rsidRDefault="00AD1FFF" w:rsidP="00AD1FFF">
      <w:pPr>
        <w:pStyle w:val="Prrafodelista"/>
        <w:numPr>
          <w:ilvl w:val="0"/>
          <w:numId w:val="134"/>
        </w:numPr>
        <w:rPr>
          <w:rFonts w:ascii="Arial Narrow" w:hAnsi="Arial Narrow"/>
        </w:rPr>
      </w:pPr>
      <w:r w:rsidRPr="008B4649">
        <w:rPr>
          <w:rFonts w:ascii="Arial Narrow" w:hAnsi="Arial Narrow"/>
        </w:rPr>
        <w:t>Secretaria Técnica de Género y Acceso a la Justicia</w:t>
      </w:r>
    </w:p>
    <w:p w14:paraId="22CE418A" w14:textId="77777777" w:rsidR="00AD1FFF" w:rsidRPr="008B4649" w:rsidRDefault="00AD1FFF" w:rsidP="00AD1FFF">
      <w:pPr>
        <w:rPr>
          <w:rFonts w:ascii="Arial Narrow" w:eastAsiaTheme="minorHAnsi" w:hAnsi="Arial Narrow"/>
        </w:rPr>
      </w:pPr>
    </w:p>
    <w:p w14:paraId="5DB5056D" w14:textId="77777777" w:rsidR="00AD1FFF" w:rsidRPr="008B4649" w:rsidRDefault="00AD1FFF" w:rsidP="00AD1FFF">
      <w:pPr>
        <w:pStyle w:val="Prrafodelista"/>
        <w:numPr>
          <w:ilvl w:val="0"/>
          <w:numId w:val="134"/>
        </w:numPr>
        <w:rPr>
          <w:rFonts w:ascii="Arial Narrow" w:hAnsi="Arial Narrow"/>
        </w:rPr>
      </w:pPr>
      <w:r w:rsidRPr="008B4649">
        <w:rPr>
          <w:rFonts w:ascii="Arial Narrow" w:hAnsi="Arial Narrow"/>
        </w:rPr>
        <w:t>Secretaría Técnica de Ética y Valores</w:t>
      </w:r>
    </w:p>
    <w:p w14:paraId="049E0C94" w14:textId="77777777" w:rsidR="00AD1FFF" w:rsidRPr="008B4649" w:rsidRDefault="00AD1FFF" w:rsidP="00AD1FFF">
      <w:pPr>
        <w:rPr>
          <w:rFonts w:ascii="Arial Narrow" w:eastAsiaTheme="minorHAnsi" w:hAnsi="Arial Narrow"/>
        </w:rPr>
      </w:pPr>
    </w:p>
    <w:p w14:paraId="3E554569" w14:textId="77777777" w:rsidR="00AD1FFF" w:rsidRPr="008B4649" w:rsidRDefault="00AD1FFF" w:rsidP="00AD1FFF">
      <w:pPr>
        <w:pStyle w:val="Prrafodelista"/>
        <w:numPr>
          <w:ilvl w:val="0"/>
          <w:numId w:val="134"/>
        </w:numPr>
        <w:rPr>
          <w:rFonts w:ascii="Arial Narrow" w:hAnsi="Arial Narrow"/>
        </w:rPr>
      </w:pPr>
      <w:r w:rsidRPr="008B4649">
        <w:rPr>
          <w:rFonts w:ascii="Arial Narrow" w:hAnsi="Arial Narrow"/>
        </w:rPr>
        <w:t>Programa de Justicia Restaurativa</w:t>
      </w:r>
    </w:p>
    <w:p w14:paraId="68549719" w14:textId="77777777" w:rsidR="00AD1FFF" w:rsidRPr="008B4649" w:rsidRDefault="00AD1FFF" w:rsidP="00AD1FFF">
      <w:pPr>
        <w:rPr>
          <w:rFonts w:ascii="Arial Narrow" w:eastAsiaTheme="minorHAnsi" w:hAnsi="Arial Narrow"/>
        </w:rPr>
      </w:pPr>
    </w:p>
    <w:p w14:paraId="10357EA4" w14:textId="77777777" w:rsidR="00AD1FFF" w:rsidRPr="008B4649" w:rsidRDefault="00AD1FFF" w:rsidP="00AD1FFF">
      <w:pPr>
        <w:pStyle w:val="Prrafodelista"/>
        <w:numPr>
          <w:ilvl w:val="0"/>
          <w:numId w:val="134"/>
        </w:numPr>
        <w:rPr>
          <w:rFonts w:ascii="Arial Narrow" w:hAnsi="Arial Narrow"/>
        </w:rPr>
      </w:pPr>
      <w:r w:rsidRPr="008B4649">
        <w:rPr>
          <w:rFonts w:ascii="Arial Narrow" w:hAnsi="Arial Narrow"/>
        </w:rPr>
        <w:t>Escuela Judicial</w:t>
      </w:r>
    </w:p>
    <w:p w14:paraId="6F4803E9" w14:textId="77777777" w:rsidR="00AD1FFF" w:rsidRPr="008B4649" w:rsidRDefault="00AD1FFF" w:rsidP="00AD1FFF">
      <w:pPr>
        <w:rPr>
          <w:rFonts w:ascii="Arial Narrow" w:eastAsiaTheme="minorHAnsi" w:hAnsi="Arial Narrow"/>
        </w:rPr>
      </w:pPr>
    </w:p>
    <w:p w14:paraId="38CAF389" w14:textId="77777777" w:rsidR="00AD1FFF" w:rsidRPr="008B4649" w:rsidRDefault="00AD1FFF" w:rsidP="00AD1FFF">
      <w:pPr>
        <w:pStyle w:val="Prrafodelista"/>
        <w:numPr>
          <w:ilvl w:val="0"/>
          <w:numId w:val="134"/>
        </w:numPr>
        <w:rPr>
          <w:rFonts w:ascii="Arial Narrow" w:hAnsi="Arial Narrow"/>
        </w:rPr>
      </w:pPr>
      <w:r w:rsidRPr="008B4649">
        <w:rPr>
          <w:rFonts w:ascii="Arial Narrow" w:hAnsi="Arial Narrow"/>
        </w:rPr>
        <w:t>Centro de Información Jurisprudencial</w:t>
      </w:r>
    </w:p>
    <w:p w14:paraId="5CEDAC34" w14:textId="77777777" w:rsidR="00AD1FFF" w:rsidRPr="008B4649" w:rsidRDefault="00AD1FFF" w:rsidP="00AD1FFF">
      <w:pPr>
        <w:rPr>
          <w:rFonts w:ascii="Arial Narrow" w:eastAsiaTheme="minorHAnsi" w:hAnsi="Arial Narrow"/>
        </w:rPr>
      </w:pPr>
    </w:p>
    <w:p w14:paraId="24F43423" w14:textId="77777777" w:rsidR="00AD1FFF" w:rsidRPr="008B4649" w:rsidRDefault="00AD1FFF" w:rsidP="00AD1FFF">
      <w:pPr>
        <w:pStyle w:val="Prrafodelista"/>
        <w:numPr>
          <w:ilvl w:val="0"/>
          <w:numId w:val="134"/>
        </w:numPr>
        <w:rPr>
          <w:rFonts w:ascii="Arial Narrow" w:hAnsi="Arial Narrow"/>
        </w:rPr>
      </w:pPr>
      <w:r w:rsidRPr="008B4649">
        <w:rPr>
          <w:rFonts w:ascii="Arial Narrow" w:hAnsi="Arial Narrow"/>
        </w:rPr>
        <w:t>Centro de Conciliación del Poder Judicial</w:t>
      </w:r>
    </w:p>
    <w:p w14:paraId="4780F61C" w14:textId="77777777" w:rsidR="00AD1FFF" w:rsidRPr="008B4649" w:rsidRDefault="00AD1FFF" w:rsidP="00AD1FFF">
      <w:pPr>
        <w:rPr>
          <w:rFonts w:ascii="Arial Narrow" w:eastAsiaTheme="minorHAnsi" w:hAnsi="Arial Narrow"/>
        </w:rPr>
      </w:pPr>
    </w:p>
    <w:p w14:paraId="396E7061" w14:textId="77777777" w:rsidR="00AD1FFF" w:rsidRPr="008B4649" w:rsidRDefault="00AD1FFF" w:rsidP="00AD1FFF">
      <w:pPr>
        <w:pStyle w:val="Prrafodelista"/>
        <w:numPr>
          <w:ilvl w:val="0"/>
          <w:numId w:val="134"/>
        </w:numPr>
        <w:rPr>
          <w:rFonts w:ascii="Arial Narrow" w:hAnsi="Arial Narrow"/>
        </w:rPr>
      </w:pPr>
      <w:r w:rsidRPr="008B4649">
        <w:rPr>
          <w:rFonts w:ascii="Arial Narrow" w:hAnsi="Arial Narrow"/>
        </w:rPr>
        <w:t>Contraloría de Servicios del Poder Judicial</w:t>
      </w:r>
    </w:p>
    <w:p w14:paraId="5CDA1BC4" w14:textId="77777777" w:rsidR="00AD1FFF" w:rsidRPr="008B4649" w:rsidRDefault="00AD1FFF" w:rsidP="00AD1FFF">
      <w:pPr>
        <w:rPr>
          <w:rFonts w:ascii="Arial Narrow" w:eastAsiaTheme="minorHAnsi" w:hAnsi="Arial Narrow"/>
        </w:rPr>
      </w:pPr>
    </w:p>
    <w:p w14:paraId="366828F0" w14:textId="77777777" w:rsidR="00AD1FFF" w:rsidRPr="008B4649" w:rsidRDefault="00AD1FFF" w:rsidP="00AD1FFF">
      <w:pPr>
        <w:pStyle w:val="Prrafodelista"/>
        <w:numPr>
          <w:ilvl w:val="0"/>
          <w:numId w:val="134"/>
        </w:numPr>
        <w:rPr>
          <w:rFonts w:ascii="Arial Narrow" w:hAnsi="Arial Narrow"/>
        </w:rPr>
      </w:pPr>
      <w:r w:rsidRPr="008B4649">
        <w:rPr>
          <w:rFonts w:ascii="Arial Narrow" w:hAnsi="Arial Narrow"/>
        </w:rPr>
        <w:t>Departamento de Prensa y Comunicación Organizacional</w:t>
      </w:r>
    </w:p>
    <w:p w14:paraId="54F746E5" w14:textId="77777777" w:rsidR="00AD1FFF" w:rsidRPr="008B4649" w:rsidRDefault="00AD1FFF" w:rsidP="00AD1FFF">
      <w:pPr>
        <w:rPr>
          <w:rFonts w:ascii="Arial Narrow" w:eastAsiaTheme="minorHAnsi" w:hAnsi="Arial Narrow"/>
        </w:rPr>
      </w:pPr>
    </w:p>
    <w:p w14:paraId="2D679283" w14:textId="77777777" w:rsidR="00AD1FFF" w:rsidRPr="008B4649" w:rsidRDefault="00AD1FFF" w:rsidP="00AD1FFF">
      <w:pPr>
        <w:pStyle w:val="Prrafodelista"/>
        <w:numPr>
          <w:ilvl w:val="0"/>
          <w:numId w:val="134"/>
        </w:numPr>
        <w:rPr>
          <w:rFonts w:ascii="Arial Narrow" w:hAnsi="Arial Narrow"/>
        </w:rPr>
      </w:pPr>
      <w:r w:rsidRPr="008B4649">
        <w:rPr>
          <w:rFonts w:ascii="Arial Narrow" w:hAnsi="Arial Narrow"/>
        </w:rPr>
        <w:t>Departamento de Trabajo Social y Psicología</w:t>
      </w:r>
    </w:p>
    <w:p w14:paraId="796C84D4" w14:textId="77777777" w:rsidR="00AD1FFF" w:rsidRPr="008B4649" w:rsidRDefault="00AD1FFF" w:rsidP="00AD1FFF">
      <w:pPr>
        <w:pStyle w:val="Prrafodelista"/>
        <w:rPr>
          <w:rFonts w:ascii="Arial Narrow" w:eastAsiaTheme="minorHAnsi" w:hAnsi="Arial Narrow"/>
        </w:rPr>
      </w:pPr>
    </w:p>
    <w:p w14:paraId="53309FAB" w14:textId="5AFACCFE" w:rsidR="00AD1FFF" w:rsidRPr="008B4649" w:rsidRDefault="00AD1FFF" w:rsidP="00AD1FFF">
      <w:pPr>
        <w:pStyle w:val="Prrafodelista"/>
        <w:numPr>
          <w:ilvl w:val="0"/>
          <w:numId w:val="134"/>
        </w:numPr>
        <w:rPr>
          <w:rFonts w:ascii="Arial Narrow" w:hAnsi="Arial Narrow"/>
        </w:rPr>
      </w:pPr>
      <w:r w:rsidRPr="008B4649">
        <w:rPr>
          <w:rFonts w:ascii="Arial Narrow" w:hAnsi="Arial Narrow"/>
        </w:rPr>
        <w:t>Juzgado Notarial</w:t>
      </w:r>
    </w:p>
    <w:p w14:paraId="5A532FDB" w14:textId="77777777" w:rsidR="00AD1FFF" w:rsidRPr="008B4649" w:rsidRDefault="00AD1FFF" w:rsidP="00AD1FFF">
      <w:pPr>
        <w:pStyle w:val="Prrafodelista"/>
        <w:rPr>
          <w:rFonts w:ascii="Arial Narrow" w:hAnsi="Arial Narrow"/>
        </w:rPr>
      </w:pPr>
    </w:p>
    <w:p w14:paraId="62971D7D" w14:textId="670B42B7" w:rsidR="00AD1FFF" w:rsidRPr="008B4649" w:rsidRDefault="00AD1FFF" w:rsidP="00AD1FFF">
      <w:pPr>
        <w:pStyle w:val="Prrafodelista"/>
        <w:numPr>
          <w:ilvl w:val="0"/>
          <w:numId w:val="134"/>
        </w:numPr>
        <w:rPr>
          <w:rFonts w:ascii="Arial Narrow" w:hAnsi="Arial Narrow"/>
        </w:rPr>
      </w:pPr>
      <w:r w:rsidRPr="008B4649">
        <w:rPr>
          <w:rFonts w:ascii="Arial Narrow" w:hAnsi="Arial Narrow"/>
        </w:rPr>
        <w:t>Archivo</w:t>
      </w:r>
    </w:p>
    <w:p w14:paraId="0B6A3745" w14:textId="77777777" w:rsidR="00AD1FFF" w:rsidRPr="008B4649" w:rsidRDefault="00AD1FFF" w:rsidP="00AD1FFF">
      <w:pPr>
        <w:rPr>
          <w:rFonts w:ascii="Arial Narrow" w:eastAsiaTheme="minorHAnsi" w:hAnsi="Arial Narrow"/>
        </w:rPr>
      </w:pPr>
    </w:p>
    <w:p w14:paraId="32D77244" w14:textId="46A6B5D9" w:rsidR="000D5893" w:rsidRDefault="008B4649">
      <w:pPr>
        <w:tabs>
          <w:tab w:val="left" w:pos="7230"/>
        </w:tabs>
        <w:spacing w:line="360" w:lineRule="auto"/>
        <w:rPr>
          <w:rFonts w:ascii="Arial Narrow" w:hAnsi="Arial Narrow"/>
          <w:snapToGrid w:val="0"/>
        </w:rPr>
      </w:pPr>
      <w:r>
        <w:rPr>
          <w:rFonts w:ascii="Arial Narrow" w:hAnsi="Arial Narrow"/>
          <w:snapToGrid w:val="0"/>
        </w:rPr>
        <w:t>CCh.</w:t>
      </w:r>
    </w:p>
    <w:p w14:paraId="2AC3DCC0" w14:textId="77777777" w:rsidR="000D5893" w:rsidRDefault="000D5893">
      <w:pPr>
        <w:tabs>
          <w:tab w:val="left" w:pos="7230"/>
        </w:tabs>
        <w:spacing w:line="360" w:lineRule="auto"/>
        <w:rPr>
          <w:rFonts w:ascii="Arial Narrow" w:hAnsi="Arial Narrow"/>
          <w:snapToGrid w:val="0"/>
        </w:rPr>
      </w:pPr>
    </w:p>
    <w:p w14:paraId="236C01F1" w14:textId="01934376" w:rsidR="00F976DF" w:rsidRDefault="00F976DF">
      <w:pPr>
        <w:tabs>
          <w:tab w:val="left" w:pos="7230"/>
        </w:tabs>
        <w:spacing w:line="360" w:lineRule="auto"/>
        <w:rPr>
          <w:rFonts w:ascii="Arial Narrow" w:hAnsi="Arial Narrow"/>
          <w:snapToGrid w:val="0"/>
        </w:rPr>
      </w:pPr>
    </w:p>
    <w:p w14:paraId="098FAF3B" w14:textId="68422819" w:rsidR="00F976DF" w:rsidRDefault="00F976DF">
      <w:pPr>
        <w:tabs>
          <w:tab w:val="left" w:pos="7230"/>
        </w:tabs>
        <w:spacing w:line="360" w:lineRule="auto"/>
        <w:rPr>
          <w:rFonts w:ascii="Arial Narrow" w:hAnsi="Arial Narrow"/>
          <w:snapToGrid w:val="0"/>
        </w:rPr>
      </w:pPr>
    </w:p>
    <w:p w14:paraId="4D093F3B" w14:textId="76CB8B0E" w:rsidR="00F976DF" w:rsidRDefault="00F976DF">
      <w:pPr>
        <w:tabs>
          <w:tab w:val="left" w:pos="7230"/>
        </w:tabs>
        <w:spacing w:line="360" w:lineRule="auto"/>
        <w:rPr>
          <w:rFonts w:ascii="Arial Narrow" w:hAnsi="Arial Narrow"/>
          <w:snapToGrid w:val="0"/>
        </w:rPr>
      </w:pPr>
    </w:p>
    <w:p w14:paraId="79A28301" w14:textId="6A88C55B" w:rsidR="00F976DF" w:rsidRDefault="00F976DF">
      <w:pPr>
        <w:tabs>
          <w:tab w:val="left" w:pos="7230"/>
        </w:tabs>
        <w:spacing w:line="360" w:lineRule="auto"/>
        <w:rPr>
          <w:rFonts w:ascii="Arial Narrow" w:hAnsi="Arial Narrow"/>
          <w:snapToGrid w:val="0"/>
        </w:rPr>
      </w:pPr>
    </w:p>
    <w:p w14:paraId="1C0827FA" w14:textId="7FF25538" w:rsidR="00F976DF" w:rsidRDefault="00F976DF">
      <w:pPr>
        <w:tabs>
          <w:tab w:val="left" w:pos="7230"/>
        </w:tabs>
        <w:spacing w:line="360" w:lineRule="auto"/>
        <w:rPr>
          <w:rFonts w:ascii="Arial Narrow" w:hAnsi="Arial Narrow"/>
          <w:snapToGrid w:val="0"/>
        </w:rPr>
      </w:pPr>
    </w:p>
    <w:p w14:paraId="0EBC366A" w14:textId="658037BA" w:rsidR="00F976DF" w:rsidRDefault="00F976DF">
      <w:pPr>
        <w:tabs>
          <w:tab w:val="left" w:pos="7230"/>
        </w:tabs>
        <w:spacing w:line="360" w:lineRule="auto"/>
        <w:rPr>
          <w:rFonts w:ascii="Arial Narrow" w:hAnsi="Arial Narrow"/>
          <w:snapToGrid w:val="0"/>
        </w:rPr>
      </w:pPr>
    </w:p>
    <w:p w14:paraId="02E6D5C2" w14:textId="77777777" w:rsidR="00F976DF" w:rsidRDefault="00F976DF" w:rsidP="00C9711A">
      <w:pPr>
        <w:tabs>
          <w:tab w:val="left" w:pos="7230"/>
        </w:tabs>
        <w:spacing w:line="360" w:lineRule="auto"/>
        <w:rPr>
          <w:rFonts w:ascii="Arial Narrow" w:hAnsi="Arial Narrow"/>
          <w:snapToGrid w:val="0"/>
        </w:rPr>
      </w:pPr>
    </w:p>
    <w:p w14:paraId="19C55D90" w14:textId="73C5CCC7" w:rsidR="00191F44" w:rsidRDefault="00191F44">
      <w:pPr>
        <w:tabs>
          <w:tab w:val="left" w:pos="7230"/>
        </w:tabs>
        <w:spacing w:line="360" w:lineRule="auto"/>
        <w:jc w:val="right"/>
        <w:rPr>
          <w:rFonts w:ascii="Arial Narrow" w:hAnsi="Arial Narrow"/>
          <w:snapToGrid w:val="0"/>
        </w:rPr>
      </w:pPr>
    </w:p>
    <w:p w14:paraId="064DD938" w14:textId="77777777" w:rsidR="00766F1A" w:rsidRDefault="00766F1A">
      <w:pPr>
        <w:tabs>
          <w:tab w:val="left" w:pos="7230"/>
        </w:tabs>
        <w:spacing w:line="360" w:lineRule="auto"/>
        <w:jc w:val="right"/>
        <w:rPr>
          <w:rFonts w:ascii="Arial Narrow" w:hAnsi="Arial Narrow"/>
          <w:snapToGrid w:val="0"/>
        </w:rPr>
      </w:pPr>
    </w:p>
    <w:p w14:paraId="614F2C7C" w14:textId="77777777" w:rsidR="00191F44" w:rsidRDefault="00191F44">
      <w:pPr>
        <w:tabs>
          <w:tab w:val="left" w:pos="7230"/>
        </w:tabs>
        <w:spacing w:line="360" w:lineRule="auto"/>
        <w:jc w:val="right"/>
        <w:rPr>
          <w:rFonts w:ascii="Arial Narrow" w:hAnsi="Arial Narrow"/>
          <w:snapToGrid w:val="0"/>
        </w:rPr>
      </w:pPr>
    </w:p>
    <w:p w14:paraId="7C457AD2" w14:textId="5AD77292" w:rsidR="00B604B3" w:rsidRDefault="00B604B3">
      <w:pPr>
        <w:rPr>
          <w:rFonts w:ascii="Arial Narrow" w:hAnsi="Arial Narrow"/>
          <w:snapToGrid w:val="0"/>
        </w:rPr>
      </w:pPr>
    </w:p>
    <w:p w14:paraId="3FB9B50C" w14:textId="77777777" w:rsidR="00C9711A" w:rsidRDefault="00C9711A" w:rsidP="00704B08">
      <w:pPr>
        <w:spacing w:line="276" w:lineRule="auto"/>
        <w:jc w:val="both"/>
        <w:rPr>
          <w:rFonts w:ascii="Arial Narrow" w:hAnsi="Arial Narrow"/>
        </w:rPr>
      </w:pPr>
    </w:p>
    <w:p w14:paraId="09DE7877" w14:textId="265361F4" w:rsidR="001B75A0" w:rsidRPr="0088306F" w:rsidRDefault="00C9711A" w:rsidP="00704B08">
      <w:pPr>
        <w:spacing w:line="276" w:lineRule="auto"/>
        <w:jc w:val="both"/>
        <w:rPr>
          <w:rFonts w:ascii="Arial Narrow" w:hAnsi="Arial Narrow"/>
        </w:rPr>
      </w:pPr>
      <w:r>
        <w:rPr>
          <w:rFonts w:ascii="Arial Narrow" w:hAnsi="Arial Narrow"/>
        </w:rPr>
        <w:t>2</w:t>
      </w:r>
      <w:r w:rsidR="00A22006">
        <w:rPr>
          <w:rFonts w:ascii="Arial Narrow" w:hAnsi="Arial Narrow"/>
        </w:rPr>
        <w:t>6</w:t>
      </w:r>
      <w:r>
        <w:rPr>
          <w:rFonts w:ascii="Arial Narrow" w:hAnsi="Arial Narrow"/>
        </w:rPr>
        <w:t xml:space="preserve"> </w:t>
      </w:r>
      <w:r w:rsidR="003D7E92">
        <w:rPr>
          <w:rFonts w:ascii="Arial Narrow" w:hAnsi="Arial Narrow"/>
        </w:rPr>
        <w:t>de octubre</w:t>
      </w:r>
      <w:r w:rsidR="00604168">
        <w:rPr>
          <w:rFonts w:ascii="Arial Narrow" w:hAnsi="Arial Narrow"/>
        </w:rPr>
        <w:t xml:space="preserve"> </w:t>
      </w:r>
      <w:r w:rsidR="001B75A0" w:rsidRPr="0088306F">
        <w:rPr>
          <w:rFonts w:ascii="Arial Narrow" w:hAnsi="Arial Narrow"/>
        </w:rPr>
        <w:t>de 202</w:t>
      </w:r>
      <w:r w:rsidR="005A4F1A">
        <w:rPr>
          <w:rFonts w:ascii="Arial Narrow" w:hAnsi="Arial Narrow"/>
        </w:rPr>
        <w:t>1</w:t>
      </w:r>
    </w:p>
    <w:p w14:paraId="00737B45" w14:textId="77777777" w:rsidR="00206C84" w:rsidRPr="0088306F" w:rsidRDefault="00206C84" w:rsidP="00704B08">
      <w:pPr>
        <w:spacing w:line="276" w:lineRule="auto"/>
        <w:jc w:val="both"/>
        <w:rPr>
          <w:rFonts w:ascii="Arial Narrow" w:hAnsi="Arial Narrow"/>
        </w:rPr>
      </w:pPr>
    </w:p>
    <w:p w14:paraId="1474AFAF" w14:textId="77777777" w:rsidR="002809D8" w:rsidRPr="0088306F" w:rsidRDefault="002809D8" w:rsidP="00704B08">
      <w:pPr>
        <w:spacing w:line="276" w:lineRule="auto"/>
        <w:jc w:val="both"/>
        <w:rPr>
          <w:rFonts w:ascii="Arial Narrow" w:hAnsi="Arial Narrow"/>
        </w:rPr>
      </w:pPr>
    </w:p>
    <w:p w14:paraId="45572753" w14:textId="506E5D93" w:rsidR="004238D3" w:rsidRPr="0088306F" w:rsidRDefault="004238D3" w:rsidP="00704B08">
      <w:pPr>
        <w:spacing w:line="276" w:lineRule="auto"/>
        <w:jc w:val="both"/>
        <w:rPr>
          <w:rFonts w:ascii="Arial Narrow" w:hAnsi="Arial Narrow"/>
          <w:snapToGrid w:val="0"/>
          <w:color w:val="000000"/>
        </w:rPr>
      </w:pPr>
      <w:r w:rsidRPr="0088306F">
        <w:rPr>
          <w:rFonts w:ascii="Arial Narrow" w:hAnsi="Arial Narrow"/>
          <w:snapToGrid w:val="0"/>
          <w:color w:val="000000"/>
        </w:rPr>
        <w:t>M</w:t>
      </w:r>
      <w:r w:rsidR="00E52F19" w:rsidRPr="0088306F">
        <w:rPr>
          <w:rFonts w:ascii="Arial Narrow" w:hAnsi="Arial Narrow"/>
          <w:snapToGrid w:val="0"/>
          <w:color w:val="000000"/>
        </w:rPr>
        <w:t>á</w:t>
      </w:r>
      <w:r w:rsidRPr="0088306F">
        <w:rPr>
          <w:rFonts w:ascii="Arial Narrow" w:hAnsi="Arial Narrow"/>
          <w:snapToGrid w:val="0"/>
          <w:color w:val="000000"/>
        </w:rPr>
        <w:t>ster</w:t>
      </w:r>
    </w:p>
    <w:p w14:paraId="3C7084EA" w14:textId="62762653" w:rsidR="004238D3" w:rsidRPr="0088306F" w:rsidRDefault="004238D3" w:rsidP="00704B08">
      <w:pPr>
        <w:spacing w:line="276" w:lineRule="auto"/>
        <w:jc w:val="both"/>
        <w:rPr>
          <w:rFonts w:ascii="Arial Narrow" w:hAnsi="Arial Narrow"/>
          <w:snapToGrid w:val="0"/>
          <w:color w:val="000000"/>
        </w:rPr>
      </w:pPr>
      <w:r w:rsidRPr="0088306F">
        <w:rPr>
          <w:rFonts w:ascii="Arial Narrow" w:hAnsi="Arial Narrow"/>
          <w:snapToGrid w:val="0"/>
          <w:color w:val="000000"/>
        </w:rPr>
        <w:t>Erick Antonio Mora Leiva</w:t>
      </w:r>
      <w:r w:rsidR="00A22006">
        <w:rPr>
          <w:rFonts w:ascii="Arial Narrow" w:hAnsi="Arial Narrow"/>
          <w:snapToGrid w:val="0"/>
          <w:color w:val="000000"/>
        </w:rPr>
        <w:t>, Jefe</w:t>
      </w:r>
    </w:p>
    <w:p w14:paraId="164843C7" w14:textId="6C9992BD" w:rsidR="005305D8" w:rsidRPr="0088306F" w:rsidRDefault="00A22006" w:rsidP="00704B08">
      <w:pPr>
        <w:spacing w:line="276" w:lineRule="auto"/>
        <w:jc w:val="both"/>
        <w:rPr>
          <w:rFonts w:ascii="Arial Narrow" w:hAnsi="Arial Narrow"/>
        </w:rPr>
      </w:pPr>
      <w:r>
        <w:rPr>
          <w:rFonts w:ascii="Arial Narrow" w:hAnsi="Arial Narrow"/>
        </w:rPr>
        <w:t>P</w:t>
      </w:r>
      <w:r w:rsidR="00206C84">
        <w:rPr>
          <w:rFonts w:ascii="Arial Narrow" w:hAnsi="Arial Narrow"/>
        </w:rPr>
        <w:t>roceso Planeación y Evaluación</w:t>
      </w:r>
    </w:p>
    <w:p w14:paraId="65BAF467" w14:textId="4E3B6302" w:rsidR="00A05916" w:rsidRDefault="00A05916" w:rsidP="00704B08">
      <w:pPr>
        <w:spacing w:line="276" w:lineRule="auto"/>
        <w:jc w:val="both"/>
        <w:rPr>
          <w:rFonts w:ascii="Arial Narrow" w:hAnsi="Arial Narrow"/>
          <w:snapToGrid w:val="0"/>
          <w:color w:val="000000"/>
        </w:rPr>
      </w:pPr>
    </w:p>
    <w:p w14:paraId="57522C8D" w14:textId="77777777" w:rsidR="005679F5" w:rsidRPr="0088306F" w:rsidRDefault="005679F5" w:rsidP="00704B08">
      <w:pPr>
        <w:spacing w:line="276" w:lineRule="auto"/>
        <w:jc w:val="both"/>
        <w:rPr>
          <w:rFonts w:ascii="Arial Narrow" w:hAnsi="Arial Narrow"/>
          <w:snapToGrid w:val="0"/>
          <w:color w:val="000000"/>
        </w:rPr>
      </w:pPr>
    </w:p>
    <w:p w14:paraId="2FB8AFC9" w14:textId="384FC32C" w:rsidR="001251DB" w:rsidRDefault="001251DB" w:rsidP="00704B08">
      <w:pPr>
        <w:spacing w:line="276" w:lineRule="auto"/>
        <w:jc w:val="both"/>
        <w:rPr>
          <w:rFonts w:ascii="Arial Narrow" w:hAnsi="Arial Narrow"/>
          <w:snapToGrid w:val="0"/>
          <w:color w:val="000000"/>
        </w:rPr>
      </w:pPr>
      <w:r w:rsidRPr="0088306F">
        <w:rPr>
          <w:rFonts w:ascii="Arial Narrow" w:hAnsi="Arial Narrow"/>
          <w:snapToGrid w:val="0"/>
          <w:color w:val="000000"/>
        </w:rPr>
        <w:t>Estimad</w:t>
      </w:r>
      <w:r w:rsidR="002043B8" w:rsidRPr="0088306F">
        <w:rPr>
          <w:rFonts w:ascii="Arial Narrow" w:hAnsi="Arial Narrow"/>
          <w:snapToGrid w:val="0"/>
          <w:color w:val="000000"/>
        </w:rPr>
        <w:t>o</w:t>
      </w:r>
      <w:r w:rsidRPr="0088306F">
        <w:rPr>
          <w:rFonts w:ascii="Arial Narrow" w:hAnsi="Arial Narrow"/>
          <w:snapToGrid w:val="0"/>
          <w:color w:val="000000"/>
        </w:rPr>
        <w:t xml:space="preserve"> señor:</w:t>
      </w:r>
    </w:p>
    <w:p w14:paraId="66FF4560" w14:textId="77777777" w:rsidR="00F8263C" w:rsidRPr="0088306F" w:rsidRDefault="00F8263C" w:rsidP="00704B08">
      <w:pPr>
        <w:spacing w:line="276" w:lineRule="auto"/>
        <w:jc w:val="both"/>
        <w:rPr>
          <w:rFonts w:ascii="Arial Narrow" w:hAnsi="Arial Narrow"/>
          <w:snapToGrid w:val="0"/>
          <w:color w:val="000000"/>
        </w:rPr>
      </w:pPr>
    </w:p>
    <w:p w14:paraId="55B630F8" w14:textId="355ACF62" w:rsidR="00F8263C" w:rsidRDefault="00544696" w:rsidP="00F8263C">
      <w:pPr>
        <w:spacing w:line="276" w:lineRule="auto"/>
        <w:jc w:val="both"/>
        <w:rPr>
          <w:rFonts w:ascii="Arial Narrow" w:eastAsia="Calibri" w:hAnsi="Arial Narrow"/>
          <w:color w:val="000000"/>
        </w:rPr>
      </w:pPr>
      <w:bookmarkStart w:id="3" w:name="_Hlk52198011"/>
      <w:r>
        <w:rPr>
          <w:rFonts w:ascii="Arial Narrow" w:eastAsia="Calibri" w:hAnsi="Arial Narrow"/>
          <w:color w:val="000000"/>
        </w:rPr>
        <w:t xml:space="preserve">A </w:t>
      </w:r>
      <w:r w:rsidR="00785332">
        <w:rPr>
          <w:rFonts w:ascii="Arial Narrow" w:eastAsia="Calibri" w:hAnsi="Arial Narrow"/>
          <w:color w:val="000000"/>
        </w:rPr>
        <w:t>continuación,</w:t>
      </w:r>
      <w:r>
        <w:rPr>
          <w:rFonts w:ascii="Arial Narrow" w:eastAsia="Calibri" w:hAnsi="Arial Narrow"/>
          <w:color w:val="000000"/>
        </w:rPr>
        <w:t xml:space="preserve"> </w:t>
      </w:r>
      <w:r w:rsidR="00F8263C" w:rsidRPr="0088306F">
        <w:rPr>
          <w:rFonts w:ascii="Arial Narrow" w:eastAsia="Calibri" w:hAnsi="Arial Narrow"/>
          <w:color w:val="000000"/>
        </w:rPr>
        <w:t xml:space="preserve">se presenta </w:t>
      </w:r>
      <w:r w:rsidR="00F8263C">
        <w:rPr>
          <w:rFonts w:ascii="Arial Narrow" w:eastAsia="Calibri" w:hAnsi="Arial Narrow"/>
          <w:color w:val="000000"/>
        </w:rPr>
        <w:t xml:space="preserve">el </w:t>
      </w:r>
      <w:r w:rsidR="00F8263C" w:rsidRPr="0088306F">
        <w:rPr>
          <w:rFonts w:ascii="Arial Narrow" w:eastAsia="Calibri" w:hAnsi="Arial Narrow"/>
          <w:color w:val="000000"/>
        </w:rPr>
        <w:t>inform</w:t>
      </w:r>
      <w:r w:rsidR="00F8263C">
        <w:rPr>
          <w:rFonts w:ascii="Arial Narrow" w:eastAsia="Calibri" w:hAnsi="Arial Narrow"/>
          <w:color w:val="000000"/>
        </w:rPr>
        <w:t xml:space="preserve">e que detalla el </w:t>
      </w:r>
      <w:r w:rsidR="00F8263C" w:rsidRPr="0088306F">
        <w:rPr>
          <w:rFonts w:ascii="Arial Narrow" w:eastAsia="Calibri" w:hAnsi="Arial Narrow"/>
          <w:color w:val="000000"/>
        </w:rPr>
        <w:t xml:space="preserve">cumplimiento del </w:t>
      </w:r>
      <w:r w:rsidRPr="0088306F">
        <w:rPr>
          <w:rFonts w:ascii="Arial Narrow" w:eastAsia="Calibri" w:hAnsi="Arial Narrow"/>
          <w:color w:val="000000"/>
        </w:rPr>
        <w:t xml:space="preserve">Plan Estratégico Institucional </w:t>
      </w:r>
      <w:r>
        <w:rPr>
          <w:rFonts w:ascii="Arial Narrow" w:eastAsia="Calibri" w:hAnsi="Arial Narrow"/>
          <w:color w:val="000000"/>
        </w:rPr>
        <w:t xml:space="preserve">(PEI) </w:t>
      </w:r>
      <w:r w:rsidRPr="0088306F">
        <w:rPr>
          <w:rFonts w:ascii="Arial Narrow" w:eastAsia="Calibri" w:hAnsi="Arial Narrow"/>
          <w:color w:val="000000"/>
        </w:rPr>
        <w:t>2019-20</w:t>
      </w:r>
      <w:r w:rsidR="007C5F8C">
        <w:rPr>
          <w:rFonts w:ascii="Arial Narrow" w:eastAsia="Calibri" w:hAnsi="Arial Narrow"/>
          <w:color w:val="000000"/>
        </w:rPr>
        <w:t>2</w:t>
      </w:r>
      <w:r w:rsidRPr="0088306F">
        <w:rPr>
          <w:rFonts w:ascii="Arial Narrow" w:eastAsia="Calibri" w:hAnsi="Arial Narrow"/>
          <w:color w:val="000000"/>
        </w:rPr>
        <w:t>4</w:t>
      </w:r>
      <w:r w:rsidR="00125E7D">
        <w:rPr>
          <w:rFonts w:ascii="Arial Narrow" w:eastAsia="Calibri" w:hAnsi="Arial Narrow"/>
          <w:color w:val="000000"/>
        </w:rPr>
        <w:t xml:space="preserve">, en este caso específico </w:t>
      </w:r>
      <w:r w:rsidR="00F8263C">
        <w:rPr>
          <w:rFonts w:ascii="Arial Narrow" w:eastAsia="Calibri" w:hAnsi="Arial Narrow"/>
          <w:color w:val="000000"/>
        </w:rPr>
        <w:t>para los años</w:t>
      </w:r>
      <w:r w:rsidR="00F8263C" w:rsidRPr="0088306F">
        <w:rPr>
          <w:rFonts w:ascii="Arial Narrow" w:eastAsia="Calibri" w:hAnsi="Arial Narrow"/>
          <w:color w:val="000000"/>
        </w:rPr>
        <w:t xml:space="preserve"> 2019</w:t>
      </w:r>
      <w:r w:rsidR="00F8263C">
        <w:rPr>
          <w:rFonts w:ascii="Arial Narrow" w:eastAsia="Calibri" w:hAnsi="Arial Narrow"/>
          <w:color w:val="000000"/>
        </w:rPr>
        <w:t xml:space="preserve"> y 2020, con sus respectivos resultados por meta estratégica.</w:t>
      </w:r>
    </w:p>
    <w:p w14:paraId="2E30BF61" w14:textId="1F2AC495" w:rsidR="00F8263C" w:rsidRDefault="00F8263C" w:rsidP="00F8263C">
      <w:pPr>
        <w:spacing w:line="276" w:lineRule="auto"/>
        <w:jc w:val="both"/>
        <w:rPr>
          <w:rFonts w:ascii="Arial Narrow" w:eastAsia="Calibri" w:hAnsi="Arial Narrow"/>
          <w:color w:val="000000"/>
        </w:rPr>
      </w:pPr>
    </w:p>
    <w:p w14:paraId="46C44186" w14:textId="115FB868" w:rsidR="00F8263C" w:rsidRPr="0088306F" w:rsidRDefault="00F8263C" w:rsidP="00F8263C">
      <w:pPr>
        <w:spacing w:line="276" w:lineRule="auto"/>
        <w:jc w:val="both"/>
        <w:rPr>
          <w:rFonts w:ascii="Arial Narrow" w:eastAsia="Calibri" w:hAnsi="Arial Narrow"/>
          <w:color w:val="000000"/>
        </w:rPr>
      </w:pPr>
      <w:r>
        <w:rPr>
          <w:rFonts w:ascii="Arial Narrow" w:eastAsia="Calibri" w:hAnsi="Arial Narrow"/>
          <w:color w:val="000000"/>
        </w:rPr>
        <w:t>Para la elaboración del informe, se toma como base lo considerado en los siguiente</w:t>
      </w:r>
      <w:r w:rsidR="00237F85">
        <w:rPr>
          <w:rFonts w:ascii="Arial Narrow" w:eastAsia="Calibri" w:hAnsi="Arial Narrow"/>
          <w:color w:val="000000"/>
        </w:rPr>
        <w:t>s</w:t>
      </w:r>
      <w:r>
        <w:rPr>
          <w:rFonts w:ascii="Arial Narrow" w:eastAsia="Calibri" w:hAnsi="Arial Narrow"/>
          <w:color w:val="000000"/>
        </w:rPr>
        <w:t xml:space="preserve"> acuerdos</w:t>
      </w:r>
      <w:r w:rsidR="00237F85">
        <w:rPr>
          <w:rFonts w:ascii="Arial Narrow" w:eastAsia="Calibri" w:hAnsi="Arial Narrow"/>
          <w:color w:val="000000"/>
        </w:rPr>
        <w:t>, relacionados con el Plan Estratégico Institucional vigente</w:t>
      </w:r>
      <w:r>
        <w:rPr>
          <w:rFonts w:ascii="Arial Narrow" w:eastAsia="Calibri" w:hAnsi="Arial Narrow"/>
          <w:color w:val="000000"/>
        </w:rPr>
        <w:t>:</w:t>
      </w:r>
    </w:p>
    <w:p w14:paraId="03083833" w14:textId="6F8829BD" w:rsidR="002809D8" w:rsidRPr="0088306F" w:rsidRDefault="002809D8" w:rsidP="00704B08">
      <w:pPr>
        <w:spacing w:line="276" w:lineRule="auto"/>
        <w:jc w:val="both"/>
        <w:rPr>
          <w:rFonts w:ascii="Arial Narrow" w:eastAsia="Calibri" w:hAnsi="Arial Narrow"/>
          <w:color w:val="000000"/>
        </w:rPr>
      </w:pPr>
    </w:p>
    <w:p w14:paraId="76BF5F9B" w14:textId="069E53F9" w:rsidR="00FA4685" w:rsidRPr="0088306F" w:rsidRDefault="00DA143C" w:rsidP="00704B08">
      <w:pPr>
        <w:spacing w:line="276" w:lineRule="auto"/>
        <w:jc w:val="both"/>
        <w:rPr>
          <w:rFonts w:ascii="Arial Narrow" w:eastAsia="Calibri" w:hAnsi="Arial Narrow"/>
          <w:color w:val="000000"/>
        </w:rPr>
      </w:pPr>
      <w:r w:rsidRPr="0088306F">
        <w:rPr>
          <w:rFonts w:ascii="Arial Narrow" w:eastAsia="Calibri" w:hAnsi="Arial Narrow"/>
          <w:color w:val="000000"/>
        </w:rPr>
        <w:t xml:space="preserve">La </w:t>
      </w:r>
      <w:r w:rsidR="00FA4685" w:rsidRPr="0088306F">
        <w:rPr>
          <w:rFonts w:ascii="Arial Narrow" w:eastAsia="Calibri" w:hAnsi="Arial Narrow"/>
          <w:color w:val="000000"/>
        </w:rPr>
        <w:t xml:space="preserve">Corte Plena </w:t>
      </w:r>
      <w:r w:rsidRPr="0088306F">
        <w:rPr>
          <w:rFonts w:ascii="Arial Narrow" w:eastAsia="Calibri" w:hAnsi="Arial Narrow"/>
          <w:color w:val="000000"/>
        </w:rPr>
        <w:t xml:space="preserve">en sesión </w:t>
      </w:r>
      <w:r w:rsidR="00FA4685" w:rsidRPr="0088306F">
        <w:rPr>
          <w:rFonts w:ascii="Arial Narrow" w:eastAsia="Calibri" w:hAnsi="Arial Narrow"/>
          <w:color w:val="000000"/>
        </w:rPr>
        <w:t xml:space="preserve">56-18 del 10 de diciembre del 2018, articulo XXIII </w:t>
      </w:r>
      <w:r w:rsidR="00103399" w:rsidRPr="0088306F">
        <w:rPr>
          <w:rFonts w:ascii="Arial Narrow" w:eastAsia="Calibri" w:hAnsi="Arial Narrow"/>
          <w:color w:val="000000"/>
        </w:rPr>
        <w:t>acordó</w:t>
      </w:r>
      <w:r w:rsidR="00FA4685" w:rsidRPr="0088306F">
        <w:rPr>
          <w:rFonts w:ascii="Arial Narrow" w:eastAsia="Calibri" w:hAnsi="Arial Narrow"/>
          <w:color w:val="000000"/>
        </w:rPr>
        <w:t xml:space="preserve">: </w:t>
      </w:r>
    </w:p>
    <w:p w14:paraId="19594C38" w14:textId="77777777" w:rsidR="00DA143C" w:rsidRPr="0088306F" w:rsidRDefault="00DA143C" w:rsidP="00704B08">
      <w:pPr>
        <w:spacing w:line="276" w:lineRule="auto"/>
        <w:jc w:val="both"/>
        <w:rPr>
          <w:rFonts w:ascii="Arial Narrow" w:eastAsia="Calibri" w:hAnsi="Arial Narrow"/>
          <w:color w:val="000000"/>
        </w:rPr>
      </w:pPr>
    </w:p>
    <w:p w14:paraId="3AD7A3F7" w14:textId="36CB148D" w:rsidR="00FA4685" w:rsidRPr="0088306F" w:rsidRDefault="00317FC1" w:rsidP="00CC279A">
      <w:pPr>
        <w:spacing w:line="276" w:lineRule="auto"/>
        <w:ind w:left="708"/>
        <w:jc w:val="both"/>
        <w:rPr>
          <w:rFonts w:ascii="Arial Narrow" w:eastAsia="Calibri" w:hAnsi="Arial Narrow"/>
          <w:i/>
          <w:iCs/>
          <w:color w:val="000000"/>
        </w:rPr>
      </w:pPr>
      <w:r w:rsidRPr="0088306F">
        <w:rPr>
          <w:rFonts w:ascii="Arial Narrow" w:eastAsia="Calibri" w:hAnsi="Arial Narrow"/>
          <w:i/>
          <w:iCs/>
          <w:color w:val="000000"/>
        </w:rPr>
        <w:t>“</w:t>
      </w:r>
      <w:r w:rsidR="00FA4685" w:rsidRPr="0088306F">
        <w:rPr>
          <w:rFonts w:ascii="Arial Narrow" w:eastAsia="Calibri" w:hAnsi="Arial Narrow"/>
          <w:i/>
          <w:iCs/>
          <w:color w:val="000000"/>
        </w:rPr>
        <w:t xml:space="preserve">Tener por hecha la exposición de la licenciada Nacira Valverde Bermúdez, Directora de Planificación, sobre el Plan Estratégico Institucional 2019-2024. En ese sentido se acoge el </w:t>
      </w:r>
      <w:r w:rsidR="00652A12" w:rsidRPr="0088306F">
        <w:rPr>
          <w:rFonts w:ascii="Arial Narrow" w:eastAsia="Calibri" w:hAnsi="Arial Narrow"/>
          <w:i/>
          <w:iCs/>
          <w:color w:val="000000"/>
        </w:rPr>
        <w:t>informe 1463</w:t>
      </w:r>
      <w:r w:rsidR="00FA4685" w:rsidRPr="0088306F">
        <w:rPr>
          <w:rFonts w:ascii="Arial Narrow" w:eastAsia="Calibri" w:hAnsi="Arial Narrow"/>
          <w:i/>
          <w:iCs/>
          <w:color w:val="000000"/>
        </w:rPr>
        <w:t>-PLA-2018, Plan Estratégico Institucional 2019-2024, así como sus recomendaciones en los términos señalados</w:t>
      </w:r>
      <w:r w:rsidRPr="0088306F">
        <w:rPr>
          <w:rFonts w:ascii="Arial Narrow" w:eastAsia="Calibri" w:hAnsi="Arial Narrow"/>
          <w:i/>
          <w:iCs/>
          <w:color w:val="000000"/>
        </w:rPr>
        <w:t>.”</w:t>
      </w:r>
      <w:r w:rsidR="002809D8" w:rsidRPr="0088306F">
        <w:rPr>
          <w:rFonts w:ascii="Arial Narrow" w:eastAsia="Calibri" w:hAnsi="Arial Narrow"/>
          <w:i/>
          <w:iCs/>
          <w:color w:val="000000"/>
        </w:rPr>
        <w:t>.</w:t>
      </w:r>
    </w:p>
    <w:p w14:paraId="1F11DAD0" w14:textId="77777777" w:rsidR="00103399" w:rsidRPr="0088306F" w:rsidRDefault="00103399" w:rsidP="00704B08">
      <w:pPr>
        <w:spacing w:line="276" w:lineRule="auto"/>
        <w:jc w:val="both"/>
        <w:rPr>
          <w:rFonts w:ascii="Arial Narrow" w:eastAsia="Calibri" w:hAnsi="Arial Narrow"/>
          <w:color w:val="000000"/>
        </w:rPr>
      </w:pPr>
    </w:p>
    <w:p w14:paraId="1661B310" w14:textId="02B55197" w:rsidR="00DA143C" w:rsidRPr="0088306F" w:rsidRDefault="00103399" w:rsidP="00704B08">
      <w:pPr>
        <w:spacing w:line="276" w:lineRule="auto"/>
        <w:jc w:val="both"/>
        <w:rPr>
          <w:rFonts w:ascii="Arial Narrow" w:eastAsia="Calibri" w:hAnsi="Arial Narrow"/>
          <w:color w:val="000000"/>
        </w:rPr>
      </w:pPr>
      <w:r w:rsidRPr="0088306F">
        <w:rPr>
          <w:rFonts w:ascii="Arial Narrow" w:eastAsia="Calibri" w:hAnsi="Arial Narrow"/>
          <w:color w:val="000000"/>
        </w:rPr>
        <w:t>Adicionalmente, en sesión d</w:t>
      </w:r>
      <w:r w:rsidR="00FA4685" w:rsidRPr="0088306F">
        <w:rPr>
          <w:rFonts w:ascii="Arial Narrow" w:eastAsia="Calibri" w:hAnsi="Arial Narrow"/>
          <w:color w:val="000000"/>
        </w:rPr>
        <w:t>el</w:t>
      </w:r>
      <w:r w:rsidR="00EF7B77" w:rsidRPr="0088306F">
        <w:rPr>
          <w:rFonts w:ascii="Arial Narrow" w:eastAsia="Calibri" w:hAnsi="Arial Narrow"/>
          <w:color w:val="000000"/>
        </w:rPr>
        <w:t xml:space="preserve"> </w:t>
      </w:r>
      <w:r w:rsidR="008474F0" w:rsidRPr="0088306F">
        <w:rPr>
          <w:rFonts w:ascii="Arial Narrow" w:eastAsia="Calibri" w:hAnsi="Arial Narrow"/>
          <w:color w:val="000000"/>
        </w:rPr>
        <w:t xml:space="preserve">Consejo Superior, 9-19 del 5 de febrero del 2019 articulo XLVI, se acordó: </w:t>
      </w:r>
    </w:p>
    <w:p w14:paraId="71038793" w14:textId="77777777" w:rsidR="00DA143C" w:rsidRPr="0088306F" w:rsidRDefault="00DA143C" w:rsidP="00704B08">
      <w:pPr>
        <w:spacing w:line="276" w:lineRule="auto"/>
        <w:jc w:val="both"/>
        <w:rPr>
          <w:rFonts w:ascii="Arial Narrow" w:eastAsia="Calibri" w:hAnsi="Arial Narrow"/>
          <w:color w:val="000000"/>
        </w:rPr>
      </w:pPr>
    </w:p>
    <w:p w14:paraId="316E4A4A" w14:textId="30F0EC2D" w:rsidR="008474F0" w:rsidRPr="0088306F" w:rsidRDefault="008474F0" w:rsidP="00CC279A">
      <w:pPr>
        <w:spacing w:line="276" w:lineRule="auto"/>
        <w:ind w:left="708"/>
        <w:jc w:val="both"/>
        <w:rPr>
          <w:rFonts w:ascii="Arial Narrow" w:eastAsia="Calibri" w:hAnsi="Arial Narrow"/>
          <w:color w:val="000000"/>
        </w:rPr>
      </w:pPr>
      <w:r w:rsidRPr="0088306F">
        <w:rPr>
          <w:rFonts w:ascii="Arial Narrow" w:eastAsia="Calibri" w:hAnsi="Arial Narrow"/>
          <w:i/>
          <w:iCs/>
          <w:color w:val="000000"/>
        </w:rPr>
        <w:t>“Tomar nota del acuerdo de Corte Plena en sesión No. 56-18, articulo XXIII, referente al Plan Estratégico Institucional 2019-20</w:t>
      </w:r>
      <w:r w:rsidR="00771C1B" w:rsidRPr="0088306F">
        <w:rPr>
          <w:rFonts w:ascii="Arial Narrow" w:eastAsia="Calibri" w:hAnsi="Arial Narrow"/>
          <w:i/>
          <w:iCs/>
          <w:color w:val="000000"/>
        </w:rPr>
        <w:t>2</w:t>
      </w:r>
      <w:r w:rsidRPr="0088306F">
        <w:rPr>
          <w:rFonts w:ascii="Arial Narrow" w:eastAsia="Calibri" w:hAnsi="Arial Narrow"/>
          <w:i/>
          <w:iCs/>
          <w:color w:val="000000"/>
        </w:rPr>
        <w:t>4 y hacerlo de conocimiento del Ministerio Publico, la Defensa Pública y la Dirección General del Organismo de Investigación Judicial.”</w:t>
      </w:r>
      <w:r w:rsidR="002809D8" w:rsidRPr="0088306F">
        <w:rPr>
          <w:rFonts w:ascii="Arial Narrow" w:eastAsia="Calibri" w:hAnsi="Arial Narrow"/>
          <w:i/>
          <w:iCs/>
          <w:color w:val="000000"/>
        </w:rPr>
        <w:t>.</w:t>
      </w:r>
    </w:p>
    <w:p w14:paraId="5CCE7216" w14:textId="77777777" w:rsidR="008474F0" w:rsidRPr="0088306F" w:rsidRDefault="008474F0" w:rsidP="00704B08">
      <w:pPr>
        <w:spacing w:line="276" w:lineRule="auto"/>
        <w:jc w:val="both"/>
        <w:rPr>
          <w:rFonts w:ascii="Arial Narrow" w:eastAsia="Calibri" w:hAnsi="Arial Narrow"/>
          <w:color w:val="000000"/>
        </w:rPr>
      </w:pPr>
    </w:p>
    <w:p w14:paraId="0EC7C4CF" w14:textId="77777777" w:rsidR="00EF7B77" w:rsidRPr="0088306F" w:rsidRDefault="00EF7B77" w:rsidP="00704B08">
      <w:pPr>
        <w:spacing w:line="276" w:lineRule="auto"/>
        <w:jc w:val="both"/>
        <w:rPr>
          <w:rFonts w:ascii="Arial Narrow" w:hAnsi="Arial Narrow"/>
          <w:snapToGrid w:val="0"/>
          <w:color w:val="000000"/>
        </w:rPr>
      </w:pPr>
      <w:bookmarkStart w:id="4" w:name="_Hlk52198045"/>
      <w:bookmarkEnd w:id="3"/>
      <w:r w:rsidRPr="0088306F">
        <w:rPr>
          <w:rFonts w:ascii="Arial Narrow" w:hAnsi="Arial Narrow"/>
          <w:snapToGrid w:val="0"/>
          <w:color w:val="000000"/>
        </w:rPr>
        <w:t>Atentamente,</w:t>
      </w:r>
    </w:p>
    <w:p w14:paraId="3BF87ADC" w14:textId="3EB907AF" w:rsidR="00652A12" w:rsidRDefault="00652A12" w:rsidP="00704B08">
      <w:pPr>
        <w:spacing w:line="276" w:lineRule="auto"/>
        <w:jc w:val="both"/>
        <w:rPr>
          <w:rFonts w:ascii="Arial Narrow" w:hAnsi="Arial Narrow"/>
          <w:snapToGrid w:val="0"/>
          <w:color w:val="000000"/>
        </w:rPr>
      </w:pPr>
    </w:p>
    <w:p w14:paraId="493062AB" w14:textId="70317CF4" w:rsidR="00EF7B77" w:rsidRPr="00CC3693" w:rsidRDefault="00EF7B77" w:rsidP="00704B08">
      <w:pPr>
        <w:spacing w:line="276" w:lineRule="auto"/>
        <w:jc w:val="both"/>
        <w:rPr>
          <w:rFonts w:ascii="Arial Narrow" w:hAnsi="Arial Narrow"/>
          <w:snapToGrid w:val="0"/>
          <w:color w:val="000000"/>
        </w:rPr>
      </w:pPr>
      <w:r w:rsidRPr="0088306F">
        <w:rPr>
          <w:rFonts w:ascii="Arial Narrow" w:hAnsi="Arial Narrow"/>
          <w:snapToGrid w:val="0"/>
          <w:color w:val="000000"/>
        </w:rPr>
        <w:t>Ing.</w:t>
      </w:r>
      <w:r w:rsidR="005A4F1A">
        <w:rPr>
          <w:rFonts w:ascii="Arial Narrow" w:hAnsi="Arial Narrow"/>
          <w:snapToGrid w:val="0"/>
          <w:color w:val="000000"/>
        </w:rPr>
        <w:t xml:space="preserve"> </w:t>
      </w:r>
      <w:r w:rsidR="005A4F1A" w:rsidRPr="00704B08">
        <w:rPr>
          <w:rFonts w:ascii="Arial Narrow" w:hAnsi="Arial Narrow"/>
          <w:snapToGrid w:val="0"/>
          <w:color w:val="000000"/>
          <w:lang w:val="es-CR"/>
        </w:rPr>
        <w:t>Elena Gabriela Picado Gonz</w:t>
      </w:r>
      <w:r w:rsidR="005A4F1A">
        <w:rPr>
          <w:rFonts w:ascii="Arial Narrow" w:hAnsi="Arial Narrow"/>
          <w:snapToGrid w:val="0"/>
          <w:color w:val="000000"/>
          <w:lang w:val="es-CR"/>
        </w:rPr>
        <w:t>á</w:t>
      </w:r>
      <w:r w:rsidR="005A4F1A" w:rsidRPr="00704B08">
        <w:rPr>
          <w:rFonts w:ascii="Arial Narrow" w:hAnsi="Arial Narrow"/>
          <w:snapToGrid w:val="0"/>
          <w:color w:val="000000"/>
          <w:lang w:val="es-CR"/>
        </w:rPr>
        <w:t>lez</w:t>
      </w:r>
      <w:r w:rsidR="004238D3" w:rsidRPr="00704B08">
        <w:rPr>
          <w:rFonts w:ascii="Arial Narrow" w:hAnsi="Arial Narrow"/>
          <w:snapToGrid w:val="0"/>
          <w:color w:val="000000"/>
          <w:lang w:val="es-CR"/>
        </w:rPr>
        <w:t>,</w:t>
      </w:r>
      <w:r w:rsidRPr="00704B08">
        <w:rPr>
          <w:rFonts w:ascii="Arial Narrow" w:hAnsi="Arial Narrow"/>
          <w:snapToGrid w:val="0"/>
          <w:color w:val="000000"/>
          <w:lang w:val="es-CR"/>
        </w:rPr>
        <w:t xml:space="preserve"> Jefe </w:t>
      </w:r>
      <w:r w:rsidR="002809D8" w:rsidRPr="00704B08">
        <w:rPr>
          <w:rFonts w:ascii="Arial Narrow" w:hAnsi="Arial Narrow"/>
          <w:snapToGrid w:val="0"/>
          <w:color w:val="000000"/>
          <w:lang w:val="es-CR"/>
        </w:rPr>
        <w:t>a.i.</w:t>
      </w:r>
    </w:p>
    <w:p w14:paraId="7DD2D241" w14:textId="0F698170" w:rsidR="00B03202" w:rsidRPr="00C02919" w:rsidRDefault="004238D3" w:rsidP="00C02919">
      <w:pPr>
        <w:spacing w:line="360" w:lineRule="auto"/>
        <w:jc w:val="both"/>
        <w:rPr>
          <w:rFonts w:ascii="Arial Narrow" w:hAnsi="Arial Narrow"/>
          <w:snapToGrid w:val="0"/>
          <w:color w:val="000000"/>
        </w:rPr>
      </w:pPr>
      <w:r w:rsidRPr="00C02919">
        <w:rPr>
          <w:rFonts w:ascii="Arial Narrow" w:hAnsi="Arial Narrow"/>
          <w:snapToGrid w:val="0"/>
          <w:color w:val="000000"/>
        </w:rPr>
        <w:t>Subp</w:t>
      </w:r>
      <w:r w:rsidR="00B03202" w:rsidRPr="00C02919">
        <w:rPr>
          <w:rFonts w:ascii="Arial Narrow" w:hAnsi="Arial Narrow"/>
          <w:snapToGrid w:val="0"/>
          <w:color w:val="000000"/>
        </w:rPr>
        <w:t>roceso de Evaluación</w:t>
      </w:r>
    </w:p>
    <w:bookmarkEnd w:id="4"/>
    <w:p w14:paraId="15FD47B7" w14:textId="77777777" w:rsidR="00DA143C" w:rsidRPr="0088306F" w:rsidRDefault="00DA143C" w:rsidP="00704B08">
      <w:pPr>
        <w:spacing w:line="360" w:lineRule="auto"/>
        <w:jc w:val="both"/>
        <w:rPr>
          <w:rFonts w:ascii="Arial Narrow" w:hAnsi="Arial Narrow"/>
          <w:snapToGrid w:val="0"/>
          <w:color w:val="000000"/>
        </w:rPr>
      </w:pPr>
      <w:r w:rsidRPr="0088306F">
        <w:rPr>
          <w:rFonts w:ascii="Arial Narrow" w:hAnsi="Arial Narrow"/>
          <w:snapToGrid w:val="0"/>
          <w:color w:val="000000"/>
        </w:rPr>
        <w:br w:type="page"/>
      </w:r>
    </w:p>
    <w:sdt>
      <w:sdtPr>
        <w:rPr>
          <w:rFonts w:ascii="Arial Narrow" w:eastAsia="Times New Roman" w:hAnsi="Arial Narrow" w:cs="Times New Roman"/>
          <w:color w:val="auto"/>
          <w:sz w:val="22"/>
          <w:szCs w:val="22"/>
          <w:lang w:val="es-ES_tradnl" w:eastAsia="es-ES"/>
        </w:rPr>
        <w:id w:val="-1029945381"/>
        <w:docPartObj>
          <w:docPartGallery w:val="Table of Contents"/>
          <w:docPartUnique/>
        </w:docPartObj>
      </w:sdtPr>
      <w:sdtEndPr>
        <w:rPr>
          <w:b/>
          <w:bCs/>
        </w:rPr>
      </w:sdtEndPr>
      <w:sdtContent>
        <w:p w14:paraId="1F86A771" w14:textId="20DD3533" w:rsidR="005543E0" w:rsidRPr="00CC279A" w:rsidRDefault="005543E0" w:rsidP="00CC279A">
          <w:pPr>
            <w:pStyle w:val="TtuloTDC"/>
            <w:ind w:right="-143"/>
            <w:jc w:val="center"/>
            <w:rPr>
              <w:rFonts w:ascii="Arial Narrow" w:hAnsi="Arial Narrow"/>
              <w:b/>
              <w:bCs/>
              <w:i/>
              <w:iCs/>
              <w:color w:val="auto"/>
              <w:sz w:val="22"/>
              <w:szCs w:val="22"/>
            </w:rPr>
          </w:pPr>
          <w:r w:rsidRPr="00CC279A">
            <w:rPr>
              <w:rFonts w:ascii="Arial Narrow" w:hAnsi="Arial Narrow"/>
              <w:b/>
              <w:bCs/>
              <w:i/>
              <w:iCs/>
              <w:color w:val="auto"/>
              <w:sz w:val="22"/>
              <w:szCs w:val="22"/>
            </w:rPr>
            <w:t>Tabla de contenido</w:t>
          </w:r>
        </w:p>
        <w:p w14:paraId="377D55EB" w14:textId="21917532" w:rsidR="00F976DF" w:rsidRDefault="005543E0">
          <w:pPr>
            <w:pStyle w:val="TDC2"/>
            <w:rPr>
              <w:rFonts w:asciiTheme="minorHAnsi" w:eastAsiaTheme="minorEastAsia" w:hAnsiTheme="minorHAnsi" w:cstheme="minorBidi"/>
              <w:noProof/>
              <w:sz w:val="22"/>
              <w:szCs w:val="22"/>
              <w:lang w:val="es-CR" w:eastAsia="es-CR"/>
            </w:rPr>
          </w:pPr>
          <w:r w:rsidRPr="00CC279A">
            <w:rPr>
              <w:rFonts w:ascii="Arial Narrow" w:hAnsi="Arial Narrow"/>
              <w:sz w:val="22"/>
              <w:szCs w:val="22"/>
            </w:rPr>
            <w:fldChar w:fldCharType="begin"/>
          </w:r>
          <w:r w:rsidRPr="00CC279A">
            <w:rPr>
              <w:rFonts w:ascii="Arial Narrow" w:hAnsi="Arial Narrow"/>
              <w:sz w:val="22"/>
              <w:szCs w:val="22"/>
            </w:rPr>
            <w:instrText xml:space="preserve"> TOC \o "1-3" \h \z \u </w:instrText>
          </w:r>
          <w:r w:rsidRPr="00CC279A">
            <w:rPr>
              <w:rFonts w:ascii="Arial Narrow" w:hAnsi="Arial Narrow"/>
              <w:sz w:val="22"/>
              <w:szCs w:val="22"/>
            </w:rPr>
            <w:fldChar w:fldCharType="separate"/>
          </w:r>
          <w:hyperlink w:anchor="_Toc84919347" w:history="1">
            <w:r w:rsidR="00F976DF" w:rsidRPr="00EA7C26">
              <w:rPr>
                <w:rStyle w:val="Hipervnculo"/>
                <w:noProof/>
              </w:rPr>
              <w:t>1.</w:t>
            </w:r>
            <w:r w:rsidR="00F976DF">
              <w:rPr>
                <w:rFonts w:asciiTheme="minorHAnsi" w:eastAsiaTheme="minorEastAsia" w:hAnsiTheme="minorHAnsi" w:cstheme="minorBidi"/>
                <w:noProof/>
                <w:sz w:val="22"/>
                <w:szCs w:val="22"/>
                <w:lang w:val="es-CR" w:eastAsia="es-CR"/>
              </w:rPr>
              <w:tab/>
            </w:r>
            <w:r w:rsidR="00F976DF" w:rsidRPr="00EA7C26">
              <w:rPr>
                <w:rStyle w:val="Hipervnculo"/>
                <w:noProof/>
              </w:rPr>
              <w:t>Resumen Ejecutivo</w:t>
            </w:r>
            <w:r w:rsidR="00F976DF">
              <w:rPr>
                <w:noProof/>
                <w:webHidden/>
              </w:rPr>
              <w:tab/>
            </w:r>
            <w:r w:rsidR="00F976DF">
              <w:rPr>
                <w:noProof/>
                <w:webHidden/>
              </w:rPr>
              <w:fldChar w:fldCharType="begin"/>
            </w:r>
            <w:r w:rsidR="00F976DF">
              <w:rPr>
                <w:noProof/>
                <w:webHidden/>
              </w:rPr>
              <w:instrText xml:space="preserve"> PAGEREF _Toc84919347 \h </w:instrText>
            </w:r>
            <w:r w:rsidR="00F976DF">
              <w:rPr>
                <w:noProof/>
                <w:webHidden/>
              </w:rPr>
            </w:r>
            <w:r w:rsidR="00F976DF">
              <w:rPr>
                <w:noProof/>
                <w:webHidden/>
              </w:rPr>
              <w:fldChar w:fldCharType="separate"/>
            </w:r>
            <w:r w:rsidR="009B5C5B">
              <w:rPr>
                <w:noProof/>
                <w:webHidden/>
              </w:rPr>
              <w:t>11</w:t>
            </w:r>
            <w:r w:rsidR="00F976DF">
              <w:rPr>
                <w:noProof/>
                <w:webHidden/>
              </w:rPr>
              <w:fldChar w:fldCharType="end"/>
            </w:r>
          </w:hyperlink>
        </w:p>
        <w:p w14:paraId="5E55F56E" w14:textId="05E3C8C5" w:rsidR="00F976DF" w:rsidRDefault="001A60A6">
          <w:pPr>
            <w:pStyle w:val="TDC2"/>
            <w:rPr>
              <w:rFonts w:asciiTheme="minorHAnsi" w:eastAsiaTheme="minorEastAsia" w:hAnsiTheme="minorHAnsi" w:cstheme="minorBidi"/>
              <w:noProof/>
              <w:sz w:val="22"/>
              <w:szCs w:val="22"/>
              <w:lang w:val="es-CR" w:eastAsia="es-CR"/>
            </w:rPr>
          </w:pPr>
          <w:hyperlink w:anchor="_Toc84919348" w:history="1">
            <w:r w:rsidR="00F976DF" w:rsidRPr="00EA7C26">
              <w:rPr>
                <w:rStyle w:val="Hipervnculo"/>
                <w:noProof/>
              </w:rPr>
              <w:t>2.</w:t>
            </w:r>
            <w:r w:rsidR="00F976DF">
              <w:rPr>
                <w:rFonts w:asciiTheme="minorHAnsi" w:eastAsiaTheme="minorEastAsia" w:hAnsiTheme="minorHAnsi" w:cstheme="minorBidi"/>
                <w:noProof/>
                <w:sz w:val="22"/>
                <w:szCs w:val="22"/>
                <w:lang w:val="es-CR" w:eastAsia="es-CR"/>
              </w:rPr>
              <w:tab/>
            </w:r>
            <w:r w:rsidR="00F976DF" w:rsidRPr="00EA7C26">
              <w:rPr>
                <w:rStyle w:val="Hipervnculo"/>
                <w:noProof/>
              </w:rPr>
              <w:t>Antecedentes</w:t>
            </w:r>
            <w:r w:rsidR="00F976DF">
              <w:rPr>
                <w:noProof/>
                <w:webHidden/>
              </w:rPr>
              <w:tab/>
            </w:r>
            <w:r w:rsidR="00F976DF">
              <w:rPr>
                <w:noProof/>
                <w:webHidden/>
              </w:rPr>
              <w:fldChar w:fldCharType="begin"/>
            </w:r>
            <w:r w:rsidR="00F976DF">
              <w:rPr>
                <w:noProof/>
                <w:webHidden/>
              </w:rPr>
              <w:instrText xml:space="preserve"> PAGEREF _Toc84919348 \h </w:instrText>
            </w:r>
            <w:r w:rsidR="00F976DF">
              <w:rPr>
                <w:noProof/>
                <w:webHidden/>
              </w:rPr>
            </w:r>
            <w:r w:rsidR="00F976DF">
              <w:rPr>
                <w:noProof/>
                <w:webHidden/>
              </w:rPr>
              <w:fldChar w:fldCharType="separate"/>
            </w:r>
            <w:r w:rsidR="009B5C5B">
              <w:rPr>
                <w:noProof/>
                <w:webHidden/>
              </w:rPr>
              <w:t>17</w:t>
            </w:r>
            <w:r w:rsidR="00F976DF">
              <w:rPr>
                <w:noProof/>
                <w:webHidden/>
              </w:rPr>
              <w:fldChar w:fldCharType="end"/>
            </w:r>
          </w:hyperlink>
        </w:p>
        <w:p w14:paraId="22B56DBB" w14:textId="4ECD9A03" w:rsidR="00F976DF" w:rsidRDefault="001A60A6">
          <w:pPr>
            <w:pStyle w:val="TDC2"/>
            <w:rPr>
              <w:rFonts w:asciiTheme="minorHAnsi" w:eastAsiaTheme="minorEastAsia" w:hAnsiTheme="minorHAnsi" w:cstheme="minorBidi"/>
              <w:noProof/>
              <w:sz w:val="22"/>
              <w:szCs w:val="22"/>
              <w:lang w:val="es-CR" w:eastAsia="es-CR"/>
            </w:rPr>
          </w:pPr>
          <w:hyperlink w:anchor="_Toc84919349" w:history="1">
            <w:r w:rsidR="00F976DF" w:rsidRPr="00EA7C26">
              <w:rPr>
                <w:rStyle w:val="Hipervnculo"/>
                <w:noProof/>
              </w:rPr>
              <w:t>3.</w:t>
            </w:r>
            <w:r w:rsidR="00F976DF">
              <w:rPr>
                <w:rFonts w:asciiTheme="minorHAnsi" w:eastAsiaTheme="minorEastAsia" w:hAnsiTheme="minorHAnsi" w:cstheme="minorBidi"/>
                <w:noProof/>
                <w:sz w:val="22"/>
                <w:szCs w:val="22"/>
                <w:lang w:val="es-CR" w:eastAsia="es-CR"/>
              </w:rPr>
              <w:tab/>
            </w:r>
            <w:r w:rsidR="00F976DF" w:rsidRPr="00EA7C26">
              <w:rPr>
                <w:rStyle w:val="Hipervnculo"/>
                <w:noProof/>
              </w:rPr>
              <w:t>Alcance de la Evaluación</w:t>
            </w:r>
            <w:r w:rsidR="00F976DF">
              <w:rPr>
                <w:noProof/>
                <w:webHidden/>
              </w:rPr>
              <w:tab/>
            </w:r>
            <w:r w:rsidR="00F976DF">
              <w:rPr>
                <w:noProof/>
                <w:webHidden/>
              </w:rPr>
              <w:fldChar w:fldCharType="begin"/>
            </w:r>
            <w:r w:rsidR="00F976DF">
              <w:rPr>
                <w:noProof/>
                <w:webHidden/>
              </w:rPr>
              <w:instrText xml:space="preserve"> PAGEREF _Toc84919349 \h </w:instrText>
            </w:r>
            <w:r w:rsidR="00F976DF">
              <w:rPr>
                <w:noProof/>
                <w:webHidden/>
              </w:rPr>
            </w:r>
            <w:r w:rsidR="00F976DF">
              <w:rPr>
                <w:noProof/>
                <w:webHidden/>
              </w:rPr>
              <w:fldChar w:fldCharType="separate"/>
            </w:r>
            <w:r w:rsidR="009B5C5B">
              <w:rPr>
                <w:noProof/>
                <w:webHidden/>
              </w:rPr>
              <w:t>22</w:t>
            </w:r>
            <w:r w:rsidR="00F976DF">
              <w:rPr>
                <w:noProof/>
                <w:webHidden/>
              </w:rPr>
              <w:fldChar w:fldCharType="end"/>
            </w:r>
          </w:hyperlink>
        </w:p>
        <w:p w14:paraId="253F6093" w14:textId="3057BD32" w:rsidR="00F976DF" w:rsidRDefault="001A60A6">
          <w:pPr>
            <w:pStyle w:val="TDC2"/>
            <w:rPr>
              <w:rFonts w:asciiTheme="minorHAnsi" w:eastAsiaTheme="minorEastAsia" w:hAnsiTheme="minorHAnsi" w:cstheme="minorBidi"/>
              <w:noProof/>
              <w:sz w:val="22"/>
              <w:szCs w:val="22"/>
              <w:lang w:val="es-CR" w:eastAsia="es-CR"/>
            </w:rPr>
          </w:pPr>
          <w:hyperlink w:anchor="_Toc84919350" w:history="1">
            <w:r w:rsidR="00F976DF" w:rsidRPr="00EA7C26">
              <w:rPr>
                <w:rStyle w:val="Hipervnculo"/>
                <w:noProof/>
              </w:rPr>
              <w:t>4.</w:t>
            </w:r>
            <w:r w:rsidR="00F976DF">
              <w:rPr>
                <w:rFonts w:asciiTheme="minorHAnsi" w:eastAsiaTheme="minorEastAsia" w:hAnsiTheme="minorHAnsi" w:cstheme="minorBidi"/>
                <w:noProof/>
                <w:sz w:val="22"/>
                <w:szCs w:val="22"/>
                <w:lang w:val="es-CR" w:eastAsia="es-CR"/>
              </w:rPr>
              <w:tab/>
            </w:r>
            <w:r w:rsidR="00F976DF" w:rsidRPr="00EA7C26">
              <w:rPr>
                <w:rStyle w:val="Hipervnculo"/>
                <w:noProof/>
              </w:rPr>
              <w:t>Metodología</w:t>
            </w:r>
            <w:r w:rsidR="00F976DF">
              <w:rPr>
                <w:noProof/>
                <w:webHidden/>
              </w:rPr>
              <w:tab/>
            </w:r>
            <w:r w:rsidR="00F976DF">
              <w:rPr>
                <w:noProof/>
                <w:webHidden/>
              </w:rPr>
              <w:fldChar w:fldCharType="begin"/>
            </w:r>
            <w:r w:rsidR="00F976DF">
              <w:rPr>
                <w:noProof/>
                <w:webHidden/>
              </w:rPr>
              <w:instrText xml:space="preserve"> PAGEREF _Toc84919350 \h </w:instrText>
            </w:r>
            <w:r w:rsidR="00F976DF">
              <w:rPr>
                <w:noProof/>
                <w:webHidden/>
              </w:rPr>
            </w:r>
            <w:r w:rsidR="00F976DF">
              <w:rPr>
                <w:noProof/>
                <w:webHidden/>
              </w:rPr>
              <w:fldChar w:fldCharType="separate"/>
            </w:r>
            <w:r w:rsidR="009B5C5B">
              <w:rPr>
                <w:noProof/>
                <w:webHidden/>
              </w:rPr>
              <w:t>23</w:t>
            </w:r>
            <w:r w:rsidR="00F976DF">
              <w:rPr>
                <w:noProof/>
                <w:webHidden/>
              </w:rPr>
              <w:fldChar w:fldCharType="end"/>
            </w:r>
          </w:hyperlink>
        </w:p>
        <w:p w14:paraId="0B689F61" w14:textId="6CAF21A7" w:rsidR="00F976DF" w:rsidRDefault="001A60A6">
          <w:pPr>
            <w:pStyle w:val="TDC2"/>
            <w:rPr>
              <w:rFonts w:asciiTheme="minorHAnsi" w:eastAsiaTheme="minorEastAsia" w:hAnsiTheme="minorHAnsi" w:cstheme="minorBidi"/>
              <w:noProof/>
              <w:sz w:val="22"/>
              <w:szCs w:val="22"/>
              <w:lang w:val="es-CR" w:eastAsia="es-CR"/>
            </w:rPr>
          </w:pPr>
          <w:hyperlink w:anchor="_Toc84919351" w:history="1">
            <w:r w:rsidR="00F976DF" w:rsidRPr="00EA7C26">
              <w:rPr>
                <w:rStyle w:val="Hipervnculo"/>
                <w:noProof/>
              </w:rPr>
              <w:t>5.</w:t>
            </w:r>
            <w:r w:rsidR="00F976DF">
              <w:rPr>
                <w:rFonts w:asciiTheme="minorHAnsi" w:eastAsiaTheme="minorEastAsia" w:hAnsiTheme="minorHAnsi" w:cstheme="minorBidi"/>
                <w:noProof/>
                <w:sz w:val="22"/>
                <w:szCs w:val="22"/>
                <w:lang w:val="es-CR" w:eastAsia="es-CR"/>
              </w:rPr>
              <w:tab/>
            </w:r>
            <w:r w:rsidR="00F976DF" w:rsidRPr="00EA7C26">
              <w:rPr>
                <w:rStyle w:val="Hipervnculo"/>
                <w:noProof/>
              </w:rPr>
              <w:t>Resultados del Cumplimiento del Plan Estratégico Institucional para los años 2019 y 2020</w:t>
            </w:r>
            <w:r w:rsidR="00F976DF">
              <w:rPr>
                <w:noProof/>
                <w:webHidden/>
              </w:rPr>
              <w:tab/>
            </w:r>
            <w:r w:rsidR="00F976DF">
              <w:rPr>
                <w:noProof/>
                <w:webHidden/>
              </w:rPr>
              <w:fldChar w:fldCharType="begin"/>
            </w:r>
            <w:r w:rsidR="00F976DF">
              <w:rPr>
                <w:noProof/>
                <w:webHidden/>
              </w:rPr>
              <w:instrText xml:space="preserve"> PAGEREF _Toc84919351 \h </w:instrText>
            </w:r>
            <w:r w:rsidR="00F976DF">
              <w:rPr>
                <w:noProof/>
                <w:webHidden/>
              </w:rPr>
            </w:r>
            <w:r w:rsidR="00F976DF">
              <w:rPr>
                <w:noProof/>
                <w:webHidden/>
              </w:rPr>
              <w:fldChar w:fldCharType="separate"/>
            </w:r>
            <w:r w:rsidR="009B5C5B">
              <w:rPr>
                <w:noProof/>
                <w:webHidden/>
              </w:rPr>
              <w:t>25</w:t>
            </w:r>
            <w:r w:rsidR="00F976DF">
              <w:rPr>
                <w:noProof/>
                <w:webHidden/>
              </w:rPr>
              <w:fldChar w:fldCharType="end"/>
            </w:r>
          </w:hyperlink>
        </w:p>
        <w:p w14:paraId="47B6F3A7" w14:textId="71802AE7" w:rsidR="00F976DF" w:rsidRDefault="001A60A6">
          <w:pPr>
            <w:pStyle w:val="TDC3"/>
            <w:tabs>
              <w:tab w:val="left" w:pos="880"/>
              <w:tab w:val="right" w:leader="dot" w:pos="8069"/>
            </w:tabs>
            <w:rPr>
              <w:rFonts w:asciiTheme="minorHAnsi" w:eastAsiaTheme="minorEastAsia" w:hAnsiTheme="minorHAnsi" w:cstheme="minorBidi"/>
              <w:noProof/>
              <w:sz w:val="22"/>
              <w:szCs w:val="22"/>
              <w:lang w:val="es-CR" w:eastAsia="es-CR"/>
            </w:rPr>
          </w:pPr>
          <w:hyperlink w:anchor="_Toc84919352" w:history="1">
            <w:r w:rsidR="00F976DF" w:rsidRPr="00EA7C26">
              <w:rPr>
                <w:rStyle w:val="Hipervnculo"/>
                <w:rFonts w:ascii="Symbol" w:eastAsia="Calibri" w:hAnsi="Symbol"/>
                <w:noProof/>
                <w:lang w:val="es-CR"/>
              </w:rPr>
              <w:t></w:t>
            </w:r>
            <w:r w:rsidR="00F976DF">
              <w:rPr>
                <w:rFonts w:asciiTheme="minorHAnsi" w:eastAsiaTheme="minorEastAsia" w:hAnsiTheme="minorHAnsi" w:cstheme="minorBidi"/>
                <w:noProof/>
                <w:sz w:val="22"/>
                <w:szCs w:val="22"/>
                <w:lang w:val="es-CR" w:eastAsia="es-CR"/>
              </w:rPr>
              <w:tab/>
            </w:r>
            <w:r w:rsidR="00F976DF" w:rsidRPr="00EA7C26">
              <w:rPr>
                <w:rStyle w:val="Hipervnculo"/>
                <w:rFonts w:ascii="Arial Narrow" w:eastAsia="Calibri" w:hAnsi="Arial Narrow"/>
                <w:noProof/>
                <w:lang w:val="es-CR"/>
              </w:rPr>
              <w:t>5.1 Tema estratégico: Resolución Oportuna de Conflictos</w:t>
            </w:r>
            <w:r w:rsidR="00F976DF">
              <w:rPr>
                <w:noProof/>
                <w:webHidden/>
              </w:rPr>
              <w:tab/>
            </w:r>
            <w:r w:rsidR="00F976DF">
              <w:rPr>
                <w:noProof/>
                <w:webHidden/>
              </w:rPr>
              <w:fldChar w:fldCharType="begin"/>
            </w:r>
            <w:r w:rsidR="00F976DF">
              <w:rPr>
                <w:noProof/>
                <w:webHidden/>
              </w:rPr>
              <w:instrText xml:space="preserve"> PAGEREF _Toc84919352 \h </w:instrText>
            </w:r>
            <w:r w:rsidR="00F976DF">
              <w:rPr>
                <w:noProof/>
                <w:webHidden/>
              </w:rPr>
            </w:r>
            <w:r w:rsidR="00F976DF">
              <w:rPr>
                <w:noProof/>
                <w:webHidden/>
              </w:rPr>
              <w:fldChar w:fldCharType="separate"/>
            </w:r>
            <w:r w:rsidR="009B5C5B">
              <w:rPr>
                <w:noProof/>
                <w:webHidden/>
              </w:rPr>
              <w:t>29</w:t>
            </w:r>
            <w:r w:rsidR="00F976DF">
              <w:rPr>
                <w:noProof/>
                <w:webHidden/>
              </w:rPr>
              <w:fldChar w:fldCharType="end"/>
            </w:r>
          </w:hyperlink>
        </w:p>
        <w:p w14:paraId="50AE15F9" w14:textId="3B0F37CD" w:rsidR="00F976DF" w:rsidRDefault="001A60A6">
          <w:pPr>
            <w:pStyle w:val="TDC3"/>
            <w:tabs>
              <w:tab w:val="left" w:pos="880"/>
              <w:tab w:val="right" w:leader="dot" w:pos="8069"/>
            </w:tabs>
            <w:rPr>
              <w:rFonts w:asciiTheme="minorHAnsi" w:eastAsiaTheme="minorEastAsia" w:hAnsiTheme="minorHAnsi" w:cstheme="minorBidi"/>
              <w:noProof/>
              <w:sz w:val="22"/>
              <w:szCs w:val="22"/>
              <w:lang w:val="es-CR" w:eastAsia="es-CR"/>
            </w:rPr>
          </w:pPr>
          <w:hyperlink w:anchor="_Toc84919353" w:history="1">
            <w:r w:rsidR="00F976DF" w:rsidRPr="00EA7C26">
              <w:rPr>
                <w:rStyle w:val="Hipervnculo"/>
                <w:rFonts w:ascii="Symbol" w:eastAsia="Calibri" w:hAnsi="Symbol"/>
                <w:noProof/>
                <w:lang w:val="es-CR"/>
              </w:rPr>
              <w:t></w:t>
            </w:r>
            <w:r w:rsidR="00F976DF">
              <w:rPr>
                <w:rFonts w:asciiTheme="minorHAnsi" w:eastAsiaTheme="minorEastAsia" w:hAnsiTheme="minorHAnsi" w:cstheme="minorBidi"/>
                <w:noProof/>
                <w:sz w:val="22"/>
                <w:szCs w:val="22"/>
                <w:lang w:val="es-CR" w:eastAsia="es-CR"/>
              </w:rPr>
              <w:tab/>
            </w:r>
            <w:r w:rsidR="00F976DF" w:rsidRPr="00EA7C26">
              <w:rPr>
                <w:rStyle w:val="Hipervnculo"/>
                <w:rFonts w:ascii="Arial Narrow" w:eastAsia="Calibri" w:hAnsi="Arial Narrow"/>
                <w:noProof/>
                <w:lang w:val="es-CR"/>
              </w:rPr>
              <w:t>5.2 Tema estratégico: Confianza y Probidad en la Justicia</w:t>
            </w:r>
            <w:r w:rsidR="00F976DF">
              <w:rPr>
                <w:noProof/>
                <w:webHidden/>
              </w:rPr>
              <w:tab/>
            </w:r>
            <w:r w:rsidR="00F976DF">
              <w:rPr>
                <w:noProof/>
                <w:webHidden/>
              </w:rPr>
              <w:fldChar w:fldCharType="begin"/>
            </w:r>
            <w:r w:rsidR="00F976DF">
              <w:rPr>
                <w:noProof/>
                <w:webHidden/>
              </w:rPr>
              <w:instrText xml:space="preserve"> PAGEREF _Toc84919353 \h </w:instrText>
            </w:r>
            <w:r w:rsidR="00F976DF">
              <w:rPr>
                <w:noProof/>
                <w:webHidden/>
              </w:rPr>
            </w:r>
            <w:r w:rsidR="00F976DF">
              <w:rPr>
                <w:noProof/>
                <w:webHidden/>
              </w:rPr>
              <w:fldChar w:fldCharType="separate"/>
            </w:r>
            <w:r w:rsidR="009B5C5B">
              <w:rPr>
                <w:noProof/>
                <w:webHidden/>
              </w:rPr>
              <w:t>96</w:t>
            </w:r>
            <w:r w:rsidR="00F976DF">
              <w:rPr>
                <w:noProof/>
                <w:webHidden/>
              </w:rPr>
              <w:fldChar w:fldCharType="end"/>
            </w:r>
          </w:hyperlink>
        </w:p>
        <w:p w14:paraId="418DD629" w14:textId="4B522A41" w:rsidR="00F976DF" w:rsidRDefault="001A60A6">
          <w:pPr>
            <w:pStyle w:val="TDC3"/>
            <w:tabs>
              <w:tab w:val="left" w:pos="880"/>
              <w:tab w:val="right" w:leader="dot" w:pos="8069"/>
            </w:tabs>
            <w:rPr>
              <w:rFonts w:asciiTheme="minorHAnsi" w:eastAsiaTheme="minorEastAsia" w:hAnsiTheme="minorHAnsi" w:cstheme="minorBidi"/>
              <w:noProof/>
              <w:sz w:val="22"/>
              <w:szCs w:val="22"/>
              <w:lang w:val="es-CR" w:eastAsia="es-CR"/>
            </w:rPr>
          </w:pPr>
          <w:hyperlink w:anchor="_Toc84919354" w:history="1">
            <w:r w:rsidR="00F976DF" w:rsidRPr="00EA7C26">
              <w:rPr>
                <w:rStyle w:val="Hipervnculo"/>
                <w:rFonts w:ascii="Symbol" w:eastAsia="Calibri" w:hAnsi="Symbol"/>
                <w:noProof/>
                <w:lang w:val="es-CR"/>
              </w:rPr>
              <w:t></w:t>
            </w:r>
            <w:r w:rsidR="00F976DF">
              <w:rPr>
                <w:rFonts w:asciiTheme="minorHAnsi" w:eastAsiaTheme="minorEastAsia" w:hAnsiTheme="minorHAnsi" w:cstheme="minorBidi"/>
                <w:noProof/>
                <w:sz w:val="22"/>
                <w:szCs w:val="22"/>
                <w:lang w:val="es-CR" w:eastAsia="es-CR"/>
              </w:rPr>
              <w:tab/>
            </w:r>
            <w:r w:rsidR="00F976DF" w:rsidRPr="00EA7C26">
              <w:rPr>
                <w:rStyle w:val="Hipervnculo"/>
                <w:rFonts w:ascii="Arial Narrow" w:eastAsia="Calibri" w:hAnsi="Arial Narrow"/>
                <w:noProof/>
                <w:lang w:val="es-CR"/>
              </w:rPr>
              <w:t>5.3 Tema estratégico: Optimización e innovación de los servicios judiciales</w:t>
            </w:r>
            <w:r w:rsidR="00F976DF">
              <w:rPr>
                <w:noProof/>
                <w:webHidden/>
              </w:rPr>
              <w:tab/>
            </w:r>
            <w:r w:rsidR="00F976DF">
              <w:rPr>
                <w:noProof/>
                <w:webHidden/>
              </w:rPr>
              <w:fldChar w:fldCharType="begin"/>
            </w:r>
            <w:r w:rsidR="00F976DF">
              <w:rPr>
                <w:noProof/>
                <w:webHidden/>
              </w:rPr>
              <w:instrText xml:space="preserve"> PAGEREF _Toc84919354 \h </w:instrText>
            </w:r>
            <w:r w:rsidR="00F976DF">
              <w:rPr>
                <w:noProof/>
                <w:webHidden/>
              </w:rPr>
            </w:r>
            <w:r w:rsidR="00F976DF">
              <w:rPr>
                <w:noProof/>
                <w:webHidden/>
              </w:rPr>
              <w:fldChar w:fldCharType="separate"/>
            </w:r>
            <w:r w:rsidR="009B5C5B">
              <w:rPr>
                <w:noProof/>
                <w:webHidden/>
              </w:rPr>
              <w:t>134</w:t>
            </w:r>
            <w:r w:rsidR="00F976DF">
              <w:rPr>
                <w:noProof/>
                <w:webHidden/>
              </w:rPr>
              <w:fldChar w:fldCharType="end"/>
            </w:r>
          </w:hyperlink>
        </w:p>
        <w:p w14:paraId="795DC187" w14:textId="4F6C07B7" w:rsidR="00F976DF" w:rsidRDefault="001A60A6">
          <w:pPr>
            <w:pStyle w:val="TDC3"/>
            <w:tabs>
              <w:tab w:val="left" w:pos="880"/>
              <w:tab w:val="right" w:leader="dot" w:pos="8069"/>
            </w:tabs>
            <w:rPr>
              <w:rFonts w:asciiTheme="minorHAnsi" w:eastAsiaTheme="minorEastAsia" w:hAnsiTheme="minorHAnsi" w:cstheme="minorBidi"/>
              <w:noProof/>
              <w:sz w:val="22"/>
              <w:szCs w:val="22"/>
              <w:lang w:val="es-CR" w:eastAsia="es-CR"/>
            </w:rPr>
          </w:pPr>
          <w:hyperlink w:anchor="_Toc84919355" w:history="1">
            <w:r w:rsidR="00F976DF" w:rsidRPr="00EA7C26">
              <w:rPr>
                <w:rStyle w:val="Hipervnculo"/>
                <w:rFonts w:ascii="Symbol" w:eastAsia="Calibri" w:hAnsi="Symbol"/>
                <w:noProof/>
                <w:lang w:val="es-CR"/>
              </w:rPr>
              <w:t></w:t>
            </w:r>
            <w:r w:rsidR="00F976DF">
              <w:rPr>
                <w:rFonts w:asciiTheme="minorHAnsi" w:eastAsiaTheme="minorEastAsia" w:hAnsiTheme="minorHAnsi" w:cstheme="minorBidi"/>
                <w:noProof/>
                <w:sz w:val="22"/>
                <w:szCs w:val="22"/>
                <w:lang w:val="es-CR" w:eastAsia="es-CR"/>
              </w:rPr>
              <w:tab/>
            </w:r>
            <w:r w:rsidR="00F976DF" w:rsidRPr="00EA7C26">
              <w:rPr>
                <w:rStyle w:val="Hipervnculo"/>
                <w:rFonts w:ascii="Arial Narrow" w:eastAsia="Calibri" w:hAnsi="Arial Narrow"/>
                <w:noProof/>
                <w:lang w:val="es-CR"/>
              </w:rPr>
              <w:t>5.4 Tema estratégico: Gestión del Personal</w:t>
            </w:r>
            <w:r w:rsidR="00F976DF">
              <w:rPr>
                <w:noProof/>
                <w:webHidden/>
              </w:rPr>
              <w:tab/>
            </w:r>
            <w:r w:rsidR="00F976DF">
              <w:rPr>
                <w:noProof/>
                <w:webHidden/>
              </w:rPr>
              <w:fldChar w:fldCharType="begin"/>
            </w:r>
            <w:r w:rsidR="00F976DF">
              <w:rPr>
                <w:noProof/>
                <w:webHidden/>
              </w:rPr>
              <w:instrText xml:space="preserve"> PAGEREF _Toc84919355 \h </w:instrText>
            </w:r>
            <w:r w:rsidR="00F976DF">
              <w:rPr>
                <w:noProof/>
                <w:webHidden/>
              </w:rPr>
            </w:r>
            <w:r w:rsidR="00F976DF">
              <w:rPr>
                <w:noProof/>
                <w:webHidden/>
              </w:rPr>
              <w:fldChar w:fldCharType="separate"/>
            </w:r>
            <w:r w:rsidR="009B5C5B">
              <w:rPr>
                <w:noProof/>
                <w:webHidden/>
              </w:rPr>
              <w:t>195</w:t>
            </w:r>
            <w:r w:rsidR="00F976DF">
              <w:rPr>
                <w:noProof/>
                <w:webHidden/>
              </w:rPr>
              <w:fldChar w:fldCharType="end"/>
            </w:r>
          </w:hyperlink>
        </w:p>
        <w:p w14:paraId="1CD641B2" w14:textId="3E3E74FB" w:rsidR="00F976DF" w:rsidRDefault="001A60A6">
          <w:pPr>
            <w:pStyle w:val="TDC3"/>
            <w:tabs>
              <w:tab w:val="left" w:pos="880"/>
              <w:tab w:val="right" w:leader="dot" w:pos="8069"/>
            </w:tabs>
            <w:rPr>
              <w:rFonts w:asciiTheme="minorHAnsi" w:eastAsiaTheme="minorEastAsia" w:hAnsiTheme="minorHAnsi" w:cstheme="minorBidi"/>
              <w:noProof/>
              <w:sz w:val="22"/>
              <w:szCs w:val="22"/>
              <w:lang w:val="es-CR" w:eastAsia="es-CR"/>
            </w:rPr>
          </w:pPr>
          <w:hyperlink w:anchor="_Toc84919356" w:history="1">
            <w:r w:rsidR="00F976DF" w:rsidRPr="00EA7C26">
              <w:rPr>
                <w:rStyle w:val="Hipervnculo"/>
                <w:rFonts w:ascii="Symbol" w:eastAsia="Calibri" w:hAnsi="Symbol"/>
                <w:noProof/>
                <w:lang w:val="es-CR"/>
              </w:rPr>
              <w:t></w:t>
            </w:r>
            <w:r w:rsidR="00F976DF">
              <w:rPr>
                <w:rFonts w:asciiTheme="minorHAnsi" w:eastAsiaTheme="minorEastAsia" w:hAnsiTheme="minorHAnsi" w:cstheme="minorBidi"/>
                <w:noProof/>
                <w:sz w:val="22"/>
                <w:szCs w:val="22"/>
                <w:lang w:val="es-CR" w:eastAsia="es-CR"/>
              </w:rPr>
              <w:tab/>
            </w:r>
            <w:r w:rsidR="00F976DF" w:rsidRPr="00EA7C26">
              <w:rPr>
                <w:rStyle w:val="Hipervnculo"/>
                <w:rFonts w:ascii="Arial Narrow" w:eastAsia="Calibri" w:hAnsi="Arial Narrow"/>
                <w:noProof/>
                <w:lang w:val="es-CR"/>
              </w:rPr>
              <w:t>5.5 Tema estratégico: Planificación Institucional</w:t>
            </w:r>
            <w:r w:rsidR="00F976DF">
              <w:rPr>
                <w:noProof/>
                <w:webHidden/>
              </w:rPr>
              <w:tab/>
            </w:r>
            <w:r w:rsidR="00F976DF">
              <w:rPr>
                <w:noProof/>
                <w:webHidden/>
              </w:rPr>
              <w:fldChar w:fldCharType="begin"/>
            </w:r>
            <w:r w:rsidR="00F976DF">
              <w:rPr>
                <w:noProof/>
                <w:webHidden/>
              </w:rPr>
              <w:instrText xml:space="preserve"> PAGEREF _Toc84919356 \h </w:instrText>
            </w:r>
            <w:r w:rsidR="00F976DF">
              <w:rPr>
                <w:noProof/>
                <w:webHidden/>
              </w:rPr>
            </w:r>
            <w:r w:rsidR="00F976DF">
              <w:rPr>
                <w:noProof/>
                <w:webHidden/>
              </w:rPr>
              <w:fldChar w:fldCharType="separate"/>
            </w:r>
            <w:r w:rsidR="009B5C5B">
              <w:rPr>
                <w:noProof/>
                <w:webHidden/>
              </w:rPr>
              <w:t>243</w:t>
            </w:r>
            <w:r w:rsidR="00F976DF">
              <w:rPr>
                <w:noProof/>
                <w:webHidden/>
              </w:rPr>
              <w:fldChar w:fldCharType="end"/>
            </w:r>
          </w:hyperlink>
        </w:p>
        <w:p w14:paraId="62A301A2" w14:textId="05474417" w:rsidR="00F976DF" w:rsidRDefault="001A60A6">
          <w:pPr>
            <w:pStyle w:val="TDC3"/>
            <w:tabs>
              <w:tab w:val="left" w:pos="880"/>
              <w:tab w:val="right" w:leader="dot" w:pos="8069"/>
            </w:tabs>
            <w:rPr>
              <w:rFonts w:asciiTheme="minorHAnsi" w:eastAsiaTheme="minorEastAsia" w:hAnsiTheme="minorHAnsi" w:cstheme="minorBidi"/>
              <w:noProof/>
              <w:sz w:val="22"/>
              <w:szCs w:val="22"/>
              <w:lang w:val="es-CR" w:eastAsia="es-CR"/>
            </w:rPr>
          </w:pPr>
          <w:hyperlink w:anchor="_Toc84919357" w:history="1">
            <w:r w:rsidR="00F976DF" w:rsidRPr="00EA7C26">
              <w:rPr>
                <w:rStyle w:val="Hipervnculo"/>
                <w:rFonts w:ascii="Symbol" w:eastAsia="Calibri" w:hAnsi="Symbol"/>
                <w:noProof/>
                <w:lang w:val="es-CR"/>
              </w:rPr>
              <w:t></w:t>
            </w:r>
            <w:r w:rsidR="00F976DF">
              <w:rPr>
                <w:rFonts w:asciiTheme="minorHAnsi" w:eastAsiaTheme="minorEastAsia" w:hAnsiTheme="minorHAnsi" w:cstheme="minorBidi"/>
                <w:noProof/>
                <w:sz w:val="22"/>
                <w:szCs w:val="22"/>
                <w:lang w:val="es-CR" w:eastAsia="es-CR"/>
              </w:rPr>
              <w:tab/>
            </w:r>
            <w:r w:rsidR="00F976DF" w:rsidRPr="00EA7C26">
              <w:rPr>
                <w:rStyle w:val="Hipervnculo"/>
                <w:rFonts w:ascii="Arial Narrow" w:eastAsia="Calibri" w:hAnsi="Arial Narrow"/>
                <w:noProof/>
                <w:lang w:val="es-CR"/>
              </w:rPr>
              <w:t>5.6 Detalle de avances en el Tema de Riesgos del Plan Estratégico</w:t>
            </w:r>
            <w:r w:rsidR="00F976DF">
              <w:rPr>
                <w:noProof/>
                <w:webHidden/>
              </w:rPr>
              <w:tab/>
            </w:r>
            <w:r w:rsidR="00F976DF">
              <w:rPr>
                <w:noProof/>
                <w:webHidden/>
              </w:rPr>
              <w:fldChar w:fldCharType="begin"/>
            </w:r>
            <w:r w:rsidR="00F976DF">
              <w:rPr>
                <w:noProof/>
                <w:webHidden/>
              </w:rPr>
              <w:instrText xml:space="preserve"> PAGEREF _Toc84919357 \h </w:instrText>
            </w:r>
            <w:r w:rsidR="00F976DF">
              <w:rPr>
                <w:noProof/>
                <w:webHidden/>
              </w:rPr>
            </w:r>
            <w:r w:rsidR="00F976DF">
              <w:rPr>
                <w:noProof/>
                <w:webHidden/>
              </w:rPr>
              <w:fldChar w:fldCharType="separate"/>
            </w:r>
            <w:r w:rsidR="009B5C5B">
              <w:rPr>
                <w:noProof/>
                <w:webHidden/>
              </w:rPr>
              <w:t>256</w:t>
            </w:r>
            <w:r w:rsidR="00F976DF">
              <w:rPr>
                <w:noProof/>
                <w:webHidden/>
              </w:rPr>
              <w:fldChar w:fldCharType="end"/>
            </w:r>
          </w:hyperlink>
        </w:p>
        <w:p w14:paraId="228297FE" w14:textId="29985C54" w:rsidR="00F976DF" w:rsidRDefault="001A60A6">
          <w:pPr>
            <w:pStyle w:val="TDC2"/>
            <w:rPr>
              <w:rFonts w:asciiTheme="minorHAnsi" w:eastAsiaTheme="minorEastAsia" w:hAnsiTheme="minorHAnsi" w:cstheme="minorBidi"/>
              <w:noProof/>
              <w:sz w:val="22"/>
              <w:szCs w:val="22"/>
              <w:lang w:val="es-CR" w:eastAsia="es-CR"/>
            </w:rPr>
          </w:pPr>
          <w:hyperlink w:anchor="_Toc84919358" w:history="1">
            <w:r w:rsidR="00F976DF" w:rsidRPr="00EA7C26">
              <w:rPr>
                <w:rStyle w:val="Hipervnculo"/>
                <w:noProof/>
              </w:rPr>
              <w:t>6.</w:t>
            </w:r>
            <w:r w:rsidR="00F976DF">
              <w:rPr>
                <w:rFonts w:asciiTheme="minorHAnsi" w:eastAsiaTheme="minorEastAsia" w:hAnsiTheme="minorHAnsi" w:cstheme="minorBidi"/>
                <w:noProof/>
                <w:sz w:val="22"/>
                <w:szCs w:val="22"/>
                <w:lang w:val="es-CR" w:eastAsia="es-CR"/>
              </w:rPr>
              <w:tab/>
            </w:r>
            <w:r w:rsidR="00F976DF" w:rsidRPr="00EA7C26">
              <w:rPr>
                <w:rStyle w:val="Hipervnculo"/>
                <w:noProof/>
              </w:rPr>
              <w:t>Desafíos sobre metas estratégicas con nivel de cumplimiento medio y bajo</w:t>
            </w:r>
            <w:r w:rsidR="00F976DF">
              <w:rPr>
                <w:noProof/>
                <w:webHidden/>
              </w:rPr>
              <w:tab/>
            </w:r>
            <w:r w:rsidR="00F976DF">
              <w:rPr>
                <w:noProof/>
                <w:webHidden/>
              </w:rPr>
              <w:fldChar w:fldCharType="begin"/>
            </w:r>
            <w:r w:rsidR="00F976DF">
              <w:rPr>
                <w:noProof/>
                <w:webHidden/>
              </w:rPr>
              <w:instrText xml:space="preserve"> PAGEREF _Toc84919358 \h </w:instrText>
            </w:r>
            <w:r w:rsidR="00F976DF">
              <w:rPr>
                <w:noProof/>
                <w:webHidden/>
              </w:rPr>
            </w:r>
            <w:r w:rsidR="00F976DF">
              <w:rPr>
                <w:noProof/>
                <w:webHidden/>
              </w:rPr>
              <w:fldChar w:fldCharType="separate"/>
            </w:r>
            <w:r w:rsidR="009B5C5B">
              <w:rPr>
                <w:noProof/>
                <w:webHidden/>
              </w:rPr>
              <w:t>257</w:t>
            </w:r>
            <w:r w:rsidR="00F976DF">
              <w:rPr>
                <w:noProof/>
                <w:webHidden/>
              </w:rPr>
              <w:fldChar w:fldCharType="end"/>
            </w:r>
          </w:hyperlink>
        </w:p>
        <w:p w14:paraId="070DB395" w14:textId="45CDCE8B" w:rsidR="00F976DF" w:rsidRDefault="001A60A6">
          <w:pPr>
            <w:pStyle w:val="TDC3"/>
            <w:tabs>
              <w:tab w:val="left" w:pos="1100"/>
              <w:tab w:val="right" w:leader="dot" w:pos="8069"/>
            </w:tabs>
            <w:rPr>
              <w:rFonts w:asciiTheme="minorHAnsi" w:eastAsiaTheme="minorEastAsia" w:hAnsiTheme="minorHAnsi" w:cstheme="minorBidi"/>
              <w:noProof/>
              <w:sz w:val="22"/>
              <w:szCs w:val="22"/>
              <w:lang w:val="es-CR" w:eastAsia="es-CR"/>
            </w:rPr>
          </w:pPr>
          <w:hyperlink w:anchor="_Toc84919359" w:history="1">
            <w:r w:rsidR="00F976DF" w:rsidRPr="00EA7C26">
              <w:rPr>
                <w:rStyle w:val="Hipervnculo"/>
                <w:rFonts w:ascii="Arial Narrow" w:hAnsi="Arial Narrow"/>
                <w:noProof/>
                <w:lang w:val="es-CR"/>
              </w:rPr>
              <w:t>6.1</w:t>
            </w:r>
            <w:r w:rsidR="00F976DF">
              <w:rPr>
                <w:rFonts w:asciiTheme="minorHAnsi" w:eastAsiaTheme="minorEastAsia" w:hAnsiTheme="minorHAnsi" w:cstheme="minorBidi"/>
                <w:noProof/>
                <w:sz w:val="22"/>
                <w:szCs w:val="22"/>
                <w:lang w:val="es-CR" w:eastAsia="es-CR"/>
              </w:rPr>
              <w:tab/>
            </w:r>
            <w:r w:rsidR="00F976DF" w:rsidRPr="00EA7C26">
              <w:rPr>
                <w:rStyle w:val="Hipervnculo"/>
                <w:rFonts w:ascii="Arial Narrow" w:hAnsi="Arial Narrow"/>
                <w:noProof/>
                <w:lang w:val="es-CR"/>
              </w:rPr>
              <w:t>Tema estratégico: Resolución oportuna de conflictos</w:t>
            </w:r>
            <w:r w:rsidR="00F976DF">
              <w:rPr>
                <w:noProof/>
                <w:webHidden/>
              </w:rPr>
              <w:tab/>
            </w:r>
            <w:r w:rsidR="00F976DF">
              <w:rPr>
                <w:noProof/>
                <w:webHidden/>
              </w:rPr>
              <w:fldChar w:fldCharType="begin"/>
            </w:r>
            <w:r w:rsidR="00F976DF">
              <w:rPr>
                <w:noProof/>
                <w:webHidden/>
              </w:rPr>
              <w:instrText xml:space="preserve"> PAGEREF _Toc84919359 \h </w:instrText>
            </w:r>
            <w:r w:rsidR="00F976DF">
              <w:rPr>
                <w:noProof/>
                <w:webHidden/>
              </w:rPr>
            </w:r>
            <w:r w:rsidR="00F976DF">
              <w:rPr>
                <w:noProof/>
                <w:webHidden/>
              </w:rPr>
              <w:fldChar w:fldCharType="separate"/>
            </w:r>
            <w:r w:rsidR="009B5C5B">
              <w:rPr>
                <w:noProof/>
                <w:webHidden/>
              </w:rPr>
              <w:t>257</w:t>
            </w:r>
            <w:r w:rsidR="00F976DF">
              <w:rPr>
                <w:noProof/>
                <w:webHidden/>
              </w:rPr>
              <w:fldChar w:fldCharType="end"/>
            </w:r>
          </w:hyperlink>
        </w:p>
        <w:p w14:paraId="33AF1978" w14:textId="234E4186" w:rsidR="00F976DF" w:rsidRDefault="001A60A6">
          <w:pPr>
            <w:pStyle w:val="TDC3"/>
            <w:tabs>
              <w:tab w:val="left" w:pos="1100"/>
              <w:tab w:val="right" w:leader="dot" w:pos="8069"/>
            </w:tabs>
            <w:rPr>
              <w:rFonts w:asciiTheme="minorHAnsi" w:eastAsiaTheme="minorEastAsia" w:hAnsiTheme="minorHAnsi" w:cstheme="minorBidi"/>
              <w:noProof/>
              <w:sz w:val="22"/>
              <w:szCs w:val="22"/>
              <w:lang w:val="es-CR" w:eastAsia="es-CR"/>
            </w:rPr>
          </w:pPr>
          <w:hyperlink w:anchor="_Toc84919360" w:history="1">
            <w:r w:rsidR="00F976DF" w:rsidRPr="00EA7C26">
              <w:rPr>
                <w:rStyle w:val="Hipervnculo"/>
                <w:rFonts w:ascii="Arial Narrow" w:hAnsi="Arial Narrow"/>
                <w:noProof/>
              </w:rPr>
              <w:t>6.2</w:t>
            </w:r>
            <w:r w:rsidR="00F976DF">
              <w:rPr>
                <w:rFonts w:asciiTheme="minorHAnsi" w:eastAsiaTheme="minorEastAsia" w:hAnsiTheme="minorHAnsi" w:cstheme="minorBidi"/>
                <w:noProof/>
                <w:sz w:val="22"/>
                <w:szCs w:val="22"/>
                <w:lang w:val="es-CR" w:eastAsia="es-CR"/>
              </w:rPr>
              <w:tab/>
            </w:r>
            <w:r w:rsidR="00F976DF" w:rsidRPr="00EA7C26">
              <w:rPr>
                <w:rStyle w:val="Hipervnculo"/>
                <w:rFonts w:ascii="Arial Narrow" w:hAnsi="Arial Narrow"/>
                <w:noProof/>
              </w:rPr>
              <w:t>Tema estratégico: Confianza y Probidad</w:t>
            </w:r>
            <w:r w:rsidR="00F976DF">
              <w:rPr>
                <w:noProof/>
                <w:webHidden/>
              </w:rPr>
              <w:tab/>
            </w:r>
            <w:r w:rsidR="00F976DF">
              <w:rPr>
                <w:noProof/>
                <w:webHidden/>
              </w:rPr>
              <w:fldChar w:fldCharType="begin"/>
            </w:r>
            <w:r w:rsidR="00F976DF">
              <w:rPr>
                <w:noProof/>
                <w:webHidden/>
              </w:rPr>
              <w:instrText xml:space="preserve"> PAGEREF _Toc84919360 \h </w:instrText>
            </w:r>
            <w:r w:rsidR="00F976DF">
              <w:rPr>
                <w:noProof/>
                <w:webHidden/>
              </w:rPr>
            </w:r>
            <w:r w:rsidR="00F976DF">
              <w:rPr>
                <w:noProof/>
                <w:webHidden/>
              </w:rPr>
              <w:fldChar w:fldCharType="separate"/>
            </w:r>
            <w:r w:rsidR="009B5C5B">
              <w:rPr>
                <w:noProof/>
                <w:webHidden/>
              </w:rPr>
              <w:t>260</w:t>
            </w:r>
            <w:r w:rsidR="00F976DF">
              <w:rPr>
                <w:noProof/>
                <w:webHidden/>
              </w:rPr>
              <w:fldChar w:fldCharType="end"/>
            </w:r>
          </w:hyperlink>
        </w:p>
        <w:p w14:paraId="5F70EF3A" w14:textId="5DB0B7DF" w:rsidR="00F976DF" w:rsidRDefault="001A60A6">
          <w:pPr>
            <w:pStyle w:val="TDC3"/>
            <w:tabs>
              <w:tab w:val="left" w:pos="1100"/>
              <w:tab w:val="right" w:leader="dot" w:pos="8069"/>
            </w:tabs>
            <w:rPr>
              <w:rFonts w:asciiTheme="minorHAnsi" w:eastAsiaTheme="minorEastAsia" w:hAnsiTheme="minorHAnsi" w:cstheme="minorBidi"/>
              <w:noProof/>
              <w:sz w:val="22"/>
              <w:szCs w:val="22"/>
              <w:lang w:val="es-CR" w:eastAsia="es-CR"/>
            </w:rPr>
          </w:pPr>
          <w:hyperlink w:anchor="_Toc84919361" w:history="1">
            <w:r w:rsidR="00F976DF" w:rsidRPr="00EA7C26">
              <w:rPr>
                <w:rStyle w:val="Hipervnculo"/>
                <w:rFonts w:ascii="Arial Narrow" w:hAnsi="Arial Narrow"/>
                <w:noProof/>
                <w:lang w:val="es-CR"/>
              </w:rPr>
              <w:t>6.3</w:t>
            </w:r>
            <w:r w:rsidR="00F976DF">
              <w:rPr>
                <w:rFonts w:asciiTheme="minorHAnsi" w:eastAsiaTheme="minorEastAsia" w:hAnsiTheme="minorHAnsi" w:cstheme="minorBidi"/>
                <w:noProof/>
                <w:sz w:val="22"/>
                <w:szCs w:val="22"/>
                <w:lang w:val="es-CR" w:eastAsia="es-CR"/>
              </w:rPr>
              <w:tab/>
            </w:r>
            <w:r w:rsidR="00F976DF" w:rsidRPr="00EA7C26">
              <w:rPr>
                <w:rStyle w:val="Hipervnculo"/>
                <w:rFonts w:ascii="Arial Narrow" w:hAnsi="Arial Narrow"/>
                <w:noProof/>
                <w:lang w:val="es-CR"/>
              </w:rPr>
              <w:t>Tema estratégico: Optimización e innovación de los servicios judiciales</w:t>
            </w:r>
            <w:r w:rsidR="00F976DF">
              <w:rPr>
                <w:noProof/>
                <w:webHidden/>
              </w:rPr>
              <w:tab/>
            </w:r>
            <w:r w:rsidR="00F976DF">
              <w:rPr>
                <w:noProof/>
                <w:webHidden/>
              </w:rPr>
              <w:fldChar w:fldCharType="begin"/>
            </w:r>
            <w:r w:rsidR="00F976DF">
              <w:rPr>
                <w:noProof/>
                <w:webHidden/>
              </w:rPr>
              <w:instrText xml:space="preserve"> PAGEREF _Toc84919361 \h </w:instrText>
            </w:r>
            <w:r w:rsidR="00F976DF">
              <w:rPr>
                <w:noProof/>
                <w:webHidden/>
              </w:rPr>
            </w:r>
            <w:r w:rsidR="00F976DF">
              <w:rPr>
                <w:noProof/>
                <w:webHidden/>
              </w:rPr>
              <w:fldChar w:fldCharType="separate"/>
            </w:r>
            <w:r w:rsidR="009B5C5B">
              <w:rPr>
                <w:noProof/>
                <w:webHidden/>
              </w:rPr>
              <w:t>261</w:t>
            </w:r>
            <w:r w:rsidR="00F976DF">
              <w:rPr>
                <w:noProof/>
                <w:webHidden/>
              </w:rPr>
              <w:fldChar w:fldCharType="end"/>
            </w:r>
          </w:hyperlink>
        </w:p>
        <w:p w14:paraId="0A966DB9" w14:textId="53ECBCE4" w:rsidR="00F976DF" w:rsidRDefault="001A60A6">
          <w:pPr>
            <w:pStyle w:val="TDC3"/>
            <w:tabs>
              <w:tab w:val="left" w:pos="1100"/>
              <w:tab w:val="right" w:leader="dot" w:pos="8069"/>
            </w:tabs>
            <w:rPr>
              <w:rFonts w:asciiTheme="minorHAnsi" w:eastAsiaTheme="minorEastAsia" w:hAnsiTheme="minorHAnsi" w:cstheme="minorBidi"/>
              <w:noProof/>
              <w:sz w:val="22"/>
              <w:szCs w:val="22"/>
              <w:lang w:val="es-CR" w:eastAsia="es-CR"/>
            </w:rPr>
          </w:pPr>
          <w:hyperlink w:anchor="_Toc84919362" w:history="1">
            <w:r w:rsidR="00F976DF" w:rsidRPr="00EA7C26">
              <w:rPr>
                <w:rStyle w:val="Hipervnculo"/>
                <w:rFonts w:ascii="Arial Narrow" w:hAnsi="Arial Narrow"/>
                <w:noProof/>
              </w:rPr>
              <w:t>6.4</w:t>
            </w:r>
            <w:r w:rsidR="00F976DF">
              <w:rPr>
                <w:rFonts w:asciiTheme="minorHAnsi" w:eastAsiaTheme="minorEastAsia" w:hAnsiTheme="minorHAnsi" w:cstheme="minorBidi"/>
                <w:noProof/>
                <w:sz w:val="22"/>
                <w:szCs w:val="22"/>
                <w:lang w:val="es-CR" w:eastAsia="es-CR"/>
              </w:rPr>
              <w:tab/>
            </w:r>
            <w:r w:rsidR="00F976DF" w:rsidRPr="00EA7C26">
              <w:rPr>
                <w:rStyle w:val="Hipervnculo"/>
                <w:rFonts w:ascii="Arial Narrow" w:hAnsi="Arial Narrow"/>
                <w:noProof/>
              </w:rPr>
              <w:t>Tema estratégico: Gestión del Personal</w:t>
            </w:r>
            <w:r w:rsidR="00F976DF">
              <w:rPr>
                <w:noProof/>
                <w:webHidden/>
              </w:rPr>
              <w:tab/>
            </w:r>
            <w:r w:rsidR="00F976DF">
              <w:rPr>
                <w:noProof/>
                <w:webHidden/>
              </w:rPr>
              <w:fldChar w:fldCharType="begin"/>
            </w:r>
            <w:r w:rsidR="00F976DF">
              <w:rPr>
                <w:noProof/>
                <w:webHidden/>
              </w:rPr>
              <w:instrText xml:space="preserve"> PAGEREF _Toc84919362 \h </w:instrText>
            </w:r>
            <w:r w:rsidR="00F976DF">
              <w:rPr>
                <w:noProof/>
                <w:webHidden/>
              </w:rPr>
            </w:r>
            <w:r w:rsidR="00F976DF">
              <w:rPr>
                <w:noProof/>
                <w:webHidden/>
              </w:rPr>
              <w:fldChar w:fldCharType="separate"/>
            </w:r>
            <w:r w:rsidR="009B5C5B">
              <w:rPr>
                <w:noProof/>
                <w:webHidden/>
              </w:rPr>
              <w:t>263</w:t>
            </w:r>
            <w:r w:rsidR="00F976DF">
              <w:rPr>
                <w:noProof/>
                <w:webHidden/>
              </w:rPr>
              <w:fldChar w:fldCharType="end"/>
            </w:r>
          </w:hyperlink>
        </w:p>
        <w:p w14:paraId="47FC0A07" w14:textId="0996EA36" w:rsidR="00F976DF" w:rsidRDefault="001A60A6">
          <w:pPr>
            <w:pStyle w:val="TDC3"/>
            <w:tabs>
              <w:tab w:val="left" w:pos="1100"/>
              <w:tab w:val="right" w:leader="dot" w:pos="8069"/>
            </w:tabs>
            <w:rPr>
              <w:rFonts w:asciiTheme="minorHAnsi" w:eastAsiaTheme="minorEastAsia" w:hAnsiTheme="minorHAnsi" w:cstheme="minorBidi"/>
              <w:noProof/>
              <w:sz w:val="22"/>
              <w:szCs w:val="22"/>
              <w:lang w:val="es-CR" w:eastAsia="es-CR"/>
            </w:rPr>
          </w:pPr>
          <w:hyperlink w:anchor="_Toc84919363" w:history="1">
            <w:r w:rsidR="00F976DF" w:rsidRPr="00EA7C26">
              <w:rPr>
                <w:rStyle w:val="Hipervnculo"/>
                <w:rFonts w:ascii="Arial Narrow" w:hAnsi="Arial Narrow"/>
                <w:noProof/>
              </w:rPr>
              <w:t>6.5</w:t>
            </w:r>
            <w:r w:rsidR="00F976DF">
              <w:rPr>
                <w:rFonts w:asciiTheme="minorHAnsi" w:eastAsiaTheme="minorEastAsia" w:hAnsiTheme="minorHAnsi" w:cstheme="minorBidi"/>
                <w:noProof/>
                <w:sz w:val="22"/>
                <w:szCs w:val="22"/>
                <w:lang w:val="es-CR" w:eastAsia="es-CR"/>
              </w:rPr>
              <w:tab/>
            </w:r>
            <w:r w:rsidR="00F976DF" w:rsidRPr="00EA7C26">
              <w:rPr>
                <w:rStyle w:val="Hipervnculo"/>
                <w:rFonts w:ascii="Arial Narrow" w:hAnsi="Arial Narrow"/>
                <w:noProof/>
              </w:rPr>
              <w:t>Tema estratégico: Planificación Institucional</w:t>
            </w:r>
            <w:r w:rsidR="00F976DF">
              <w:rPr>
                <w:noProof/>
                <w:webHidden/>
              </w:rPr>
              <w:tab/>
            </w:r>
            <w:r w:rsidR="00F976DF">
              <w:rPr>
                <w:noProof/>
                <w:webHidden/>
              </w:rPr>
              <w:fldChar w:fldCharType="begin"/>
            </w:r>
            <w:r w:rsidR="00F976DF">
              <w:rPr>
                <w:noProof/>
                <w:webHidden/>
              </w:rPr>
              <w:instrText xml:space="preserve"> PAGEREF _Toc84919363 \h </w:instrText>
            </w:r>
            <w:r w:rsidR="00F976DF">
              <w:rPr>
                <w:noProof/>
                <w:webHidden/>
              </w:rPr>
            </w:r>
            <w:r w:rsidR="00F976DF">
              <w:rPr>
                <w:noProof/>
                <w:webHidden/>
              </w:rPr>
              <w:fldChar w:fldCharType="separate"/>
            </w:r>
            <w:r w:rsidR="009B5C5B">
              <w:rPr>
                <w:noProof/>
                <w:webHidden/>
              </w:rPr>
              <w:t>268</w:t>
            </w:r>
            <w:r w:rsidR="00F976DF">
              <w:rPr>
                <w:noProof/>
                <w:webHidden/>
              </w:rPr>
              <w:fldChar w:fldCharType="end"/>
            </w:r>
          </w:hyperlink>
        </w:p>
        <w:p w14:paraId="2B1994BF" w14:textId="720D8811" w:rsidR="00F976DF" w:rsidRDefault="001A60A6">
          <w:pPr>
            <w:pStyle w:val="TDC2"/>
            <w:rPr>
              <w:rFonts w:asciiTheme="minorHAnsi" w:eastAsiaTheme="minorEastAsia" w:hAnsiTheme="minorHAnsi" w:cstheme="minorBidi"/>
              <w:noProof/>
              <w:sz w:val="22"/>
              <w:szCs w:val="22"/>
              <w:lang w:val="es-CR" w:eastAsia="es-CR"/>
            </w:rPr>
          </w:pPr>
          <w:hyperlink w:anchor="_Toc84919364" w:history="1">
            <w:r w:rsidR="00F976DF" w:rsidRPr="00EA7C26">
              <w:rPr>
                <w:rStyle w:val="Hipervnculo"/>
                <w:noProof/>
              </w:rPr>
              <w:t>7.</w:t>
            </w:r>
            <w:r w:rsidR="00F976DF">
              <w:rPr>
                <w:rFonts w:asciiTheme="minorHAnsi" w:eastAsiaTheme="minorEastAsia" w:hAnsiTheme="minorHAnsi" w:cstheme="minorBidi"/>
                <w:noProof/>
                <w:sz w:val="22"/>
                <w:szCs w:val="22"/>
                <w:lang w:val="es-CR" w:eastAsia="es-CR"/>
              </w:rPr>
              <w:tab/>
            </w:r>
            <w:r w:rsidR="00F976DF" w:rsidRPr="00EA7C26">
              <w:rPr>
                <w:rStyle w:val="Hipervnculo"/>
                <w:noProof/>
              </w:rPr>
              <w:t>Resultados del PEI por responsables estratégicos</w:t>
            </w:r>
            <w:r w:rsidR="00F976DF">
              <w:rPr>
                <w:noProof/>
                <w:webHidden/>
              </w:rPr>
              <w:tab/>
            </w:r>
            <w:r w:rsidR="00F976DF">
              <w:rPr>
                <w:noProof/>
                <w:webHidden/>
              </w:rPr>
              <w:fldChar w:fldCharType="begin"/>
            </w:r>
            <w:r w:rsidR="00F976DF">
              <w:rPr>
                <w:noProof/>
                <w:webHidden/>
              </w:rPr>
              <w:instrText xml:space="preserve"> PAGEREF _Toc84919364 \h </w:instrText>
            </w:r>
            <w:r w:rsidR="00F976DF">
              <w:rPr>
                <w:noProof/>
                <w:webHidden/>
              </w:rPr>
            </w:r>
            <w:r w:rsidR="00F976DF">
              <w:rPr>
                <w:noProof/>
                <w:webHidden/>
              </w:rPr>
              <w:fldChar w:fldCharType="separate"/>
            </w:r>
            <w:r w:rsidR="009B5C5B">
              <w:rPr>
                <w:noProof/>
                <w:webHidden/>
              </w:rPr>
              <w:t>269</w:t>
            </w:r>
            <w:r w:rsidR="00F976DF">
              <w:rPr>
                <w:noProof/>
                <w:webHidden/>
              </w:rPr>
              <w:fldChar w:fldCharType="end"/>
            </w:r>
          </w:hyperlink>
        </w:p>
        <w:p w14:paraId="0F6C33F0" w14:textId="727FF4E0" w:rsidR="00F976DF" w:rsidRDefault="001A60A6">
          <w:pPr>
            <w:pStyle w:val="TDC2"/>
            <w:rPr>
              <w:rFonts w:asciiTheme="minorHAnsi" w:eastAsiaTheme="minorEastAsia" w:hAnsiTheme="minorHAnsi" w:cstheme="minorBidi"/>
              <w:noProof/>
              <w:sz w:val="22"/>
              <w:szCs w:val="22"/>
              <w:lang w:val="es-CR" w:eastAsia="es-CR"/>
            </w:rPr>
          </w:pPr>
          <w:hyperlink w:anchor="_Toc84919365" w:history="1">
            <w:r w:rsidR="00F976DF" w:rsidRPr="00EA7C26">
              <w:rPr>
                <w:rStyle w:val="Hipervnculo"/>
                <w:noProof/>
              </w:rPr>
              <w:t>8.</w:t>
            </w:r>
            <w:r w:rsidR="00F976DF">
              <w:rPr>
                <w:rFonts w:asciiTheme="minorHAnsi" w:eastAsiaTheme="minorEastAsia" w:hAnsiTheme="minorHAnsi" w:cstheme="minorBidi"/>
                <w:noProof/>
                <w:sz w:val="22"/>
                <w:szCs w:val="22"/>
                <w:lang w:val="es-CR" w:eastAsia="es-CR"/>
              </w:rPr>
              <w:tab/>
            </w:r>
            <w:r w:rsidR="00F976DF" w:rsidRPr="00EA7C26">
              <w:rPr>
                <w:rStyle w:val="Hipervnculo"/>
                <w:noProof/>
              </w:rPr>
              <w:t>Rendición de boletines informativos sobre el cumplimiento del PEI para el 2019 y 2020</w:t>
            </w:r>
            <w:r w:rsidR="00F976DF">
              <w:rPr>
                <w:noProof/>
                <w:webHidden/>
              </w:rPr>
              <w:tab/>
            </w:r>
            <w:r w:rsidR="00F976DF">
              <w:rPr>
                <w:noProof/>
                <w:webHidden/>
              </w:rPr>
              <w:fldChar w:fldCharType="begin"/>
            </w:r>
            <w:r w:rsidR="00F976DF">
              <w:rPr>
                <w:noProof/>
                <w:webHidden/>
              </w:rPr>
              <w:instrText xml:space="preserve"> PAGEREF _Toc84919365 \h </w:instrText>
            </w:r>
            <w:r w:rsidR="00F976DF">
              <w:rPr>
                <w:noProof/>
                <w:webHidden/>
              </w:rPr>
            </w:r>
            <w:r w:rsidR="00F976DF">
              <w:rPr>
                <w:noProof/>
                <w:webHidden/>
              </w:rPr>
              <w:fldChar w:fldCharType="separate"/>
            </w:r>
            <w:r w:rsidR="009B5C5B">
              <w:rPr>
                <w:noProof/>
                <w:webHidden/>
              </w:rPr>
              <w:t>282</w:t>
            </w:r>
            <w:r w:rsidR="00F976DF">
              <w:rPr>
                <w:noProof/>
                <w:webHidden/>
              </w:rPr>
              <w:fldChar w:fldCharType="end"/>
            </w:r>
          </w:hyperlink>
        </w:p>
        <w:p w14:paraId="45113BC7" w14:textId="22C48C79" w:rsidR="00F976DF" w:rsidRDefault="001A60A6">
          <w:pPr>
            <w:pStyle w:val="TDC2"/>
            <w:rPr>
              <w:rFonts w:asciiTheme="minorHAnsi" w:eastAsiaTheme="minorEastAsia" w:hAnsiTheme="minorHAnsi" w:cstheme="minorBidi"/>
              <w:noProof/>
              <w:sz w:val="22"/>
              <w:szCs w:val="22"/>
              <w:lang w:val="es-CR" w:eastAsia="es-CR"/>
            </w:rPr>
          </w:pPr>
          <w:hyperlink w:anchor="_Toc84919366" w:history="1">
            <w:r w:rsidR="00F976DF" w:rsidRPr="00EA7C26">
              <w:rPr>
                <w:rStyle w:val="Hipervnculo"/>
                <w:noProof/>
              </w:rPr>
              <w:t>9.</w:t>
            </w:r>
            <w:r w:rsidR="00F976DF">
              <w:rPr>
                <w:rFonts w:asciiTheme="minorHAnsi" w:eastAsiaTheme="minorEastAsia" w:hAnsiTheme="minorHAnsi" w:cstheme="minorBidi"/>
                <w:noProof/>
                <w:sz w:val="22"/>
                <w:szCs w:val="22"/>
                <w:lang w:val="es-CR" w:eastAsia="es-CR"/>
              </w:rPr>
              <w:tab/>
            </w:r>
            <w:r w:rsidR="00F976DF" w:rsidRPr="00EA7C26">
              <w:rPr>
                <w:rStyle w:val="Hipervnculo"/>
                <w:noProof/>
              </w:rPr>
              <w:t>Impacto del COVID- 19 en el Plan Estratégico Institucional</w:t>
            </w:r>
            <w:r w:rsidR="00F976DF">
              <w:rPr>
                <w:noProof/>
                <w:webHidden/>
              </w:rPr>
              <w:tab/>
            </w:r>
            <w:r w:rsidR="00F976DF">
              <w:rPr>
                <w:noProof/>
                <w:webHidden/>
              </w:rPr>
              <w:fldChar w:fldCharType="begin"/>
            </w:r>
            <w:r w:rsidR="00F976DF">
              <w:rPr>
                <w:noProof/>
                <w:webHidden/>
              </w:rPr>
              <w:instrText xml:space="preserve"> PAGEREF _Toc84919366 \h </w:instrText>
            </w:r>
            <w:r w:rsidR="00F976DF">
              <w:rPr>
                <w:noProof/>
                <w:webHidden/>
              </w:rPr>
            </w:r>
            <w:r w:rsidR="00F976DF">
              <w:rPr>
                <w:noProof/>
                <w:webHidden/>
              </w:rPr>
              <w:fldChar w:fldCharType="separate"/>
            </w:r>
            <w:r w:rsidR="009B5C5B">
              <w:rPr>
                <w:noProof/>
                <w:webHidden/>
              </w:rPr>
              <w:t>284</w:t>
            </w:r>
            <w:r w:rsidR="00F976DF">
              <w:rPr>
                <w:noProof/>
                <w:webHidden/>
              </w:rPr>
              <w:fldChar w:fldCharType="end"/>
            </w:r>
          </w:hyperlink>
        </w:p>
        <w:p w14:paraId="412F26F9" w14:textId="6E0F3FA9" w:rsidR="00F976DF" w:rsidRDefault="001A60A6">
          <w:pPr>
            <w:pStyle w:val="TDC2"/>
            <w:rPr>
              <w:rFonts w:asciiTheme="minorHAnsi" w:eastAsiaTheme="minorEastAsia" w:hAnsiTheme="minorHAnsi" w:cstheme="minorBidi"/>
              <w:noProof/>
              <w:sz w:val="22"/>
              <w:szCs w:val="22"/>
              <w:lang w:val="es-CR" w:eastAsia="es-CR"/>
            </w:rPr>
          </w:pPr>
          <w:hyperlink w:anchor="_Toc84919367" w:history="1">
            <w:r w:rsidR="00F976DF" w:rsidRPr="00EA7C26">
              <w:rPr>
                <w:rStyle w:val="Hipervnculo"/>
                <w:noProof/>
              </w:rPr>
              <w:t>10.</w:t>
            </w:r>
            <w:r w:rsidR="00F976DF">
              <w:rPr>
                <w:rFonts w:asciiTheme="minorHAnsi" w:eastAsiaTheme="minorEastAsia" w:hAnsiTheme="minorHAnsi" w:cstheme="minorBidi"/>
                <w:noProof/>
                <w:sz w:val="22"/>
                <w:szCs w:val="22"/>
                <w:lang w:val="es-CR" w:eastAsia="es-CR"/>
              </w:rPr>
              <w:tab/>
            </w:r>
            <w:r w:rsidR="00F976DF" w:rsidRPr="00EA7C26">
              <w:rPr>
                <w:rStyle w:val="Hipervnculo"/>
                <w:noProof/>
              </w:rPr>
              <w:t>Conclusiones</w:t>
            </w:r>
            <w:r w:rsidR="00F976DF">
              <w:rPr>
                <w:noProof/>
                <w:webHidden/>
              </w:rPr>
              <w:tab/>
            </w:r>
            <w:r w:rsidR="00F976DF">
              <w:rPr>
                <w:noProof/>
                <w:webHidden/>
              </w:rPr>
              <w:fldChar w:fldCharType="begin"/>
            </w:r>
            <w:r w:rsidR="00F976DF">
              <w:rPr>
                <w:noProof/>
                <w:webHidden/>
              </w:rPr>
              <w:instrText xml:space="preserve"> PAGEREF _Toc84919367 \h </w:instrText>
            </w:r>
            <w:r w:rsidR="00F976DF">
              <w:rPr>
                <w:noProof/>
                <w:webHidden/>
              </w:rPr>
            </w:r>
            <w:r w:rsidR="00F976DF">
              <w:rPr>
                <w:noProof/>
                <w:webHidden/>
              </w:rPr>
              <w:fldChar w:fldCharType="separate"/>
            </w:r>
            <w:r w:rsidR="009B5C5B">
              <w:rPr>
                <w:noProof/>
                <w:webHidden/>
              </w:rPr>
              <w:t>295</w:t>
            </w:r>
            <w:r w:rsidR="00F976DF">
              <w:rPr>
                <w:noProof/>
                <w:webHidden/>
              </w:rPr>
              <w:fldChar w:fldCharType="end"/>
            </w:r>
          </w:hyperlink>
        </w:p>
        <w:p w14:paraId="48F6E497" w14:textId="67461912" w:rsidR="00F976DF" w:rsidRDefault="001A60A6">
          <w:pPr>
            <w:pStyle w:val="TDC2"/>
            <w:rPr>
              <w:rFonts w:asciiTheme="minorHAnsi" w:eastAsiaTheme="minorEastAsia" w:hAnsiTheme="minorHAnsi" w:cstheme="minorBidi"/>
              <w:noProof/>
              <w:sz w:val="22"/>
              <w:szCs w:val="22"/>
              <w:lang w:val="es-CR" w:eastAsia="es-CR"/>
            </w:rPr>
          </w:pPr>
          <w:hyperlink w:anchor="_Toc84919368" w:history="1">
            <w:r w:rsidR="00F976DF" w:rsidRPr="00EA7C26">
              <w:rPr>
                <w:rStyle w:val="Hipervnculo"/>
                <w:noProof/>
              </w:rPr>
              <w:t>11.</w:t>
            </w:r>
            <w:r w:rsidR="00F976DF">
              <w:rPr>
                <w:rFonts w:asciiTheme="minorHAnsi" w:eastAsiaTheme="minorEastAsia" w:hAnsiTheme="minorHAnsi" w:cstheme="minorBidi"/>
                <w:noProof/>
                <w:sz w:val="22"/>
                <w:szCs w:val="22"/>
                <w:lang w:val="es-CR" w:eastAsia="es-CR"/>
              </w:rPr>
              <w:tab/>
            </w:r>
            <w:r w:rsidR="00F976DF" w:rsidRPr="00EA7C26">
              <w:rPr>
                <w:rStyle w:val="Hipervnculo"/>
                <w:noProof/>
              </w:rPr>
              <w:t>Observaciones remitidas por las oficinas consultadas</w:t>
            </w:r>
            <w:r w:rsidR="00F976DF">
              <w:rPr>
                <w:noProof/>
                <w:webHidden/>
              </w:rPr>
              <w:tab/>
            </w:r>
            <w:r w:rsidR="00F976DF">
              <w:rPr>
                <w:noProof/>
                <w:webHidden/>
              </w:rPr>
              <w:fldChar w:fldCharType="begin"/>
            </w:r>
            <w:r w:rsidR="00F976DF">
              <w:rPr>
                <w:noProof/>
                <w:webHidden/>
              </w:rPr>
              <w:instrText xml:space="preserve"> PAGEREF _Toc84919368 \h </w:instrText>
            </w:r>
            <w:r w:rsidR="00F976DF">
              <w:rPr>
                <w:noProof/>
                <w:webHidden/>
              </w:rPr>
            </w:r>
            <w:r w:rsidR="00F976DF">
              <w:rPr>
                <w:noProof/>
                <w:webHidden/>
              </w:rPr>
              <w:fldChar w:fldCharType="separate"/>
            </w:r>
            <w:r w:rsidR="009B5C5B">
              <w:rPr>
                <w:noProof/>
                <w:webHidden/>
              </w:rPr>
              <w:t>302</w:t>
            </w:r>
            <w:r w:rsidR="00F976DF">
              <w:rPr>
                <w:noProof/>
                <w:webHidden/>
              </w:rPr>
              <w:fldChar w:fldCharType="end"/>
            </w:r>
          </w:hyperlink>
        </w:p>
        <w:p w14:paraId="42AC4F4B" w14:textId="019DB765" w:rsidR="00F976DF" w:rsidRDefault="001A60A6">
          <w:pPr>
            <w:pStyle w:val="TDC2"/>
            <w:rPr>
              <w:rFonts w:asciiTheme="minorHAnsi" w:eastAsiaTheme="minorEastAsia" w:hAnsiTheme="minorHAnsi" w:cstheme="minorBidi"/>
              <w:noProof/>
              <w:sz w:val="22"/>
              <w:szCs w:val="22"/>
              <w:lang w:val="es-CR" w:eastAsia="es-CR"/>
            </w:rPr>
          </w:pPr>
          <w:hyperlink w:anchor="_Toc84919369" w:history="1">
            <w:r w:rsidR="00F976DF" w:rsidRPr="00EA7C26">
              <w:rPr>
                <w:rStyle w:val="Hipervnculo"/>
                <w:noProof/>
              </w:rPr>
              <w:t>12.</w:t>
            </w:r>
            <w:r w:rsidR="00F976DF">
              <w:rPr>
                <w:rFonts w:asciiTheme="minorHAnsi" w:eastAsiaTheme="minorEastAsia" w:hAnsiTheme="minorHAnsi" w:cstheme="minorBidi"/>
                <w:noProof/>
                <w:sz w:val="22"/>
                <w:szCs w:val="22"/>
                <w:lang w:val="es-CR" w:eastAsia="es-CR"/>
              </w:rPr>
              <w:tab/>
            </w:r>
            <w:r w:rsidR="00F976DF" w:rsidRPr="00EA7C26">
              <w:rPr>
                <w:rStyle w:val="Hipervnculo"/>
                <w:noProof/>
              </w:rPr>
              <w:t>Recomendaciones</w:t>
            </w:r>
            <w:r w:rsidR="00F976DF">
              <w:rPr>
                <w:noProof/>
                <w:webHidden/>
              </w:rPr>
              <w:tab/>
            </w:r>
            <w:r w:rsidR="00F976DF">
              <w:rPr>
                <w:noProof/>
                <w:webHidden/>
              </w:rPr>
              <w:fldChar w:fldCharType="begin"/>
            </w:r>
            <w:r w:rsidR="00F976DF">
              <w:rPr>
                <w:noProof/>
                <w:webHidden/>
              </w:rPr>
              <w:instrText xml:space="preserve"> PAGEREF _Toc84919369 \h </w:instrText>
            </w:r>
            <w:r w:rsidR="00F976DF">
              <w:rPr>
                <w:noProof/>
                <w:webHidden/>
              </w:rPr>
            </w:r>
            <w:r w:rsidR="00F976DF">
              <w:rPr>
                <w:noProof/>
                <w:webHidden/>
              </w:rPr>
              <w:fldChar w:fldCharType="separate"/>
            </w:r>
            <w:r w:rsidR="009B5C5B">
              <w:rPr>
                <w:noProof/>
                <w:webHidden/>
              </w:rPr>
              <w:t>327</w:t>
            </w:r>
            <w:r w:rsidR="00F976DF">
              <w:rPr>
                <w:noProof/>
                <w:webHidden/>
              </w:rPr>
              <w:fldChar w:fldCharType="end"/>
            </w:r>
          </w:hyperlink>
        </w:p>
        <w:p w14:paraId="676AD34D" w14:textId="1A27D6CF" w:rsidR="00F976DF" w:rsidRDefault="001A60A6">
          <w:pPr>
            <w:pStyle w:val="TDC3"/>
            <w:tabs>
              <w:tab w:val="left" w:pos="1100"/>
              <w:tab w:val="right" w:leader="dot" w:pos="8069"/>
            </w:tabs>
            <w:rPr>
              <w:rFonts w:asciiTheme="minorHAnsi" w:eastAsiaTheme="minorEastAsia" w:hAnsiTheme="minorHAnsi" w:cstheme="minorBidi"/>
              <w:noProof/>
              <w:sz w:val="22"/>
              <w:szCs w:val="22"/>
              <w:lang w:val="es-CR" w:eastAsia="es-CR"/>
            </w:rPr>
          </w:pPr>
          <w:hyperlink w:anchor="_Toc84919370" w:history="1">
            <w:r w:rsidR="00F976DF" w:rsidRPr="00EA7C26">
              <w:rPr>
                <w:rStyle w:val="Hipervnculo"/>
                <w:rFonts w:ascii="Arial Narrow" w:eastAsia="Calibri" w:hAnsi="Arial Narrow"/>
                <w:noProof/>
                <w:lang w:val="es-CR"/>
              </w:rPr>
              <w:t>12.1</w:t>
            </w:r>
            <w:r w:rsidR="00F976DF">
              <w:rPr>
                <w:rFonts w:asciiTheme="minorHAnsi" w:eastAsiaTheme="minorEastAsia" w:hAnsiTheme="minorHAnsi" w:cstheme="minorBidi"/>
                <w:noProof/>
                <w:sz w:val="22"/>
                <w:szCs w:val="22"/>
                <w:lang w:val="es-CR" w:eastAsia="es-CR"/>
              </w:rPr>
              <w:tab/>
            </w:r>
            <w:r w:rsidR="00F976DF" w:rsidRPr="00EA7C26">
              <w:rPr>
                <w:rStyle w:val="Hipervnculo"/>
                <w:rFonts w:ascii="Arial Narrow" w:eastAsia="Calibri" w:hAnsi="Arial Narrow"/>
                <w:noProof/>
                <w:lang w:val="es-CR"/>
              </w:rPr>
              <w:t>Recomendaciones al Consejo Superior</w:t>
            </w:r>
            <w:r w:rsidR="00F976DF">
              <w:rPr>
                <w:noProof/>
                <w:webHidden/>
              </w:rPr>
              <w:tab/>
            </w:r>
            <w:r w:rsidR="00F976DF">
              <w:rPr>
                <w:noProof/>
                <w:webHidden/>
              </w:rPr>
              <w:fldChar w:fldCharType="begin"/>
            </w:r>
            <w:r w:rsidR="00F976DF">
              <w:rPr>
                <w:noProof/>
                <w:webHidden/>
              </w:rPr>
              <w:instrText xml:space="preserve"> PAGEREF _Toc84919370 \h </w:instrText>
            </w:r>
            <w:r w:rsidR="00F976DF">
              <w:rPr>
                <w:noProof/>
                <w:webHidden/>
              </w:rPr>
            </w:r>
            <w:r w:rsidR="00F976DF">
              <w:rPr>
                <w:noProof/>
                <w:webHidden/>
              </w:rPr>
              <w:fldChar w:fldCharType="separate"/>
            </w:r>
            <w:r w:rsidR="009B5C5B">
              <w:rPr>
                <w:noProof/>
                <w:webHidden/>
              </w:rPr>
              <w:t>327</w:t>
            </w:r>
            <w:r w:rsidR="00F976DF">
              <w:rPr>
                <w:noProof/>
                <w:webHidden/>
              </w:rPr>
              <w:fldChar w:fldCharType="end"/>
            </w:r>
          </w:hyperlink>
        </w:p>
        <w:p w14:paraId="08390FC3" w14:textId="067A9EB4" w:rsidR="00F976DF" w:rsidRDefault="001A60A6">
          <w:pPr>
            <w:pStyle w:val="TDC3"/>
            <w:tabs>
              <w:tab w:val="left" w:pos="1100"/>
              <w:tab w:val="right" w:leader="dot" w:pos="8069"/>
            </w:tabs>
            <w:rPr>
              <w:rFonts w:asciiTheme="minorHAnsi" w:eastAsiaTheme="minorEastAsia" w:hAnsiTheme="minorHAnsi" w:cstheme="minorBidi"/>
              <w:noProof/>
              <w:sz w:val="22"/>
              <w:szCs w:val="22"/>
              <w:lang w:val="es-CR" w:eastAsia="es-CR"/>
            </w:rPr>
          </w:pPr>
          <w:hyperlink w:anchor="_Toc84919371" w:history="1">
            <w:r w:rsidR="00F976DF" w:rsidRPr="00EA7C26">
              <w:rPr>
                <w:rStyle w:val="Hipervnculo"/>
                <w:rFonts w:ascii="Arial Narrow" w:eastAsia="Calibri" w:hAnsi="Arial Narrow"/>
                <w:noProof/>
                <w:lang w:val="es-CR"/>
              </w:rPr>
              <w:t>12.2</w:t>
            </w:r>
            <w:r w:rsidR="00F976DF">
              <w:rPr>
                <w:rFonts w:asciiTheme="minorHAnsi" w:eastAsiaTheme="minorEastAsia" w:hAnsiTheme="minorHAnsi" w:cstheme="minorBidi"/>
                <w:noProof/>
                <w:sz w:val="22"/>
                <w:szCs w:val="22"/>
                <w:lang w:val="es-CR" w:eastAsia="es-CR"/>
              </w:rPr>
              <w:tab/>
            </w:r>
            <w:r w:rsidR="00F976DF" w:rsidRPr="00EA7C26">
              <w:rPr>
                <w:rStyle w:val="Hipervnculo"/>
                <w:rFonts w:ascii="Arial Narrow" w:eastAsia="Calibri" w:hAnsi="Arial Narrow"/>
                <w:noProof/>
                <w:lang w:val="es-CR"/>
              </w:rPr>
              <w:t>Recomendaciones a los Responsables Estratégicos</w:t>
            </w:r>
            <w:r w:rsidR="00F976DF">
              <w:rPr>
                <w:noProof/>
                <w:webHidden/>
              </w:rPr>
              <w:tab/>
            </w:r>
            <w:r w:rsidR="00F976DF">
              <w:rPr>
                <w:noProof/>
                <w:webHidden/>
              </w:rPr>
              <w:fldChar w:fldCharType="begin"/>
            </w:r>
            <w:r w:rsidR="00F976DF">
              <w:rPr>
                <w:noProof/>
                <w:webHidden/>
              </w:rPr>
              <w:instrText xml:space="preserve"> PAGEREF _Toc84919371 \h </w:instrText>
            </w:r>
            <w:r w:rsidR="00F976DF">
              <w:rPr>
                <w:noProof/>
                <w:webHidden/>
              </w:rPr>
            </w:r>
            <w:r w:rsidR="00F976DF">
              <w:rPr>
                <w:noProof/>
                <w:webHidden/>
              </w:rPr>
              <w:fldChar w:fldCharType="separate"/>
            </w:r>
            <w:r w:rsidR="009B5C5B">
              <w:rPr>
                <w:noProof/>
                <w:webHidden/>
              </w:rPr>
              <w:t>328</w:t>
            </w:r>
            <w:r w:rsidR="00F976DF">
              <w:rPr>
                <w:noProof/>
                <w:webHidden/>
              </w:rPr>
              <w:fldChar w:fldCharType="end"/>
            </w:r>
          </w:hyperlink>
        </w:p>
        <w:p w14:paraId="101E56B4" w14:textId="07796D0F" w:rsidR="00F976DF" w:rsidRDefault="001A60A6">
          <w:pPr>
            <w:pStyle w:val="TDC2"/>
            <w:rPr>
              <w:rFonts w:asciiTheme="minorHAnsi" w:eastAsiaTheme="minorEastAsia" w:hAnsiTheme="minorHAnsi" w:cstheme="minorBidi"/>
              <w:noProof/>
              <w:sz w:val="22"/>
              <w:szCs w:val="22"/>
              <w:lang w:val="es-CR" w:eastAsia="es-CR"/>
            </w:rPr>
          </w:pPr>
          <w:hyperlink w:anchor="_Toc84919372" w:history="1">
            <w:r w:rsidR="00F976DF" w:rsidRPr="00EA7C26">
              <w:rPr>
                <w:rStyle w:val="Hipervnculo"/>
                <w:noProof/>
              </w:rPr>
              <w:t>13.</w:t>
            </w:r>
            <w:r w:rsidR="00F976DF">
              <w:rPr>
                <w:rFonts w:asciiTheme="minorHAnsi" w:eastAsiaTheme="minorEastAsia" w:hAnsiTheme="minorHAnsi" w:cstheme="minorBidi"/>
                <w:noProof/>
                <w:sz w:val="22"/>
                <w:szCs w:val="22"/>
                <w:lang w:val="es-CR" w:eastAsia="es-CR"/>
              </w:rPr>
              <w:tab/>
            </w:r>
            <w:r w:rsidR="00F976DF" w:rsidRPr="00EA7C26">
              <w:rPr>
                <w:rStyle w:val="Hipervnculo"/>
                <w:noProof/>
              </w:rPr>
              <w:t>Anexos</w:t>
            </w:r>
            <w:r w:rsidR="00F976DF">
              <w:rPr>
                <w:noProof/>
                <w:webHidden/>
              </w:rPr>
              <w:tab/>
            </w:r>
            <w:r w:rsidR="00F976DF">
              <w:rPr>
                <w:noProof/>
                <w:webHidden/>
              </w:rPr>
              <w:fldChar w:fldCharType="begin"/>
            </w:r>
            <w:r w:rsidR="00F976DF">
              <w:rPr>
                <w:noProof/>
                <w:webHidden/>
              </w:rPr>
              <w:instrText xml:space="preserve"> PAGEREF _Toc84919372 \h </w:instrText>
            </w:r>
            <w:r w:rsidR="00F976DF">
              <w:rPr>
                <w:noProof/>
                <w:webHidden/>
              </w:rPr>
            </w:r>
            <w:r w:rsidR="00F976DF">
              <w:rPr>
                <w:noProof/>
                <w:webHidden/>
              </w:rPr>
              <w:fldChar w:fldCharType="separate"/>
            </w:r>
            <w:r w:rsidR="009B5C5B">
              <w:rPr>
                <w:noProof/>
                <w:webHidden/>
              </w:rPr>
              <w:t>332</w:t>
            </w:r>
            <w:r w:rsidR="00F976DF">
              <w:rPr>
                <w:noProof/>
                <w:webHidden/>
              </w:rPr>
              <w:fldChar w:fldCharType="end"/>
            </w:r>
          </w:hyperlink>
        </w:p>
        <w:p w14:paraId="4A5F2E8F" w14:textId="4E4DCBAC" w:rsidR="00803E02" w:rsidRPr="00CC279A" w:rsidRDefault="005543E0" w:rsidP="00CC279A">
          <w:pPr>
            <w:spacing w:line="360" w:lineRule="auto"/>
            <w:ind w:right="-143"/>
            <w:jc w:val="both"/>
            <w:rPr>
              <w:rFonts w:ascii="Arial Narrow" w:hAnsi="Arial Narrow"/>
              <w:b/>
              <w:bCs/>
              <w:sz w:val="22"/>
              <w:szCs w:val="22"/>
            </w:rPr>
          </w:pPr>
          <w:r w:rsidRPr="00CC279A">
            <w:rPr>
              <w:rFonts w:ascii="Arial Narrow" w:hAnsi="Arial Narrow"/>
              <w:b/>
              <w:bCs/>
              <w:sz w:val="22"/>
              <w:szCs w:val="22"/>
            </w:rPr>
            <w:fldChar w:fldCharType="end"/>
          </w:r>
        </w:p>
      </w:sdtContent>
    </w:sdt>
    <w:p w14:paraId="2193D72A" w14:textId="3FB21B02" w:rsidR="007B4E4C" w:rsidRPr="00CC279A" w:rsidRDefault="007B4E4C" w:rsidP="00CC279A">
      <w:pPr>
        <w:spacing w:line="360" w:lineRule="auto"/>
        <w:ind w:left="709" w:right="-143"/>
        <w:jc w:val="both"/>
        <w:rPr>
          <w:rFonts w:ascii="Arial Narrow" w:eastAsia="Calibri" w:hAnsi="Arial Narrow"/>
          <w:b/>
          <w:bCs/>
          <w:sz w:val="22"/>
          <w:szCs w:val="22"/>
        </w:rPr>
      </w:pPr>
    </w:p>
    <w:p w14:paraId="580E6AF1" w14:textId="77777777" w:rsidR="006F1D38" w:rsidRDefault="006F1D38">
      <w:pPr>
        <w:rPr>
          <w:rFonts w:ascii="Arial Narrow" w:eastAsia="Calibri" w:hAnsi="Arial Narrow"/>
          <w:b/>
          <w:bCs/>
          <w:sz w:val="22"/>
          <w:szCs w:val="22"/>
        </w:rPr>
      </w:pPr>
      <w:r>
        <w:rPr>
          <w:rFonts w:ascii="Arial Narrow" w:eastAsia="Calibri" w:hAnsi="Arial Narrow"/>
          <w:b/>
          <w:bCs/>
          <w:sz w:val="22"/>
          <w:szCs w:val="22"/>
        </w:rPr>
        <w:br w:type="page"/>
      </w:r>
    </w:p>
    <w:p w14:paraId="54847730" w14:textId="77777777" w:rsidR="006F1D38" w:rsidRDefault="006F1D38">
      <w:pPr>
        <w:spacing w:line="360" w:lineRule="auto"/>
        <w:ind w:left="709" w:right="-143"/>
        <w:jc w:val="center"/>
        <w:rPr>
          <w:rFonts w:ascii="Arial Narrow" w:eastAsia="Calibri" w:hAnsi="Arial Narrow"/>
          <w:b/>
          <w:bCs/>
          <w:sz w:val="22"/>
          <w:szCs w:val="22"/>
        </w:rPr>
      </w:pPr>
    </w:p>
    <w:p w14:paraId="3BB04CEC" w14:textId="4B00FE62" w:rsidR="00B717B9" w:rsidRDefault="00B2481C">
      <w:pPr>
        <w:spacing w:line="360" w:lineRule="auto"/>
        <w:ind w:left="709" w:right="-143"/>
        <w:jc w:val="center"/>
        <w:rPr>
          <w:rFonts w:ascii="Arial Narrow" w:eastAsia="Calibri" w:hAnsi="Arial Narrow"/>
          <w:b/>
          <w:bCs/>
          <w:sz w:val="22"/>
          <w:szCs w:val="22"/>
        </w:rPr>
      </w:pPr>
      <w:r w:rsidRPr="00CC279A">
        <w:rPr>
          <w:rFonts w:ascii="Arial Narrow" w:eastAsia="Calibri" w:hAnsi="Arial Narrow"/>
          <w:b/>
          <w:bCs/>
          <w:sz w:val="22"/>
          <w:szCs w:val="22"/>
        </w:rPr>
        <w:t>Índice de</w:t>
      </w:r>
      <w:r w:rsidR="00665D61" w:rsidRPr="00CC279A">
        <w:rPr>
          <w:rFonts w:ascii="Arial Narrow" w:eastAsia="Calibri" w:hAnsi="Arial Narrow"/>
          <w:b/>
          <w:bCs/>
          <w:sz w:val="22"/>
          <w:szCs w:val="22"/>
        </w:rPr>
        <w:t xml:space="preserve"> Cuadros</w:t>
      </w:r>
      <w:r w:rsidR="00D657CE" w:rsidRPr="00CC279A">
        <w:rPr>
          <w:rFonts w:ascii="Arial Narrow" w:eastAsia="Calibri" w:hAnsi="Arial Narrow"/>
          <w:b/>
          <w:bCs/>
          <w:sz w:val="22"/>
          <w:szCs w:val="22"/>
        </w:rPr>
        <w:t xml:space="preserve"> </w:t>
      </w:r>
      <w:r w:rsidR="00032340" w:rsidRPr="002068F7">
        <w:rPr>
          <w:rFonts w:ascii="Arial Narrow" w:eastAsia="Calibri" w:hAnsi="Arial Narrow"/>
          <w:b/>
          <w:bCs/>
          <w:sz w:val="22"/>
          <w:szCs w:val="22"/>
        </w:rPr>
        <w:t>por Tema Estratégico</w:t>
      </w:r>
    </w:p>
    <w:p w14:paraId="217A57D6" w14:textId="77777777" w:rsidR="002068F7" w:rsidRPr="00CC279A" w:rsidRDefault="002068F7" w:rsidP="00CC279A">
      <w:pPr>
        <w:spacing w:line="360" w:lineRule="auto"/>
        <w:ind w:left="709" w:right="-143"/>
        <w:jc w:val="center"/>
        <w:rPr>
          <w:rFonts w:ascii="Arial Narrow" w:eastAsia="Calibri" w:hAnsi="Arial Narrow"/>
          <w:b/>
          <w:bCs/>
          <w:sz w:val="22"/>
          <w:szCs w:val="22"/>
        </w:rPr>
      </w:pPr>
    </w:p>
    <w:p w14:paraId="0E44D122" w14:textId="40ECBBF5" w:rsidR="00187CB4" w:rsidRPr="00CC279A" w:rsidRDefault="00187CB4" w:rsidP="00CC279A">
      <w:pPr>
        <w:spacing w:line="360" w:lineRule="auto"/>
        <w:ind w:left="709" w:right="-143"/>
        <w:jc w:val="both"/>
        <w:rPr>
          <w:rStyle w:val="Hipervnculo"/>
          <w:noProof/>
          <w:color w:val="auto"/>
          <w:sz w:val="22"/>
          <w:szCs w:val="22"/>
        </w:rPr>
      </w:pPr>
      <w:r w:rsidRPr="00CC279A">
        <w:rPr>
          <w:rStyle w:val="Hipervnculo"/>
          <w:noProof/>
          <w:color w:val="auto"/>
          <w:sz w:val="22"/>
          <w:szCs w:val="22"/>
        </w:rPr>
        <w:t>Cuadros de Resolución Oportuna de Conflictos: Del cuadro 1-24</w:t>
      </w:r>
    </w:p>
    <w:p w14:paraId="755F9EAB" w14:textId="57426AB6" w:rsidR="00187CB4" w:rsidRPr="00CC279A" w:rsidRDefault="00187CB4" w:rsidP="00CC279A">
      <w:pPr>
        <w:spacing w:line="360" w:lineRule="auto"/>
        <w:ind w:left="709" w:right="-143"/>
        <w:jc w:val="both"/>
        <w:rPr>
          <w:rStyle w:val="Hipervnculo"/>
          <w:noProof/>
          <w:color w:val="auto"/>
          <w:sz w:val="22"/>
          <w:szCs w:val="22"/>
        </w:rPr>
      </w:pPr>
      <w:r w:rsidRPr="00CC279A">
        <w:rPr>
          <w:rStyle w:val="Hipervnculo"/>
          <w:noProof/>
          <w:color w:val="auto"/>
          <w:sz w:val="22"/>
          <w:szCs w:val="22"/>
        </w:rPr>
        <w:t>Cuadros de Confianza y Probidad: Del cuadro 25-38</w:t>
      </w:r>
    </w:p>
    <w:p w14:paraId="7DEF857C" w14:textId="41746D7C" w:rsidR="00187CB4" w:rsidRPr="00CC279A" w:rsidRDefault="00187CB4" w:rsidP="00CC279A">
      <w:pPr>
        <w:spacing w:line="360" w:lineRule="auto"/>
        <w:ind w:left="709" w:right="-143"/>
        <w:jc w:val="both"/>
        <w:rPr>
          <w:rStyle w:val="Hipervnculo"/>
          <w:noProof/>
          <w:color w:val="auto"/>
          <w:sz w:val="22"/>
          <w:szCs w:val="22"/>
        </w:rPr>
      </w:pPr>
      <w:r w:rsidRPr="00CC279A">
        <w:rPr>
          <w:rStyle w:val="Hipervnculo"/>
          <w:noProof/>
          <w:color w:val="auto"/>
          <w:sz w:val="22"/>
          <w:szCs w:val="22"/>
        </w:rPr>
        <w:t>Cuadros de Optimización e innovación de los servicios judiciales: Del cuadro 39-63</w:t>
      </w:r>
    </w:p>
    <w:p w14:paraId="4E3784A1" w14:textId="5A7B7FB4" w:rsidR="00187CB4" w:rsidRPr="00CC279A" w:rsidRDefault="00187CB4" w:rsidP="00CC279A">
      <w:pPr>
        <w:spacing w:line="360" w:lineRule="auto"/>
        <w:ind w:left="709" w:right="-143"/>
        <w:jc w:val="both"/>
        <w:rPr>
          <w:rStyle w:val="Hipervnculo"/>
          <w:noProof/>
          <w:color w:val="auto"/>
          <w:sz w:val="22"/>
          <w:szCs w:val="22"/>
        </w:rPr>
      </w:pPr>
      <w:r w:rsidRPr="00CC279A">
        <w:rPr>
          <w:rStyle w:val="Hipervnculo"/>
          <w:noProof/>
          <w:color w:val="auto"/>
          <w:sz w:val="22"/>
          <w:szCs w:val="22"/>
        </w:rPr>
        <w:t xml:space="preserve">Cuadros de Gestión del personal: </w:t>
      </w:r>
      <w:r w:rsidR="00A70B40" w:rsidRPr="00CC279A">
        <w:rPr>
          <w:rStyle w:val="Hipervnculo"/>
          <w:noProof/>
          <w:color w:val="auto"/>
          <w:sz w:val="22"/>
          <w:szCs w:val="22"/>
        </w:rPr>
        <w:t>D</w:t>
      </w:r>
      <w:r w:rsidRPr="00CC279A">
        <w:rPr>
          <w:rStyle w:val="Hipervnculo"/>
          <w:noProof/>
          <w:color w:val="auto"/>
          <w:sz w:val="22"/>
          <w:szCs w:val="22"/>
        </w:rPr>
        <w:t>el cuadro 64-</w:t>
      </w:r>
      <w:r w:rsidR="00A70B40" w:rsidRPr="00CC279A">
        <w:rPr>
          <w:rStyle w:val="Hipervnculo"/>
          <w:noProof/>
          <w:color w:val="auto"/>
          <w:sz w:val="22"/>
          <w:szCs w:val="22"/>
        </w:rPr>
        <w:t>79</w:t>
      </w:r>
    </w:p>
    <w:p w14:paraId="7AB00D6C" w14:textId="558E60DF" w:rsidR="00187CB4" w:rsidRPr="00CC279A" w:rsidRDefault="00187CB4" w:rsidP="00CC279A">
      <w:pPr>
        <w:spacing w:line="360" w:lineRule="auto"/>
        <w:ind w:left="709" w:right="-143"/>
        <w:jc w:val="both"/>
        <w:rPr>
          <w:rStyle w:val="Hipervnculo"/>
          <w:rFonts w:ascii="Arial Narrow" w:hAnsi="Arial Narrow"/>
          <w:noProof/>
          <w:color w:val="auto"/>
          <w:sz w:val="22"/>
          <w:szCs w:val="22"/>
        </w:rPr>
      </w:pPr>
      <w:r w:rsidRPr="00CC279A">
        <w:rPr>
          <w:rStyle w:val="Hipervnculo"/>
          <w:noProof/>
          <w:color w:val="auto"/>
          <w:sz w:val="22"/>
          <w:szCs w:val="22"/>
        </w:rPr>
        <w:t>Cuadros de Planificación Institucional</w:t>
      </w:r>
      <w:r w:rsidR="00A70B40" w:rsidRPr="00CC279A">
        <w:rPr>
          <w:rStyle w:val="Hipervnculo"/>
          <w:noProof/>
          <w:color w:val="auto"/>
          <w:sz w:val="22"/>
          <w:szCs w:val="22"/>
        </w:rPr>
        <w:t>: Del cuadro 80-85.</w:t>
      </w:r>
    </w:p>
    <w:p w14:paraId="5227394E" w14:textId="26CE1CE1" w:rsidR="00B2481C" w:rsidRPr="00CC279A" w:rsidRDefault="00B2481C" w:rsidP="00CC279A">
      <w:pPr>
        <w:spacing w:line="360" w:lineRule="auto"/>
        <w:ind w:left="709" w:right="-143"/>
        <w:jc w:val="both"/>
        <w:rPr>
          <w:rStyle w:val="Hipervnculo"/>
          <w:rFonts w:ascii="Arial Narrow" w:hAnsi="Arial Narrow"/>
          <w:noProof/>
          <w:color w:val="auto"/>
          <w:sz w:val="22"/>
          <w:szCs w:val="22"/>
        </w:rPr>
      </w:pPr>
    </w:p>
    <w:p w14:paraId="480198D5" w14:textId="4E081222" w:rsidR="00032340" w:rsidRDefault="00032340">
      <w:pPr>
        <w:rPr>
          <w:rFonts w:ascii="Arial Narrow" w:eastAsia="Calibri" w:hAnsi="Arial Narrow"/>
          <w:b/>
          <w:bCs/>
          <w:sz w:val="22"/>
          <w:szCs w:val="22"/>
        </w:rPr>
      </w:pPr>
    </w:p>
    <w:p w14:paraId="53694DEC" w14:textId="77777777" w:rsidR="00683BEF" w:rsidRDefault="00683BEF">
      <w:pPr>
        <w:rPr>
          <w:rFonts w:ascii="Arial Narrow" w:eastAsia="Calibri" w:hAnsi="Arial Narrow"/>
          <w:b/>
          <w:bCs/>
          <w:sz w:val="22"/>
          <w:szCs w:val="22"/>
        </w:rPr>
      </w:pPr>
    </w:p>
    <w:p w14:paraId="6ADFEAC3" w14:textId="73BA2A9C" w:rsidR="00B2481C" w:rsidRPr="00CC279A" w:rsidRDefault="00B2481C" w:rsidP="00CC279A">
      <w:pPr>
        <w:spacing w:line="360" w:lineRule="auto"/>
        <w:ind w:left="709" w:right="-143"/>
        <w:jc w:val="center"/>
        <w:rPr>
          <w:rFonts w:ascii="Arial Narrow" w:eastAsia="Calibri" w:hAnsi="Arial Narrow"/>
          <w:b/>
          <w:bCs/>
          <w:sz w:val="22"/>
          <w:szCs w:val="22"/>
        </w:rPr>
      </w:pPr>
      <w:bookmarkStart w:id="5" w:name="_Hlk86134789"/>
      <w:r w:rsidRPr="00CC279A">
        <w:rPr>
          <w:rFonts w:ascii="Arial Narrow" w:eastAsia="Calibri" w:hAnsi="Arial Narrow"/>
          <w:b/>
          <w:bCs/>
          <w:sz w:val="22"/>
          <w:szCs w:val="22"/>
        </w:rPr>
        <w:t>Índice de Ilustraciones y Tablas</w:t>
      </w:r>
    </w:p>
    <w:bookmarkEnd w:id="5"/>
    <w:p w14:paraId="4E9E185B" w14:textId="3C1DB61A" w:rsidR="009E70AC" w:rsidRPr="00A22006" w:rsidRDefault="00317FC1">
      <w:pPr>
        <w:spacing w:line="360" w:lineRule="auto"/>
        <w:ind w:left="709" w:right="-143"/>
        <w:jc w:val="both"/>
        <w:rPr>
          <w:rStyle w:val="Hipervnculo"/>
          <w:rFonts w:ascii="Arial Narrow" w:hAnsi="Arial Narrow"/>
          <w:noProof/>
          <w:color w:val="auto"/>
        </w:rPr>
      </w:pPr>
      <w:r w:rsidRPr="00A22006">
        <w:rPr>
          <w:rStyle w:val="Hipervnculo"/>
          <w:rFonts w:ascii="Arial Narrow" w:hAnsi="Arial Narrow"/>
          <w:noProof/>
          <w:color w:val="auto"/>
          <w:sz w:val="22"/>
          <w:szCs w:val="22"/>
        </w:rPr>
        <w:fldChar w:fldCharType="begin"/>
      </w:r>
      <w:r w:rsidRPr="00A22006">
        <w:rPr>
          <w:rStyle w:val="Hipervnculo"/>
          <w:rFonts w:ascii="Arial Narrow" w:hAnsi="Arial Narrow"/>
          <w:noProof/>
          <w:color w:val="auto"/>
          <w:sz w:val="22"/>
          <w:szCs w:val="22"/>
        </w:rPr>
        <w:instrText xml:space="preserve"> TOC \h \z \c "Ilustración" </w:instrText>
      </w:r>
      <w:r w:rsidRPr="00A22006">
        <w:rPr>
          <w:rStyle w:val="Hipervnculo"/>
          <w:rFonts w:ascii="Arial Narrow" w:hAnsi="Arial Narrow"/>
          <w:noProof/>
          <w:color w:val="auto"/>
          <w:sz w:val="22"/>
          <w:szCs w:val="22"/>
        </w:rPr>
        <w:fldChar w:fldCharType="separate"/>
      </w:r>
      <w:hyperlink w:anchor="_Toc52201842" w:history="1">
        <w:r w:rsidR="000311E8" w:rsidRPr="00A22006">
          <w:rPr>
            <w:rStyle w:val="Hipervnculo"/>
            <w:rFonts w:ascii="Arial Narrow" w:hAnsi="Arial Narrow"/>
            <w:noProof/>
            <w:color w:val="auto"/>
            <w:sz w:val="22"/>
            <w:szCs w:val="22"/>
          </w:rPr>
          <w:t>Ilustración 1 Temas estratégicos del PEI 2019-2024</w:t>
        </w:r>
        <w:r w:rsidR="00683BEF" w:rsidRPr="00A22006">
          <w:rPr>
            <w:rStyle w:val="Hipervnculo"/>
            <w:rFonts w:ascii="Arial Narrow" w:hAnsi="Arial Narrow"/>
            <w:noProof/>
            <w:color w:val="auto"/>
            <w:sz w:val="22"/>
            <w:szCs w:val="22"/>
          </w:rPr>
          <w:t>…….</w:t>
        </w:r>
        <w:r w:rsidR="000311E8" w:rsidRPr="00A22006">
          <w:rPr>
            <w:rStyle w:val="Hipervnculo"/>
            <w:rFonts w:ascii="Arial Narrow" w:hAnsi="Arial Narrow"/>
            <w:noProof/>
            <w:webHidden/>
            <w:color w:val="auto"/>
            <w:sz w:val="22"/>
            <w:szCs w:val="22"/>
          </w:rPr>
          <w:tab/>
        </w:r>
        <w:r w:rsidR="000311E8" w:rsidRPr="00A22006">
          <w:rPr>
            <w:rStyle w:val="Hipervnculo"/>
            <w:rFonts w:ascii="Arial Narrow" w:hAnsi="Arial Narrow"/>
            <w:noProof/>
            <w:webHidden/>
            <w:color w:val="auto"/>
            <w:sz w:val="22"/>
            <w:szCs w:val="22"/>
          </w:rPr>
          <w:fldChar w:fldCharType="begin"/>
        </w:r>
        <w:r w:rsidR="000311E8" w:rsidRPr="00A22006">
          <w:rPr>
            <w:rStyle w:val="Hipervnculo"/>
            <w:rFonts w:ascii="Arial Narrow" w:hAnsi="Arial Narrow"/>
            <w:noProof/>
            <w:webHidden/>
            <w:color w:val="auto"/>
            <w:sz w:val="22"/>
            <w:szCs w:val="22"/>
          </w:rPr>
          <w:instrText xml:space="preserve"> PAGEREF _Toc52201842 \h </w:instrText>
        </w:r>
        <w:r w:rsidR="000311E8" w:rsidRPr="00A22006">
          <w:rPr>
            <w:rStyle w:val="Hipervnculo"/>
            <w:rFonts w:ascii="Arial Narrow" w:hAnsi="Arial Narrow"/>
            <w:noProof/>
            <w:webHidden/>
            <w:color w:val="auto"/>
            <w:sz w:val="22"/>
            <w:szCs w:val="22"/>
          </w:rPr>
        </w:r>
        <w:r w:rsidR="000311E8" w:rsidRPr="00A22006">
          <w:rPr>
            <w:rStyle w:val="Hipervnculo"/>
            <w:rFonts w:ascii="Arial Narrow" w:hAnsi="Arial Narrow"/>
            <w:noProof/>
            <w:webHidden/>
            <w:color w:val="auto"/>
            <w:sz w:val="22"/>
            <w:szCs w:val="22"/>
          </w:rPr>
          <w:fldChar w:fldCharType="separate"/>
        </w:r>
        <w:r w:rsidR="009B5C5B">
          <w:rPr>
            <w:rStyle w:val="Hipervnculo"/>
            <w:rFonts w:ascii="Arial Narrow" w:hAnsi="Arial Narrow"/>
            <w:noProof/>
            <w:webHidden/>
            <w:color w:val="auto"/>
            <w:sz w:val="22"/>
            <w:szCs w:val="22"/>
          </w:rPr>
          <w:t>25</w:t>
        </w:r>
        <w:r w:rsidR="000311E8" w:rsidRPr="00A22006">
          <w:rPr>
            <w:rStyle w:val="Hipervnculo"/>
            <w:rFonts w:ascii="Arial Narrow" w:hAnsi="Arial Narrow"/>
            <w:noProof/>
            <w:webHidden/>
            <w:color w:val="auto"/>
            <w:sz w:val="22"/>
            <w:szCs w:val="22"/>
          </w:rPr>
          <w:fldChar w:fldCharType="end"/>
        </w:r>
      </w:hyperlink>
    </w:p>
    <w:p w14:paraId="49E7676B" w14:textId="2F57B723" w:rsidR="00F976DF" w:rsidRPr="00A22006" w:rsidRDefault="00317FC1">
      <w:pPr>
        <w:pStyle w:val="Tabladeilustraciones"/>
        <w:tabs>
          <w:tab w:val="right" w:leader="dot" w:pos="8069"/>
        </w:tabs>
        <w:rPr>
          <w:rFonts w:asciiTheme="minorHAnsi" w:eastAsiaTheme="minorEastAsia" w:hAnsiTheme="minorHAnsi" w:cstheme="minorBidi"/>
          <w:noProof/>
          <w:sz w:val="22"/>
          <w:szCs w:val="22"/>
          <w:lang w:val="es-CR" w:eastAsia="es-CR"/>
        </w:rPr>
      </w:pPr>
      <w:r w:rsidRPr="00A22006">
        <w:rPr>
          <w:rStyle w:val="Hipervnculo"/>
          <w:rFonts w:ascii="Arial Narrow" w:hAnsi="Arial Narrow"/>
          <w:noProof/>
          <w:color w:val="auto"/>
          <w:sz w:val="22"/>
          <w:szCs w:val="22"/>
        </w:rPr>
        <w:fldChar w:fldCharType="end"/>
      </w:r>
      <w:r w:rsidR="00D657CE" w:rsidRPr="00A22006">
        <w:rPr>
          <w:rStyle w:val="Hipervnculo"/>
          <w:rFonts w:ascii="Arial Narrow" w:hAnsi="Arial Narrow"/>
          <w:noProof/>
          <w:color w:val="auto"/>
          <w:sz w:val="22"/>
          <w:szCs w:val="22"/>
        </w:rPr>
        <w:fldChar w:fldCharType="begin"/>
      </w:r>
      <w:r w:rsidR="00D657CE" w:rsidRPr="00A22006">
        <w:rPr>
          <w:rStyle w:val="Hipervnculo"/>
          <w:rFonts w:ascii="Arial Narrow" w:hAnsi="Arial Narrow"/>
          <w:noProof/>
          <w:color w:val="auto"/>
          <w:sz w:val="22"/>
          <w:szCs w:val="22"/>
        </w:rPr>
        <w:instrText xml:space="preserve"> TOC \h \z \c "Tabla" </w:instrText>
      </w:r>
      <w:r w:rsidR="00D657CE" w:rsidRPr="00A22006">
        <w:rPr>
          <w:rStyle w:val="Hipervnculo"/>
          <w:rFonts w:ascii="Arial Narrow" w:hAnsi="Arial Narrow"/>
          <w:noProof/>
          <w:color w:val="auto"/>
          <w:sz w:val="22"/>
          <w:szCs w:val="22"/>
        </w:rPr>
        <w:fldChar w:fldCharType="separate"/>
      </w:r>
      <w:hyperlink w:anchor="_Toc84919459" w:history="1">
        <w:r w:rsidR="00F976DF" w:rsidRPr="00A22006">
          <w:rPr>
            <w:rStyle w:val="Hipervnculo"/>
            <w:rFonts w:ascii="Arial Narrow" w:hAnsi="Arial Narrow"/>
            <w:noProof/>
          </w:rPr>
          <w:t>Tabla 1 Listado de versiones aprobadas de la matriz del Plan Estratégico Institucional 2019-2020 y su acta de aprobación por Corte Plena</w:t>
        </w:r>
        <w:r w:rsidR="00F976DF" w:rsidRPr="00A22006">
          <w:rPr>
            <w:noProof/>
            <w:webHidden/>
          </w:rPr>
          <w:tab/>
        </w:r>
        <w:r w:rsidR="00F976DF" w:rsidRPr="00A22006">
          <w:rPr>
            <w:noProof/>
            <w:webHidden/>
          </w:rPr>
          <w:fldChar w:fldCharType="begin"/>
        </w:r>
        <w:r w:rsidR="00F976DF" w:rsidRPr="00A22006">
          <w:rPr>
            <w:noProof/>
            <w:webHidden/>
          </w:rPr>
          <w:instrText xml:space="preserve"> PAGEREF _Toc84919459 \h </w:instrText>
        </w:r>
        <w:r w:rsidR="00F976DF" w:rsidRPr="00A22006">
          <w:rPr>
            <w:noProof/>
            <w:webHidden/>
          </w:rPr>
        </w:r>
        <w:r w:rsidR="00F976DF" w:rsidRPr="00A22006">
          <w:rPr>
            <w:noProof/>
            <w:webHidden/>
          </w:rPr>
          <w:fldChar w:fldCharType="separate"/>
        </w:r>
        <w:r w:rsidR="009B5C5B">
          <w:rPr>
            <w:noProof/>
            <w:webHidden/>
          </w:rPr>
          <w:t>19</w:t>
        </w:r>
        <w:r w:rsidR="00F976DF" w:rsidRPr="00A22006">
          <w:rPr>
            <w:noProof/>
            <w:webHidden/>
          </w:rPr>
          <w:fldChar w:fldCharType="end"/>
        </w:r>
      </w:hyperlink>
    </w:p>
    <w:p w14:paraId="4D775E0B" w14:textId="740C32FD" w:rsidR="00F976DF" w:rsidRPr="00A22006" w:rsidRDefault="001A60A6">
      <w:pPr>
        <w:pStyle w:val="Tabladeilustraciones"/>
        <w:tabs>
          <w:tab w:val="right" w:leader="dot" w:pos="8069"/>
        </w:tabs>
        <w:rPr>
          <w:rFonts w:asciiTheme="minorHAnsi" w:eastAsiaTheme="minorEastAsia" w:hAnsiTheme="minorHAnsi" w:cstheme="minorBidi"/>
          <w:noProof/>
          <w:sz w:val="22"/>
          <w:szCs w:val="22"/>
          <w:lang w:val="es-CR" w:eastAsia="es-CR"/>
        </w:rPr>
      </w:pPr>
      <w:hyperlink w:anchor="_Toc84919460" w:history="1">
        <w:r w:rsidR="00F976DF" w:rsidRPr="00A22006">
          <w:rPr>
            <w:rStyle w:val="Hipervnculo"/>
            <w:rFonts w:ascii="Arial Narrow" w:hAnsi="Arial Narrow"/>
            <w:noProof/>
          </w:rPr>
          <w:t>Tabla 2 Definición de parámetros y rangos de cumplimiento en la evaluación del PEI 2019-2020</w:t>
        </w:r>
        <w:r w:rsidR="00F976DF" w:rsidRPr="00A22006">
          <w:rPr>
            <w:noProof/>
            <w:webHidden/>
          </w:rPr>
          <w:tab/>
        </w:r>
        <w:r w:rsidR="00F976DF" w:rsidRPr="00A22006">
          <w:rPr>
            <w:noProof/>
            <w:webHidden/>
          </w:rPr>
          <w:fldChar w:fldCharType="begin"/>
        </w:r>
        <w:r w:rsidR="00F976DF" w:rsidRPr="00A22006">
          <w:rPr>
            <w:noProof/>
            <w:webHidden/>
          </w:rPr>
          <w:instrText xml:space="preserve"> PAGEREF _Toc84919460 \h </w:instrText>
        </w:r>
        <w:r w:rsidR="00F976DF" w:rsidRPr="00A22006">
          <w:rPr>
            <w:noProof/>
            <w:webHidden/>
          </w:rPr>
        </w:r>
        <w:r w:rsidR="00F976DF" w:rsidRPr="00A22006">
          <w:rPr>
            <w:noProof/>
            <w:webHidden/>
          </w:rPr>
          <w:fldChar w:fldCharType="separate"/>
        </w:r>
        <w:r w:rsidR="009B5C5B">
          <w:rPr>
            <w:noProof/>
            <w:webHidden/>
          </w:rPr>
          <w:t>24</w:t>
        </w:r>
        <w:r w:rsidR="00F976DF" w:rsidRPr="00A22006">
          <w:rPr>
            <w:noProof/>
            <w:webHidden/>
          </w:rPr>
          <w:fldChar w:fldCharType="end"/>
        </w:r>
      </w:hyperlink>
    </w:p>
    <w:p w14:paraId="775FB498" w14:textId="158A6FAB" w:rsidR="00F976DF" w:rsidRPr="00A22006" w:rsidRDefault="001A60A6">
      <w:pPr>
        <w:pStyle w:val="Tabladeilustraciones"/>
        <w:tabs>
          <w:tab w:val="right" w:leader="dot" w:pos="8069"/>
        </w:tabs>
        <w:rPr>
          <w:rFonts w:asciiTheme="minorHAnsi" w:eastAsiaTheme="minorEastAsia" w:hAnsiTheme="minorHAnsi" w:cstheme="minorBidi"/>
          <w:noProof/>
          <w:sz w:val="22"/>
          <w:szCs w:val="22"/>
          <w:lang w:val="es-CR" w:eastAsia="es-CR"/>
        </w:rPr>
      </w:pPr>
      <w:hyperlink w:anchor="_Toc84919461" w:history="1">
        <w:r w:rsidR="00F976DF" w:rsidRPr="00A22006">
          <w:rPr>
            <w:rStyle w:val="Hipervnculo"/>
            <w:rFonts w:ascii="Arial Narrow" w:hAnsi="Arial Narrow"/>
            <w:noProof/>
          </w:rPr>
          <w:t>Tabla 3 Tema Estratégico y cantidad de metas estratégicas</w:t>
        </w:r>
        <w:r w:rsidR="00F976DF" w:rsidRPr="00A22006">
          <w:rPr>
            <w:noProof/>
            <w:webHidden/>
          </w:rPr>
          <w:tab/>
        </w:r>
        <w:r w:rsidR="00F976DF" w:rsidRPr="00A22006">
          <w:rPr>
            <w:noProof/>
            <w:webHidden/>
          </w:rPr>
          <w:fldChar w:fldCharType="begin"/>
        </w:r>
        <w:r w:rsidR="00F976DF" w:rsidRPr="00A22006">
          <w:rPr>
            <w:noProof/>
            <w:webHidden/>
          </w:rPr>
          <w:instrText xml:space="preserve"> PAGEREF _Toc84919461 \h </w:instrText>
        </w:r>
        <w:r w:rsidR="00F976DF" w:rsidRPr="00A22006">
          <w:rPr>
            <w:noProof/>
            <w:webHidden/>
          </w:rPr>
        </w:r>
        <w:r w:rsidR="00F976DF" w:rsidRPr="00A22006">
          <w:rPr>
            <w:noProof/>
            <w:webHidden/>
          </w:rPr>
          <w:fldChar w:fldCharType="separate"/>
        </w:r>
        <w:r w:rsidR="009B5C5B">
          <w:rPr>
            <w:noProof/>
            <w:webHidden/>
          </w:rPr>
          <w:t>27</w:t>
        </w:r>
        <w:r w:rsidR="00F976DF" w:rsidRPr="00A22006">
          <w:rPr>
            <w:noProof/>
            <w:webHidden/>
          </w:rPr>
          <w:fldChar w:fldCharType="end"/>
        </w:r>
      </w:hyperlink>
    </w:p>
    <w:p w14:paraId="2DA01AF0" w14:textId="51D50EEA" w:rsidR="00F976DF" w:rsidRPr="00A22006" w:rsidRDefault="001A60A6">
      <w:pPr>
        <w:pStyle w:val="Tabladeilustraciones"/>
        <w:tabs>
          <w:tab w:val="right" w:leader="dot" w:pos="8069"/>
        </w:tabs>
        <w:rPr>
          <w:rFonts w:asciiTheme="minorHAnsi" w:eastAsiaTheme="minorEastAsia" w:hAnsiTheme="minorHAnsi" w:cstheme="minorBidi"/>
          <w:noProof/>
          <w:sz w:val="22"/>
          <w:szCs w:val="22"/>
          <w:lang w:val="es-CR" w:eastAsia="es-CR"/>
        </w:rPr>
      </w:pPr>
      <w:hyperlink w:anchor="_Toc84919462" w:history="1">
        <w:r w:rsidR="00F976DF" w:rsidRPr="00A22006">
          <w:rPr>
            <w:rStyle w:val="Hipervnculo"/>
            <w:rFonts w:ascii="Arial Narrow" w:hAnsi="Arial Narrow"/>
            <w:noProof/>
          </w:rPr>
          <w:t>Tabla 4 Desafíos Acción estratégica Celeridad Judicial según 12 metas reportadas con cumplimiento medio</w:t>
        </w:r>
        <w:r w:rsidR="00F976DF" w:rsidRPr="00A22006">
          <w:rPr>
            <w:noProof/>
            <w:webHidden/>
          </w:rPr>
          <w:tab/>
        </w:r>
        <w:r w:rsidR="00F976DF" w:rsidRPr="00A22006">
          <w:rPr>
            <w:noProof/>
            <w:webHidden/>
          </w:rPr>
          <w:fldChar w:fldCharType="begin"/>
        </w:r>
        <w:r w:rsidR="00F976DF" w:rsidRPr="00A22006">
          <w:rPr>
            <w:noProof/>
            <w:webHidden/>
          </w:rPr>
          <w:instrText xml:space="preserve"> PAGEREF _Toc84919462 \h </w:instrText>
        </w:r>
        <w:r w:rsidR="00F976DF" w:rsidRPr="00A22006">
          <w:rPr>
            <w:noProof/>
            <w:webHidden/>
          </w:rPr>
        </w:r>
        <w:r w:rsidR="00F976DF" w:rsidRPr="00A22006">
          <w:rPr>
            <w:noProof/>
            <w:webHidden/>
          </w:rPr>
          <w:fldChar w:fldCharType="separate"/>
        </w:r>
        <w:r w:rsidR="009B5C5B">
          <w:rPr>
            <w:noProof/>
            <w:webHidden/>
          </w:rPr>
          <w:t>258</w:t>
        </w:r>
        <w:r w:rsidR="00F976DF" w:rsidRPr="00A22006">
          <w:rPr>
            <w:noProof/>
            <w:webHidden/>
          </w:rPr>
          <w:fldChar w:fldCharType="end"/>
        </w:r>
      </w:hyperlink>
    </w:p>
    <w:p w14:paraId="72363C6E" w14:textId="0FF6A0B1" w:rsidR="00F976DF" w:rsidRPr="00A22006" w:rsidRDefault="001A60A6">
      <w:pPr>
        <w:pStyle w:val="Tabladeilustraciones"/>
        <w:tabs>
          <w:tab w:val="right" w:leader="dot" w:pos="8069"/>
        </w:tabs>
        <w:rPr>
          <w:rFonts w:asciiTheme="minorHAnsi" w:eastAsiaTheme="minorEastAsia" w:hAnsiTheme="minorHAnsi" w:cstheme="minorBidi"/>
          <w:noProof/>
          <w:sz w:val="22"/>
          <w:szCs w:val="22"/>
          <w:lang w:val="es-CR" w:eastAsia="es-CR"/>
        </w:rPr>
      </w:pPr>
      <w:hyperlink w:anchor="_Toc84919463" w:history="1">
        <w:r w:rsidR="00F976DF" w:rsidRPr="00A22006">
          <w:rPr>
            <w:rStyle w:val="Hipervnculo"/>
            <w:rFonts w:ascii="Arial Narrow" w:hAnsi="Arial Narrow"/>
            <w:noProof/>
          </w:rPr>
          <w:t>Tabla 5 Desafíos Acciones estratégicas Medidas Alternas según las 3 metas reportadas</w:t>
        </w:r>
        <w:r w:rsidR="00F976DF" w:rsidRPr="00A22006">
          <w:rPr>
            <w:noProof/>
            <w:webHidden/>
          </w:rPr>
          <w:tab/>
        </w:r>
        <w:r w:rsidR="00F976DF" w:rsidRPr="00A22006">
          <w:rPr>
            <w:noProof/>
            <w:webHidden/>
          </w:rPr>
          <w:fldChar w:fldCharType="begin"/>
        </w:r>
        <w:r w:rsidR="00F976DF" w:rsidRPr="00A22006">
          <w:rPr>
            <w:noProof/>
            <w:webHidden/>
          </w:rPr>
          <w:instrText xml:space="preserve"> PAGEREF _Toc84919463 \h </w:instrText>
        </w:r>
        <w:r w:rsidR="00F976DF" w:rsidRPr="00A22006">
          <w:rPr>
            <w:noProof/>
            <w:webHidden/>
          </w:rPr>
        </w:r>
        <w:r w:rsidR="00F976DF" w:rsidRPr="00A22006">
          <w:rPr>
            <w:noProof/>
            <w:webHidden/>
          </w:rPr>
          <w:fldChar w:fldCharType="separate"/>
        </w:r>
        <w:r w:rsidR="009B5C5B">
          <w:rPr>
            <w:noProof/>
            <w:webHidden/>
          </w:rPr>
          <w:t>259</w:t>
        </w:r>
        <w:r w:rsidR="00F976DF" w:rsidRPr="00A22006">
          <w:rPr>
            <w:noProof/>
            <w:webHidden/>
          </w:rPr>
          <w:fldChar w:fldCharType="end"/>
        </w:r>
      </w:hyperlink>
    </w:p>
    <w:p w14:paraId="25B94099" w14:textId="122655B4" w:rsidR="00F976DF" w:rsidRPr="00A22006" w:rsidRDefault="001A60A6">
      <w:pPr>
        <w:pStyle w:val="Tabladeilustraciones"/>
        <w:tabs>
          <w:tab w:val="right" w:leader="dot" w:pos="8069"/>
        </w:tabs>
        <w:rPr>
          <w:rFonts w:asciiTheme="minorHAnsi" w:eastAsiaTheme="minorEastAsia" w:hAnsiTheme="minorHAnsi" w:cstheme="minorBidi"/>
          <w:noProof/>
          <w:sz w:val="22"/>
          <w:szCs w:val="22"/>
          <w:lang w:val="es-CR" w:eastAsia="es-CR"/>
        </w:rPr>
      </w:pPr>
      <w:hyperlink w:anchor="_Toc84919464" w:history="1">
        <w:r w:rsidR="00F976DF" w:rsidRPr="00A22006">
          <w:rPr>
            <w:rStyle w:val="Hipervnculo"/>
            <w:rFonts w:ascii="Arial Narrow" w:hAnsi="Arial Narrow"/>
            <w:noProof/>
          </w:rPr>
          <w:t>Tabla 6 Desafíos Acción estratégica Colaboración interna y externa según la meta numero 1 reportada</w:t>
        </w:r>
        <w:r w:rsidR="00F976DF" w:rsidRPr="00A22006">
          <w:rPr>
            <w:noProof/>
            <w:webHidden/>
          </w:rPr>
          <w:tab/>
        </w:r>
        <w:r w:rsidR="00F976DF" w:rsidRPr="00A22006">
          <w:rPr>
            <w:noProof/>
            <w:webHidden/>
          </w:rPr>
          <w:fldChar w:fldCharType="begin"/>
        </w:r>
        <w:r w:rsidR="00F976DF" w:rsidRPr="00A22006">
          <w:rPr>
            <w:noProof/>
            <w:webHidden/>
          </w:rPr>
          <w:instrText xml:space="preserve"> PAGEREF _Toc84919464 \h </w:instrText>
        </w:r>
        <w:r w:rsidR="00F976DF" w:rsidRPr="00A22006">
          <w:rPr>
            <w:noProof/>
            <w:webHidden/>
          </w:rPr>
        </w:r>
        <w:r w:rsidR="00F976DF" w:rsidRPr="00A22006">
          <w:rPr>
            <w:noProof/>
            <w:webHidden/>
          </w:rPr>
          <w:fldChar w:fldCharType="separate"/>
        </w:r>
        <w:r w:rsidR="009B5C5B">
          <w:rPr>
            <w:noProof/>
            <w:webHidden/>
          </w:rPr>
          <w:t>260</w:t>
        </w:r>
        <w:r w:rsidR="00F976DF" w:rsidRPr="00A22006">
          <w:rPr>
            <w:noProof/>
            <w:webHidden/>
          </w:rPr>
          <w:fldChar w:fldCharType="end"/>
        </w:r>
      </w:hyperlink>
    </w:p>
    <w:p w14:paraId="4EEFF224" w14:textId="59A39C05" w:rsidR="00F976DF" w:rsidRPr="00A22006" w:rsidRDefault="001A60A6">
      <w:pPr>
        <w:pStyle w:val="Tabladeilustraciones"/>
        <w:tabs>
          <w:tab w:val="right" w:leader="dot" w:pos="8069"/>
        </w:tabs>
        <w:rPr>
          <w:rFonts w:asciiTheme="minorHAnsi" w:eastAsiaTheme="minorEastAsia" w:hAnsiTheme="minorHAnsi" w:cstheme="minorBidi"/>
          <w:noProof/>
          <w:sz w:val="22"/>
          <w:szCs w:val="22"/>
          <w:lang w:val="es-CR" w:eastAsia="es-CR"/>
        </w:rPr>
      </w:pPr>
      <w:hyperlink w:anchor="_Toc84919465" w:history="1">
        <w:r w:rsidR="00F976DF" w:rsidRPr="00A22006">
          <w:rPr>
            <w:rStyle w:val="Hipervnculo"/>
            <w:rFonts w:ascii="Arial Narrow" w:hAnsi="Arial Narrow"/>
            <w:noProof/>
          </w:rPr>
          <w:t>Tabla 7 Desafíos acción estratégica Comunicación y proyección Institucional según meta 1 reportada</w:t>
        </w:r>
        <w:r w:rsidR="00F976DF" w:rsidRPr="00A22006">
          <w:rPr>
            <w:noProof/>
            <w:webHidden/>
          </w:rPr>
          <w:tab/>
        </w:r>
        <w:r w:rsidR="00F976DF" w:rsidRPr="00A22006">
          <w:rPr>
            <w:noProof/>
            <w:webHidden/>
          </w:rPr>
          <w:fldChar w:fldCharType="begin"/>
        </w:r>
        <w:r w:rsidR="00F976DF" w:rsidRPr="00A22006">
          <w:rPr>
            <w:noProof/>
            <w:webHidden/>
          </w:rPr>
          <w:instrText xml:space="preserve"> PAGEREF _Toc84919465 \h </w:instrText>
        </w:r>
        <w:r w:rsidR="00F976DF" w:rsidRPr="00A22006">
          <w:rPr>
            <w:noProof/>
            <w:webHidden/>
          </w:rPr>
        </w:r>
        <w:r w:rsidR="00F976DF" w:rsidRPr="00A22006">
          <w:rPr>
            <w:noProof/>
            <w:webHidden/>
          </w:rPr>
          <w:fldChar w:fldCharType="separate"/>
        </w:r>
        <w:r w:rsidR="009B5C5B">
          <w:rPr>
            <w:noProof/>
            <w:webHidden/>
          </w:rPr>
          <w:t>261</w:t>
        </w:r>
        <w:r w:rsidR="00F976DF" w:rsidRPr="00A22006">
          <w:rPr>
            <w:noProof/>
            <w:webHidden/>
          </w:rPr>
          <w:fldChar w:fldCharType="end"/>
        </w:r>
      </w:hyperlink>
    </w:p>
    <w:p w14:paraId="662930A2" w14:textId="20C8CE07" w:rsidR="00F976DF" w:rsidRPr="00A22006" w:rsidRDefault="001A60A6">
      <w:pPr>
        <w:pStyle w:val="Tabladeilustraciones"/>
        <w:tabs>
          <w:tab w:val="right" w:leader="dot" w:pos="8069"/>
        </w:tabs>
        <w:rPr>
          <w:rFonts w:asciiTheme="minorHAnsi" w:eastAsiaTheme="minorEastAsia" w:hAnsiTheme="minorHAnsi" w:cstheme="minorBidi"/>
          <w:noProof/>
          <w:sz w:val="22"/>
          <w:szCs w:val="22"/>
          <w:lang w:val="es-CR" w:eastAsia="es-CR"/>
        </w:rPr>
      </w:pPr>
      <w:hyperlink w:anchor="_Toc84919466" w:history="1">
        <w:r w:rsidR="00F976DF" w:rsidRPr="00A22006">
          <w:rPr>
            <w:rStyle w:val="Hipervnculo"/>
            <w:rFonts w:ascii="Arial Narrow" w:hAnsi="Arial Narrow"/>
            <w:noProof/>
          </w:rPr>
          <w:t>Tabla 8 Desafíos acción estratégica Desarrollo y optimización de servicios y procesos judiciales según meta 1.</w:t>
        </w:r>
        <w:r w:rsidR="00F976DF" w:rsidRPr="00A22006">
          <w:rPr>
            <w:noProof/>
            <w:webHidden/>
          </w:rPr>
          <w:tab/>
        </w:r>
        <w:r w:rsidR="00F976DF" w:rsidRPr="00A22006">
          <w:rPr>
            <w:noProof/>
            <w:webHidden/>
          </w:rPr>
          <w:fldChar w:fldCharType="begin"/>
        </w:r>
        <w:r w:rsidR="00F976DF" w:rsidRPr="00A22006">
          <w:rPr>
            <w:noProof/>
            <w:webHidden/>
          </w:rPr>
          <w:instrText xml:space="preserve"> PAGEREF _Toc84919466 \h </w:instrText>
        </w:r>
        <w:r w:rsidR="00F976DF" w:rsidRPr="00A22006">
          <w:rPr>
            <w:noProof/>
            <w:webHidden/>
          </w:rPr>
        </w:r>
        <w:r w:rsidR="00F976DF" w:rsidRPr="00A22006">
          <w:rPr>
            <w:noProof/>
            <w:webHidden/>
          </w:rPr>
          <w:fldChar w:fldCharType="separate"/>
        </w:r>
        <w:r w:rsidR="009B5C5B">
          <w:rPr>
            <w:noProof/>
            <w:webHidden/>
          </w:rPr>
          <w:t>262</w:t>
        </w:r>
        <w:r w:rsidR="00F976DF" w:rsidRPr="00A22006">
          <w:rPr>
            <w:noProof/>
            <w:webHidden/>
          </w:rPr>
          <w:fldChar w:fldCharType="end"/>
        </w:r>
      </w:hyperlink>
    </w:p>
    <w:p w14:paraId="553BA3B9" w14:textId="734D4BBC" w:rsidR="00F976DF" w:rsidRPr="00A22006" w:rsidRDefault="001A60A6">
      <w:pPr>
        <w:pStyle w:val="Tabladeilustraciones"/>
        <w:tabs>
          <w:tab w:val="right" w:leader="dot" w:pos="8069"/>
        </w:tabs>
        <w:rPr>
          <w:rFonts w:asciiTheme="minorHAnsi" w:eastAsiaTheme="minorEastAsia" w:hAnsiTheme="minorHAnsi" w:cstheme="minorBidi"/>
          <w:noProof/>
          <w:sz w:val="22"/>
          <w:szCs w:val="22"/>
          <w:lang w:val="es-CR" w:eastAsia="es-CR"/>
        </w:rPr>
      </w:pPr>
      <w:hyperlink w:anchor="_Toc84919467" w:history="1">
        <w:r w:rsidR="00F976DF" w:rsidRPr="00A22006">
          <w:rPr>
            <w:rStyle w:val="Hipervnculo"/>
            <w:rFonts w:ascii="Arial Narrow" w:hAnsi="Arial Narrow"/>
            <w:noProof/>
          </w:rPr>
          <w:t>Tabla 9 Desafíos Acción Estratégica Servicios tecnológicos según meta 1 reportada</w:t>
        </w:r>
        <w:r w:rsidR="00F976DF" w:rsidRPr="00A22006">
          <w:rPr>
            <w:noProof/>
            <w:webHidden/>
          </w:rPr>
          <w:tab/>
        </w:r>
        <w:r w:rsidR="00F976DF" w:rsidRPr="00A22006">
          <w:rPr>
            <w:noProof/>
            <w:webHidden/>
          </w:rPr>
          <w:fldChar w:fldCharType="begin"/>
        </w:r>
        <w:r w:rsidR="00F976DF" w:rsidRPr="00A22006">
          <w:rPr>
            <w:noProof/>
            <w:webHidden/>
          </w:rPr>
          <w:instrText xml:space="preserve"> PAGEREF _Toc84919467 \h </w:instrText>
        </w:r>
        <w:r w:rsidR="00F976DF" w:rsidRPr="00A22006">
          <w:rPr>
            <w:noProof/>
            <w:webHidden/>
          </w:rPr>
        </w:r>
        <w:r w:rsidR="00F976DF" w:rsidRPr="00A22006">
          <w:rPr>
            <w:noProof/>
            <w:webHidden/>
          </w:rPr>
          <w:fldChar w:fldCharType="separate"/>
        </w:r>
        <w:r w:rsidR="009B5C5B">
          <w:rPr>
            <w:noProof/>
            <w:webHidden/>
          </w:rPr>
          <w:t>262</w:t>
        </w:r>
        <w:r w:rsidR="00F976DF" w:rsidRPr="00A22006">
          <w:rPr>
            <w:noProof/>
            <w:webHidden/>
          </w:rPr>
          <w:fldChar w:fldCharType="end"/>
        </w:r>
      </w:hyperlink>
    </w:p>
    <w:p w14:paraId="6C04C71F" w14:textId="6060DE64" w:rsidR="00F976DF" w:rsidRPr="00A22006" w:rsidRDefault="001A60A6">
      <w:pPr>
        <w:pStyle w:val="Tabladeilustraciones"/>
        <w:tabs>
          <w:tab w:val="right" w:leader="dot" w:pos="8069"/>
        </w:tabs>
        <w:rPr>
          <w:rFonts w:asciiTheme="minorHAnsi" w:eastAsiaTheme="minorEastAsia" w:hAnsiTheme="minorHAnsi" w:cstheme="minorBidi"/>
          <w:noProof/>
          <w:sz w:val="22"/>
          <w:szCs w:val="22"/>
          <w:lang w:val="es-CR" w:eastAsia="es-CR"/>
        </w:rPr>
      </w:pPr>
      <w:hyperlink w:anchor="_Toc84919468" w:history="1">
        <w:r w:rsidR="00F976DF" w:rsidRPr="00A22006">
          <w:rPr>
            <w:rStyle w:val="Hipervnculo"/>
            <w:rFonts w:ascii="Arial Narrow" w:hAnsi="Arial Narrow"/>
            <w:noProof/>
          </w:rPr>
          <w:t>Tabla 10 Desafíos Acción Estratégica Servicios tecnológicos según meta 2 reportada</w:t>
        </w:r>
        <w:r w:rsidR="00F976DF" w:rsidRPr="00A22006">
          <w:rPr>
            <w:noProof/>
            <w:webHidden/>
          </w:rPr>
          <w:tab/>
        </w:r>
        <w:r w:rsidR="00F976DF" w:rsidRPr="00A22006">
          <w:rPr>
            <w:noProof/>
            <w:webHidden/>
          </w:rPr>
          <w:fldChar w:fldCharType="begin"/>
        </w:r>
        <w:r w:rsidR="00F976DF" w:rsidRPr="00A22006">
          <w:rPr>
            <w:noProof/>
            <w:webHidden/>
          </w:rPr>
          <w:instrText xml:space="preserve"> PAGEREF _Toc84919468 \h </w:instrText>
        </w:r>
        <w:r w:rsidR="00F976DF" w:rsidRPr="00A22006">
          <w:rPr>
            <w:noProof/>
            <w:webHidden/>
          </w:rPr>
        </w:r>
        <w:r w:rsidR="00F976DF" w:rsidRPr="00A22006">
          <w:rPr>
            <w:noProof/>
            <w:webHidden/>
          </w:rPr>
          <w:fldChar w:fldCharType="separate"/>
        </w:r>
        <w:r w:rsidR="009B5C5B">
          <w:rPr>
            <w:noProof/>
            <w:webHidden/>
          </w:rPr>
          <w:t>263</w:t>
        </w:r>
        <w:r w:rsidR="00F976DF" w:rsidRPr="00A22006">
          <w:rPr>
            <w:noProof/>
            <w:webHidden/>
          </w:rPr>
          <w:fldChar w:fldCharType="end"/>
        </w:r>
      </w:hyperlink>
    </w:p>
    <w:p w14:paraId="0E57E514" w14:textId="18758E46" w:rsidR="00F976DF" w:rsidRPr="00A22006" w:rsidRDefault="001A60A6">
      <w:pPr>
        <w:pStyle w:val="Tabladeilustraciones"/>
        <w:tabs>
          <w:tab w:val="right" w:leader="dot" w:pos="8069"/>
        </w:tabs>
        <w:rPr>
          <w:rFonts w:asciiTheme="minorHAnsi" w:eastAsiaTheme="minorEastAsia" w:hAnsiTheme="minorHAnsi" w:cstheme="minorBidi"/>
          <w:noProof/>
          <w:sz w:val="22"/>
          <w:szCs w:val="22"/>
          <w:lang w:val="es-CR" w:eastAsia="es-CR"/>
        </w:rPr>
      </w:pPr>
      <w:hyperlink w:anchor="_Toc84919469" w:history="1">
        <w:r w:rsidR="00F976DF" w:rsidRPr="00A22006">
          <w:rPr>
            <w:rStyle w:val="Hipervnculo"/>
            <w:rFonts w:ascii="Arial Narrow" w:hAnsi="Arial Narrow"/>
            <w:noProof/>
          </w:rPr>
          <w:t>Tabla 11 Desafío Acción Estratégica Capacitación según meta 1 reportada</w:t>
        </w:r>
        <w:r w:rsidR="00F976DF" w:rsidRPr="00A22006">
          <w:rPr>
            <w:noProof/>
            <w:webHidden/>
          </w:rPr>
          <w:tab/>
        </w:r>
        <w:r w:rsidR="00F976DF" w:rsidRPr="00A22006">
          <w:rPr>
            <w:noProof/>
            <w:webHidden/>
          </w:rPr>
          <w:fldChar w:fldCharType="begin"/>
        </w:r>
        <w:r w:rsidR="00F976DF" w:rsidRPr="00A22006">
          <w:rPr>
            <w:noProof/>
            <w:webHidden/>
          </w:rPr>
          <w:instrText xml:space="preserve"> PAGEREF _Toc84919469 \h </w:instrText>
        </w:r>
        <w:r w:rsidR="00F976DF" w:rsidRPr="00A22006">
          <w:rPr>
            <w:noProof/>
            <w:webHidden/>
          </w:rPr>
        </w:r>
        <w:r w:rsidR="00F976DF" w:rsidRPr="00A22006">
          <w:rPr>
            <w:noProof/>
            <w:webHidden/>
          </w:rPr>
          <w:fldChar w:fldCharType="separate"/>
        </w:r>
        <w:r w:rsidR="009B5C5B">
          <w:rPr>
            <w:noProof/>
            <w:webHidden/>
          </w:rPr>
          <w:t>264</w:t>
        </w:r>
        <w:r w:rsidR="00F976DF" w:rsidRPr="00A22006">
          <w:rPr>
            <w:noProof/>
            <w:webHidden/>
          </w:rPr>
          <w:fldChar w:fldCharType="end"/>
        </w:r>
      </w:hyperlink>
    </w:p>
    <w:p w14:paraId="5CFBEAA2" w14:textId="78704472" w:rsidR="00F976DF" w:rsidRPr="00A22006" w:rsidRDefault="001A60A6">
      <w:pPr>
        <w:pStyle w:val="Tabladeilustraciones"/>
        <w:tabs>
          <w:tab w:val="right" w:leader="dot" w:pos="8069"/>
        </w:tabs>
        <w:rPr>
          <w:rFonts w:asciiTheme="minorHAnsi" w:eastAsiaTheme="minorEastAsia" w:hAnsiTheme="minorHAnsi" w:cstheme="minorBidi"/>
          <w:noProof/>
          <w:sz w:val="22"/>
          <w:szCs w:val="22"/>
          <w:lang w:val="es-CR" w:eastAsia="es-CR"/>
        </w:rPr>
      </w:pPr>
      <w:hyperlink w:anchor="_Toc84919470" w:history="1">
        <w:r w:rsidR="00F976DF" w:rsidRPr="00A22006">
          <w:rPr>
            <w:rStyle w:val="Hipervnculo"/>
            <w:rFonts w:ascii="Arial Narrow" w:hAnsi="Arial Narrow"/>
            <w:noProof/>
          </w:rPr>
          <w:t>Tabla 12 Desafío Acción Estratégica Capacitación según meta 2 reportada</w:t>
        </w:r>
        <w:r w:rsidR="00F976DF" w:rsidRPr="00A22006">
          <w:rPr>
            <w:noProof/>
            <w:webHidden/>
          </w:rPr>
          <w:tab/>
        </w:r>
        <w:r w:rsidR="00F976DF" w:rsidRPr="00A22006">
          <w:rPr>
            <w:noProof/>
            <w:webHidden/>
          </w:rPr>
          <w:fldChar w:fldCharType="begin"/>
        </w:r>
        <w:r w:rsidR="00F976DF" w:rsidRPr="00A22006">
          <w:rPr>
            <w:noProof/>
            <w:webHidden/>
          </w:rPr>
          <w:instrText xml:space="preserve"> PAGEREF _Toc84919470 \h </w:instrText>
        </w:r>
        <w:r w:rsidR="00F976DF" w:rsidRPr="00A22006">
          <w:rPr>
            <w:noProof/>
            <w:webHidden/>
          </w:rPr>
        </w:r>
        <w:r w:rsidR="00F976DF" w:rsidRPr="00A22006">
          <w:rPr>
            <w:noProof/>
            <w:webHidden/>
          </w:rPr>
          <w:fldChar w:fldCharType="separate"/>
        </w:r>
        <w:r w:rsidR="009B5C5B">
          <w:rPr>
            <w:noProof/>
            <w:webHidden/>
          </w:rPr>
          <w:t>264</w:t>
        </w:r>
        <w:r w:rsidR="00F976DF" w:rsidRPr="00A22006">
          <w:rPr>
            <w:noProof/>
            <w:webHidden/>
          </w:rPr>
          <w:fldChar w:fldCharType="end"/>
        </w:r>
      </w:hyperlink>
    </w:p>
    <w:p w14:paraId="476535CC" w14:textId="13591BA6" w:rsidR="00F976DF" w:rsidRPr="00A22006" w:rsidRDefault="001A60A6">
      <w:pPr>
        <w:pStyle w:val="Tabladeilustraciones"/>
        <w:tabs>
          <w:tab w:val="right" w:leader="dot" w:pos="8069"/>
        </w:tabs>
        <w:rPr>
          <w:rFonts w:asciiTheme="minorHAnsi" w:eastAsiaTheme="minorEastAsia" w:hAnsiTheme="minorHAnsi" w:cstheme="minorBidi"/>
          <w:noProof/>
          <w:sz w:val="22"/>
          <w:szCs w:val="22"/>
          <w:lang w:val="es-CR" w:eastAsia="es-CR"/>
        </w:rPr>
      </w:pPr>
      <w:hyperlink w:anchor="_Toc84919471" w:history="1">
        <w:r w:rsidR="00F976DF" w:rsidRPr="00A22006">
          <w:rPr>
            <w:rStyle w:val="Hipervnculo"/>
            <w:rFonts w:ascii="Arial Narrow" w:hAnsi="Arial Narrow"/>
            <w:noProof/>
          </w:rPr>
          <w:t>Tabla 13 Desafío Acción Estratégica Capacitación según meta 3 reportada</w:t>
        </w:r>
        <w:r w:rsidR="00F976DF" w:rsidRPr="00A22006">
          <w:rPr>
            <w:noProof/>
            <w:webHidden/>
          </w:rPr>
          <w:tab/>
        </w:r>
        <w:r w:rsidR="00F976DF" w:rsidRPr="00A22006">
          <w:rPr>
            <w:noProof/>
            <w:webHidden/>
          </w:rPr>
          <w:fldChar w:fldCharType="begin"/>
        </w:r>
        <w:r w:rsidR="00F976DF" w:rsidRPr="00A22006">
          <w:rPr>
            <w:noProof/>
            <w:webHidden/>
          </w:rPr>
          <w:instrText xml:space="preserve"> PAGEREF _Toc84919471 \h </w:instrText>
        </w:r>
        <w:r w:rsidR="00F976DF" w:rsidRPr="00A22006">
          <w:rPr>
            <w:noProof/>
            <w:webHidden/>
          </w:rPr>
        </w:r>
        <w:r w:rsidR="00F976DF" w:rsidRPr="00A22006">
          <w:rPr>
            <w:noProof/>
            <w:webHidden/>
          </w:rPr>
          <w:fldChar w:fldCharType="separate"/>
        </w:r>
        <w:r w:rsidR="009B5C5B">
          <w:rPr>
            <w:noProof/>
            <w:webHidden/>
          </w:rPr>
          <w:t>265</w:t>
        </w:r>
        <w:r w:rsidR="00F976DF" w:rsidRPr="00A22006">
          <w:rPr>
            <w:noProof/>
            <w:webHidden/>
          </w:rPr>
          <w:fldChar w:fldCharType="end"/>
        </w:r>
      </w:hyperlink>
    </w:p>
    <w:p w14:paraId="10CDB0FF" w14:textId="62A7CAD2" w:rsidR="00F976DF" w:rsidRPr="00A22006" w:rsidRDefault="001A60A6">
      <w:pPr>
        <w:pStyle w:val="Tabladeilustraciones"/>
        <w:tabs>
          <w:tab w:val="right" w:leader="dot" w:pos="8069"/>
        </w:tabs>
        <w:rPr>
          <w:rFonts w:asciiTheme="minorHAnsi" w:eastAsiaTheme="minorEastAsia" w:hAnsiTheme="minorHAnsi" w:cstheme="minorBidi"/>
          <w:noProof/>
          <w:sz w:val="22"/>
          <w:szCs w:val="22"/>
          <w:lang w:val="es-CR" w:eastAsia="es-CR"/>
        </w:rPr>
      </w:pPr>
      <w:hyperlink w:anchor="_Toc84919472" w:history="1">
        <w:r w:rsidR="00F976DF" w:rsidRPr="00A22006">
          <w:rPr>
            <w:rStyle w:val="Hipervnculo"/>
            <w:rFonts w:ascii="Arial Narrow" w:hAnsi="Arial Narrow"/>
            <w:noProof/>
          </w:rPr>
          <w:t>Tabla 14 Desafío Acción Estratégica Capacitación según meta 4 reportada</w:t>
        </w:r>
        <w:r w:rsidR="00F976DF" w:rsidRPr="00A22006">
          <w:rPr>
            <w:noProof/>
            <w:webHidden/>
          </w:rPr>
          <w:tab/>
        </w:r>
        <w:r w:rsidR="00F976DF" w:rsidRPr="00A22006">
          <w:rPr>
            <w:noProof/>
            <w:webHidden/>
          </w:rPr>
          <w:fldChar w:fldCharType="begin"/>
        </w:r>
        <w:r w:rsidR="00F976DF" w:rsidRPr="00A22006">
          <w:rPr>
            <w:noProof/>
            <w:webHidden/>
          </w:rPr>
          <w:instrText xml:space="preserve"> PAGEREF _Toc84919472 \h </w:instrText>
        </w:r>
        <w:r w:rsidR="00F976DF" w:rsidRPr="00A22006">
          <w:rPr>
            <w:noProof/>
            <w:webHidden/>
          </w:rPr>
        </w:r>
        <w:r w:rsidR="00F976DF" w:rsidRPr="00A22006">
          <w:rPr>
            <w:noProof/>
            <w:webHidden/>
          </w:rPr>
          <w:fldChar w:fldCharType="separate"/>
        </w:r>
        <w:r w:rsidR="009B5C5B">
          <w:rPr>
            <w:noProof/>
            <w:webHidden/>
          </w:rPr>
          <w:t>266</w:t>
        </w:r>
        <w:r w:rsidR="00F976DF" w:rsidRPr="00A22006">
          <w:rPr>
            <w:noProof/>
            <w:webHidden/>
          </w:rPr>
          <w:fldChar w:fldCharType="end"/>
        </w:r>
      </w:hyperlink>
    </w:p>
    <w:p w14:paraId="3E0BF0F7" w14:textId="5C81CD46" w:rsidR="00F976DF" w:rsidRPr="00A22006" w:rsidRDefault="001A60A6">
      <w:pPr>
        <w:pStyle w:val="Tabladeilustraciones"/>
        <w:tabs>
          <w:tab w:val="right" w:leader="dot" w:pos="8069"/>
        </w:tabs>
        <w:rPr>
          <w:rFonts w:asciiTheme="minorHAnsi" w:eastAsiaTheme="minorEastAsia" w:hAnsiTheme="minorHAnsi" w:cstheme="minorBidi"/>
          <w:noProof/>
          <w:sz w:val="22"/>
          <w:szCs w:val="22"/>
          <w:lang w:val="es-CR" w:eastAsia="es-CR"/>
        </w:rPr>
      </w:pPr>
      <w:hyperlink w:anchor="_Toc84919473" w:history="1">
        <w:r w:rsidR="00F976DF" w:rsidRPr="00A22006">
          <w:rPr>
            <w:rStyle w:val="Hipervnculo"/>
            <w:rFonts w:ascii="Arial Narrow" w:hAnsi="Arial Narrow"/>
            <w:noProof/>
          </w:rPr>
          <w:t>Tabla 15 Desafío Acción Estratégica Capacitación según meta 1 reportada</w:t>
        </w:r>
        <w:r w:rsidR="00F976DF" w:rsidRPr="00A22006">
          <w:rPr>
            <w:noProof/>
            <w:webHidden/>
          </w:rPr>
          <w:tab/>
        </w:r>
        <w:r w:rsidR="00F976DF" w:rsidRPr="00A22006">
          <w:rPr>
            <w:noProof/>
            <w:webHidden/>
          </w:rPr>
          <w:fldChar w:fldCharType="begin"/>
        </w:r>
        <w:r w:rsidR="00F976DF" w:rsidRPr="00A22006">
          <w:rPr>
            <w:noProof/>
            <w:webHidden/>
          </w:rPr>
          <w:instrText xml:space="preserve"> PAGEREF _Toc84919473 \h </w:instrText>
        </w:r>
        <w:r w:rsidR="00F976DF" w:rsidRPr="00A22006">
          <w:rPr>
            <w:noProof/>
            <w:webHidden/>
          </w:rPr>
        </w:r>
        <w:r w:rsidR="00F976DF" w:rsidRPr="00A22006">
          <w:rPr>
            <w:noProof/>
            <w:webHidden/>
          </w:rPr>
          <w:fldChar w:fldCharType="separate"/>
        </w:r>
        <w:r w:rsidR="009B5C5B">
          <w:rPr>
            <w:noProof/>
            <w:webHidden/>
          </w:rPr>
          <w:t>266</w:t>
        </w:r>
        <w:r w:rsidR="00F976DF" w:rsidRPr="00A22006">
          <w:rPr>
            <w:noProof/>
            <w:webHidden/>
          </w:rPr>
          <w:fldChar w:fldCharType="end"/>
        </w:r>
      </w:hyperlink>
    </w:p>
    <w:p w14:paraId="6B2814C3" w14:textId="61F66A93" w:rsidR="00F976DF" w:rsidRPr="00A22006" w:rsidRDefault="001A60A6">
      <w:pPr>
        <w:pStyle w:val="Tabladeilustraciones"/>
        <w:tabs>
          <w:tab w:val="right" w:leader="dot" w:pos="8069"/>
        </w:tabs>
        <w:rPr>
          <w:rFonts w:asciiTheme="minorHAnsi" w:eastAsiaTheme="minorEastAsia" w:hAnsiTheme="minorHAnsi" w:cstheme="minorBidi"/>
          <w:noProof/>
          <w:sz w:val="22"/>
          <w:szCs w:val="22"/>
          <w:lang w:val="es-CR" w:eastAsia="es-CR"/>
        </w:rPr>
      </w:pPr>
      <w:hyperlink w:anchor="_Toc84919474" w:history="1">
        <w:r w:rsidR="00F976DF" w:rsidRPr="00A22006">
          <w:rPr>
            <w:rStyle w:val="Hipervnculo"/>
            <w:rFonts w:ascii="Arial Narrow" w:hAnsi="Arial Narrow"/>
            <w:noProof/>
          </w:rPr>
          <w:t>Tabla 16  Desafío Acción Estratégica Capacitación según meta 6 reportada</w:t>
        </w:r>
        <w:r w:rsidR="00F976DF" w:rsidRPr="00A22006">
          <w:rPr>
            <w:noProof/>
            <w:webHidden/>
          </w:rPr>
          <w:tab/>
        </w:r>
        <w:r w:rsidR="00F976DF" w:rsidRPr="00A22006">
          <w:rPr>
            <w:noProof/>
            <w:webHidden/>
          </w:rPr>
          <w:fldChar w:fldCharType="begin"/>
        </w:r>
        <w:r w:rsidR="00F976DF" w:rsidRPr="00A22006">
          <w:rPr>
            <w:noProof/>
            <w:webHidden/>
          </w:rPr>
          <w:instrText xml:space="preserve"> PAGEREF _Toc84919474 \h </w:instrText>
        </w:r>
        <w:r w:rsidR="00F976DF" w:rsidRPr="00A22006">
          <w:rPr>
            <w:noProof/>
            <w:webHidden/>
          </w:rPr>
        </w:r>
        <w:r w:rsidR="00F976DF" w:rsidRPr="00A22006">
          <w:rPr>
            <w:noProof/>
            <w:webHidden/>
          </w:rPr>
          <w:fldChar w:fldCharType="separate"/>
        </w:r>
        <w:r w:rsidR="009B5C5B">
          <w:rPr>
            <w:noProof/>
            <w:webHidden/>
          </w:rPr>
          <w:t>267</w:t>
        </w:r>
        <w:r w:rsidR="00F976DF" w:rsidRPr="00A22006">
          <w:rPr>
            <w:noProof/>
            <w:webHidden/>
          </w:rPr>
          <w:fldChar w:fldCharType="end"/>
        </w:r>
      </w:hyperlink>
    </w:p>
    <w:p w14:paraId="7BB15F4B" w14:textId="55F1110E" w:rsidR="00F976DF" w:rsidRPr="00A22006" w:rsidRDefault="001A60A6">
      <w:pPr>
        <w:pStyle w:val="Tabladeilustraciones"/>
        <w:tabs>
          <w:tab w:val="right" w:leader="dot" w:pos="8069"/>
        </w:tabs>
        <w:rPr>
          <w:rFonts w:asciiTheme="minorHAnsi" w:eastAsiaTheme="minorEastAsia" w:hAnsiTheme="minorHAnsi" w:cstheme="minorBidi"/>
          <w:noProof/>
          <w:sz w:val="22"/>
          <w:szCs w:val="22"/>
          <w:lang w:val="es-CR" w:eastAsia="es-CR"/>
        </w:rPr>
      </w:pPr>
      <w:hyperlink w:anchor="_Toc84919475" w:history="1">
        <w:r w:rsidR="00F976DF" w:rsidRPr="00A22006">
          <w:rPr>
            <w:rStyle w:val="Hipervnculo"/>
            <w:rFonts w:ascii="Arial Narrow" w:hAnsi="Arial Narrow"/>
            <w:noProof/>
          </w:rPr>
          <w:t>Tabla 17 Desafío Acción Estratégica Gestión Estratégica Institucional según meta 1 reportada.</w:t>
        </w:r>
        <w:r w:rsidR="00F976DF" w:rsidRPr="00A22006">
          <w:rPr>
            <w:noProof/>
            <w:webHidden/>
          </w:rPr>
          <w:tab/>
        </w:r>
        <w:r w:rsidR="00F976DF" w:rsidRPr="00A22006">
          <w:rPr>
            <w:noProof/>
            <w:webHidden/>
          </w:rPr>
          <w:fldChar w:fldCharType="begin"/>
        </w:r>
        <w:r w:rsidR="00F976DF" w:rsidRPr="00A22006">
          <w:rPr>
            <w:noProof/>
            <w:webHidden/>
          </w:rPr>
          <w:instrText xml:space="preserve"> PAGEREF _Toc84919475 \h </w:instrText>
        </w:r>
        <w:r w:rsidR="00F976DF" w:rsidRPr="00A22006">
          <w:rPr>
            <w:noProof/>
            <w:webHidden/>
          </w:rPr>
        </w:r>
        <w:r w:rsidR="00F976DF" w:rsidRPr="00A22006">
          <w:rPr>
            <w:noProof/>
            <w:webHidden/>
          </w:rPr>
          <w:fldChar w:fldCharType="separate"/>
        </w:r>
        <w:r w:rsidR="009B5C5B">
          <w:rPr>
            <w:noProof/>
            <w:webHidden/>
          </w:rPr>
          <w:t>268</w:t>
        </w:r>
        <w:r w:rsidR="00F976DF" w:rsidRPr="00A22006">
          <w:rPr>
            <w:noProof/>
            <w:webHidden/>
          </w:rPr>
          <w:fldChar w:fldCharType="end"/>
        </w:r>
      </w:hyperlink>
    </w:p>
    <w:p w14:paraId="5EA1B429" w14:textId="7D897655" w:rsidR="00F976DF" w:rsidRPr="00A22006" w:rsidRDefault="001A60A6">
      <w:pPr>
        <w:pStyle w:val="Tabladeilustraciones"/>
        <w:tabs>
          <w:tab w:val="right" w:leader="dot" w:pos="8069"/>
        </w:tabs>
        <w:rPr>
          <w:rFonts w:asciiTheme="minorHAnsi" w:eastAsiaTheme="minorEastAsia" w:hAnsiTheme="minorHAnsi" w:cstheme="minorBidi"/>
          <w:noProof/>
          <w:sz w:val="22"/>
          <w:szCs w:val="22"/>
          <w:lang w:val="es-CR" w:eastAsia="es-CR"/>
        </w:rPr>
      </w:pPr>
      <w:hyperlink w:anchor="_Toc84919476" w:history="1">
        <w:r w:rsidR="00F976DF" w:rsidRPr="00A22006">
          <w:rPr>
            <w:rStyle w:val="Hipervnculo"/>
            <w:rFonts w:ascii="Arial Narrow" w:eastAsia="Calibri" w:hAnsi="Arial Narrow"/>
            <w:noProof/>
            <w:lang w:eastAsia="en-US"/>
          </w:rPr>
          <w:t>Tabla 19 Cumplimiento porcentual de las metas estratégicas del 2019,</w:t>
        </w:r>
        <w:r w:rsidR="00F976DF" w:rsidRPr="00A22006">
          <w:rPr>
            <w:noProof/>
            <w:webHidden/>
          </w:rPr>
          <w:tab/>
        </w:r>
        <w:r w:rsidR="00F976DF" w:rsidRPr="00A22006">
          <w:rPr>
            <w:noProof/>
            <w:webHidden/>
          </w:rPr>
          <w:fldChar w:fldCharType="begin"/>
        </w:r>
        <w:r w:rsidR="00F976DF" w:rsidRPr="00A22006">
          <w:rPr>
            <w:noProof/>
            <w:webHidden/>
          </w:rPr>
          <w:instrText xml:space="preserve"> PAGEREF _Toc84919476 \h </w:instrText>
        </w:r>
        <w:r w:rsidR="00F976DF" w:rsidRPr="00A22006">
          <w:rPr>
            <w:noProof/>
            <w:webHidden/>
          </w:rPr>
        </w:r>
        <w:r w:rsidR="00F976DF" w:rsidRPr="00A22006">
          <w:rPr>
            <w:noProof/>
            <w:webHidden/>
          </w:rPr>
          <w:fldChar w:fldCharType="separate"/>
        </w:r>
        <w:r w:rsidR="009B5C5B">
          <w:rPr>
            <w:noProof/>
            <w:webHidden/>
          </w:rPr>
          <w:t>269</w:t>
        </w:r>
        <w:r w:rsidR="00F976DF" w:rsidRPr="00A22006">
          <w:rPr>
            <w:noProof/>
            <w:webHidden/>
          </w:rPr>
          <w:fldChar w:fldCharType="end"/>
        </w:r>
      </w:hyperlink>
    </w:p>
    <w:p w14:paraId="7C8962BB" w14:textId="42C14932" w:rsidR="00F976DF" w:rsidRPr="00A22006" w:rsidRDefault="001A60A6">
      <w:pPr>
        <w:pStyle w:val="Tabladeilustraciones"/>
        <w:tabs>
          <w:tab w:val="right" w:leader="dot" w:pos="8069"/>
        </w:tabs>
        <w:rPr>
          <w:rFonts w:asciiTheme="minorHAnsi" w:eastAsiaTheme="minorEastAsia" w:hAnsiTheme="minorHAnsi" w:cstheme="minorBidi"/>
          <w:noProof/>
          <w:sz w:val="22"/>
          <w:szCs w:val="22"/>
          <w:lang w:val="es-CR" w:eastAsia="es-CR"/>
        </w:rPr>
      </w:pPr>
      <w:hyperlink w:anchor="_Toc84919477" w:history="1">
        <w:r w:rsidR="00F976DF" w:rsidRPr="00A22006">
          <w:rPr>
            <w:rStyle w:val="Hipervnculo"/>
            <w:rFonts w:ascii="Arial Narrow" w:eastAsia="Calibri" w:hAnsi="Arial Narrow"/>
            <w:noProof/>
            <w:lang w:eastAsia="en-US"/>
          </w:rPr>
          <w:t>Tabla 19 Cumplimiento porcentual de las metas estratégicas del 2019,</w:t>
        </w:r>
        <w:r w:rsidR="00F976DF" w:rsidRPr="00A22006">
          <w:rPr>
            <w:noProof/>
            <w:webHidden/>
          </w:rPr>
          <w:tab/>
        </w:r>
        <w:r w:rsidR="00F976DF" w:rsidRPr="00A22006">
          <w:rPr>
            <w:noProof/>
            <w:webHidden/>
          </w:rPr>
          <w:fldChar w:fldCharType="begin"/>
        </w:r>
        <w:r w:rsidR="00F976DF" w:rsidRPr="00A22006">
          <w:rPr>
            <w:noProof/>
            <w:webHidden/>
          </w:rPr>
          <w:instrText xml:space="preserve"> PAGEREF _Toc84919477 \h </w:instrText>
        </w:r>
        <w:r w:rsidR="00F976DF" w:rsidRPr="00A22006">
          <w:rPr>
            <w:noProof/>
            <w:webHidden/>
          </w:rPr>
        </w:r>
        <w:r w:rsidR="00F976DF" w:rsidRPr="00A22006">
          <w:rPr>
            <w:noProof/>
            <w:webHidden/>
          </w:rPr>
          <w:fldChar w:fldCharType="separate"/>
        </w:r>
        <w:r w:rsidR="009B5C5B">
          <w:rPr>
            <w:noProof/>
            <w:webHidden/>
          </w:rPr>
          <w:t>271</w:t>
        </w:r>
        <w:r w:rsidR="00F976DF" w:rsidRPr="00A22006">
          <w:rPr>
            <w:noProof/>
            <w:webHidden/>
          </w:rPr>
          <w:fldChar w:fldCharType="end"/>
        </w:r>
      </w:hyperlink>
    </w:p>
    <w:p w14:paraId="3D9D97F8" w14:textId="41C441BF" w:rsidR="00F976DF" w:rsidRPr="00A22006" w:rsidRDefault="001A60A6">
      <w:pPr>
        <w:pStyle w:val="Tabladeilustraciones"/>
        <w:tabs>
          <w:tab w:val="right" w:leader="dot" w:pos="8069"/>
        </w:tabs>
        <w:rPr>
          <w:rFonts w:asciiTheme="minorHAnsi" w:eastAsiaTheme="minorEastAsia" w:hAnsiTheme="minorHAnsi" w:cstheme="minorBidi"/>
          <w:noProof/>
          <w:sz w:val="22"/>
          <w:szCs w:val="22"/>
          <w:lang w:val="es-CR" w:eastAsia="es-CR"/>
        </w:rPr>
      </w:pPr>
      <w:hyperlink w:anchor="_Toc84919478" w:history="1">
        <w:r w:rsidR="00F976DF" w:rsidRPr="00A22006">
          <w:rPr>
            <w:rStyle w:val="Hipervnculo"/>
            <w:rFonts w:ascii="Arial Narrow" w:eastAsia="Calibri" w:hAnsi="Arial Narrow"/>
            <w:noProof/>
            <w:lang w:eastAsia="en-US"/>
          </w:rPr>
          <w:t>Tabla 20 Cumplimiento porcentual de las metas estratégicas del 2020,</w:t>
        </w:r>
        <w:r w:rsidR="00F976DF" w:rsidRPr="00A22006">
          <w:rPr>
            <w:noProof/>
            <w:webHidden/>
          </w:rPr>
          <w:tab/>
        </w:r>
        <w:r w:rsidR="00F976DF" w:rsidRPr="00A22006">
          <w:rPr>
            <w:noProof/>
            <w:webHidden/>
          </w:rPr>
          <w:fldChar w:fldCharType="begin"/>
        </w:r>
        <w:r w:rsidR="00F976DF" w:rsidRPr="00A22006">
          <w:rPr>
            <w:noProof/>
            <w:webHidden/>
          </w:rPr>
          <w:instrText xml:space="preserve"> PAGEREF _Toc84919478 \h </w:instrText>
        </w:r>
        <w:r w:rsidR="00F976DF" w:rsidRPr="00A22006">
          <w:rPr>
            <w:noProof/>
            <w:webHidden/>
          </w:rPr>
        </w:r>
        <w:r w:rsidR="00F976DF" w:rsidRPr="00A22006">
          <w:rPr>
            <w:noProof/>
            <w:webHidden/>
          </w:rPr>
          <w:fldChar w:fldCharType="separate"/>
        </w:r>
        <w:r w:rsidR="009B5C5B">
          <w:rPr>
            <w:noProof/>
            <w:webHidden/>
          </w:rPr>
          <w:t>274</w:t>
        </w:r>
        <w:r w:rsidR="00F976DF" w:rsidRPr="00A22006">
          <w:rPr>
            <w:noProof/>
            <w:webHidden/>
          </w:rPr>
          <w:fldChar w:fldCharType="end"/>
        </w:r>
      </w:hyperlink>
    </w:p>
    <w:p w14:paraId="61DBDEA2" w14:textId="4DFF7FD4" w:rsidR="00F976DF" w:rsidRPr="00A22006" w:rsidRDefault="001A60A6">
      <w:pPr>
        <w:pStyle w:val="Tabladeilustraciones"/>
        <w:tabs>
          <w:tab w:val="right" w:leader="dot" w:pos="8069"/>
        </w:tabs>
        <w:rPr>
          <w:rFonts w:asciiTheme="minorHAnsi" w:eastAsiaTheme="minorEastAsia" w:hAnsiTheme="minorHAnsi" w:cstheme="minorBidi"/>
          <w:noProof/>
          <w:sz w:val="22"/>
          <w:szCs w:val="22"/>
          <w:lang w:val="es-CR" w:eastAsia="es-CR"/>
        </w:rPr>
      </w:pPr>
      <w:hyperlink w:anchor="_Toc84919479" w:history="1">
        <w:r w:rsidR="00F976DF" w:rsidRPr="00A22006">
          <w:rPr>
            <w:rStyle w:val="Hipervnculo"/>
            <w:rFonts w:ascii="Arial Narrow" w:eastAsia="Calibri" w:hAnsi="Arial Narrow"/>
            <w:noProof/>
            <w:lang w:eastAsia="en-US"/>
          </w:rPr>
          <w:t>Tabla 21 Cumplimiento porcentual de las metas estratégicas del 2020,</w:t>
        </w:r>
        <w:r w:rsidR="00F976DF" w:rsidRPr="00A22006">
          <w:rPr>
            <w:noProof/>
            <w:webHidden/>
          </w:rPr>
          <w:tab/>
        </w:r>
        <w:r w:rsidR="00F976DF" w:rsidRPr="00A22006">
          <w:rPr>
            <w:noProof/>
            <w:webHidden/>
          </w:rPr>
          <w:fldChar w:fldCharType="begin"/>
        </w:r>
        <w:r w:rsidR="00F976DF" w:rsidRPr="00A22006">
          <w:rPr>
            <w:noProof/>
            <w:webHidden/>
          </w:rPr>
          <w:instrText xml:space="preserve"> PAGEREF _Toc84919479 \h </w:instrText>
        </w:r>
        <w:r w:rsidR="00F976DF" w:rsidRPr="00A22006">
          <w:rPr>
            <w:noProof/>
            <w:webHidden/>
          </w:rPr>
        </w:r>
        <w:r w:rsidR="00F976DF" w:rsidRPr="00A22006">
          <w:rPr>
            <w:noProof/>
            <w:webHidden/>
          </w:rPr>
          <w:fldChar w:fldCharType="separate"/>
        </w:r>
        <w:r w:rsidR="009B5C5B">
          <w:rPr>
            <w:noProof/>
            <w:webHidden/>
          </w:rPr>
          <w:t>276</w:t>
        </w:r>
        <w:r w:rsidR="00F976DF" w:rsidRPr="00A22006">
          <w:rPr>
            <w:noProof/>
            <w:webHidden/>
          </w:rPr>
          <w:fldChar w:fldCharType="end"/>
        </w:r>
      </w:hyperlink>
    </w:p>
    <w:p w14:paraId="4AF8C903" w14:textId="5CDB46E4" w:rsidR="00F976DF" w:rsidRPr="00A22006" w:rsidRDefault="001A60A6">
      <w:pPr>
        <w:pStyle w:val="Tabladeilustraciones"/>
        <w:tabs>
          <w:tab w:val="right" w:leader="dot" w:pos="8069"/>
        </w:tabs>
        <w:rPr>
          <w:rFonts w:asciiTheme="minorHAnsi" w:eastAsiaTheme="minorEastAsia" w:hAnsiTheme="minorHAnsi" w:cstheme="minorBidi"/>
          <w:noProof/>
          <w:sz w:val="22"/>
          <w:szCs w:val="22"/>
          <w:lang w:val="es-CR" w:eastAsia="es-CR"/>
        </w:rPr>
      </w:pPr>
      <w:hyperlink w:anchor="_Toc84919480" w:history="1">
        <w:r w:rsidR="00F976DF" w:rsidRPr="00A22006">
          <w:rPr>
            <w:rStyle w:val="Hipervnculo"/>
            <w:rFonts w:ascii="Arial Narrow" w:eastAsia="Calibri" w:hAnsi="Arial Narrow"/>
            <w:noProof/>
            <w:lang w:eastAsia="en-US"/>
          </w:rPr>
          <w:t>Tabla 22 Boletines informativos del PEI rendidos en el año 2019 y 2020</w:t>
        </w:r>
        <w:r w:rsidR="00F976DF" w:rsidRPr="00A22006">
          <w:rPr>
            <w:noProof/>
            <w:webHidden/>
          </w:rPr>
          <w:tab/>
        </w:r>
        <w:r w:rsidR="00F976DF" w:rsidRPr="00A22006">
          <w:rPr>
            <w:noProof/>
            <w:webHidden/>
          </w:rPr>
          <w:fldChar w:fldCharType="begin"/>
        </w:r>
        <w:r w:rsidR="00F976DF" w:rsidRPr="00A22006">
          <w:rPr>
            <w:noProof/>
            <w:webHidden/>
          </w:rPr>
          <w:instrText xml:space="preserve"> PAGEREF _Toc84919480 \h </w:instrText>
        </w:r>
        <w:r w:rsidR="00F976DF" w:rsidRPr="00A22006">
          <w:rPr>
            <w:noProof/>
            <w:webHidden/>
          </w:rPr>
        </w:r>
        <w:r w:rsidR="00F976DF" w:rsidRPr="00A22006">
          <w:rPr>
            <w:noProof/>
            <w:webHidden/>
          </w:rPr>
          <w:fldChar w:fldCharType="separate"/>
        </w:r>
        <w:r w:rsidR="009B5C5B">
          <w:rPr>
            <w:noProof/>
            <w:webHidden/>
          </w:rPr>
          <w:t>282</w:t>
        </w:r>
        <w:r w:rsidR="00F976DF" w:rsidRPr="00A22006">
          <w:rPr>
            <w:noProof/>
            <w:webHidden/>
          </w:rPr>
          <w:fldChar w:fldCharType="end"/>
        </w:r>
      </w:hyperlink>
    </w:p>
    <w:p w14:paraId="454461F7" w14:textId="6FD41D68" w:rsidR="00F976DF" w:rsidRPr="00A22006" w:rsidRDefault="001A60A6">
      <w:pPr>
        <w:pStyle w:val="Tabladeilustraciones"/>
        <w:tabs>
          <w:tab w:val="right" w:leader="dot" w:pos="8069"/>
        </w:tabs>
        <w:rPr>
          <w:rFonts w:asciiTheme="minorHAnsi" w:eastAsiaTheme="minorEastAsia" w:hAnsiTheme="minorHAnsi" w:cstheme="minorBidi"/>
          <w:noProof/>
          <w:sz w:val="22"/>
          <w:szCs w:val="22"/>
          <w:lang w:val="es-CR" w:eastAsia="es-CR"/>
        </w:rPr>
      </w:pPr>
      <w:hyperlink w:anchor="_Toc84919481" w:history="1">
        <w:r w:rsidR="00F976DF" w:rsidRPr="00A22006">
          <w:rPr>
            <w:rStyle w:val="Hipervnculo"/>
            <w:rFonts w:ascii="Arial Narrow" w:hAnsi="Arial Narrow"/>
            <w:noProof/>
          </w:rPr>
          <w:t>Tabla 23  Meta estratégica asignada a todos los despachos judiciales por materia de primera, segunda y tercera instancia</w:t>
        </w:r>
        <w:r w:rsidR="00F976DF" w:rsidRPr="00A22006">
          <w:rPr>
            <w:noProof/>
            <w:webHidden/>
          </w:rPr>
          <w:tab/>
        </w:r>
        <w:r w:rsidR="00F976DF" w:rsidRPr="00A22006">
          <w:rPr>
            <w:noProof/>
            <w:webHidden/>
          </w:rPr>
          <w:fldChar w:fldCharType="begin"/>
        </w:r>
        <w:r w:rsidR="00F976DF" w:rsidRPr="00A22006">
          <w:rPr>
            <w:noProof/>
            <w:webHidden/>
          </w:rPr>
          <w:instrText xml:space="preserve"> PAGEREF _Toc84919481 \h </w:instrText>
        </w:r>
        <w:r w:rsidR="00F976DF" w:rsidRPr="00A22006">
          <w:rPr>
            <w:noProof/>
            <w:webHidden/>
          </w:rPr>
        </w:r>
        <w:r w:rsidR="00F976DF" w:rsidRPr="00A22006">
          <w:rPr>
            <w:noProof/>
            <w:webHidden/>
          </w:rPr>
          <w:fldChar w:fldCharType="separate"/>
        </w:r>
        <w:r w:rsidR="009B5C5B">
          <w:rPr>
            <w:noProof/>
            <w:webHidden/>
          </w:rPr>
          <w:t>290</w:t>
        </w:r>
        <w:r w:rsidR="00F976DF" w:rsidRPr="00A22006">
          <w:rPr>
            <w:noProof/>
            <w:webHidden/>
          </w:rPr>
          <w:fldChar w:fldCharType="end"/>
        </w:r>
      </w:hyperlink>
    </w:p>
    <w:p w14:paraId="6B6F0D74" w14:textId="608261A6" w:rsidR="00F976DF" w:rsidRPr="00A22006" w:rsidRDefault="001A60A6">
      <w:pPr>
        <w:pStyle w:val="Tabladeilustraciones"/>
        <w:tabs>
          <w:tab w:val="right" w:leader="dot" w:pos="8069"/>
        </w:tabs>
        <w:rPr>
          <w:rFonts w:asciiTheme="minorHAnsi" w:eastAsiaTheme="minorEastAsia" w:hAnsiTheme="minorHAnsi" w:cstheme="minorBidi"/>
          <w:noProof/>
          <w:sz w:val="22"/>
          <w:szCs w:val="22"/>
          <w:lang w:val="es-CR" w:eastAsia="es-CR"/>
        </w:rPr>
      </w:pPr>
      <w:hyperlink w:anchor="_Toc84919482" w:history="1">
        <w:r w:rsidR="00F976DF" w:rsidRPr="00A22006">
          <w:rPr>
            <w:rStyle w:val="Hipervnculo"/>
            <w:rFonts w:ascii="Arial Narrow" w:hAnsi="Arial Narrow"/>
            <w:noProof/>
          </w:rPr>
          <w:t>Tabla 24 Metas estratégicas que reportaron un nivel de cumplimiento medio y bajo</w:t>
        </w:r>
        <w:r w:rsidR="00F976DF" w:rsidRPr="00A22006">
          <w:rPr>
            <w:noProof/>
            <w:webHidden/>
          </w:rPr>
          <w:tab/>
        </w:r>
        <w:r w:rsidR="00F976DF" w:rsidRPr="00A22006">
          <w:rPr>
            <w:noProof/>
            <w:webHidden/>
          </w:rPr>
          <w:fldChar w:fldCharType="begin"/>
        </w:r>
        <w:r w:rsidR="00F976DF" w:rsidRPr="00A22006">
          <w:rPr>
            <w:noProof/>
            <w:webHidden/>
          </w:rPr>
          <w:instrText xml:space="preserve"> PAGEREF _Toc84919482 \h </w:instrText>
        </w:r>
        <w:r w:rsidR="00F976DF" w:rsidRPr="00A22006">
          <w:rPr>
            <w:noProof/>
            <w:webHidden/>
          </w:rPr>
        </w:r>
        <w:r w:rsidR="00F976DF" w:rsidRPr="00A22006">
          <w:rPr>
            <w:noProof/>
            <w:webHidden/>
          </w:rPr>
          <w:fldChar w:fldCharType="separate"/>
        </w:r>
        <w:r w:rsidR="009B5C5B">
          <w:rPr>
            <w:noProof/>
            <w:webHidden/>
          </w:rPr>
          <w:t>328</w:t>
        </w:r>
        <w:r w:rsidR="00F976DF" w:rsidRPr="00A22006">
          <w:rPr>
            <w:noProof/>
            <w:webHidden/>
          </w:rPr>
          <w:fldChar w:fldCharType="end"/>
        </w:r>
      </w:hyperlink>
    </w:p>
    <w:p w14:paraId="58D027A0" w14:textId="64BFF5C5" w:rsidR="000E453D" w:rsidRDefault="00D657CE">
      <w:pPr>
        <w:pStyle w:val="Tabladeilustraciones"/>
        <w:tabs>
          <w:tab w:val="right" w:leader="dot" w:pos="8069"/>
        </w:tabs>
        <w:rPr>
          <w:rStyle w:val="Hipervnculo"/>
          <w:rFonts w:ascii="Arial Narrow" w:hAnsi="Arial Narrow"/>
          <w:noProof/>
          <w:color w:val="auto"/>
          <w:sz w:val="22"/>
          <w:szCs w:val="22"/>
        </w:rPr>
      </w:pPr>
      <w:r w:rsidRPr="00A22006">
        <w:rPr>
          <w:rStyle w:val="Hipervnculo"/>
          <w:rFonts w:ascii="Arial Narrow" w:hAnsi="Arial Narrow"/>
          <w:noProof/>
          <w:color w:val="auto"/>
          <w:sz w:val="22"/>
          <w:szCs w:val="22"/>
        </w:rPr>
        <w:fldChar w:fldCharType="end"/>
      </w:r>
    </w:p>
    <w:p w14:paraId="33446F64" w14:textId="63722D96" w:rsidR="00464F53" w:rsidRDefault="00464F53" w:rsidP="00464F53"/>
    <w:p w14:paraId="61DF3D95" w14:textId="74900C89" w:rsidR="00464F53" w:rsidRPr="00CC279A" w:rsidRDefault="00464F53" w:rsidP="00464F53">
      <w:pPr>
        <w:spacing w:line="360" w:lineRule="auto"/>
        <w:ind w:left="709" w:right="-143"/>
        <w:jc w:val="center"/>
        <w:rPr>
          <w:rFonts w:ascii="Arial Narrow" w:eastAsia="Calibri" w:hAnsi="Arial Narrow"/>
          <w:b/>
          <w:bCs/>
          <w:sz w:val="22"/>
          <w:szCs w:val="22"/>
        </w:rPr>
      </w:pPr>
      <w:r w:rsidRPr="00CC279A">
        <w:rPr>
          <w:rFonts w:ascii="Arial Narrow" w:eastAsia="Calibri" w:hAnsi="Arial Narrow"/>
          <w:b/>
          <w:bCs/>
          <w:sz w:val="22"/>
          <w:szCs w:val="22"/>
        </w:rPr>
        <w:t xml:space="preserve">Índice de </w:t>
      </w:r>
      <w:r>
        <w:rPr>
          <w:rFonts w:ascii="Arial Narrow" w:eastAsia="Calibri" w:hAnsi="Arial Narrow"/>
          <w:b/>
          <w:bCs/>
          <w:sz w:val="22"/>
          <w:szCs w:val="22"/>
        </w:rPr>
        <w:t>Gráfico</w:t>
      </w:r>
    </w:p>
    <w:p w14:paraId="2E4BC0AA" w14:textId="2B2B0630" w:rsidR="00464F53" w:rsidRDefault="00464F53" w:rsidP="00464F53"/>
    <w:p w14:paraId="2C991D68" w14:textId="77777777" w:rsidR="00464F53" w:rsidRPr="00464F53" w:rsidRDefault="00464F53" w:rsidP="00464F53"/>
    <w:p w14:paraId="2F8159DD" w14:textId="7B9FB29B" w:rsidR="00375000" w:rsidRPr="00A22006" w:rsidRDefault="00375000">
      <w:pPr>
        <w:pStyle w:val="Tabladeilustraciones"/>
        <w:tabs>
          <w:tab w:val="right" w:leader="dot" w:pos="8069"/>
        </w:tabs>
        <w:rPr>
          <w:rFonts w:ascii="Arial Narrow" w:eastAsiaTheme="minorEastAsia" w:hAnsi="Arial Narrow" w:cstheme="minorBidi"/>
          <w:noProof/>
          <w:sz w:val="22"/>
          <w:szCs w:val="22"/>
          <w:lang w:val="es-CR" w:eastAsia="es-CR"/>
        </w:rPr>
      </w:pPr>
      <w:r w:rsidRPr="00A22006">
        <w:rPr>
          <w:rFonts w:ascii="Arial Narrow" w:eastAsia="Calibri" w:hAnsi="Arial Narrow"/>
          <w:color w:val="000000"/>
          <w:sz w:val="22"/>
          <w:szCs w:val="22"/>
        </w:rPr>
        <w:fldChar w:fldCharType="begin"/>
      </w:r>
      <w:r w:rsidRPr="00A22006">
        <w:rPr>
          <w:rFonts w:ascii="Arial Narrow" w:eastAsia="Calibri" w:hAnsi="Arial Narrow"/>
          <w:color w:val="000000"/>
          <w:sz w:val="22"/>
          <w:szCs w:val="22"/>
        </w:rPr>
        <w:instrText xml:space="preserve"> TOC \c "Gráfico" </w:instrText>
      </w:r>
      <w:r w:rsidRPr="00A22006">
        <w:rPr>
          <w:rFonts w:ascii="Arial Narrow" w:eastAsia="Calibri" w:hAnsi="Arial Narrow"/>
          <w:color w:val="000000"/>
          <w:sz w:val="22"/>
          <w:szCs w:val="22"/>
        </w:rPr>
        <w:fldChar w:fldCharType="separate"/>
      </w:r>
      <w:r w:rsidRPr="00A22006">
        <w:rPr>
          <w:rFonts w:ascii="Arial Narrow" w:hAnsi="Arial Narrow"/>
          <w:noProof/>
          <w:sz w:val="22"/>
          <w:szCs w:val="22"/>
        </w:rPr>
        <w:t>Gráfico 1 Porcentaje de cumplimiento del PEI, años 2019 y 2020</w:t>
      </w:r>
      <w:r w:rsidRPr="00A22006">
        <w:rPr>
          <w:rFonts w:ascii="Arial Narrow" w:hAnsi="Arial Narrow"/>
          <w:noProof/>
          <w:sz w:val="22"/>
          <w:szCs w:val="22"/>
        </w:rPr>
        <w:tab/>
      </w:r>
      <w:r w:rsidRPr="00A22006">
        <w:rPr>
          <w:rFonts w:ascii="Arial Narrow" w:hAnsi="Arial Narrow"/>
          <w:noProof/>
          <w:sz w:val="22"/>
          <w:szCs w:val="22"/>
        </w:rPr>
        <w:fldChar w:fldCharType="begin"/>
      </w:r>
      <w:r w:rsidRPr="00A22006">
        <w:rPr>
          <w:rFonts w:ascii="Arial Narrow" w:hAnsi="Arial Narrow"/>
          <w:noProof/>
          <w:sz w:val="22"/>
          <w:szCs w:val="22"/>
        </w:rPr>
        <w:instrText xml:space="preserve"> PAGEREF _Toc83115328 \h </w:instrText>
      </w:r>
      <w:r w:rsidRPr="00A22006">
        <w:rPr>
          <w:rFonts w:ascii="Arial Narrow" w:hAnsi="Arial Narrow"/>
          <w:noProof/>
          <w:sz w:val="22"/>
          <w:szCs w:val="22"/>
        </w:rPr>
      </w:r>
      <w:r w:rsidRPr="00A22006">
        <w:rPr>
          <w:rFonts w:ascii="Arial Narrow" w:hAnsi="Arial Narrow"/>
          <w:noProof/>
          <w:sz w:val="22"/>
          <w:szCs w:val="22"/>
        </w:rPr>
        <w:fldChar w:fldCharType="separate"/>
      </w:r>
      <w:r w:rsidR="009B5C5B">
        <w:rPr>
          <w:rFonts w:ascii="Arial Narrow" w:hAnsi="Arial Narrow"/>
          <w:noProof/>
          <w:sz w:val="22"/>
          <w:szCs w:val="22"/>
        </w:rPr>
        <w:t>12</w:t>
      </w:r>
      <w:r w:rsidRPr="00A22006">
        <w:rPr>
          <w:rFonts w:ascii="Arial Narrow" w:hAnsi="Arial Narrow"/>
          <w:noProof/>
          <w:sz w:val="22"/>
          <w:szCs w:val="22"/>
        </w:rPr>
        <w:fldChar w:fldCharType="end"/>
      </w:r>
    </w:p>
    <w:p w14:paraId="10612DCF" w14:textId="1BC0D234" w:rsidR="00375000" w:rsidRPr="00A22006" w:rsidRDefault="00375000">
      <w:pPr>
        <w:pStyle w:val="Tabladeilustraciones"/>
        <w:tabs>
          <w:tab w:val="right" w:leader="dot" w:pos="8069"/>
        </w:tabs>
        <w:rPr>
          <w:rFonts w:ascii="Arial Narrow" w:eastAsiaTheme="minorEastAsia" w:hAnsi="Arial Narrow" w:cstheme="minorBidi"/>
          <w:noProof/>
          <w:sz w:val="22"/>
          <w:szCs w:val="22"/>
          <w:lang w:val="es-CR" w:eastAsia="es-CR"/>
        </w:rPr>
      </w:pPr>
      <w:r w:rsidRPr="00A22006">
        <w:rPr>
          <w:rFonts w:ascii="Arial Narrow" w:hAnsi="Arial Narrow"/>
          <w:noProof/>
          <w:sz w:val="22"/>
          <w:szCs w:val="22"/>
        </w:rPr>
        <w:t>Gráfico 2 Porcentaje de cumplimiento por tema estratégico en el año 2019 y 2020.</w:t>
      </w:r>
      <w:r w:rsidRPr="00A22006">
        <w:rPr>
          <w:rFonts w:ascii="Arial Narrow" w:hAnsi="Arial Narrow"/>
          <w:noProof/>
          <w:sz w:val="22"/>
          <w:szCs w:val="22"/>
        </w:rPr>
        <w:tab/>
      </w:r>
      <w:r w:rsidRPr="00A22006">
        <w:rPr>
          <w:rFonts w:ascii="Arial Narrow" w:hAnsi="Arial Narrow"/>
          <w:noProof/>
          <w:sz w:val="22"/>
          <w:szCs w:val="22"/>
        </w:rPr>
        <w:fldChar w:fldCharType="begin"/>
      </w:r>
      <w:r w:rsidRPr="00A22006">
        <w:rPr>
          <w:rFonts w:ascii="Arial Narrow" w:hAnsi="Arial Narrow"/>
          <w:noProof/>
          <w:sz w:val="22"/>
          <w:szCs w:val="22"/>
        </w:rPr>
        <w:instrText xml:space="preserve"> PAGEREF _Toc83115329 \h </w:instrText>
      </w:r>
      <w:r w:rsidRPr="00A22006">
        <w:rPr>
          <w:rFonts w:ascii="Arial Narrow" w:hAnsi="Arial Narrow"/>
          <w:noProof/>
          <w:sz w:val="22"/>
          <w:szCs w:val="22"/>
        </w:rPr>
      </w:r>
      <w:r w:rsidRPr="00A22006">
        <w:rPr>
          <w:rFonts w:ascii="Arial Narrow" w:hAnsi="Arial Narrow"/>
          <w:noProof/>
          <w:sz w:val="22"/>
          <w:szCs w:val="22"/>
        </w:rPr>
        <w:fldChar w:fldCharType="separate"/>
      </w:r>
      <w:r w:rsidR="009B5C5B">
        <w:rPr>
          <w:rFonts w:ascii="Arial Narrow" w:hAnsi="Arial Narrow"/>
          <w:noProof/>
          <w:sz w:val="22"/>
          <w:szCs w:val="22"/>
        </w:rPr>
        <w:t>13</w:t>
      </w:r>
      <w:r w:rsidRPr="00A22006">
        <w:rPr>
          <w:rFonts w:ascii="Arial Narrow" w:hAnsi="Arial Narrow"/>
          <w:noProof/>
          <w:sz w:val="22"/>
          <w:szCs w:val="22"/>
        </w:rPr>
        <w:fldChar w:fldCharType="end"/>
      </w:r>
    </w:p>
    <w:p w14:paraId="7B270C5A" w14:textId="50CC2304" w:rsidR="00375000" w:rsidRPr="00A22006" w:rsidRDefault="00375000">
      <w:pPr>
        <w:pStyle w:val="Tabladeilustraciones"/>
        <w:tabs>
          <w:tab w:val="right" w:leader="dot" w:pos="8069"/>
        </w:tabs>
        <w:rPr>
          <w:rFonts w:ascii="Arial Narrow" w:eastAsiaTheme="minorEastAsia" w:hAnsi="Arial Narrow" w:cstheme="minorBidi"/>
          <w:noProof/>
          <w:sz w:val="22"/>
          <w:szCs w:val="22"/>
          <w:lang w:val="es-CR" w:eastAsia="es-CR"/>
        </w:rPr>
      </w:pPr>
      <w:r w:rsidRPr="00A22006">
        <w:rPr>
          <w:rFonts w:ascii="Arial Narrow" w:hAnsi="Arial Narrow"/>
          <w:noProof/>
          <w:sz w:val="22"/>
          <w:szCs w:val="22"/>
        </w:rPr>
        <w:t xml:space="preserve">Gráfico </w:t>
      </w:r>
      <w:r w:rsidRPr="00A22006">
        <w:rPr>
          <w:rFonts w:ascii="Arial Narrow" w:hAnsi="Arial Narrow" w:cstheme="majorHAnsi"/>
          <w:noProof/>
          <w:sz w:val="22"/>
          <w:szCs w:val="22"/>
        </w:rPr>
        <w:t>3</w:t>
      </w:r>
      <w:r w:rsidRPr="00A22006">
        <w:rPr>
          <w:rFonts w:ascii="Arial Narrow" w:hAnsi="Arial Narrow"/>
          <w:noProof/>
          <w:sz w:val="22"/>
          <w:szCs w:val="22"/>
        </w:rPr>
        <w:t xml:space="preserve"> Porcentaje de cumplimiento por programa presupuestario del PEI para el año 2019 y 2020</w:t>
      </w:r>
      <w:r w:rsidRPr="00A22006">
        <w:rPr>
          <w:rFonts w:ascii="Arial Narrow" w:hAnsi="Arial Narrow"/>
          <w:noProof/>
          <w:sz w:val="22"/>
          <w:szCs w:val="22"/>
        </w:rPr>
        <w:tab/>
      </w:r>
      <w:r w:rsidRPr="00A22006">
        <w:rPr>
          <w:rFonts w:ascii="Arial Narrow" w:hAnsi="Arial Narrow"/>
          <w:noProof/>
          <w:sz w:val="22"/>
          <w:szCs w:val="22"/>
        </w:rPr>
        <w:fldChar w:fldCharType="begin"/>
      </w:r>
      <w:r w:rsidRPr="00A22006">
        <w:rPr>
          <w:rFonts w:ascii="Arial Narrow" w:hAnsi="Arial Narrow"/>
          <w:noProof/>
          <w:sz w:val="22"/>
          <w:szCs w:val="22"/>
        </w:rPr>
        <w:instrText xml:space="preserve"> PAGEREF _Toc83115330 \h </w:instrText>
      </w:r>
      <w:r w:rsidRPr="00A22006">
        <w:rPr>
          <w:rFonts w:ascii="Arial Narrow" w:hAnsi="Arial Narrow"/>
          <w:noProof/>
          <w:sz w:val="22"/>
          <w:szCs w:val="22"/>
        </w:rPr>
      </w:r>
      <w:r w:rsidRPr="00A22006">
        <w:rPr>
          <w:rFonts w:ascii="Arial Narrow" w:hAnsi="Arial Narrow"/>
          <w:noProof/>
          <w:sz w:val="22"/>
          <w:szCs w:val="22"/>
        </w:rPr>
        <w:fldChar w:fldCharType="separate"/>
      </w:r>
      <w:r w:rsidR="009B5C5B">
        <w:rPr>
          <w:rFonts w:ascii="Arial Narrow" w:hAnsi="Arial Narrow"/>
          <w:noProof/>
          <w:sz w:val="22"/>
          <w:szCs w:val="22"/>
        </w:rPr>
        <w:t>14</w:t>
      </w:r>
      <w:r w:rsidRPr="00A22006">
        <w:rPr>
          <w:rFonts w:ascii="Arial Narrow" w:hAnsi="Arial Narrow"/>
          <w:noProof/>
          <w:sz w:val="22"/>
          <w:szCs w:val="22"/>
        </w:rPr>
        <w:fldChar w:fldCharType="end"/>
      </w:r>
    </w:p>
    <w:p w14:paraId="2411D4B4" w14:textId="33339983" w:rsidR="00375000" w:rsidRPr="00A22006" w:rsidRDefault="00375000">
      <w:pPr>
        <w:pStyle w:val="Tabladeilustraciones"/>
        <w:tabs>
          <w:tab w:val="right" w:leader="dot" w:pos="8069"/>
        </w:tabs>
        <w:rPr>
          <w:rFonts w:ascii="Arial Narrow" w:eastAsiaTheme="minorEastAsia" w:hAnsi="Arial Narrow" w:cstheme="minorBidi"/>
          <w:noProof/>
          <w:sz w:val="22"/>
          <w:szCs w:val="22"/>
          <w:lang w:val="es-CR" w:eastAsia="es-CR"/>
        </w:rPr>
      </w:pPr>
      <w:r w:rsidRPr="00A22006">
        <w:rPr>
          <w:rFonts w:ascii="Arial Narrow" w:hAnsi="Arial Narrow"/>
          <w:noProof/>
          <w:sz w:val="22"/>
          <w:szCs w:val="22"/>
        </w:rPr>
        <w:t>Gráfico 4 Porcentaje de cumplimiento del PEI de acuerdo con el año 2019 y 2020</w:t>
      </w:r>
      <w:r w:rsidRPr="00A22006">
        <w:rPr>
          <w:rFonts w:ascii="Arial Narrow" w:hAnsi="Arial Narrow"/>
          <w:noProof/>
          <w:sz w:val="22"/>
          <w:szCs w:val="22"/>
        </w:rPr>
        <w:tab/>
      </w:r>
      <w:r w:rsidRPr="00A22006">
        <w:rPr>
          <w:rFonts w:ascii="Arial Narrow" w:hAnsi="Arial Narrow"/>
          <w:noProof/>
          <w:sz w:val="22"/>
          <w:szCs w:val="22"/>
        </w:rPr>
        <w:fldChar w:fldCharType="begin"/>
      </w:r>
      <w:r w:rsidRPr="00A22006">
        <w:rPr>
          <w:rFonts w:ascii="Arial Narrow" w:hAnsi="Arial Narrow"/>
          <w:noProof/>
          <w:sz w:val="22"/>
          <w:szCs w:val="22"/>
        </w:rPr>
        <w:instrText xml:space="preserve"> PAGEREF _Toc83115331 \h </w:instrText>
      </w:r>
      <w:r w:rsidRPr="00A22006">
        <w:rPr>
          <w:rFonts w:ascii="Arial Narrow" w:hAnsi="Arial Narrow"/>
          <w:noProof/>
          <w:sz w:val="22"/>
          <w:szCs w:val="22"/>
        </w:rPr>
      </w:r>
      <w:r w:rsidRPr="00A22006">
        <w:rPr>
          <w:rFonts w:ascii="Arial Narrow" w:hAnsi="Arial Narrow"/>
          <w:noProof/>
          <w:sz w:val="22"/>
          <w:szCs w:val="22"/>
        </w:rPr>
        <w:fldChar w:fldCharType="separate"/>
      </w:r>
      <w:r w:rsidR="009B5C5B">
        <w:rPr>
          <w:rFonts w:ascii="Arial Narrow" w:hAnsi="Arial Narrow"/>
          <w:noProof/>
          <w:sz w:val="22"/>
          <w:szCs w:val="22"/>
        </w:rPr>
        <w:t>26</w:t>
      </w:r>
      <w:r w:rsidRPr="00A22006">
        <w:rPr>
          <w:rFonts w:ascii="Arial Narrow" w:hAnsi="Arial Narrow"/>
          <w:noProof/>
          <w:sz w:val="22"/>
          <w:szCs w:val="22"/>
        </w:rPr>
        <w:fldChar w:fldCharType="end"/>
      </w:r>
    </w:p>
    <w:p w14:paraId="5B19C88B" w14:textId="38065BC4" w:rsidR="00375000" w:rsidRPr="00A22006" w:rsidRDefault="00375000">
      <w:pPr>
        <w:pStyle w:val="Tabladeilustraciones"/>
        <w:tabs>
          <w:tab w:val="right" w:leader="dot" w:pos="8069"/>
        </w:tabs>
        <w:rPr>
          <w:rFonts w:ascii="Arial Narrow" w:eastAsiaTheme="minorEastAsia" w:hAnsi="Arial Narrow" w:cstheme="minorBidi"/>
          <w:noProof/>
          <w:sz w:val="22"/>
          <w:szCs w:val="22"/>
          <w:lang w:val="es-CR" w:eastAsia="es-CR"/>
        </w:rPr>
      </w:pPr>
      <w:r w:rsidRPr="00A22006">
        <w:rPr>
          <w:rFonts w:ascii="Arial Narrow" w:hAnsi="Arial Narrow"/>
          <w:noProof/>
          <w:sz w:val="22"/>
          <w:szCs w:val="22"/>
        </w:rPr>
        <w:t>Gráfico 5 Porcentaje de cumplimiento por tema estratégico en el año 2019 y 2020.</w:t>
      </w:r>
      <w:r w:rsidRPr="00A22006">
        <w:rPr>
          <w:rFonts w:ascii="Arial Narrow" w:hAnsi="Arial Narrow"/>
          <w:noProof/>
          <w:sz w:val="22"/>
          <w:szCs w:val="22"/>
        </w:rPr>
        <w:tab/>
      </w:r>
      <w:r w:rsidRPr="00A22006">
        <w:rPr>
          <w:rFonts w:ascii="Arial Narrow" w:hAnsi="Arial Narrow"/>
          <w:noProof/>
          <w:sz w:val="22"/>
          <w:szCs w:val="22"/>
        </w:rPr>
        <w:fldChar w:fldCharType="begin"/>
      </w:r>
      <w:r w:rsidRPr="00A22006">
        <w:rPr>
          <w:rFonts w:ascii="Arial Narrow" w:hAnsi="Arial Narrow"/>
          <w:noProof/>
          <w:sz w:val="22"/>
          <w:szCs w:val="22"/>
        </w:rPr>
        <w:instrText xml:space="preserve"> PAGEREF _Toc83115332 \h </w:instrText>
      </w:r>
      <w:r w:rsidRPr="00A22006">
        <w:rPr>
          <w:rFonts w:ascii="Arial Narrow" w:hAnsi="Arial Narrow"/>
          <w:noProof/>
          <w:sz w:val="22"/>
          <w:szCs w:val="22"/>
        </w:rPr>
      </w:r>
      <w:r w:rsidRPr="00A22006">
        <w:rPr>
          <w:rFonts w:ascii="Arial Narrow" w:hAnsi="Arial Narrow"/>
          <w:noProof/>
          <w:sz w:val="22"/>
          <w:szCs w:val="22"/>
        </w:rPr>
        <w:fldChar w:fldCharType="separate"/>
      </w:r>
      <w:r w:rsidR="009B5C5B">
        <w:rPr>
          <w:rFonts w:ascii="Arial Narrow" w:hAnsi="Arial Narrow"/>
          <w:noProof/>
          <w:sz w:val="22"/>
          <w:szCs w:val="22"/>
        </w:rPr>
        <w:t>28</w:t>
      </w:r>
      <w:r w:rsidRPr="00A22006">
        <w:rPr>
          <w:rFonts w:ascii="Arial Narrow" w:hAnsi="Arial Narrow"/>
          <w:noProof/>
          <w:sz w:val="22"/>
          <w:szCs w:val="22"/>
        </w:rPr>
        <w:fldChar w:fldCharType="end"/>
      </w:r>
    </w:p>
    <w:p w14:paraId="5659EA02" w14:textId="0B58D2A3" w:rsidR="0089538E" w:rsidRPr="00CC279A" w:rsidRDefault="00375000" w:rsidP="00CC279A">
      <w:pPr>
        <w:pStyle w:val="Tabladeilustraciones"/>
        <w:rPr>
          <w:rFonts w:ascii="Arial Narrow" w:eastAsia="Calibri" w:hAnsi="Arial Narrow"/>
          <w:sz w:val="22"/>
          <w:szCs w:val="22"/>
        </w:rPr>
      </w:pPr>
      <w:r w:rsidRPr="00A22006">
        <w:rPr>
          <w:rFonts w:ascii="Arial Narrow" w:eastAsia="Calibri" w:hAnsi="Arial Narrow"/>
          <w:color w:val="000000"/>
          <w:sz w:val="22"/>
          <w:szCs w:val="22"/>
        </w:rPr>
        <w:fldChar w:fldCharType="end"/>
      </w:r>
      <w:r w:rsidR="00317FC1" w:rsidRPr="00CC279A">
        <w:rPr>
          <w:rFonts w:ascii="Arial Narrow" w:eastAsia="Calibri" w:hAnsi="Arial Narrow"/>
          <w:sz w:val="22"/>
          <w:szCs w:val="22"/>
        </w:rPr>
        <w:t xml:space="preserve"> </w:t>
      </w:r>
    </w:p>
    <w:p w14:paraId="11B4CD92" w14:textId="12466812" w:rsidR="005305D8" w:rsidRPr="00132C5B" w:rsidRDefault="0089538E">
      <w:pPr>
        <w:pStyle w:val="Ttulo2"/>
      </w:pPr>
      <w:r w:rsidRPr="00CC279A">
        <w:rPr>
          <w:sz w:val="24"/>
          <w:szCs w:val="24"/>
        </w:rPr>
        <w:br w:type="page"/>
      </w:r>
      <w:bookmarkStart w:id="6" w:name="_Toc84919347"/>
      <w:r w:rsidR="005305D8" w:rsidRPr="00132C5B">
        <w:lastRenderedPageBreak/>
        <w:t>Resumen Ejecutivo</w:t>
      </w:r>
      <w:bookmarkEnd w:id="6"/>
    </w:p>
    <w:p w14:paraId="70743F98" w14:textId="77777777" w:rsidR="00544696" w:rsidRDefault="00544696" w:rsidP="00CC279A">
      <w:pPr>
        <w:jc w:val="center"/>
        <w:rPr>
          <w:rFonts w:ascii="Arial Narrow" w:eastAsia="Calibri" w:hAnsi="Arial Narrow"/>
          <w:sz w:val="36"/>
          <w:szCs w:val="36"/>
          <w:lang w:eastAsia="en-US"/>
        </w:rPr>
      </w:pPr>
    </w:p>
    <w:p w14:paraId="06F30388" w14:textId="44BECFB6" w:rsidR="00DA143C" w:rsidRPr="00CC279A" w:rsidRDefault="00DA143C" w:rsidP="00CC279A">
      <w:pPr>
        <w:jc w:val="center"/>
        <w:rPr>
          <w:rFonts w:ascii="Arial Narrow" w:eastAsia="Calibri" w:hAnsi="Arial Narrow"/>
          <w:b/>
          <w:bCs/>
          <w:sz w:val="36"/>
          <w:szCs w:val="36"/>
          <w:lang w:eastAsia="en-US"/>
        </w:rPr>
      </w:pPr>
      <w:r w:rsidRPr="00CC279A">
        <w:rPr>
          <w:rFonts w:ascii="Arial Narrow" w:eastAsia="Calibri" w:hAnsi="Arial Narrow"/>
          <w:b/>
          <w:bCs/>
          <w:sz w:val="36"/>
          <w:szCs w:val="36"/>
          <w:lang w:eastAsia="en-US"/>
        </w:rPr>
        <w:t>Cumplimiento del P</w:t>
      </w:r>
      <w:r w:rsidR="00892D0E" w:rsidRPr="00CC279A">
        <w:rPr>
          <w:rFonts w:ascii="Arial Narrow" w:eastAsia="Calibri" w:hAnsi="Arial Narrow"/>
          <w:b/>
          <w:bCs/>
          <w:sz w:val="36"/>
          <w:szCs w:val="36"/>
          <w:lang w:eastAsia="en-US"/>
        </w:rPr>
        <w:t>lan Estratégico Institucional (P</w:t>
      </w:r>
      <w:r w:rsidRPr="00CC279A">
        <w:rPr>
          <w:rFonts w:ascii="Arial Narrow" w:eastAsia="Calibri" w:hAnsi="Arial Narrow"/>
          <w:b/>
          <w:bCs/>
          <w:sz w:val="36"/>
          <w:szCs w:val="36"/>
          <w:lang w:eastAsia="en-US"/>
        </w:rPr>
        <w:t>EI</w:t>
      </w:r>
      <w:r w:rsidR="00892D0E" w:rsidRPr="00CC279A">
        <w:rPr>
          <w:rFonts w:ascii="Arial Narrow" w:eastAsia="Calibri" w:hAnsi="Arial Narrow"/>
          <w:b/>
          <w:bCs/>
          <w:sz w:val="36"/>
          <w:szCs w:val="36"/>
          <w:lang w:eastAsia="en-US"/>
        </w:rPr>
        <w:t>)</w:t>
      </w:r>
      <w:r w:rsidRPr="00CC279A">
        <w:rPr>
          <w:rFonts w:ascii="Arial Narrow" w:eastAsia="Calibri" w:hAnsi="Arial Narrow"/>
          <w:b/>
          <w:bCs/>
          <w:sz w:val="36"/>
          <w:szCs w:val="36"/>
          <w:lang w:eastAsia="en-US"/>
        </w:rPr>
        <w:t xml:space="preserve"> durante el 2019</w:t>
      </w:r>
      <w:r w:rsidR="003E4536" w:rsidRPr="00CC279A">
        <w:rPr>
          <w:rFonts w:ascii="Arial Narrow" w:eastAsia="Calibri" w:hAnsi="Arial Narrow"/>
          <w:b/>
          <w:bCs/>
          <w:sz w:val="36"/>
          <w:szCs w:val="36"/>
          <w:lang w:eastAsia="en-US"/>
        </w:rPr>
        <w:t xml:space="preserve"> y 2020</w:t>
      </w:r>
    </w:p>
    <w:p w14:paraId="18FB5BA4" w14:textId="77777777" w:rsidR="00DA143C" w:rsidRDefault="00DA143C" w:rsidP="005305D8">
      <w:pPr>
        <w:rPr>
          <w:rFonts w:ascii="Arial Narrow" w:eastAsia="Calibri" w:hAnsi="Arial Narrow"/>
          <w:sz w:val="36"/>
          <w:szCs w:val="36"/>
          <w:lang w:eastAsia="en-US"/>
        </w:rPr>
      </w:pPr>
    </w:p>
    <w:p w14:paraId="5A026A3F" w14:textId="765429A3" w:rsidR="004D0934" w:rsidRDefault="00DA143C" w:rsidP="00CC3693">
      <w:pPr>
        <w:spacing w:line="360" w:lineRule="auto"/>
        <w:jc w:val="both"/>
        <w:rPr>
          <w:rFonts w:ascii="Arial Narrow" w:eastAsia="Calibri" w:hAnsi="Arial Narrow"/>
          <w:lang w:eastAsia="en-US"/>
        </w:rPr>
      </w:pPr>
      <w:r w:rsidRPr="00704B08">
        <w:rPr>
          <w:rFonts w:ascii="Arial Narrow" w:eastAsia="Calibri" w:hAnsi="Arial Narrow"/>
          <w:lang w:eastAsia="en-US"/>
        </w:rPr>
        <w:t>En relación con el cumplimiento del PEI del Poder Judicial al</w:t>
      </w:r>
      <w:r w:rsidR="002B7718" w:rsidRPr="00704B08">
        <w:rPr>
          <w:rFonts w:ascii="Arial Narrow" w:eastAsia="Calibri" w:hAnsi="Arial Narrow"/>
          <w:lang w:eastAsia="en-US"/>
        </w:rPr>
        <w:t xml:space="preserve"> finalizar </w:t>
      </w:r>
      <w:r w:rsidR="003E4536" w:rsidRPr="00704B08">
        <w:rPr>
          <w:rFonts w:ascii="Arial Narrow" w:eastAsia="Calibri" w:hAnsi="Arial Narrow"/>
          <w:lang w:eastAsia="en-US"/>
        </w:rPr>
        <w:t>los</w:t>
      </w:r>
      <w:r w:rsidR="002B7718" w:rsidRPr="00704B08">
        <w:rPr>
          <w:rFonts w:ascii="Arial Narrow" w:eastAsia="Calibri" w:hAnsi="Arial Narrow"/>
          <w:lang w:eastAsia="en-US"/>
        </w:rPr>
        <w:t xml:space="preserve"> año</w:t>
      </w:r>
      <w:r w:rsidR="003E4536" w:rsidRPr="00704B08">
        <w:rPr>
          <w:rFonts w:ascii="Arial Narrow" w:eastAsia="Calibri" w:hAnsi="Arial Narrow"/>
          <w:lang w:eastAsia="en-US"/>
        </w:rPr>
        <w:t>s</w:t>
      </w:r>
      <w:r w:rsidR="002B7718" w:rsidRPr="00704B08">
        <w:rPr>
          <w:rFonts w:ascii="Arial Narrow" w:eastAsia="Calibri" w:hAnsi="Arial Narrow"/>
          <w:lang w:eastAsia="en-US"/>
        </w:rPr>
        <w:t xml:space="preserve"> 2019</w:t>
      </w:r>
      <w:r w:rsidR="003E4536" w:rsidRPr="00704B08">
        <w:rPr>
          <w:rFonts w:ascii="Arial Narrow" w:eastAsia="Calibri" w:hAnsi="Arial Narrow"/>
          <w:lang w:eastAsia="en-US"/>
        </w:rPr>
        <w:t xml:space="preserve"> y 2020</w:t>
      </w:r>
      <w:r w:rsidR="002B7718" w:rsidRPr="00704B08">
        <w:rPr>
          <w:rFonts w:ascii="Arial Narrow" w:eastAsia="Calibri" w:hAnsi="Arial Narrow"/>
          <w:lang w:eastAsia="en-US"/>
        </w:rPr>
        <w:t xml:space="preserve">, </w:t>
      </w:r>
      <w:r w:rsidRPr="00704B08">
        <w:rPr>
          <w:rFonts w:ascii="Arial Narrow" w:eastAsia="Calibri" w:hAnsi="Arial Narrow"/>
          <w:lang w:eastAsia="en-US"/>
        </w:rPr>
        <w:t xml:space="preserve">cabe señalar que </w:t>
      </w:r>
      <w:r w:rsidR="002B7718" w:rsidRPr="00704B08">
        <w:rPr>
          <w:rFonts w:ascii="Arial Narrow" w:eastAsia="Calibri" w:hAnsi="Arial Narrow"/>
          <w:lang w:eastAsia="en-US"/>
        </w:rPr>
        <w:t>se llev</w:t>
      </w:r>
      <w:r w:rsidRPr="00704B08">
        <w:rPr>
          <w:rFonts w:ascii="Arial Narrow" w:eastAsia="Calibri" w:hAnsi="Arial Narrow"/>
          <w:lang w:eastAsia="en-US"/>
        </w:rPr>
        <w:t>ó</w:t>
      </w:r>
      <w:r w:rsidR="002B7718" w:rsidRPr="00704B08">
        <w:rPr>
          <w:rFonts w:ascii="Arial Narrow" w:eastAsia="Calibri" w:hAnsi="Arial Narrow"/>
          <w:lang w:eastAsia="en-US"/>
        </w:rPr>
        <w:t xml:space="preserve"> a cabo un </w:t>
      </w:r>
      <w:r w:rsidR="002B7718" w:rsidRPr="00AA5869">
        <w:rPr>
          <w:rFonts w:ascii="Arial Narrow" w:eastAsia="Calibri" w:hAnsi="Arial Narrow"/>
          <w:lang w:eastAsia="en-US"/>
        </w:rPr>
        <w:t xml:space="preserve">proceso de revisión de las 187 </w:t>
      </w:r>
      <w:r w:rsidR="003E4536" w:rsidRPr="00AA5869">
        <w:rPr>
          <w:rFonts w:ascii="Arial Narrow" w:eastAsia="Calibri" w:hAnsi="Arial Narrow"/>
          <w:lang w:eastAsia="en-US"/>
        </w:rPr>
        <w:t xml:space="preserve">y 219 metas </w:t>
      </w:r>
      <w:r w:rsidR="009E70AC" w:rsidRPr="00AA5869">
        <w:rPr>
          <w:rFonts w:ascii="Arial Narrow" w:eastAsia="Calibri" w:hAnsi="Arial Narrow"/>
          <w:lang w:eastAsia="en-US"/>
        </w:rPr>
        <w:t>estratégicas</w:t>
      </w:r>
      <w:r w:rsidR="009E70AC" w:rsidRPr="009E70AC">
        <w:rPr>
          <w:rFonts w:ascii="Arial Narrow" w:eastAsia="Calibri" w:hAnsi="Arial Narrow"/>
          <w:lang w:eastAsia="en-US"/>
        </w:rPr>
        <w:t xml:space="preserve"> </w:t>
      </w:r>
      <w:r w:rsidR="009E70AC" w:rsidRPr="00AA5869">
        <w:rPr>
          <w:rFonts w:ascii="Arial Narrow" w:hAnsi="Arial Narrow" w:cs="Book Antiqua"/>
        </w:rPr>
        <w:t>que</w:t>
      </w:r>
      <w:r w:rsidR="002B7718" w:rsidRPr="00AA5869">
        <w:rPr>
          <w:rFonts w:ascii="Arial Narrow" w:hAnsi="Arial Narrow" w:cs="Book Antiqua"/>
        </w:rPr>
        <w:t xml:space="preserve"> fueron ejecutadas en</w:t>
      </w:r>
      <w:r w:rsidR="002B7718" w:rsidRPr="00704B08">
        <w:rPr>
          <w:rFonts w:ascii="Arial Narrow" w:hAnsi="Arial Narrow" w:cs="Book Antiqua"/>
        </w:rPr>
        <w:t xml:space="preserve"> el 2019</w:t>
      </w:r>
      <w:r w:rsidR="003E4536" w:rsidRPr="00704B08">
        <w:rPr>
          <w:rFonts w:ascii="Arial Narrow" w:hAnsi="Arial Narrow" w:cs="Book Antiqua"/>
        </w:rPr>
        <w:t xml:space="preserve"> y 2020 respectivamente</w:t>
      </w:r>
      <w:r w:rsidR="004D0934">
        <w:rPr>
          <w:rFonts w:ascii="Arial Narrow" w:hAnsi="Arial Narrow" w:cs="Book Antiqua"/>
        </w:rPr>
        <w:t>,</w:t>
      </w:r>
      <w:r w:rsidR="002B7718" w:rsidRPr="00704B08">
        <w:rPr>
          <w:rFonts w:ascii="Arial Narrow" w:hAnsi="Arial Narrow" w:cs="Book Antiqua"/>
        </w:rPr>
        <w:t xml:space="preserve"> mediante el cumplimiento de los objetivos y metas operativas del PAO, esto vinculado a los 5 temas estratégicos</w:t>
      </w:r>
      <w:r w:rsidR="002B7718" w:rsidRPr="00704B08">
        <w:rPr>
          <w:rFonts w:ascii="Arial Narrow" w:eastAsia="Calibri" w:hAnsi="Arial Narrow"/>
          <w:lang w:eastAsia="en-US"/>
        </w:rPr>
        <w:t>.</w:t>
      </w:r>
    </w:p>
    <w:p w14:paraId="78D147EE" w14:textId="77777777" w:rsidR="004D0934" w:rsidRDefault="004D0934" w:rsidP="00CC3693">
      <w:pPr>
        <w:spacing w:line="360" w:lineRule="auto"/>
        <w:jc w:val="both"/>
        <w:rPr>
          <w:rFonts w:ascii="Arial Narrow" w:eastAsia="Calibri" w:hAnsi="Arial Narrow"/>
          <w:lang w:eastAsia="en-US"/>
        </w:rPr>
      </w:pPr>
    </w:p>
    <w:p w14:paraId="042C4211" w14:textId="2A0BF336" w:rsidR="00205936" w:rsidRPr="00704B08" w:rsidRDefault="002B7718" w:rsidP="00CC3693">
      <w:pPr>
        <w:spacing w:line="360" w:lineRule="auto"/>
        <w:jc w:val="both"/>
        <w:rPr>
          <w:rFonts w:ascii="Arial Narrow" w:hAnsi="Arial Narrow" w:cs="Book Antiqua"/>
        </w:rPr>
      </w:pPr>
      <w:r w:rsidRPr="00704B08">
        <w:rPr>
          <w:rFonts w:ascii="Arial Narrow" w:hAnsi="Arial Narrow" w:cs="Book Antiqua"/>
        </w:rPr>
        <w:t xml:space="preserve">El mecanismo de valoración se define con el propósito de medir el nivel de progreso y cumplimiento del PEI, con base en el grado de avance anual y acumulado de las metas estratégicas, el cual se obtiene mediante </w:t>
      </w:r>
      <w:r w:rsidRPr="006157A3">
        <w:rPr>
          <w:rFonts w:ascii="Arial Narrow" w:hAnsi="Arial Narrow" w:cs="Book Antiqua"/>
        </w:rPr>
        <w:t>una evaluación y monitoreo</w:t>
      </w:r>
      <w:r w:rsidRPr="00704B08">
        <w:rPr>
          <w:rFonts w:ascii="Arial Narrow" w:hAnsi="Arial Narrow" w:cs="Book Antiqua"/>
        </w:rPr>
        <w:t xml:space="preserve"> continuo de las diferentes acciones ejecutadas para asegurar su cumplimiento, según sea el periodo para analizar.  </w:t>
      </w:r>
    </w:p>
    <w:p w14:paraId="6688F60F" w14:textId="77777777" w:rsidR="00205936" w:rsidRPr="00704B08" w:rsidRDefault="00205936" w:rsidP="00C02919">
      <w:pPr>
        <w:spacing w:line="360" w:lineRule="auto"/>
        <w:jc w:val="both"/>
        <w:rPr>
          <w:rFonts w:ascii="Arial Narrow" w:hAnsi="Arial Narrow" w:cs="Book Antiqua"/>
        </w:rPr>
      </w:pPr>
    </w:p>
    <w:p w14:paraId="7A1538A3" w14:textId="132F3733" w:rsidR="00132C5B" w:rsidRPr="00CC279A" w:rsidRDefault="002B7718" w:rsidP="009D106D">
      <w:pPr>
        <w:spacing w:line="360" w:lineRule="auto"/>
        <w:jc w:val="both"/>
        <w:rPr>
          <w:rFonts w:ascii="Arial Narrow" w:hAnsi="Arial Narrow" w:cs="Book Antiqua"/>
        </w:rPr>
      </w:pPr>
      <w:r w:rsidRPr="006157A3">
        <w:rPr>
          <w:rFonts w:ascii="Arial Narrow" w:hAnsi="Arial Narrow" w:cs="Book Antiqua"/>
        </w:rPr>
        <w:t xml:space="preserve">La evaluación se fundamenta </w:t>
      </w:r>
      <w:r w:rsidRPr="00704B08">
        <w:rPr>
          <w:rFonts w:ascii="Arial Narrow" w:hAnsi="Arial Narrow" w:cs="Book Antiqua"/>
        </w:rPr>
        <w:t xml:space="preserve">en la </w:t>
      </w:r>
      <w:r w:rsidR="00AC02E3" w:rsidRPr="00704B08">
        <w:rPr>
          <w:rFonts w:ascii="Arial Narrow" w:hAnsi="Arial Narrow" w:cs="Book Antiqua"/>
        </w:rPr>
        <w:t>información contenida en el sistema PAO</w:t>
      </w:r>
      <w:r w:rsidR="004D0934">
        <w:rPr>
          <w:rFonts w:ascii="Arial Narrow" w:hAnsi="Arial Narrow" w:cs="Book Antiqua"/>
        </w:rPr>
        <w:t xml:space="preserve"> y c</w:t>
      </w:r>
      <w:r w:rsidRPr="00704B08">
        <w:rPr>
          <w:rFonts w:ascii="Arial Narrow" w:hAnsi="Arial Narrow" w:cs="Book Antiqua"/>
        </w:rPr>
        <w:t xml:space="preserve">omo resultado, se obtiene el grado de avance anual de cada </w:t>
      </w:r>
      <w:r w:rsidRPr="009D106D">
        <w:rPr>
          <w:rFonts w:ascii="Arial Narrow" w:hAnsi="Arial Narrow" w:cs="Book Antiqua"/>
        </w:rPr>
        <w:t xml:space="preserve">componente del PEI; </w:t>
      </w:r>
      <w:r w:rsidR="009D106D" w:rsidRPr="00CC279A">
        <w:rPr>
          <w:rFonts w:ascii="Arial Narrow" w:hAnsi="Arial Narrow" w:cs="Book Antiqua"/>
        </w:rPr>
        <w:t xml:space="preserve">lo anterior, </w:t>
      </w:r>
      <w:r w:rsidR="009D106D">
        <w:rPr>
          <w:rFonts w:ascii="Arial Narrow" w:hAnsi="Arial Narrow" w:cs="Book Antiqua"/>
        </w:rPr>
        <w:t>a</w:t>
      </w:r>
      <w:r w:rsidR="009D106D" w:rsidRPr="00CC279A">
        <w:rPr>
          <w:rFonts w:ascii="Arial Narrow" w:hAnsi="Arial Narrow" w:cs="Book Antiqua"/>
        </w:rPr>
        <w:t xml:space="preserve"> través de la v</w:t>
      </w:r>
      <w:r w:rsidRPr="00CC279A">
        <w:rPr>
          <w:rFonts w:ascii="Arial Narrow" w:hAnsi="Arial Narrow" w:cs="Book Antiqua"/>
        </w:rPr>
        <w:t xml:space="preserve">aloración directa del grado de cumplimiento </w:t>
      </w:r>
      <w:r w:rsidR="009D106D" w:rsidRPr="00CC279A">
        <w:rPr>
          <w:rFonts w:ascii="Arial Narrow" w:hAnsi="Arial Narrow" w:cs="Book Antiqua"/>
        </w:rPr>
        <w:t>de la meta estratégica y al av</w:t>
      </w:r>
      <w:r w:rsidRPr="00CC279A">
        <w:rPr>
          <w:rFonts w:ascii="Arial Narrow" w:hAnsi="Arial Narrow" w:cs="Book Antiqua"/>
        </w:rPr>
        <w:t xml:space="preserve">ance reportado por la oficina u oficinas responsables por medio de las metas operativas vinculadas al PAO. </w:t>
      </w:r>
    </w:p>
    <w:p w14:paraId="50B6C4B5" w14:textId="77777777" w:rsidR="00132C5B" w:rsidRDefault="00132C5B" w:rsidP="00704B08">
      <w:pPr>
        <w:spacing w:line="360" w:lineRule="auto"/>
        <w:jc w:val="both"/>
        <w:rPr>
          <w:rFonts w:ascii="Arial Narrow" w:hAnsi="Arial Narrow" w:cs="Book Antiqua"/>
        </w:rPr>
      </w:pPr>
    </w:p>
    <w:p w14:paraId="5333E8A0" w14:textId="20D3CBF1" w:rsidR="00892938" w:rsidRPr="00704B08" w:rsidRDefault="00892938" w:rsidP="00704B08">
      <w:pPr>
        <w:spacing w:line="360" w:lineRule="auto"/>
        <w:jc w:val="both"/>
        <w:rPr>
          <w:rFonts w:ascii="Arial Narrow" w:hAnsi="Arial Narrow" w:cs="Book Antiqua"/>
        </w:rPr>
      </w:pPr>
      <w:r>
        <w:rPr>
          <w:rFonts w:ascii="Arial Narrow" w:hAnsi="Arial Narrow" w:cs="Book Antiqua"/>
        </w:rPr>
        <w:t>E</w:t>
      </w:r>
      <w:r w:rsidRPr="00704B08">
        <w:rPr>
          <w:rFonts w:ascii="Arial Narrow" w:hAnsi="Arial Narrow" w:cs="Book Antiqua"/>
        </w:rPr>
        <w:t xml:space="preserve">s importante mencionar que la </w:t>
      </w:r>
      <w:r w:rsidR="00032340" w:rsidRPr="00A63985">
        <w:rPr>
          <w:rFonts w:ascii="Arial Narrow" w:hAnsi="Arial Narrow" w:cs="Book Antiqua"/>
        </w:rPr>
        <w:t>veracidad</w:t>
      </w:r>
      <w:r w:rsidRPr="00704B08">
        <w:rPr>
          <w:rFonts w:ascii="Arial Narrow" w:hAnsi="Arial Narrow" w:cs="Book Antiqua"/>
        </w:rPr>
        <w:t xml:space="preserve"> de la información de los avances por cada meta operativa depende de cada oficina responsable</w:t>
      </w:r>
      <w:r>
        <w:rPr>
          <w:rFonts w:ascii="Arial Narrow" w:hAnsi="Arial Narrow" w:cs="Book Antiqua"/>
        </w:rPr>
        <w:t>.</w:t>
      </w:r>
    </w:p>
    <w:p w14:paraId="5AA5DF2E" w14:textId="72A63C5D" w:rsidR="00205936" w:rsidRDefault="00205936" w:rsidP="005C4C02">
      <w:pPr>
        <w:spacing w:line="360" w:lineRule="auto"/>
        <w:jc w:val="both"/>
        <w:rPr>
          <w:rFonts w:ascii="Arial Narrow" w:hAnsi="Arial Narrow" w:cs="Book Antiqua"/>
        </w:rPr>
      </w:pPr>
    </w:p>
    <w:p w14:paraId="08489230" w14:textId="77777777" w:rsidR="00544696" w:rsidRDefault="00544696" w:rsidP="00544696">
      <w:pPr>
        <w:spacing w:line="360" w:lineRule="auto"/>
        <w:jc w:val="both"/>
        <w:rPr>
          <w:rFonts w:ascii="Arial Narrow" w:eastAsia="Calibri" w:hAnsi="Arial Narrow"/>
          <w:lang w:eastAsia="en-US"/>
        </w:rPr>
      </w:pPr>
      <w:r w:rsidRPr="002E0B96">
        <w:rPr>
          <w:rFonts w:ascii="Arial Narrow" w:hAnsi="Arial Narrow" w:cs="Book Antiqua"/>
        </w:rPr>
        <w:t xml:space="preserve">En este sentido, </w:t>
      </w:r>
      <w:r w:rsidRPr="002E0B96">
        <w:rPr>
          <w:rFonts w:ascii="Arial Narrow" w:eastAsia="Calibri" w:hAnsi="Arial Narrow"/>
          <w:lang w:eastAsia="en-US"/>
        </w:rPr>
        <w:t>se tiene un avance de cumplimiento de las metas estratégicas del PEI para el 2019 de un 96</w:t>
      </w:r>
      <w:r>
        <w:rPr>
          <w:rFonts w:ascii="Arial Narrow" w:eastAsia="Calibri" w:hAnsi="Arial Narrow"/>
          <w:lang w:eastAsia="en-US"/>
        </w:rPr>
        <w:t>,</w:t>
      </w:r>
      <w:r w:rsidRPr="002E0B96">
        <w:rPr>
          <w:rFonts w:ascii="Arial Narrow" w:eastAsia="Calibri" w:hAnsi="Arial Narrow"/>
          <w:lang w:eastAsia="en-US"/>
        </w:rPr>
        <w:t>25% y para el 2020 de un 96</w:t>
      </w:r>
      <w:r>
        <w:rPr>
          <w:rFonts w:ascii="Arial Narrow" w:eastAsia="Calibri" w:hAnsi="Arial Narrow"/>
          <w:lang w:eastAsia="en-US"/>
        </w:rPr>
        <w:t>,</w:t>
      </w:r>
      <w:r w:rsidRPr="002E0B96">
        <w:rPr>
          <w:rFonts w:ascii="Arial Narrow" w:eastAsia="Calibri" w:hAnsi="Arial Narrow"/>
          <w:lang w:eastAsia="en-US"/>
        </w:rPr>
        <w:t>77%.</w:t>
      </w:r>
    </w:p>
    <w:p w14:paraId="6E66A85B" w14:textId="73558C8A" w:rsidR="00032340" w:rsidRDefault="00032340" w:rsidP="005C4C02">
      <w:pPr>
        <w:spacing w:line="360" w:lineRule="auto"/>
        <w:jc w:val="both"/>
        <w:rPr>
          <w:rFonts w:ascii="Arial Narrow" w:hAnsi="Arial Narrow" w:cs="Book Antiqua"/>
        </w:rPr>
      </w:pPr>
    </w:p>
    <w:p w14:paraId="33FD701C" w14:textId="1CC2C441" w:rsidR="00032340" w:rsidRDefault="00032340" w:rsidP="005C4C02">
      <w:pPr>
        <w:spacing w:line="360" w:lineRule="auto"/>
        <w:jc w:val="both"/>
        <w:rPr>
          <w:rFonts w:ascii="Arial Narrow" w:hAnsi="Arial Narrow" w:cs="Book Antiqua"/>
        </w:rPr>
      </w:pPr>
    </w:p>
    <w:p w14:paraId="76EFC288" w14:textId="77777777" w:rsidR="00032340" w:rsidRPr="00704B08" w:rsidRDefault="00032340" w:rsidP="005C4C02">
      <w:pPr>
        <w:spacing w:line="360" w:lineRule="auto"/>
        <w:jc w:val="both"/>
        <w:rPr>
          <w:rFonts w:ascii="Arial Narrow" w:hAnsi="Arial Narrow" w:cs="Book Antiqua"/>
        </w:rPr>
      </w:pPr>
    </w:p>
    <w:p w14:paraId="25A1C2DB" w14:textId="1B234FE9" w:rsidR="00AA5869" w:rsidRDefault="00AA5869">
      <w:pPr>
        <w:rPr>
          <w:rFonts w:ascii="Arial Narrow" w:hAnsi="Arial Narrow"/>
          <w:b/>
          <w:bCs/>
        </w:rPr>
      </w:pPr>
    </w:p>
    <w:p w14:paraId="4A0BE617" w14:textId="71F739D5" w:rsidR="00DF140C" w:rsidRDefault="00DF140C" w:rsidP="00DF140C">
      <w:pPr>
        <w:rPr>
          <w:rFonts w:eastAsia="Calibri"/>
        </w:rPr>
      </w:pPr>
    </w:p>
    <w:p w14:paraId="34729F3C" w14:textId="209D4A21" w:rsidR="00DF140C" w:rsidRPr="00DF140C" w:rsidRDefault="00DF140C" w:rsidP="00CC279A">
      <w:pPr>
        <w:pStyle w:val="Descripcin"/>
        <w:jc w:val="center"/>
        <w:rPr>
          <w:rFonts w:ascii="Arial Narrow" w:eastAsia="Calibri" w:hAnsi="Arial Narrow"/>
          <w:sz w:val="24"/>
          <w:szCs w:val="24"/>
        </w:rPr>
      </w:pPr>
      <w:bookmarkStart w:id="7" w:name="_Toc83115328"/>
      <w:r w:rsidRPr="00CC279A">
        <w:rPr>
          <w:rFonts w:ascii="Arial Narrow" w:hAnsi="Arial Narrow"/>
          <w:sz w:val="24"/>
          <w:szCs w:val="24"/>
        </w:rPr>
        <w:t xml:space="preserve">Gráfico </w:t>
      </w:r>
      <w:r w:rsidRPr="00CC279A">
        <w:rPr>
          <w:rFonts w:ascii="Arial Narrow" w:hAnsi="Arial Narrow"/>
          <w:sz w:val="24"/>
          <w:szCs w:val="24"/>
        </w:rPr>
        <w:fldChar w:fldCharType="begin"/>
      </w:r>
      <w:r w:rsidRPr="00CC279A">
        <w:rPr>
          <w:rFonts w:ascii="Arial Narrow" w:hAnsi="Arial Narrow"/>
          <w:sz w:val="24"/>
          <w:szCs w:val="24"/>
        </w:rPr>
        <w:instrText xml:space="preserve"> SEQ Gráfico \* ARABIC </w:instrText>
      </w:r>
      <w:r w:rsidRPr="00CC279A">
        <w:rPr>
          <w:rFonts w:ascii="Arial Narrow" w:hAnsi="Arial Narrow"/>
          <w:sz w:val="24"/>
          <w:szCs w:val="24"/>
        </w:rPr>
        <w:fldChar w:fldCharType="separate"/>
      </w:r>
      <w:r>
        <w:rPr>
          <w:rFonts w:ascii="Arial Narrow" w:hAnsi="Arial Narrow"/>
          <w:noProof/>
          <w:sz w:val="24"/>
          <w:szCs w:val="24"/>
        </w:rPr>
        <w:t>1</w:t>
      </w:r>
      <w:r w:rsidRPr="00CC279A">
        <w:rPr>
          <w:rFonts w:ascii="Arial Narrow" w:hAnsi="Arial Narrow"/>
          <w:sz w:val="24"/>
          <w:szCs w:val="24"/>
        </w:rPr>
        <w:fldChar w:fldCharType="end"/>
      </w:r>
      <w:r w:rsidRPr="00CC279A">
        <w:rPr>
          <w:rFonts w:ascii="Arial Narrow" w:hAnsi="Arial Narrow"/>
          <w:sz w:val="24"/>
          <w:szCs w:val="24"/>
        </w:rPr>
        <w:t xml:space="preserve"> Porcentaje de cumplimiento del PEI, años 2019 y 2020</w:t>
      </w:r>
      <w:bookmarkEnd w:id="7"/>
    </w:p>
    <w:p w14:paraId="5F803FC2" w14:textId="77777777" w:rsidR="006378FE" w:rsidRPr="006378FE" w:rsidRDefault="006378FE" w:rsidP="006378FE">
      <w:pPr>
        <w:rPr>
          <w:rFonts w:eastAsia="Calibri"/>
        </w:rPr>
      </w:pPr>
    </w:p>
    <w:p w14:paraId="7C29359B" w14:textId="671947ED" w:rsidR="00F954D3" w:rsidRDefault="00215E3B">
      <w:pPr>
        <w:jc w:val="center"/>
        <w:rPr>
          <w:rFonts w:ascii="Arial Narrow" w:eastAsia="Calibri" w:hAnsi="Arial Narrow"/>
          <w:b/>
          <w:bCs/>
          <w:lang w:eastAsia="en-US"/>
        </w:rPr>
      </w:pPr>
      <w:r w:rsidRPr="00215E3B">
        <w:rPr>
          <w:rFonts w:ascii="Arial Narrow" w:eastAsia="Calibri" w:hAnsi="Arial Narrow"/>
          <w:b/>
          <w:bCs/>
          <w:lang w:eastAsia="en-US"/>
        </w:rPr>
        <w:t xml:space="preserve"> </w:t>
      </w:r>
      <w:r>
        <w:rPr>
          <w:noProof/>
          <w:lang w:val="es-CR" w:eastAsia="es-CR"/>
        </w:rPr>
        <w:drawing>
          <wp:inline distT="0" distB="0" distL="0" distR="0" wp14:anchorId="222275C4" wp14:editId="5E559EA5">
            <wp:extent cx="3959881" cy="2381191"/>
            <wp:effectExtent l="0" t="0" r="2540" b="635"/>
            <wp:docPr id="162" name="Imagen 162" descr="Gráfico, Gráfico de barra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Imagen 162" descr="Gráfico, Gráfico de barras&#10;&#10;Descripción generada automáticamente"/>
                    <pic:cNvPicPr>
                      <a:picLocks noChangeAspect="1" noChangeArrowheads="1"/>
                    </pic:cNvPicPr>
                  </pic:nvPicPr>
                  <pic:blipFill>
                    <a:blip r:embed="rId37" r:link="rId38" cstate="print">
                      <a:extLst>
                        <a:ext uri="{28A0092B-C50C-407E-A947-70E740481C1C}">
                          <a14:useLocalDpi xmlns:a14="http://schemas.microsoft.com/office/drawing/2010/main" val="0"/>
                        </a:ext>
                      </a:extLst>
                    </a:blip>
                    <a:srcRect/>
                    <a:stretch>
                      <a:fillRect/>
                    </a:stretch>
                  </pic:blipFill>
                  <pic:spPr bwMode="auto">
                    <a:xfrm>
                      <a:off x="0" y="0"/>
                      <a:ext cx="3963209" cy="2383192"/>
                    </a:xfrm>
                    <a:prstGeom prst="rect">
                      <a:avLst/>
                    </a:prstGeom>
                    <a:noFill/>
                    <a:ln>
                      <a:noFill/>
                    </a:ln>
                  </pic:spPr>
                </pic:pic>
              </a:graphicData>
            </a:graphic>
          </wp:inline>
        </w:drawing>
      </w:r>
    </w:p>
    <w:p w14:paraId="00486267" w14:textId="77777777" w:rsidR="00215E3B" w:rsidRDefault="00215E3B" w:rsidP="00704B08">
      <w:pPr>
        <w:jc w:val="center"/>
        <w:rPr>
          <w:rFonts w:ascii="Arial Narrow" w:eastAsia="Calibri" w:hAnsi="Arial Narrow"/>
          <w:b/>
          <w:bCs/>
          <w:lang w:eastAsia="en-US"/>
        </w:rPr>
      </w:pPr>
    </w:p>
    <w:p w14:paraId="51EE601F" w14:textId="0075F975" w:rsidR="00205936" w:rsidRDefault="00205936" w:rsidP="00704B08">
      <w:pPr>
        <w:tabs>
          <w:tab w:val="left" w:pos="3264"/>
        </w:tabs>
        <w:jc w:val="center"/>
        <w:rPr>
          <w:rFonts w:ascii="Arial Narrow" w:eastAsia="Calibri" w:hAnsi="Arial Narrow"/>
          <w:lang w:eastAsia="en-US"/>
        </w:rPr>
      </w:pPr>
      <w:r w:rsidRPr="000B4845">
        <w:rPr>
          <w:rFonts w:ascii="Arial Narrow" w:eastAsia="Calibri" w:hAnsi="Arial Narrow"/>
          <w:sz w:val="18"/>
          <w:szCs w:val="18"/>
          <w:lang w:eastAsia="en-US"/>
        </w:rPr>
        <w:t>Fuente: Sistema PEI al 24 de enero del 2020 (año 2019)</w:t>
      </w:r>
      <w:r w:rsidR="003E4536">
        <w:rPr>
          <w:rFonts w:ascii="Arial Narrow" w:eastAsia="Calibri" w:hAnsi="Arial Narrow"/>
          <w:sz w:val="18"/>
          <w:szCs w:val="18"/>
          <w:lang w:eastAsia="en-US"/>
        </w:rPr>
        <w:t xml:space="preserve"> y </w:t>
      </w:r>
      <w:r w:rsidR="003E4536" w:rsidRPr="006153A6">
        <w:rPr>
          <w:rFonts w:ascii="Arial Narrow" w:eastAsia="Calibri" w:hAnsi="Arial Narrow"/>
          <w:sz w:val="18"/>
          <w:szCs w:val="18"/>
          <w:lang w:eastAsia="en-US"/>
        </w:rPr>
        <w:t>al 0</w:t>
      </w:r>
      <w:r w:rsidR="00506B17" w:rsidRPr="006153A6">
        <w:rPr>
          <w:rFonts w:ascii="Arial Narrow" w:eastAsia="Calibri" w:hAnsi="Arial Narrow"/>
          <w:sz w:val="18"/>
          <w:szCs w:val="18"/>
          <w:lang w:eastAsia="en-US"/>
        </w:rPr>
        <w:t>4</w:t>
      </w:r>
      <w:r w:rsidR="003E4536" w:rsidRPr="006153A6">
        <w:rPr>
          <w:rFonts w:ascii="Arial Narrow" w:eastAsia="Calibri" w:hAnsi="Arial Narrow"/>
          <w:sz w:val="18"/>
          <w:szCs w:val="18"/>
          <w:lang w:eastAsia="en-US"/>
        </w:rPr>
        <w:t xml:space="preserve"> de marzo 2021 (año 2020).</w:t>
      </w:r>
    </w:p>
    <w:p w14:paraId="420796FB" w14:textId="77777777" w:rsidR="00544696" w:rsidRDefault="00544696" w:rsidP="00544696">
      <w:pPr>
        <w:spacing w:line="360" w:lineRule="auto"/>
        <w:jc w:val="both"/>
        <w:rPr>
          <w:rFonts w:ascii="Arial Narrow" w:eastAsia="Calibri" w:hAnsi="Arial Narrow"/>
          <w:lang w:eastAsia="en-US"/>
        </w:rPr>
      </w:pPr>
    </w:p>
    <w:p w14:paraId="0B834D61" w14:textId="77777777" w:rsidR="00544696" w:rsidRDefault="00544696" w:rsidP="00544696">
      <w:pPr>
        <w:spacing w:line="360" w:lineRule="auto"/>
        <w:jc w:val="both"/>
        <w:rPr>
          <w:rFonts w:ascii="Arial Narrow" w:eastAsia="Calibri" w:hAnsi="Arial Narrow"/>
          <w:lang w:eastAsia="en-US"/>
        </w:rPr>
      </w:pPr>
    </w:p>
    <w:p w14:paraId="024FAB5E" w14:textId="77777777" w:rsidR="00544696" w:rsidRDefault="00544696">
      <w:pPr>
        <w:rPr>
          <w:rFonts w:ascii="Arial Narrow" w:eastAsia="Calibri" w:hAnsi="Arial Narrow"/>
          <w:lang w:eastAsia="en-US"/>
        </w:rPr>
      </w:pPr>
      <w:r>
        <w:rPr>
          <w:rFonts w:ascii="Arial Narrow" w:eastAsia="Calibri" w:hAnsi="Arial Narrow"/>
          <w:lang w:eastAsia="en-US"/>
        </w:rPr>
        <w:br w:type="page"/>
      </w:r>
    </w:p>
    <w:p w14:paraId="6EE3A3B0" w14:textId="77777777" w:rsidR="00544696" w:rsidRDefault="00544696" w:rsidP="00544696">
      <w:pPr>
        <w:spacing w:line="360" w:lineRule="auto"/>
        <w:jc w:val="both"/>
        <w:rPr>
          <w:rFonts w:ascii="Arial Narrow" w:eastAsia="Calibri" w:hAnsi="Arial Narrow"/>
          <w:lang w:eastAsia="en-US"/>
        </w:rPr>
      </w:pPr>
    </w:p>
    <w:p w14:paraId="7A82646A" w14:textId="0B87AC24" w:rsidR="00544696" w:rsidRDefault="00544696" w:rsidP="00544696">
      <w:pPr>
        <w:spacing w:line="360" w:lineRule="auto"/>
        <w:jc w:val="both"/>
        <w:rPr>
          <w:rFonts w:ascii="Arial Narrow" w:eastAsia="Calibri" w:hAnsi="Arial Narrow"/>
          <w:lang w:eastAsia="en-US"/>
        </w:rPr>
      </w:pPr>
      <w:r w:rsidRPr="002E0B96">
        <w:rPr>
          <w:rFonts w:ascii="Arial Narrow" w:eastAsia="Calibri" w:hAnsi="Arial Narrow"/>
          <w:lang w:eastAsia="en-US"/>
        </w:rPr>
        <w:t>Los temas estratégicos alcanzan valores de avance de 94.08% y 93.28% en resolución oportuna de conflictos, 98.05% y 99.32 % en Optimización e innovación del servicio jurisdiccional, 94.88% y 96.24% en Gestión del Personal, 96.67% y 97.43% en Confianza y probidad en la justicia, mientras que un 97.5% y 99.56% en Planificación Institucional para los años 2019 y 2020 respectivamente.</w:t>
      </w:r>
    </w:p>
    <w:p w14:paraId="4BF18E22" w14:textId="77533E93" w:rsidR="00544696" w:rsidRDefault="00544696">
      <w:pPr>
        <w:rPr>
          <w:rFonts w:ascii="Arial Narrow" w:eastAsia="Calibri" w:hAnsi="Arial Narrow"/>
          <w:b/>
          <w:bCs/>
          <w:sz w:val="20"/>
          <w:szCs w:val="20"/>
          <w:lang w:eastAsia="en-US"/>
        </w:rPr>
      </w:pPr>
    </w:p>
    <w:p w14:paraId="00F5A637" w14:textId="70874925" w:rsidR="00544696" w:rsidRDefault="00544696" w:rsidP="00544696">
      <w:pPr>
        <w:rPr>
          <w:rFonts w:eastAsia="Calibri"/>
          <w:lang w:eastAsia="en-US"/>
        </w:rPr>
      </w:pPr>
    </w:p>
    <w:p w14:paraId="294C5F6D" w14:textId="1049D5C2" w:rsidR="007F3359" w:rsidRPr="00F72B7A" w:rsidRDefault="00DF140C" w:rsidP="00F72B7A">
      <w:pPr>
        <w:pStyle w:val="Descripcin"/>
        <w:jc w:val="center"/>
        <w:rPr>
          <w:rFonts w:ascii="Arial Narrow" w:eastAsia="Calibri" w:hAnsi="Arial Narrow"/>
        </w:rPr>
      </w:pPr>
      <w:bookmarkStart w:id="8" w:name="_Toc83115329"/>
      <w:r w:rsidRPr="00F72B7A">
        <w:rPr>
          <w:rFonts w:ascii="Arial Narrow" w:hAnsi="Arial Narrow"/>
          <w:sz w:val="24"/>
          <w:szCs w:val="24"/>
        </w:rPr>
        <w:t xml:space="preserve">Gráfico </w:t>
      </w:r>
      <w:r w:rsidRPr="00F72B7A">
        <w:rPr>
          <w:rFonts w:ascii="Arial Narrow" w:hAnsi="Arial Narrow"/>
          <w:sz w:val="24"/>
          <w:szCs w:val="24"/>
        </w:rPr>
        <w:fldChar w:fldCharType="begin"/>
      </w:r>
      <w:r w:rsidRPr="00F72B7A">
        <w:rPr>
          <w:rFonts w:ascii="Arial Narrow" w:hAnsi="Arial Narrow"/>
          <w:sz w:val="24"/>
          <w:szCs w:val="24"/>
        </w:rPr>
        <w:instrText xml:space="preserve"> SEQ Gráfico \* ARABIC </w:instrText>
      </w:r>
      <w:r w:rsidRPr="00F72B7A">
        <w:rPr>
          <w:rFonts w:ascii="Arial Narrow" w:hAnsi="Arial Narrow"/>
          <w:sz w:val="24"/>
          <w:szCs w:val="24"/>
        </w:rPr>
        <w:fldChar w:fldCharType="separate"/>
      </w:r>
      <w:r>
        <w:rPr>
          <w:rFonts w:ascii="Arial Narrow" w:hAnsi="Arial Narrow"/>
          <w:noProof/>
          <w:sz w:val="24"/>
          <w:szCs w:val="24"/>
        </w:rPr>
        <w:t>2</w:t>
      </w:r>
      <w:r w:rsidRPr="00F72B7A">
        <w:rPr>
          <w:rFonts w:ascii="Arial Narrow" w:hAnsi="Arial Narrow"/>
          <w:sz w:val="24"/>
          <w:szCs w:val="24"/>
        </w:rPr>
        <w:fldChar w:fldCharType="end"/>
      </w:r>
      <w:r w:rsidRPr="00F72B7A">
        <w:rPr>
          <w:rFonts w:ascii="Arial Narrow" w:hAnsi="Arial Narrow"/>
          <w:sz w:val="24"/>
          <w:szCs w:val="24"/>
        </w:rPr>
        <w:t xml:space="preserve"> Porcentaje de cumplimiento por tema estratégico en el año 2019 y 2020.</w:t>
      </w:r>
      <w:bookmarkEnd w:id="8"/>
    </w:p>
    <w:p w14:paraId="64D2C199" w14:textId="249CB3A2" w:rsidR="00205936" w:rsidRDefault="000819C1" w:rsidP="00205936">
      <w:pPr>
        <w:jc w:val="center"/>
        <w:rPr>
          <w:rFonts w:ascii="Arial Narrow" w:eastAsia="Calibri" w:hAnsi="Arial Narrow"/>
          <w:sz w:val="28"/>
          <w:szCs w:val="28"/>
          <w:lang w:eastAsia="en-US"/>
        </w:rPr>
      </w:pPr>
      <w:r>
        <w:rPr>
          <w:rFonts w:ascii="Arial Narrow" w:eastAsia="Calibri" w:hAnsi="Arial Narrow"/>
          <w:noProof/>
          <w:sz w:val="28"/>
          <w:szCs w:val="28"/>
          <w:lang w:val="es-CR" w:eastAsia="es-CR"/>
        </w:rPr>
        <w:drawing>
          <wp:inline distT="0" distB="0" distL="0" distR="0" wp14:anchorId="1B2757FA" wp14:editId="08820135">
            <wp:extent cx="4584700" cy="2755900"/>
            <wp:effectExtent l="57150" t="57150" r="63500" b="63500"/>
            <wp:docPr id="150" name="Imagen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584700" cy="2755900"/>
                    </a:xfrm>
                    <a:prstGeom prst="roundRect">
                      <a:avLst>
                        <a:gd name="adj" fmla="val 4167"/>
                      </a:avLst>
                    </a:prstGeom>
                    <a:solidFill>
                      <a:srgbClr val="FFFFFF"/>
                    </a:solidFill>
                    <a:ln w="19050" cap="sq">
                      <a:solidFill>
                        <a:schemeClr val="accent1">
                          <a:lumMod val="75000"/>
                        </a:schemeClr>
                      </a:solidFill>
                      <a:miter lim="800000"/>
                    </a:ln>
                    <a:effectLst/>
                    <a:scene3d>
                      <a:camera prst="orthographicFront"/>
                      <a:lightRig rig="threePt" dir="t">
                        <a:rot lat="0" lon="0" rev="2700000"/>
                      </a:lightRig>
                    </a:scene3d>
                    <a:sp3d contourW="6350">
                      <a:bevelT h="38100"/>
                      <a:contourClr>
                        <a:srgbClr val="C0C0C0"/>
                      </a:contourClr>
                    </a:sp3d>
                  </pic:spPr>
                </pic:pic>
              </a:graphicData>
            </a:graphic>
          </wp:inline>
        </w:drawing>
      </w:r>
    </w:p>
    <w:p w14:paraId="1230A1F8" w14:textId="5B5BAD6F" w:rsidR="003053BE" w:rsidRDefault="00205936" w:rsidP="00704B08">
      <w:pPr>
        <w:jc w:val="center"/>
        <w:rPr>
          <w:rFonts w:ascii="Arial Narrow" w:eastAsia="Calibri" w:hAnsi="Arial Narrow"/>
          <w:lang w:eastAsia="en-US"/>
        </w:rPr>
      </w:pPr>
      <w:r w:rsidRPr="596C5A54">
        <w:rPr>
          <w:noProof/>
        </w:rPr>
        <w:t xml:space="preserve"> </w:t>
      </w:r>
      <w:r w:rsidR="003053BE" w:rsidRPr="000B4845">
        <w:rPr>
          <w:rFonts w:ascii="Arial Narrow" w:eastAsia="Calibri" w:hAnsi="Arial Narrow"/>
          <w:sz w:val="18"/>
          <w:szCs w:val="18"/>
          <w:lang w:eastAsia="en-US"/>
        </w:rPr>
        <w:t xml:space="preserve">Fuente: Sistema PEI al 24 de enero del 2020 (año </w:t>
      </w:r>
      <w:r w:rsidR="003053BE" w:rsidRPr="006153A6">
        <w:rPr>
          <w:rFonts w:ascii="Arial Narrow" w:eastAsia="Calibri" w:hAnsi="Arial Narrow"/>
          <w:sz w:val="18"/>
          <w:szCs w:val="18"/>
          <w:lang w:eastAsia="en-US"/>
        </w:rPr>
        <w:t>2019) y al 0</w:t>
      </w:r>
      <w:r w:rsidR="00506B17" w:rsidRPr="006153A6">
        <w:rPr>
          <w:rFonts w:ascii="Arial Narrow" w:eastAsia="Calibri" w:hAnsi="Arial Narrow"/>
          <w:sz w:val="18"/>
          <w:szCs w:val="18"/>
          <w:lang w:eastAsia="en-US"/>
        </w:rPr>
        <w:t>4</w:t>
      </w:r>
      <w:r w:rsidR="003053BE" w:rsidRPr="006153A6">
        <w:rPr>
          <w:rFonts w:ascii="Arial Narrow" w:eastAsia="Calibri" w:hAnsi="Arial Narrow"/>
          <w:sz w:val="18"/>
          <w:szCs w:val="18"/>
          <w:lang w:eastAsia="en-US"/>
        </w:rPr>
        <w:t xml:space="preserve"> de marzo 2021 (año 2020).</w:t>
      </w:r>
    </w:p>
    <w:p w14:paraId="25F0B305" w14:textId="77777777" w:rsidR="00205936" w:rsidRPr="000B4845" w:rsidRDefault="00205936" w:rsidP="00205936">
      <w:pPr>
        <w:jc w:val="center"/>
        <w:rPr>
          <w:rFonts w:ascii="Arial Narrow" w:eastAsia="Calibri" w:hAnsi="Arial Narrow"/>
          <w:sz w:val="18"/>
          <w:szCs w:val="18"/>
          <w:lang w:eastAsia="en-US"/>
        </w:rPr>
      </w:pPr>
    </w:p>
    <w:p w14:paraId="1E1099D7" w14:textId="77777777" w:rsidR="00205936" w:rsidRPr="008254FA" w:rsidRDefault="00205936" w:rsidP="00205936">
      <w:pPr>
        <w:rPr>
          <w:rFonts w:ascii="Arial Narrow" w:eastAsia="Calibri" w:hAnsi="Arial Narrow"/>
          <w:lang w:eastAsia="en-US"/>
        </w:rPr>
      </w:pPr>
    </w:p>
    <w:p w14:paraId="62EA10E1" w14:textId="77777777" w:rsidR="00215E3B" w:rsidRDefault="00215E3B" w:rsidP="00215E3B">
      <w:pPr>
        <w:spacing w:line="360" w:lineRule="auto"/>
        <w:jc w:val="both"/>
        <w:rPr>
          <w:rFonts w:ascii="Arial Narrow" w:eastAsia="Calibri" w:hAnsi="Arial Narrow"/>
          <w:lang w:eastAsia="en-US"/>
        </w:rPr>
      </w:pPr>
    </w:p>
    <w:p w14:paraId="3F0E746B" w14:textId="1DAA09DC" w:rsidR="00942675" w:rsidRPr="00704B08" w:rsidRDefault="002B7718" w:rsidP="00215E3B">
      <w:pPr>
        <w:spacing w:line="360" w:lineRule="auto"/>
        <w:jc w:val="both"/>
        <w:rPr>
          <w:rFonts w:ascii="Arial Narrow" w:eastAsia="Calibri" w:hAnsi="Arial Narrow"/>
          <w:lang w:eastAsia="en-US"/>
        </w:rPr>
      </w:pPr>
      <w:r w:rsidRPr="00704B08">
        <w:rPr>
          <w:rFonts w:ascii="Arial Narrow" w:eastAsia="Calibri" w:hAnsi="Arial Narrow"/>
          <w:lang w:eastAsia="en-US"/>
        </w:rPr>
        <w:t xml:space="preserve">Para cada tema estratégico se detalla en el cuerpo del informe </w:t>
      </w:r>
      <w:r w:rsidR="00103399" w:rsidRPr="00704B08">
        <w:rPr>
          <w:rFonts w:ascii="Arial Narrow" w:eastAsia="Calibri" w:hAnsi="Arial Narrow"/>
          <w:lang w:eastAsia="en-US"/>
        </w:rPr>
        <w:t>las</w:t>
      </w:r>
      <w:r w:rsidRPr="00704B08">
        <w:rPr>
          <w:rFonts w:ascii="Arial Narrow" w:eastAsia="Calibri" w:hAnsi="Arial Narrow"/>
          <w:lang w:eastAsia="en-US"/>
        </w:rPr>
        <w:t xml:space="preserve"> </w:t>
      </w:r>
      <w:r w:rsidR="000311E8" w:rsidRPr="00704B08">
        <w:rPr>
          <w:rFonts w:ascii="Arial Narrow" w:eastAsia="Calibri" w:hAnsi="Arial Narrow"/>
          <w:lang w:eastAsia="en-US"/>
        </w:rPr>
        <w:t>acciones y sus metas estratégicas</w:t>
      </w:r>
      <w:r w:rsidRPr="00704B08">
        <w:rPr>
          <w:rFonts w:ascii="Arial Narrow" w:eastAsia="Calibri" w:hAnsi="Arial Narrow"/>
          <w:lang w:eastAsia="en-US"/>
        </w:rPr>
        <w:t xml:space="preserve"> asociadas, a su vez, se explican las acciones ejecutadas en conjunto por la oficina operativa y bajo la responsabilidad del líder estratégico de esa meta.</w:t>
      </w:r>
      <w:r w:rsidR="00C04871" w:rsidRPr="00704B08">
        <w:rPr>
          <w:rFonts w:ascii="Arial Narrow" w:eastAsia="Calibri" w:hAnsi="Arial Narrow"/>
          <w:lang w:eastAsia="en-US"/>
        </w:rPr>
        <w:t xml:space="preserve"> </w:t>
      </w:r>
      <w:r w:rsidR="00942675" w:rsidRPr="00704B08">
        <w:rPr>
          <w:rFonts w:ascii="Arial Narrow" w:eastAsia="Calibri" w:hAnsi="Arial Narrow"/>
          <w:lang w:eastAsia="en-US"/>
        </w:rPr>
        <w:t>A su vez, se informa del cumplimiento de las metas estratégicas por responsable estratégico, siendo este cuadro de relevancia para el conocimiento de los actores estratégicos, debido a que les permite conocer donde se presenta</w:t>
      </w:r>
      <w:r w:rsidR="00731899" w:rsidRPr="00704B08">
        <w:rPr>
          <w:rFonts w:ascii="Arial Narrow" w:eastAsia="Calibri" w:hAnsi="Arial Narrow"/>
          <w:lang w:eastAsia="en-US"/>
        </w:rPr>
        <w:t>ro</w:t>
      </w:r>
      <w:r w:rsidR="00942675" w:rsidRPr="00704B08">
        <w:rPr>
          <w:rFonts w:ascii="Arial Narrow" w:eastAsia="Calibri" w:hAnsi="Arial Narrow"/>
          <w:lang w:eastAsia="en-US"/>
        </w:rPr>
        <w:t>n mayores cumplimientos parciales en las metas y a cuáles metas se debe prestar mayor atención para lograr el cumplimiento en el largo plazo.</w:t>
      </w:r>
    </w:p>
    <w:p w14:paraId="7CBA4291" w14:textId="77777777" w:rsidR="00D202C3" w:rsidRPr="00704B08" w:rsidRDefault="00D202C3" w:rsidP="00C02919">
      <w:pPr>
        <w:spacing w:line="360" w:lineRule="auto"/>
        <w:jc w:val="both"/>
        <w:rPr>
          <w:rFonts w:ascii="Arial Narrow" w:eastAsia="Calibri" w:hAnsi="Arial Narrow"/>
          <w:lang w:eastAsia="en-US"/>
        </w:rPr>
      </w:pPr>
    </w:p>
    <w:p w14:paraId="4282FC4C" w14:textId="77777777" w:rsidR="00544696" w:rsidRDefault="00544696" w:rsidP="005C4C02">
      <w:pPr>
        <w:spacing w:line="360" w:lineRule="auto"/>
        <w:jc w:val="both"/>
        <w:rPr>
          <w:rFonts w:ascii="Arial Narrow" w:eastAsia="Calibri" w:hAnsi="Arial Narrow"/>
          <w:lang w:eastAsia="en-US"/>
        </w:rPr>
      </w:pPr>
    </w:p>
    <w:p w14:paraId="64637DE7" w14:textId="4683DB81" w:rsidR="00544696" w:rsidRDefault="002B7718" w:rsidP="005C4C02">
      <w:pPr>
        <w:spacing w:line="360" w:lineRule="auto"/>
        <w:jc w:val="both"/>
        <w:rPr>
          <w:rFonts w:ascii="Arial Narrow" w:eastAsia="Calibri" w:hAnsi="Arial Narrow"/>
          <w:lang w:eastAsia="en-US"/>
        </w:rPr>
      </w:pPr>
      <w:r w:rsidRPr="00704B08">
        <w:rPr>
          <w:rFonts w:ascii="Arial Narrow" w:eastAsia="Calibri" w:hAnsi="Arial Narrow"/>
          <w:lang w:eastAsia="en-US"/>
        </w:rPr>
        <w:t xml:space="preserve">Los Programas </w:t>
      </w:r>
      <w:r w:rsidR="00032340">
        <w:rPr>
          <w:rFonts w:ascii="Arial Narrow" w:eastAsia="Calibri" w:hAnsi="Arial Narrow"/>
          <w:lang w:eastAsia="en-US"/>
        </w:rPr>
        <w:t xml:space="preserve">Institucionales </w:t>
      </w:r>
      <w:r w:rsidRPr="00704B08">
        <w:rPr>
          <w:rFonts w:ascii="Arial Narrow" w:eastAsia="Calibri" w:hAnsi="Arial Narrow"/>
          <w:lang w:eastAsia="en-US"/>
        </w:rPr>
        <w:t xml:space="preserve">cumplen con </w:t>
      </w:r>
      <w:r w:rsidR="00032340">
        <w:rPr>
          <w:rFonts w:ascii="Arial Narrow" w:eastAsia="Calibri" w:hAnsi="Arial Narrow"/>
          <w:lang w:eastAsia="en-US"/>
        </w:rPr>
        <w:t>sus</w:t>
      </w:r>
      <w:r w:rsidRPr="00704B08">
        <w:rPr>
          <w:rFonts w:ascii="Arial Narrow" w:eastAsia="Calibri" w:hAnsi="Arial Narrow"/>
          <w:lang w:eastAsia="en-US"/>
        </w:rPr>
        <w:t xml:space="preserve"> metas estratégicas</w:t>
      </w:r>
      <w:r w:rsidR="00383C95" w:rsidRPr="00383C95">
        <w:rPr>
          <w:rFonts w:ascii="Arial Narrow" w:eastAsia="Calibri" w:hAnsi="Arial Narrow"/>
          <w:lang w:eastAsia="en-US"/>
        </w:rPr>
        <w:t xml:space="preserve"> </w:t>
      </w:r>
      <w:r w:rsidR="00383C95" w:rsidRPr="00704B08">
        <w:rPr>
          <w:rFonts w:ascii="Arial Narrow" w:eastAsia="Calibri" w:hAnsi="Arial Narrow"/>
          <w:lang w:eastAsia="en-US"/>
        </w:rPr>
        <w:t>para el cierre del 2019 y 2020</w:t>
      </w:r>
      <w:r w:rsidR="00383C95">
        <w:rPr>
          <w:rFonts w:ascii="Arial Narrow" w:eastAsia="Calibri" w:hAnsi="Arial Narrow"/>
          <w:lang w:eastAsia="en-US"/>
        </w:rPr>
        <w:t>,</w:t>
      </w:r>
      <w:r w:rsidR="00383C95" w:rsidRPr="00704B08">
        <w:rPr>
          <w:rFonts w:ascii="Arial Narrow" w:eastAsia="Calibri" w:hAnsi="Arial Narrow"/>
          <w:lang w:eastAsia="en-US"/>
        </w:rPr>
        <w:t xml:space="preserve"> respectivamente</w:t>
      </w:r>
      <w:r w:rsidR="00032340">
        <w:rPr>
          <w:rFonts w:ascii="Arial Narrow" w:eastAsia="Calibri" w:hAnsi="Arial Narrow"/>
          <w:lang w:eastAsia="en-US"/>
        </w:rPr>
        <w:t xml:space="preserve">: </w:t>
      </w:r>
      <w:r w:rsidRPr="00704B08">
        <w:rPr>
          <w:rFonts w:ascii="Arial Narrow" w:eastAsia="Calibri" w:hAnsi="Arial Narrow"/>
          <w:lang w:eastAsia="en-US"/>
        </w:rPr>
        <w:t xml:space="preserve"> </w:t>
      </w:r>
      <w:r w:rsidR="00032340" w:rsidRPr="00704B08">
        <w:rPr>
          <w:rFonts w:ascii="Arial Narrow" w:eastAsia="Calibri" w:hAnsi="Arial Narrow"/>
          <w:lang w:eastAsia="en-US"/>
        </w:rPr>
        <w:t xml:space="preserve">la Defensa Pública </w:t>
      </w:r>
      <w:r w:rsidR="00383C95">
        <w:rPr>
          <w:rFonts w:ascii="Arial Narrow" w:eastAsia="Calibri" w:hAnsi="Arial Narrow"/>
          <w:lang w:eastAsia="en-US"/>
        </w:rPr>
        <w:t xml:space="preserve">registró </w:t>
      </w:r>
      <w:r w:rsidRPr="00704B08">
        <w:rPr>
          <w:rFonts w:ascii="Arial Narrow" w:eastAsia="Calibri" w:hAnsi="Arial Narrow"/>
          <w:lang w:eastAsia="en-US"/>
        </w:rPr>
        <w:t xml:space="preserve">un </w:t>
      </w:r>
      <w:r w:rsidR="00942675" w:rsidRPr="00704B08">
        <w:rPr>
          <w:rFonts w:ascii="Arial Narrow" w:eastAsia="Calibri" w:hAnsi="Arial Narrow"/>
          <w:lang w:eastAsia="en-US"/>
        </w:rPr>
        <w:t>99.33</w:t>
      </w:r>
      <w:r w:rsidRPr="00704B08">
        <w:rPr>
          <w:rFonts w:ascii="Arial Narrow" w:eastAsia="Calibri" w:hAnsi="Arial Narrow"/>
          <w:lang w:eastAsia="en-US"/>
        </w:rPr>
        <w:t xml:space="preserve">% </w:t>
      </w:r>
      <w:r w:rsidR="00506B17" w:rsidRPr="00704B08">
        <w:rPr>
          <w:rFonts w:ascii="Arial Narrow" w:eastAsia="Calibri" w:hAnsi="Arial Narrow"/>
          <w:lang w:eastAsia="en-US"/>
        </w:rPr>
        <w:t>y 99.47%</w:t>
      </w:r>
      <w:r w:rsidRPr="00704B08">
        <w:rPr>
          <w:rFonts w:ascii="Arial Narrow" w:eastAsia="Calibri" w:hAnsi="Arial Narrow"/>
          <w:lang w:eastAsia="en-US"/>
        </w:rPr>
        <w:t xml:space="preserve">, </w:t>
      </w:r>
      <w:r w:rsidR="00032340">
        <w:rPr>
          <w:rFonts w:ascii="Arial Narrow" w:eastAsia="Calibri" w:hAnsi="Arial Narrow"/>
          <w:lang w:eastAsia="en-US"/>
        </w:rPr>
        <w:t xml:space="preserve">el Programa </w:t>
      </w:r>
      <w:r w:rsidR="00032340" w:rsidRPr="00704B08">
        <w:rPr>
          <w:rFonts w:ascii="Arial Narrow" w:eastAsia="Calibri" w:hAnsi="Arial Narrow"/>
          <w:lang w:eastAsia="en-US"/>
        </w:rPr>
        <w:t>Dirección</w:t>
      </w:r>
      <w:r w:rsidR="00032340">
        <w:rPr>
          <w:rFonts w:ascii="Arial Narrow" w:eastAsia="Calibri" w:hAnsi="Arial Narrow"/>
          <w:lang w:eastAsia="en-US"/>
        </w:rPr>
        <w:t xml:space="preserve">, </w:t>
      </w:r>
      <w:r w:rsidR="00032340" w:rsidRPr="00704B08">
        <w:rPr>
          <w:rFonts w:ascii="Arial Narrow" w:eastAsia="Calibri" w:hAnsi="Arial Narrow"/>
          <w:lang w:eastAsia="en-US"/>
        </w:rPr>
        <w:t>Administra</w:t>
      </w:r>
      <w:r w:rsidR="00032340">
        <w:rPr>
          <w:rFonts w:ascii="Arial Narrow" w:eastAsia="Calibri" w:hAnsi="Arial Narrow"/>
          <w:lang w:eastAsia="en-US"/>
        </w:rPr>
        <w:t>ción y Otros Órganos de Apoyo</w:t>
      </w:r>
      <w:r w:rsidR="00032340" w:rsidRPr="00704B08">
        <w:rPr>
          <w:rFonts w:ascii="Arial Narrow" w:eastAsia="Calibri" w:hAnsi="Arial Narrow"/>
          <w:lang w:eastAsia="en-US"/>
        </w:rPr>
        <w:t xml:space="preserve"> </w:t>
      </w:r>
      <w:r w:rsidR="00383C95">
        <w:rPr>
          <w:rFonts w:ascii="Arial Narrow" w:eastAsia="Calibri" w:hAnsi="Arial Narrow"/>
          <w:lang w:eastAsia="en-US"/>
        </w:rPr>
        <w:t>un</w:t>
      </w:r>
      <w:r w:rsidR="00383C95" w:rsidRPr="00704B08">
        <w:rPr>
          <w:rFonts w:ascii="Arial Narrow" w:eastAsia="Calibri" w:hAnsi="Arial Narrow"/>
          <w:lang w:eastAsia="en-US"/>
        </w:rPr>
        <w:t xml:space="preserve"> </w:t>
      </w:r>
      <w:r w:rsidR="00942675" w:rsidRPr="00704B08">
        <w:rPr>
          <w:rFonts w:ascii="Arial Narrow" w:eastAsia="Calibri" w:hAnsi="Arial Narrow"/>
          <w:lang w:eastAsia="en-US"/>
        </w:rPr>
        <w:t>95.63</w:t>
      </w:r>
      <w:r w:rsidRPr="00704B08">
        <w:rPr>
          <w:rFonts w:ascii="Arial Narrow" w:eastAsia="Calibri" w:hAnsi="Arial Narrow"/>
          <w:lang w:eastAsia="en-US"/>
        </w:rPr>
        <w:t xml:space="preserve">% </w:t>
      </w:r>
      <w:r w:rsidR="00506B17" w:rsidRPr="00704B08">
        <w:rPr>
          <w:rFonts w:ascii="Arial Narrow" w:eastAsia="Calibri" w:hAnsi="Arial Narrow"/>
          <w:lang w:eastAsia="en-US"/>
        </w:rPr>
        <w:t xml:space="preserve">y </w:t>
      </w:r>
      <w:r w:rsidR="008623B6" w:rsidRPr="00704B08">
        <w:rPr>
          <w:rFonts w:ascii="Arial Narrow" w:eastAsia="Calibri" w:hAnsi="Arial Narrow"/>
          <w:lang w:eastAsia="en-US"/>
        </w:rPr>
        <w:t>97.24%</w:t>
      </w:r>
      <w:r w:rsidR="00032340">
        <w:rPr>
          <w:rFonts w:ascii="Arial Narrow" w:eastAsia="Calibri" w:hAnsi="Arial Narrow"/>
          <w:lang w:eastAsia="en-US"/>
        </w:rPr>
        <w:t xml:space="preserve">, </w:t>
      </w:r>
      <w:r w:rsidRPr="00704B08">
        <w:rPr>
          <w:rFonts w:ascii="Arial Narrow" w:eastAsia="Calibri" w:hAnsi="Arial Narrow"/>
          <w:lang w:eastAsia="en-US"/>
        </w:rPr>
        <w:t xml:space="preserve">el Ministerio Púbico un </w:t>
      </w:r>
      <w:r w:rsidR="00942675" w:rsidRPr="00704B08">
        <w:rPr>
          <w:rFonts w:ascii="Arial Narrow" w:eastAsia="Calibri" w:hAnsi="Arial Narrow"/>
          <w:lang w:eastAsia="en-US"/>
        </w:rPr>
        <w:t>99.24</w:t>
      </w:r>
      <w:r w:rsidRPr="00704B08">
        <w:rPr>
          <w:rFonts w:ascii="Arial Narrow" w:eastAsia="Calibri" w:hAnsi="Arial Narrow"/>
          <w:lang w:eastAsia="en-US"/>
        </w:rPr>
        <w:t>%</w:t>
      </w:r>
      <w:r w:rsidR="008623B6" w:rsidRPr="00704B08">
        <w:rPr>
          <w:rFonts w:ascii="Arial Narrow" w:eastAsia="Calibri" w:hAnsi="Arial Narrow"/>
          <w:lang w:eastAsia="en-US"/>
        </w:rPr>
        <w:t xml:space="preserve"> y 99.46%</w:t>
      </w:r>
      <w:r w:rsidRPr="00704B08">
        <w:rPr>
          <w:rFonts w:ascii="Arial Narrow" w:eastAsia="Calibri" w:hAnsi="Arial Narrow"/>
          <w:lang w:eastAsia="en-US"/>
        </w:rPr>
        <w:t xml:space="preserve">, el Organismo de Investigación Judicial en un </w:t>
      </w:r>
      <w:r w:rsidR="00942675" w:rsidRPr="00704B08">
        <w:rPr>
          <w:rFonts w:ascii="Arial Narrow" w:eastAsia="Calibri" w:hAnsi="Arial Narrow"/>
          <w:lang w:eastAsia="en-US"/>
        </w:rPr>
        <w:t>98.32</w:t>
      </w:r>
      <w:r w:rsidRPr="00704B08">
        <w:rPr>
          <w:rFonts w:ascii="Arial Narrow" w:eastAsia="Calibri" w:hAnsi="Arial Narrow"/>
          <w:lang w:eastAsia="en-US"/>
        </w:rPr>
        <w:t>%</w:t>
      </w:r>
      <w:r w:rsidR="008623B6" w:rsidRPr="00704B08">
        <w:rPr>
          <w:rFonts w:ascii="Arial Narrow" w:eastAsia="Calibri" w:hAnsi="Arial Narrow"/>
          <w:lang w:eastAsia="en-US"/>
        </w:rPr>
        <w:t xml:space="preserve"> y 99.52%</w:t>
      </w:r>
      <w:r w:rsidRPr="00704B08">
        <w:rPr>
          <w:rFonts w:ascii="Arial Narrow" w:eastAsia="Calibri" w:hAnsi="Arial Narrow"/>
          <w:lang w:eastAsia="en-US"/>
        </w:rPr>
        <w:t xml:space="preserve">, el Servicio de Atención y Protección a Víctimas y Testigos en un </w:t>
      </w:r>
      <w:r w:rsidR="00942675" w:rsidRPr="00704B08">
        <w:rPr>
          <w:rFonts w:ascii="Arial Narrow" w:eastAsia="Calibri" w:hAnsi="Arial Narrow"/>
          <w:lang w:eastAsia="en-US"/>
        </w:rPr>
        <w:t>97</w:t>
      </w:r>
      <w:r w:rsidRPr="00704B08">
        <w:rPr>
          <w:rFonts w:ascii="Arial Narrow" w:eastAsia="Calibri" w:hAnsi="Arial Narrow"/>
          <w:lang w:eastAsia="en-US"/>
        </w:rPr>
        <w:t>%</w:t>
      </w:r>
      <w:r w:rsidR="008623B6" w:rsidRPr="00704B08">
        <w:rPr>
          <w:rFonts w:ascii="Arial Narrow" w:eastAsia="Calibri" w:hAnsi="Arial Narrow"/>
          <w:lang w:eastAsia="en-US"/>
        </w:rPr>
        <w:t xml:space="preserve"> y 93.08%</w:t>
      </w:r>
      <w:r w:rsidR="00C44970">
        <w:rPr>
          <w:rFonts w:ascii="Arial Narrow" w:eastAsia="Calibri" w:hAnsi="Arial Narrow"/>
          <w:lang w:eastAsia="en-US"/>
        </w:rPr>
        <w:t>,</w:t>
      </w:r>
      <w:r w:rsidRPr="00704B08">
        <w:rPr>
          <w:rFonts w:ascii="Arial Narrow" w:eastAsia="Calibri" w:hAnsi="Arial Narrow"/>
          <w:lang w:eastAsia="en-US"/>
        </w:rPr>
        <w:t xml:space="preserve"> mientras que e</w:t>
      </w:r>
      <w:r w:rsidR="00942675" w:rsidRPr="00704B08">
        <w:rPr>
          <w:rFonts w:ascii="Arial Narrow" w:eastAsia="Calibri" w:hAnsi="Arial Narrow"/>
          <w:lang w:eastAsia="en-US"/>
        </w:rPr>
        <w:t>l</w:t>
      </w:r>
      <w:r w:rsidRPr="00704B08">
        <w:rPr>
          <w:rFonts w:ascii="Arial Narrow" w:eastAsia="Calibri" w:hAnsi="Arial Narrow"/>
          <w:lang w:eastAsia="en-US"/>
        </w:rPr>
        <w:t xml:space="preserve"> Servicio Jurisdiccional en un </w:t>
      </w:r>
      <w:r w:rsidR="00942675" w:rsidRPr="00704B08">
        <w:rPr>
          <w:rFonts w:ascii="Arial Narrow" w:eastAsia="Calibri" w:hAnsi="Arial Narrow"/>
          <w:lang w:eastAsia="en-US"/>
        </w:rPr>
        <w:t>92.97</w:t>
      </w:r>
      <w:r w:rsidRPr="00704B08">
        <w:rPr>
          <w:rFonts w:ascii="Arial Narrow" w:eastAsia="Calibri" w:hAnsi="Arial Narrow"/>
          <w:lang w:eastAsia="en-US"/>
        </w:rPr>
        <w:t>%.</w:t>
      </w:r>
      <w:r w:rsidR="00942675" w:rsidRPr="00704B08">
        <w:rPr>
          <w:rFonts w:ascii="Arial Narrow" w:eastAsia="Calibri" w:hAnsi="Arial Narrow"/>
          <w:lang w:eastAsia="en-US"/>
        </w:rPr>
        <w:t xml:space="preserve"> </w:t>
      </w:r>
      <w:r w:rsidR="008623B6" w:rsidRPr="00704B08">
        <w:rPr>
          <w:rFonts w:ascii="Arial Narrow" w:eastAsia="Calibri" w:hAnsi="Arial Narrow"/>
          <w:lang w:eastAsia="en-US"/>
        </w:rPr>
        <w:t>y 92.74%</w:t>
      </w:r>
      <w:r w:rsidR="00383C95">
        <w:rPr>
          <w:rFonts w:ascii="Arial Narrow" w:eastAsia="Calibri" w:hAnsi="Arial Narrow"/>
          <w:lang w:eastAsia="en-US"/>
        </w:rPr>
        <w:t>.</w:t>
      </w:r>
    </w:p>
    <w:p w14:paraId="219471D4" w14:textId="77777777" w:rsidR="00544696" w:rsidRPr="00704B08" w:rsidRDefault="00544696" w:rsidP="005C4C02">
      <w:pPr>
        <w:spacing w:line="360" w:lineRule="auto"/>
        <w:jc w:val="both"/>
        <w:rPr>
          <w:rFonts w:ascii="Arial Narrow" w:eastAsia="Calibri" w:hAnsi="Arial Narrow"/>
          <w:lang w:eastAsia="en-US"/>
        </w:rPr>
      </w:pPr>
    </w:p>
    <w:p w14:paraId="13F23CDD" w14:textId="566AC7F1" w:rsidR="000819C1" w:rsidRPr="00CC279A" w:rsidRDefault="00DF140C" w:rsidP="00544696">
      <w:pPr>
        <w:rPr>
          <w:rFonts w:ascii="Arial Narrow" w:eastAsia="Calibri" w:hAnsi="Arial Narrow" w:cstheme="majorHAnsi"/>
          <w:b/>
          <w:bCs/>
          <w:sz w:val="20"/>
          <w:szCs w:val="20"/>
        </w:rPr>
      </w:pPr>
      <w:bookmarkStart w:id="9" w:name="_Toc83115330"/>
      <w:r w:rsidRPr="00CC279A">
        <w:rPr>
          <w:rFonts w:ascii="Arial Narrow" w:hAnsi="Arial Narrow" w:cstheme="majorHAnsi"/>
          <w:b/>
          <w:bCs/>
        </w:rPr>
        <w:t xml:space="preserve">Gráfico </w:t>
      </w:r>
      <w:r w:rsidRPr="00CC279A">
        <w:rPr>
          <w:rFonts w:ascii="Arial Narrow" w:hAnsi="Arial Narrow" w:cstheme="majorHAnsi"/>
          <w:b/>
          <w:bCs/>
        </w:rPr>
        <w:fldChar w:fldCharType="begin"/>
      </w:r>
      <w:r w:rsidRPr="00CC279A">
        <w:rPr>
          <w:rFonts w:ascii="Arial Narrow" w:hAnsi="Arial Narrow" w:cstheme="majorHAnsi"/>
          <w:b/>
          <w:bCs/>
        </w:rPr>
        <w:instrText xml:space="preserve"> SEQ Gráfico \* ARABIC </w:instrText>
      </w:r>
      <w:r w:rsidRPr="00CC279A">
        <w:rPr>
          <w:rFonts w:ascii="Arial Narrow" w:hAnsi="Arial Narrow" w:cstheme="majorHAnsi"/>
          <w:b/>
          <w:bCs/>
        </w:rPr>
        <w:fldChar w:fldCharType="separate"/>
      </w:r>
      <w:r w:rsidRPr="008D51F9">
        <w:rPr>
          <w:rFonts w:ascii="Arial Narrow" w:hAnsi="Arial Narrow" w:cstheme="majorHAnsi"/>
          <w:b/>
          <w:bCs/>
        </w:rPr>
        <w:t>3</w:t>
      </w:r>
      <w:r w:rsidRPr="00CC279A">
        <w:rPr>
          <w:rFonts w:ascii="Arial Narrow" w:hAnsi="Arial Narrow" w:cstheme="majorHAnsi"/>
          <w:b/>
          <w:bCs/>
        </w:rPr>
        <w:fldChar w:fldCharType="end"/>
      </w:r>
      <w:r w:rsidRPr="00CC279A">
        <w:rPr>
          <w:rFonts w:ascii="Arial Narrow" w:hAnsi="Arial Narrow" w:cstheme="majorHAnsi"/>
          <w:b/>
          <w:bCs/>
        </w:rPr>
        <w:t xml:space="preserve"> Porcentaje de cumplimiento por programa presupuestario del PEI para el año 2019 y 2020</w:t>
      </w:r>
      <w:bookmarkEnd w:id="9"/>
    </w:p>
    <w:p w14:paraId="080CDF3D" w14:textId="39921AB3" w:rsidR="00506B17" w:rsidRDefault="000819C1" w:rsidP="00704B08">
      <w:pPr>
        <w:jc w:val="center"/>
        <w:rPr>
          <w:rFonts w:ascii="Arial Narrow" w:eastAsia="Calibri" w:hAnsi="Arial Narrow"/>
          <w:lang w:eastAsia="en-US"/>
        </w:rPr>
      </w:pPr>
      <w:r>
        <w:rPr>
          <w:rFonts w:eastAsia="Calibri"/>
          <w:noProof/>
          <w:lang w:val="es-CR" w:eastAsia="es-CR"/>
        </w:rPr>
        <w:drawing>
          <wp:inline distT="0" distB="0" distL="0" distR="0" wp14:anchorId="6654C831" wp14:editId="30DA29FF">
            <wp:extent cx="5327650" cy="2637037"/>
            <wp:effectExtent l="152400" t="152400" r="368300" b="354330"/>
            <wp:docPr id="151" name="Imagen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334553" cy="2640454"/>
                    </a:xfrm>
                    <a:prstGeom prst="rect">
                      <a:avLst/>
                    </a:prstGeom>
                    <a:ln>
                      <a:noFill/>
                    </a:ln>
                    <a:effectLst>
                      <a:outerShdw blurRad="292100" dist="139700" dir="2700000" algn="tl" rotWithShape="0">
                        <a:srgbClr val="333333">
                          <a:alpha val="65000"/>
                        </a:srgbClr>
                      </a:outerShdw>
                    </a:effectLst>
                  </pic:spPr>
                </pic:pic>
              </a:graphicData>
            </a:graphic>
          </wp:inline>
        </w:drawing>
      </w:r>
      <w:r w:rsidR="005A4F1A">
        <w:rPr>
          <w:rFonts w:ascii="Arial Narrow" w:eastAsia="Calibri" w:hAnsi="Arial Narrow"/>
          <w:sz w:val="18"/>
          <w:szCs w:val="18"/>
          <w:lang w:eastAsia="en-US"/>
        </w:rPr>
        <w:t xml:space="preserve">  </w:t>
      </w:r>
      <w:r w:rsidR="00506B17" w:rsidRPr="000B4845">
        <w:rPr>
          <w:rFonts w:ascii="Arial Narrow" w:eastAsia="Calibri" w:hAnsi="Arial Narrow"/>
          <w:sz w:val="18"/>
          <w:szCs w:val="18"/>
          <w:lang w:eastAsia="en-US"/>
        </w:rPr>
        <w:t>Fuente: Sistema PEI al 24 de enero del 2020 (año 2019)</w:t>
      </w:r>
      <w:r w:rsidR="00506B17">
        <w:rPr>
          <w:rFonts w:ascii="Arial Narrow" w:eastAsia="Calibri" w:hAnsi="Arial Narrow"/>
          <w:sz w:val="18"/>
          <w:szCs w:val="18"/>
          <w:lang w:eastAsia="en-US"/>
        </w:rPr>
        <w:t xml:space="preserve"> y al 04 de marzo 2021 (año 2020).</w:t>
      </w:r>
    </w:p>
    <w:p w14:paraId="7B72BDD9" w14:textId="7BEA1588" w:rsidR="00DA143C" w:rsidRDefault="00DA143C" w:rsidP="00205936">
      <w:pPr>
        <w:jc w:val="center"/>
        <w:rPr>
          <w:rFonts w:ascii="Arial Narrow" w:eastAsia="Calibri" w:hAnsi="Arial Narrow"/>
          <w:sz w:val="18"/>
          <w:szCs w:val="18"/>
          <w:lang w:eastAsia="en-US"/>
        </w:rPr>
      </w:pPr>
    </w:p>
    <w:p w14:paraId="5E48EB3B" w14:textId="2E7514C5" w:rsidR="00DA143C" w:rsidRDefault="00DA143C" w:rsidP="00205936">
      <w:pPr>
        <w:jc w:val="center"/>
        <w:rPr>
          <w:rFonts w:ascii="Arial Narrow" w:eastAsia="Calibri" w:hAnsi="Arial Narrow"/>
          <w:sz w:val="18"/>
          <w:szCs w:val="18"/>
          <w:lang w:eastAsia="en-US"/>
        </w:rPr>
      </w:pPr>
    </w:p>
    <w:p w14:paraId="5CAA9757" w14:textId="77777777" w:rsidR="00DA143C" w:rsidRDefault="00DA143C" w:rsidP="00205936">
      <w:pPr>
        <w:jc w:val="center"/>
        <w:rPr>
          <w:rFonts w:ascii="Arial Narrow" w:eastAsia="Calibri" w:hAnsi="Arial Narrow"/>
          <w:sz w:val="18"/>
          <w:szCs w:val="18"/>
          <w:lang w:eastAsia="en-US"/>
        </w:rPr>
      </w:pPr>
    </w:p>
    <w:p w14:paraId="0062F86D" w14:textId="77777777" w:rsidR="00544696" w:rsidRDefault="00544696">
      <w:pPr>
        <w:rPr>
          <w:rFonts w:ascii="Arial Narrow" w:eastAsia="Calibri" w:hAnsi="Arial Narrow"/>
          <w:lang w:eastAsia="en-US"/>
        </w:rPr>
      </w:pPr>
      <w:r>
        <w:rPr>
          <w:rFonts w:ascii="Arial Narrow" w:eastAsia="Calibri" w:hAnsi="Arial Narrow"/>
          <w:lang w:eastAsia="en-US"/>
        </w:rPr>
        <w:br w:type="page"/>
      </w:r>
    </w:p>
    <w:p w14:paraId="6EF364AD" w14:textId="77777777" w:rsidR="00544696" w:rsidRDefault="00544696" w:rsidP="00CC3693">
      <w:pPr>
        <w:spacing w:line="360" w:lineRule="auto"/>
        <w:jc w:val="both"/>
        <w:rPr>
          <w:rFonts w:ascii="Arial Narrow" w:eastAsia="Calibri" w:hAnsi="Arial Narrow"/>
          <w:lang w:eastAsia="en-US"/>
        </w:rPr>
      </w:pPr>
    </w:p>
    <w:p w14:paraId="6CC8BCC5" w14:textId="1A9394F9" w:rsidR="006F3725" w:rsidRDefault="00942675" w:rsidP="00CC3693">
      <w:pPr>
        <w:spacing w:line="360" w:lineRule="auto"/>
        <w:jc w:val="both"/>
        <w:rPr>
          <w:rFonts w:ascii="Arial Narrow" w:hAnsi="Arial Narrow" w:cs="Calibri"/>
          <w:lang w:eastAsia="es-CR"/>
        </w:rPr>
      </w:pPr>
      <w:r w:rsidRPr="00704B08">
        <w:rPr>
          <w:rFonts w:ascii="Arial Narrow" w:eastAsia="Calibri" w:hAnsi="Arial Narrow"/>
          <w:lang w:eastAsia="en-US"/>
        </w:rPr>
        <w:t xml:space="preserve">Cabe destacar que para lograr el cumplimiento exitoso </w:t>
      </w:r>
      <w:r w:rsidR="005E52E3">
        <w:rPr>
          <w:rFonts w:ascii="Arial Narrow" w:eastAsia="Calibri" w:hAnsi="Arial Narrow"/>
          <w:lang w:eastAsia="en-US"/>
        </w:rPr>
        <w:t>del</w:t>
      </w:r>
      <w:r w:rsidRPr="00704B08">
        <w:rPr>
          <w:rFonts w:ascii="Arial Narrow" w:eastAsia="Calibri" w:hAnsi="Arial Narrow"/>
          <w:lang w:eastAsia="en-US"/>
        </w:rPr>
        <w:t xml:space="preserve"> PEI, dentro del Modelo de Gestión Estratégica, se </w:t>
      </w:r>
      <w:r w:rsidR="00C44970">
        <w:rPr>
          <w:rFonts w:ascii="Arial Narrow" w:eastAsia="Calibri" w:hAnsi="Arial Narrow"/>
          <w:lang w:eastAsia="en-US"/>
        </w:rPr>
        <w:t>consideran</w:t>
      </w:r>
      <w:r w:rsidRPr="00704B08">
        <w:rPr>
          <w:rFonts w:ascii="Arial Narrow" w:eastAsia="Calibri" w:hAnsi="Arial Narrow"/>
          <w:lang w:eastAsia="en-US"/>
        </w:rPr>
        <w:t xml:space="preserve"> los siguientes aspectos como factores críticos de éxito:  definición y aprobación de un reglamento para la Administración del Portafolio de Proyectos Estratégicos</w:t>
      </w:r>
      <w:r w:rsidR="00383C95">
        <w:rPr>
          <w:rFonts w:ascii="Arial Narrow" w:eastAsia="Calibri" w:hAnsi="Arial Narrow"/>
          <w:lang w:eastAsia="en-US"/>
        </w:rPr>
        <w:t xml:space="preserve"> (</w:t>
      </w:r>
      <w:r w:rsidR="00383C95" w:rsidRPr="00CC279A">
        <w:rPr>
          <w:rFonts w:ascii="Arial Narrow" w:eastAsia="Calibri" w:hAnsi="Arial Narrow"/>
          <w:lang w:eastAsia="en-US"/>
        </w:rPr>
        <w:t>Como parte de la documentación del marco de gobierno para la gestión de proyectos en la institución, se remitió el informe definitivo de la Metodología de Administración de Proyectos versión 2 por medio del oficio 1937-PLA-PE-2020 aprobado por la Corte Plena en la sesión 2-2020 del 13 de enero del 2020 artículo XXXIII)</w:t>
      </w:r>
      <w:r w:rsidRPr="009C66BD">
        <w:rPr>
          <w:rFonts w:ascii="Arial Narrow" w:eastAsia="Calibri" w:hAnsi="Arial Narrow"/>
          <w:lang w:eastAsia="en-US"/>
        </w:rPr>
        <w:t>,</w:t>
      </w:r>
      <w:r w:rsidRPr="00704B08">
        <w:rPr>
          <w:rFonts w:ascii="Arial Narrow" w:eastAsia="Calibri" w:hAnsi="Arial Narrow"/>
          <w:lang w:eastAsia="en-US"/>
        </w:rPr>
        <w:t xml:space="preserve"> definición y aprobación del procedimiento de alineamiento estratégico</w:t>
      </w:r>
      <w:r w:rsidR="00383C95">
        <w:rPr>
          <w:rFonts w:ascii="Arial Narrow" w:eastAsia="Calibri" w:hAnsi="Arial Narrow"/>
          <w:lang w:eastAsia="en-US"/>
        </w:rPr>
        <w:t xml:space="preserve"> (m</w:t>
      </w:r>
      <w:r w:rsidR="00383C95" w:rsidRPr="00CC279A">
        <w:rPr>
          <w:rFonts w:ascii="Arial Narrow" w:eastAsia="Calibri" w:hAnsi="Arial Narrow"/>
          <w:lang w:eastAsia="en-US"/>
        </w:rPr>
        <w:t>ediante sesión de Corte Plena 56-2018, del 10 de diciembre de 2018, artículo XXIII, se aprobó el oficio 1463-PLA-2018 sobre el Plan Estratégico Institucional Poder Judicial 2019-2024; que contempla en el Capítulo 4: Modelo de Gestión Estratégica Judicial (Apéndice 11), el proceso de gestión estratégica por Corte Plena y el Comité de Planeación Estratégica (alineación estratégica)</w:t>
      </w:r>
      <w:r w:rsidRPr="00704B08">
        <w:rPr>
          <w:rFonts w:ascii="Arial Narrow" w:eastAsia="Calibri" w:hAnsi="Arial Narrow"/>
          <w:lang w:eastAsia="en-US"/>
        </w:rPr>
        <w:t>, apoyo a la jerarquía institucional en la adopción e implementación del Modelo de Integral de Gestión Estratégica</w:t>
      </w:r>
      <w:r w:rsidR="00383C95">
        <w:rPr>
          <w:rFonts w:ascii="Arial Narrow" w:eastAsia="Calibri" w:hAnsi="Arial Narrow"/>
          <w:lang w:eastAsia="en-US"/>
        </w:rPr>
        <w:t xml:space="preserve"> (</w:t>
      </w:r>
      <w:r w:rsidR="00383C95" w:rsidRPr="00CC279A">
        <w:rPr>
          <w:rFonts w:ascii="Arial Narrow" w:eastAsia="Calibri" w:hAnsi="Arial Narrow"/>
          <w:lang w:eastAsia="en-US"/>
        </w:rPr>
        <w:t>este factor crítico, se está aplicando efectivamente, con las cuatro sesiones de trabajo anuales del Comité de Planeación Estratégica y las gestiones presentadas ante Corte Plena para dar a conocer y gestionar los asuntos relacionados con el Modelo de Gestión Estratégica Judicial</w:t>
      </w:r>
      <w:r w:rsidR="00383C95">
        <w:rPr>
          <w:rFonts w:ascii="Arial Narrow" w:eastAsia="Calibri" w:hAnsi="Arial Narrow"/>
          <w:lang w:eastAsia="en-US"/>
        </w:rPr>
        <w:t xml:space="preserve">), </w:t>
      </w:r>
      <w:r w:rsidRPr="00704B08">
        <w:rPr>
          <w:rFonts w:ascii="Arial Narrow" w:eastAsia="Calibri" w:hAnsi="Arial Narrow"/>
          <w:lang w:eastAsia="en-US"/>
        </w:rPr>
        <w:t xml:space="preserve"> definición objetiva de los criterios para la priorización del Portafolio Institucional de Proyectos Estratégicos</w:t>
      </w:r>
      <w:r w:rsidR="00383C95">
        <w:rPr>
          <w:rFonts w:ascii="Arial Narrow" w:eastAsia="Calibri" w:hAnsi="Arial Narrow"/>
          <w:lang w:eastAsia="en-US"/>
        </w:rPr>
        <w:t xml:space="preserve"> (</w:t>
      </w:r>
      <w:r w:rsidR="00383C95" w:rsidRPr="00DA143C">
        <w:rPr>
          <w:rFonts w:ascii="Arial Narrow" w:hAnsi="Arial Narrow" w:cs="Calibri"/>
          <w:lang w:eastAsia="es-CR"/>
        </w:rPr>
        <w:t>como parte de esta labor, se incorporó en la nueva versión de la metodología de administración los criterios financieros que se deben utilizar para la priorización de proyectos, el cual corresponde al oficio 1937-PLA-PE-2020 aprobado por la Corte Plena en sesión 02-2020 del 13 de enero del 2020</w:t>
      </w:r>
      <w:r w:rsidR="006C1117">
        <w:rPr>
          <w:rFonts w:ascii="Arial Narrow" w:hAnsi="Arial Narrow" w:cs="Calibri"/>
          <w:lang w:eastAsia="es-CR"/>
        </w:rPr>
        <w:t>,</w:t>
      </w:r>
      <w:r w:rsidR="00383C95" w:rsidRPr="00DA143C">
        <w:rPr>
          <w:rFonts w:ascii="Arial Narrow" w:hAnsi="Arial Narrow" w:cs="Calibri"/>
          <w:lang w:eastAsia="es-CR"/>
        </w:rPr>
        <w:t xml:space="preserve"> artículo XXXIII.  </w:t>
      </w:r>
    </w:p>
    <w:p w14:paraId="4FC4C1A1" w14:textId="77777777" w:rsidR="006F3725" w:rsidRDefault="006F3725" w:rsidP="00CC3693">
      <w:pPr>
        <w:spacing w:line="360" w:lineRule="auto"/>
        <w:jc w:val="both"/>
        <w:rPr>
          <w:rFonts w:ascii="Arial Narrow" w:hAnsi="Arial Narrow" w:cs="Calibri"/>
          <w:lang w:eastAsia="es-CR"/>
        </w:rPr>
      </w:pPr>
    </w:p>
    <w:p w14:paraId="304C7BCD" w14:textId="137148D3" w:rsidR="00942675" w:rsidRDefault="00383C95" w:rsidP="00CC3693">
      <w:pPr>
        <w:spacing w:line="360" w:lineRule="auto"/>
        <w:jc w:val="both"/>
        <w:rPr>
          <w:rFonts w:ascii="Arial Narrow" w:eastAsia="Calibri" w:hAnsi="Arial Narrow"/>
          <w:lang w:eastAsia="en-US"/>
        </w:rPr>
      </w:pPr>
      <w:r w:rsidRPr="00DA143C">
        <w:rPr>
          <w:rFonts w:ascii="Arial Narrow" w:hAnsi="Arial Narrow" w:cs="Calibri"/>
          <w:lang w:eastAsia="es-CR"/>
        </w:rPr>
        <w:t>Adicionalmente, se destaca que ya se han realizado ejercicios de priorización empleando criterios como: Alineamiento estratégico, Riesgo de la no ejecución del proyecto, Regulatorio / Mandatorio.</w:t>
      </w:r>
      <w:r>
        <w:rPr>
          <w:rFonts w:ascii="Arial Narrow" w:hAnsi="Arial Narrow" w:cs="Calibri"/>
          <w:lang w:eastAsia="es-CR"/>
        </w:rPr>
        <w:t>)</w:t>
      </w:r>
      <w:r w:rsidR="00942675" w:rsidRPr="00704B08">
        <w:rPr>
          <w:rFonts w:ascii="Arial Narrow" w:eastAsia="Calibri" w:hAnsi="Arial Narrow"/>
          <w:lang w:eastAsia="en-US"/>
        </w:rPr>
        <w:t>, analizar de manera oportuna el otorgamiento de los recursos tanto financieros como humanos para la ejecución de los proyectos definidos como prioridad institucional</w:t>
      </w:r>
      <w:r>
        <w:rPr>
          <w:rFonts w:ascii="Arial Narrow" w:eastAsia="Calibri" w:hAnsi="Arial Narrow"/>
          <w:lang w:eastAsia="en-US"/>
        </w:rPr>
        <w:t xml:space="preserve"> (</w:t>
      </w:r>
      <w:r w:rsidRPr="00DA143C">
        <w:rPr>
          <w:rFonts w:ascii="Arial Narrow" w:hAnsi="Arial Narrow" w:cs="Calibri"/>
          <w:lang w:eastAsia="es-CR"/>
        </w:rPr>
        <w:t xml:space="preserve">a partir del mes de enero del 2020 se inició la ejecución del proyecto denominado: “Modelo de Presupuestación Plurianual”, bajo el código de proyecto 0110-PLA-P14. Dicho proyecto en </w:t>
      </w:r>
      <w:r w:rsidRPr="00DA143C">
        <w:rPr>
          <w:rFonts w:ascii="Arial Narrow" w:hAnsi="Arial Narrow" w:cs="Calibri"/>
          <w:lang w:eastAsia="es-CR"/>
        </w:rPr>
        <w:lastRenderedPageBreak/>
        <w:t>su primera etapa busca relacionar los recursos presupuestarios formulados por las oficinas con los proyectos estratégicos. La aplicación de esta funcionalidad se realizará en su primera etapa para el ejercicio de formulación presupuestario período 2022</w:t>
      </w:r>
      <w:r>
        <w:rPr>
          <w:rFonts w:ascii="Arial Narrow" w:hAnsi="Arial Narrow" w:cs="Calibri"/>
          <w:lang w:eastAsia="es-CR"/>
        </w:rPr>
        <w:t>)</w:t>
      </w:r>
      <w:r w:rsidR="00942675" w:rsidRPr="00704B08">
        <w:rPr>
          <w:rFonts w:ascii="Arial Narrow" w:eastAsia="Calibri" w:hAnsi="Arial Narrow"/>
          <w:lang w:eastAsia="en-US"/>
        </w:rPr>
        <w:t>, entre otros grandes temas de relevancia</w:t>
      </w:r>
      <w:r>
        <w:rPr>
          <w:rFonts w:ascii="Arial Narrow" w:eastAsia="Calibri" w:hAnsi="Arial Narrow"/>
          <w:lang w:eastAsia="en-US"/>
        </w:rPr>
        <w:t xml:space="preserve">. </w:t>
      </w:r>
    </w:p>
    <w:p w14:paraId="1045BD37" w14:textId="77777777" w:rsidR="006F3725" w:rsidRDefault="006F3725" w:rsidP="00CC3693">
      <w:pPr>
        <w:spacing w:line="360" w:lineRule="auto"/>
        <w:jc w:val="both"/>
        <w:rPr>
          <w:rFonts w:ascii="Arial Narrow" w:eastAsia="Calibri" w:hAnsi="Arial Narrow"/>
          <w:lang w:eastAsia="en-US"/>
        </w:rPr>
      </w:pPr>
    </w:p>
    <w:p w14:paraId="08D73CEC" w14:textId="77871F6B" w:rsidR="00DF1162" w:rsidRPr="00CC279A" w:rsidRDefault="00DF1162" w:rsidP="00CC279A">
      <w:pPr>
        <w:spacing w:line="360" w:lineRule="auto"/>
        <w:jc w:val="both"/>
        <w:rPr>
          <w:rFonts w:ascii="Arial Narrow" w:hAnsi="Arial Narrow"/>
          <w:snapToGrid w:val="0"/>
        </w:rPr>
      </w:pPr>
      <w:r w:rsidRPr="00CC279A">
        <w:rPr>
          <w:rFonts w:ascii="Arial Narrow" w:hAnsi="Arial Narrow"/>
          <w:snapToGrid w:val="0"/>
        </w:rPr>
        <w:t xml:space="preserve">Sobre el impacto del COVID-19, se evidencia que </w:t>
      </w:r>
      <w:r w:rsidRPr="00CC279A">
        <w:rPr>
          <w:rFonts w:ascii="Arial Narrow" w:hAnsi="Arial Narrow"/>
          <w:color w:val="000000"/>
          <w:lang w:eastAsia="es-CR"/>
        </w:rPr>
        <w:t>el Poder Judicial ha diseñado estrategias y tomado acuerdos de su jerarquía para que la afectación de servicios por la pandemia mundial COVID- 19 sean mínimos, dentro de los que se destaca la definición de catálogos de servicios para atender en cada jurisdicción según el tipo de alerta sanitaria que se tenga en cada zona geográfica, protocolos para el desarrollo de audiencias o videoconferencias, coordinaciones para habilitar espacios físicos que permitan mantener el distanciamiento recomendado por el Ministerio de Salud, estrategias de divulgación de los servicios, sin embargo la crisis sanitaria ha repercutido en las metas relacionadas a capacitaciones, casos terminados en las jurisdicciones que deben efectuar una audiencia o juicio para poder finalizar un caso, coordinaciones con entes externos al Poder Judicial y de manera transversal ha tenido afectación por las medidas sanitarias que se han impuesto en diferentes despachos judiciales y oficinas administrativas, lo cual provoca incapacidades y disminución en la prestación de servicios.</w:t>
      </w:r>
    </w:p>
    <w:p w14:paraId="6478C981" w14:textId="0CBF27E4" w:rsidR="00DF1162" w:rsidRDefault="00DF1162" w:rsidP="00806F7F">
      <w:pPr>
        <w:spacing w:line="360" w:lineRule="auto"/>
        <w:jc w:val="both"/>
        <w:rPr>
          <w:rFonts w:ascii="Arial Narrow" w:eastAsia="Calibri" w:hAnsi="Arial Narrow"/>
          <w:highlight w:val="yellow"/>
          <w:lang w:eastAsia="en-US"/>
        </w:rPr>
      </w:pPr>
    </w:p>
    <w:p w14:paraId="03127FED" w14:textId="0F175E0A" w:rsidR="00903313" w:rsidRPr="00892938" w:rsidRDefault="00903313" w:rsidP="00903313">
      <w:pPr>
        <w:spacing w:line="360" w:lineRule="auto"/>
        <w:jc w:val="both"/>
        <w:rPr>
          <w:rFonts w:ascii="Arial Narrow" w:hAnsi="Arial Narrow"/>
          <w:lang w:eastAsia="en-US"/>
        </w:rPr>
      </w:pPr>
      <w:r>
        <w:rPr>
          <w:rFonts w:ascii="Arial Narrow" w:hAnsi="Arial Narrow"/>
          <w:lang w:eastAsia="en-US"/>
        </w:rPr>
        <w:t xml:space="preserve">Finalmente, cabe señalar que en el capítulo 6 del informe se establecen una serie de desafíos de acuerdo con las metas estratégicas y su nivel de cumplimiento medio y bajo, </w:t>
      </w:r>
      <w:r w:rsidR="00077C8A">
        <w:rPr>
          <w:rFonts w:ascii="Arial Narrow" w:hAnsi="Arial Narrow"/>
          <w:lang w:eastAsia="en-US"/>
        </w:rPr>
        <w:t xml:space="preserve">a los cuales se debe brindar </w:t>
      </w:r>
      <w:r>
        <w:rPr>
          <w:rFonts w:ascii="Arial Narrow" w:hAnsi="Arial Narrow"/>
          <w:lang w:eastAsia="en-US"/>
        </w:rPr>
        <w:t xml:space="preserve">especial atención por parte de las oficinas y despachos </w:t>
      </w:r>
      <w:r w:rsidRPr="00892938">
        <w:rPr>
          <w:rFonts w:ascii="Arial Narrow" w:hAnsi="Arial Narrow"/>
          <w:lang w:eastAsia="en-US"/>
        </w:rPr>
        <w:t>responsables</w:t>
      </w:r>
      <w:r>
        <w:rPr>
          <w:rFonts w:ascii="Arial Narrow" w:hAnsi="Arial Narrow"/>
          <w:lang w:eastAsia="en-US"/>
        </w:rPr>
        <w:t xml:space="preserve">. </w:t>
      </w:r>
      <w:r w:rsidR="00077C8A">
        <w:rPr>
          <w:rFonts w:ascii="Arial Narrow" w:hAnsi="Arial Narrow"/>
          <w:lang w:eastAsia="en-US"/>
        </w:rPr>
        <w:t xml:space="preserve"> </w:t>
      </w:r>
      <w:r w:rsidRPr="00F3617E">
        <w:rPr>
          <w:rFonts w:ascii="Arial Narrow" w:hAnsi="Arial Narrow"/>
          <w:lang w:eastAsia="en-US"/>
        </w:rPr>
        <w:t xml:space="preserve">El objetivo de este apartado </w:t>
      </w:r>
      <w:r>
        <w:rPr>
          <w:rFonts w:ascii="Arial Narrow" w:hAnsi="Arial Narrow"/>
          <w:lang w:eastAsia="en-US"/>
        </w:rPr>
        <w:t>es</w:t>
      </w:r>
      <w:r w:rsidRPr="00F3617E">
        <w:rPr>
          <w:rFonts w:ascii="Arial Narrow" w:hAnsi="Arial Narrow"/>
          <w:lang w:eastAsia="en-US"/>
        </w:rPr>
        <w:t xml:space="preserve"> </w:t>
      </w:r>
      <w:r w:rsidR="00077C8A">
        <w:rPr>
          <w:rFonts w:ascii="Arial Narrow" w:hAnsi="Arial Narrow"/>
          <w:lang w:eastAsia="en-US"/>
        </w:rPr>
        <w:t>proponer un conjunto de as</w:t>
      </w:r>
      <w:r w:rsidRPr="00F3617E">
        <w:rPr>
          <w:rFonts w:ascii="Arial Narrow" w:hAnsi="Arial Narrow"/>
          <w:lang w:eastAsia="en-US"/>
        </w:rPr>
        <w:t xml:space="preserve">pectos de mejora </w:t>
      </w:r>
      <w:r w:rsidR="00077C8A">
        <w:rPr>
          <w:rFonts w:ascii="Arial Narrow" w:hAnsi="Arial Narrow"/>
          <w:lang w:eastAsia="en-US"/>
        </w:rPr>
        <w:t xml:space="preserve">a cargo de los </w:t>
      </w:r>
      <w:r w:rsidRPr="00F3617E">
        <w:rPr>
          <w:rFonts w:ascii="Arial Narrow" w:hAnsi="Arial Narrow"/>
          <w:lang w:eastAsia="en-US"/>
        </w:rPr>
        <w:t>responsables</w:t>
      </w:r>
      <w:r>
        <w:rPr>
          <w:rFonts w:ascii="Arial Narrow" w:hAnsi="Arial Narrow"/>
          <w:lang w:eastAsia="en-US"/>
        </w:rPr>
        <w:t xml:space="preserve"> estratégicos</w:t>
      </w:r>
      <w:r w:rsidR="00077C8A">
        <w:rPr>
          <w:rFonts w:ascii="Arial Narrow" w:hAnsi="Arial Narrow"/>
          <w:lang w:eastAsia="en-US"/>
        </w:rPr>
        <w:t xml:space="preserve">, que les contribuya en </w:t>
      </w:r>
      <w:r>
        <w:rPr>
          <w:rFonts w:ascii="Arial Narrow" w:hAnsi="Arial Narrow"/>
          <w:lang w:eastAsia="en-US"/>
        </w:rPr>
        <w:t>el cumplimiento del PEI</w:t>
      </w:r>
      <w:r w:rsidR="00077C8A">
        <w:rPr>
          <w:rFonts w:ascii="Arial Narrow" w:hAnsi="Arial Narrow"/>
          <w:lang w:eastAsia="en-US"/>
        </w:rPr>
        <w:t xml:space="preserve">, durante el lapso </w:t>
      </w:r>
      <w:r>
        <w:rPr>
          <w:rFonts w:ascii="Arial Narrow" w:hAnsi="Arial Narrow"/>
          <w:lang w:eastAsia="en-US"/>
        </w:rPr>
        <w:t>2021-2024.</w:t>
      </w:r>
    </w:p>
    <w:p w14:paraId="1C6A1A17" w14:textId="77777777" w:rsidR="00903313" w:rsidRDefault="00903313" w:rsidP="00806F7F">
      <w:pPr>
        <w:spacing w:line="360" w:lineRule="auto"/>
        <w:jc w:val="both"/>
        <w:rPr>
          <w:rFonts w:ascii="Arial Narrow" w:eastAsia="Calibri" w:hAnsi="Arial Narrow"/>
          <w:highlight w:val="yellow"/>
          <w:lang w:eastAsia="en-US"/>
        </w:rPr>
      </w:pPr>
    </w:p>
    <w:p w14:paraId="48BB2D66" w14:textId="7C5B767C" w:rsidR="00806F7F" w:rsidRDefault="00077C8A" w:rsidP="00CC279A">
      <w:pPr>
        <w:spacing w:line="360" w:lineRule="auto"/>
        <w:jc w:val="both"/>
        <w:rPr>
          <w:rStyle w:val="Hipervnculo"/>
          <w:rFonts w:ascii="Arial Narrow" w:eastAsia="Calibri" w:hAnsi="Arial Narrow"/>
          <w:lang w:eastAsia="en-US"/>
        </w:rPr>
      </w:pPr>
      <w:r>
        <w:rPr>
          <w:rFonts w:ascii="Arial Narrow" w:eastAsia="Calibri" w:hAnsi="Arial Narrow"/>
          <w:lang w:eastAsia="en-US"/>
        </w:rPr>
        <w:t>P</w:t>
      </w:r>
      <w:r w:rsidR="00806F7F" w:rsidRPr="006153A6">
        <w:rPr>
          <w:rFonts w:ascii="Arial Narrow" w:eastAsia="Calibri" w:hAnsi="Arial Narrow"/>
          <w:lang w:eastAsia="en-US"/>
        </w:rPr>
        <w:t>ara consultar en la página web del PEI los boletines de</w:t>
      </w:r>
      <w:r w:rsidR="008E5DA9" w:rsidRPr="00CC279A">
        <w:rPr>
          <w:rFonts w:ascii="Arial Narrow" w:eastAsia="Calibri" w:hAnsi="Arial Narrow"/>
          <w:lang w:eastAsia="en-US"/>
        </w:rPr>
        <w:t xml:space="preserve"> cumplimiento</w:t>
      </w:r>
      <w:r w:rsidR="00806F7F" w:rsidRPr="006153A6">
        <w:rPr>
          <w:rFonts w:ascii="Arial Narrow" w:eastAsia="Calibri" w:hAnsi="Arial Narrow"/>
          <w:lang w:eastAsia="en-US"/>
        </w:rPr>
        <w:t xml:space="preserve"> </w:t>
      </w:r>
      <w:r w:rsidR="008E5DA9" w:rsidRPr="00CC279A">
        <w:rPr>
          <w:rFonts w:ascii="Arial Narrow" w:eastAsia="Calibri" w:hAnsi="Arial Narrow"/>
          <w:lang w:eastAsia="en-US"/>
        </w:rPr>
        <w:t>para los años 201</w:t>
      </w:r>
      <w:r>
        <w:rPr>
          <w:rFonts w:ascii="Arial Narrow" w:eastAsia="Calibri" w:hAnsi="Arial Narrow"/>
          <w:lang w:eastAsia="en-US"/>
        </w:rPr>
        <w:t>9</w:t>
      </w:r>
      <w:r w:rsidR="008E5DA9" w:rsidRPr="00CC279A">
        <w:rPr>
          <w:rFonts w:ascii="Arial Narrow" w:eastAsia="Calibri" w:hAnsi="Arial Narrow"/>
          <w:lang w:eastAsia="en-US"/>
        </w:rPr>
        <w:t xml:space="preserve"> y 2020</w:t>
      </w:r>
      <w:r>
        <w:rPr>
          <w:rFonts w:ascii="Arial Narrow" w:eastAsia="Calibri" w:hAnsi="Arial Narrow"/>
          <w:lang w:eastAsia="en-US"/>
        </w:rPr>
        <w:t xml:space="preserve"> se puede dirigir a </w:t>
      </w:r>
      <w:r w:rsidR="00806F7F" w:rsidRPr="006153A6">
        <w:rPr>
          <w:rFonts w:ascii="Arial Narrow" w:eastAsia="Calibri" w:hAnsi="Arial Narrow"/>
          <w:lang w:eastAsia="en-US"/>
        </w:rPr>
        <w:t xml:space="preserve"> </w:t>
      </w:r>
      <w:hyperlink r:id="rId41" w:history="1">
        <w:r w:rsidR="00806F7F" w:rsidRPr="006153A6">
          <w:rPr>
            <w:rStyle w:val="Hipervnculo"/>
            <w:rFonts w:ascii="Arial Narrow" w:eastAsia="Calibri" w:hAnsi="Arial Narrow"/>
            <w:lang w:eastAsia="en-US"/>
          </w:rPr>
          <w:t>https://pei.poder-judicial.go.cr/</w:t>
        </w:r>
      </w:hyperlink>
      <w:r w:rsidR="00806F7F" w:rsidRPr="006153A6">
        <w:rPr>
          <w:rStyle w:val="Hipervnculo"/>
          <w:rFonts w:ascii="Arial Narrow" w:eastAsia="Calibri" w:hAnsi="Arial Narrow"/>
          <w:lang w:eastAsia="en-US"/>
        </w:rPr>
        <w:t xml:space="preserve">. </w:t>
      </w:r>
      <w:r w:rsidR="00806F7F" w:rsidRPr="006153A6">
        <w:rPr>
          <w:rFonts w:ascii="Arial Narrow" w:eastAsia="Calibri" w:hAnsi="Arial Narrow"/>
          <w:lang w:eastAsia="en-US"/>
        </w:rPr>
        <w:t xml:space="preserve">   A su vez, se dispone de un enlace al Sistema PEI, que permite acceder a la </w:t>
      </w:r>
      <w:r w:rsidR="008E5DA9" w:rsidRPr="00CC279A">
        <w:rPr>
          <w:rFonts w:ascii="Arial Narrow" w:eastAsia="Calibri" w:hAnsi="Arial Narrow"/>
          <w:lang w:eastAsia="en-US"/>
        </w:rPr>
        <w:t xml:space="preserve">información sobre el cumplimiento del Plan </w:t>
      </w:r>
      <w:r w:rsidR="008E5DA9" w:rsidRPr="00CC279A">
        <w:rPr>
          <w:rFonts w:ascii="Arial Narrow" w:eastAsia="Calibri" w:hAnsi="Arial Narrow"/>
          <w:lang w:eastAsia="en-US"/>
        </w:rPr>
        <w:lastRenderedPageBreak/>
        <w:t>Estratégico Institucional</w:t>
      </w:r>
      <w:r w:rsidR="00806F7F" w:rsidRPr="006153A6">
        <w:rPr>
          <w:rFonts w:ascii="Arial Narrow" w:eastAsia="Calibri" w:hAnsi="Arial Narrow"/>
          <w:lang w:eastAsia="en-US"/>
        </w:rPr>
        <w:t>, esto en c</w:t>
      </w:r>
      <w:r w:rsidR="008E5DA9" w:rsidRPr="00CC279A">
        <w:rPr>
          <w:rFonts w:ascii="Arial Narrow" w:eastAsia="Calibri" w:hAnsi="Arial Narrow"/>
          <w:lang w:eastAsia="en-US"/>
        </w:rPr>
        <w:t xml:space="preserve">oncordancia </w:t>
      </w:r>
      <w:r w:rsidR="00806F7F" w:rsidRPr="006153A6">
        <w:rPr>
          <w:rFonts w:ascii="Arial Narrow" w:eastAsia="Calibri" w:hAnsi="Arial Narrow"/>
          <w:lang w:eastAsia="en-US"/>
        </w:rPr>
        <w:t>de la transparencia y acceso a la información. Esto permite obtener avances del cumplimiento del PEI en tiempo real (de acuerdo con la fecha seleccionada)</w:t>
      </w:r>
      <w:r w:rsidR="006153A6">
        <w:rPr>
          <w:rFonts w:ascii="Arial Narrow" w:eastAsia="Calibri" w:hAnsi="Arial Narrow"/>
          <w:lang w:eastAsia="en-US"/>
        </w:rPr>
        <w:t xml:space="preserve"> </w:t>
      </w:r>
      <w:hyperlink r:id="rId42" w:history="1">
        <w:r w:rsidR="008E5DA9" w:rsidRPr="006153A6">
          <w:rPr>
            <w:rStyle w:val="Hipervnculo"/>
            <w:rFonts w:ascii="Arial Narrow" w:eastAsia="Calibri" w:hAnsi="Arial Narrow"/>
            <w:lang w:eastAsia="en-US"/>
          </w:rPr>
          <w:t>https://pjenlinea3.poder-judicial.go.cr/SitioExternoPEI</w:t>
        </w:r>
      </w:hyperlink>
      <w:r w:rsidR="00806F7F">
        <w:rPr>
          <w:rStyle w:val="Hipervnculo"/>
          <w:rFonts w:ascii="Arial Narrow" w:eastAsia="Calibri" w:hAnsi="Arial Narrow"/>
          <w:lang w:eastAsia="en-US"/>
        </w:rPr>
        <w:t xml:space="preserve">   </w:t>
      </w:r>
    </w:p>
    <w:p w14:paraId="4B8E2CBA" w14:textId="79F3F4A7" w:rsidR="00942675" w:rsidRDefault="00942675" w:rsidP="002B7718">
      <w:pPr>
        <w:spacing w:line="360" w:lineRule="auto"/>
        <w:jc w:val="both"/>
        <w:rPr>
          <w:rFonts w:ascii="Arial Narrow" w:eastAsia="Calibri" w:hAnsi="Arial Narrow"/>
          <w:lang w:eastAsia="en-US"/>
        </w:rPr>
      </w:pPr>
    </w:p>
    <w:p w14:paraId="3C6877E0" w14:textId="77777777" w:rsidR="00DA143C" w:rsidRPr="00DA143C" w:rsidRDefault="00DA143C" w:rsidP="00DA143C">
      <w:pPr>
        <w:rPr>
          <w:rFonts w:ascii="Arial Narrow" w:eastAsia="Calibri" w:hAnsi="Arial Narrow"/>
          <w:sz w:val="30"/>
          <w:szCs w:val="30"/>
          <w:lang w:eastAsia="en-US"/>
        </w:rPr>
      </w:pPr>
    </w:p>
    <w:p w14:paraId="58D27599" w14:textId="4E0D10C2" w:rsidR="009B6713" w:rsidRPr="000B4845" w:rsidRDefault="005305D8">
      <w:pPr>
        <w:pStyle w:val="Ttulo2"/>
      </w:pPr>
      <w:bookmarkStart w:id="10" w:name="_Toc84919348"/>
      <w:r w:rsidRPr="000B4845">
        <w:t>Antecedentes</w:t>
      </w:r>
      <w:bookmarkEnd w:id="10"/>
    </w:p>
    <w:p w14:paraId="32860F25" w14:textId="0F89B0C9" w:rsidR="005305D8" w:rsidRDefault="005305D8" w:rsidP="005305D8">
      <w:pPr>
        <w:rPr>
          <w:rFonts w:ascii="Arial Narrow" w:eastAsia="Calibri" w:hAnsi="Arial Narrow"/>
          <w:sz w:val="36"/>
          <w:szCs w:val="36"/>
          <w:lang w:eastAsia="en-US"/>
        </w:rPr>
      </w:pPr>
    </w:p>
    <w:p w14:paraId="0F5A6718" w14:textId="3F71364A" w:rsidR="00A43723" w:rsidRDefault="00353B39" w:rsidP="00CC3693">
      <w:pPr>
        <w:spacing w:line="360" w:lineRule="auto"/>
        <w:jc w:val="both"/>
        <w:rPr>
          <w:rFonts w:ascii="Arial Narrow" w:hAnsi="Arial Narrow"/>
        </w:rPr>
      </w:pPr>
      <w:r w:rsidRPr="00704B08">
        <w:rPr>
          <w:rFonts w:ascii="Arial Narrow" w:hAnsi="Arial Narrow"/>
        </w:rPr>
        <w:t xml:space="preserve">El Poder Judicial de Costa Rica con el fin de contar con un instrumento de planificación que permita medir los resultados de su gestión por medio de planes, programas y proyectos a corto, mediano y largo plazo; desarrolló tres planes estratégicos </w:t>
      </w:r>
      <w:r w:rsidR="00F8263C">
        <w:rPr>
          <w:rFonts w:ascii="Arial Narrow" w:hAnsi="Arial Narrow"/>
        </w:rPr>
        <w:t xml:space="preserve">institucionales </w:t>
      </w:r>
      <w:r w:rsidRPr="00704B08">
        <w:rPr>
          <w:rFonts w:ascii="Arial Narrow" w:hAnsi="Arial Narrow"/>
        </w:rPr>
        <w:t>para los periodos 2000-2005, 2007-2012 y 2013-2018, los cuales fueron orientados hacia la modernización y mejoramiento del servicio a la persona usuaria.</w:t>
      </w:r>
    </w:p>
    <w:p w14:paraId="753C7D7C" w14:textId="77777777" w:rsidR="00D2631B" w:rsidRDefault="00D2631B" w:rsidP="00CC3693">
      <w:pPr>
        <w:spacing w:line="360" w:lineRule="auto"/>
        <w:jc w:val="both"/>
        <w:rPr>
          <w:rFonts w:ascii="Arial Narrow" w:hAnsi="Arial Narrow"/>
        </w:rPr>
      </w:pPr>
    </w:p>
    <w:p w14:paraId="15906620" w14:textId="1FC53055" w:rsidR="00353B39" w:rsidRPr="00704B08" w:rsidRDefault="00353B39" w:rsidP="00CC3693">
      <w:pPr>
        <w:spacing w:line="360" w:lineRule="auto"/>
        <w:jc w:val="both"/>
        <w:rPr>
          <w:rFonts w:ascii="Arial Narrow" w:hAnsi="Arial Narrow"/>
        </w:rPr>
      </w:pPr>
      <w:r w:rsidRPr="00704B08">
        <w:rPr>
          <w:rFonts w:ascii="Arial Narrow" w:hAnsi="Arial Narrow"/>
        </w:rPr>
        <w:t xml:space="preserve">En el siguiente </w:t>
      </w:r>
      <w:r w:rsidR="00652A12" w:rsidRPr="00704B08">
        <w:rPr>
          <w:rFonts w:ascii="Arial Narrow" w:hAnsi="Arial Narrow"/>
        </w:rPr>
        <w:t>enlace</w:t>
      </w:r>
      <w:r w:rsidRPr="00704B08">
        <w:rPr>
          <w:rFonts w:ascii="Arial Narrow" w:hAnsi="Arial Narrow"/>
        </w:rPr>
        <w:t>, se detallas las evaluaciones realizadas a los Planes Estratégicos Institucionales de los periodos anteriores:</w:t>
      </w:r>
    </w:p>
    <w:p w14:paraId="2C7B358D" w14:textId="3C0ADC28" w:rsidR="00353B39" w:rsidRPr="00704B08" w:rsidRDefault="001A60A6" w:rsidP="00C02919">
      <w:pPr>
        <w:spacing w:line="360" w:lineRule="auto"/>
        <w:jc w:val="both"/>
        <w:rPr>
          <w:rFonts w:ascii="Arial Narrow" w:hAnsi="Arial Narrow"/>
        </w:rPr>
      </w:pPr>
      <w:hyperlink r:id="rId43" w:history="1">
        <w:r w:rsidR="00353B39" w:rsidRPr="00691ED5">
          <w:rPr>
            <w:rStyle w:val="Hipervnculo"/>
            <w:rFonts w:ascii="Arial Narrow" w:hAnsi="Arial Narrow" w:cs="Book Antiqua"/>
          </w:rPr>
          <w:t>https://www.poder-judicial.go.cr/planificacion/index.php/subproceso-evaluacion/evaluacion-plan-estrategico</w:t>
        </w:r>
      </w:hyperlink>
      <w:r w:rsidR="00731899" w:rsidRPr="00CC3693">
        <w:rPr>
          <w:rStyle w:val="Hipervnculo"/>
          <w:rFonts w:ascii="Arial Narrow" w:hAnsi="Arial Narrow" w:cs="Book Antiqua"/>
        </w:rPr>
        <w:t>.</w:t>
      </w:r>
    </w:p>
    <w:p w14:paraId="42A582CC" w14:textId="77777777" w:rsidR="00B137AF" w:rsidRPr="00704B08" w:rsidRDefault="00B137AF" w:rsidP="005C4C02">
      <w:pPr>
        <w:spacing w:line="360" w:lineRule="auto"/>
        <w:jc w:val="both"/>
        <w:rPr>
          <w:rFonts w:ascii="Arial Narrow" w:hAnsi="Arial Narrow"/>
          <w:snapToGrid w:val="0"/>
        </w:rPr>
      </w:pPr>
    </w:p>
    <w:p w14:paraId="6A750AF1" w14:textId="161533BF" w:rsidR="00B137AF" w:rsidRPr="00704B08" w:rsidRDefault="00B137AF">
      <w:pPr>
        <w:spacing w:line="360" w:lineRule="auto"/>
        <w:jc w:val="both"/>
        <w:rPr>
          <w:rFonts w:ascii="Arial Narrow" w:hAnsi="Arial Narrow"/>
          <w:snapToGrid w:val="0"/>
        </w:rPr>
      </w:pPr>
      <w:r w:rsidRPr="00704B08">
        <w:rPr>
          <w:rFonts w:ascii="Arial Narrow" w:hAnsi="Arial Narrow"/>
          <w:snapToGrid w:val="0"/>
        </w:rPr>
        <w:t>Sobre los informes evaluativos estratégicos de</w:t>
      </w:r>
      <w:r w:rsidR="00F8263C">
        <w:rPr>
          <w:rFonts w:ascii="Arial Narrow" w:hAnsi="Arial Narrow"/>
          <w:snapToGrid w:val="0"/>
        </w:rPr>
        <w:t xml:space="preserve"> </w:t>
      </w:r>
      <w:r w:rsidRPr="00704B08">
        <w:rPr>
          <w:rFonts w:ascii="Arial Narrow" w:hAnsi="Arial Narrow"/>
          <w:snapToGrid w:val="0"/>
        </w:rPr>
        <w:t>l</w:t>
      </w:r>
      <w:r w:rsidR="00F8263C">
        <w:rPr>
          <w:rFonts w:ascii="Arial Narrow" w:hAnsi="Arial Narrow"/>
          <w:snapToGrid w:val="0"/>
        </w:rPr>
        <w:t>os</w:t>
      </w:r>
      <w:r w:rsidRPr="00704B08">
        <w:rPr>
          <w:rFonts w:ascii="Arial Narrow" w:hAnsi="Arial Narrow"/>
          <w:snapToGrid w:val="0"/>
        </w:rPr>
        <w:t xml:space="preserve"> </w:t>
      </w:r>
      <w:r w:rsidR="00F8263C">
        <w:rPr>
          <w:rFonts w:ascii="Arial Narrow" w:hAnsi="Arial Narrow"/>
          <w:snapToGrid w:val="0"/>
        </w:rPr>
        <w:t>Planes Estratégicos Institucionales (</w:t>
      </w:r>
      <w:r w:rsidRPr="00704B08">
        <w:rPr>
          <w:rFonts w:ascii="Arial Narrow" w:hAnsi="Arial Narrow"/>
          <w:snapToGrid w:val="0"/>
        </w:rPr>
        <w:t>PEI</w:t>
      </w:r>
      <w:r w:rsidR="00F8263C">
        <w:rPr>
          <w:rFonts w:ascii="Arial Narrow" w:hAnsi="Arial Narrow"/>
          <w:snapToGrid w:val="0"/>
        </w:rPr>
        <w:t>)</w:t>
      </w:r>
      <w:r w:rsidRPr="00704B08">
        <w:rPr>
          <w:rFonts w:ascii="Arial Narrow" w:hAnsi="Arial Narrow"/>
          <w:snapToGrid w:val="0"/>
        </w:rPr>
        <w:t xml:space="preserve"> anteriores</w:t>
      </w:r>
      <w:r w:rsidR="00A43723">
        <w:rPr>
          <w:rFonts w:ascii="Arial Narrow" w:hAnsi="Arial Narrow"/>
          <w:snapToGrid w:val="0"/>
        </w:rPr>
        <w:t xml:space="preserve"> al 2019</w:t>
      </w:r>
      <w:r w:rsidRPr="00704B08">
        <w:rPr>
          <w:rFonts w:ascii="Arial Narrow" w:hAnsi="Arial Narrow"/>
          <w:snapToGrid w:val="0"/>
        </w:rPr>
        <w:t xml:space="preserve">, se tenían ciertas limitaciones para acceso </w:t>
      </w:r>
      <w:r w:rsidR="00F8263C">
        <w:rPr>
          <w:rFonts w:ascii="Arial Narrow" w:hAnsi="Arial Narrow"/>
          <w:snapToGrid w:val="0"/>
        </w:rPr>
        <w:t xml:space="preserve">y análisis de </w:t>
      </w:r>
      <w:r w:rsidRPr="00704B08">
        <w:rPr>
          <w:rFonts w:ascii="Arial Narrow" w:hAnsi="Arial Narrow"/>
          <w:snapToGrid w:val="0"/>
        </w:rPr>
        <w:t>la información, al no disponer de sistemas entrelazados. Adicionalmente, los responsables estratégicos no tenían claros sus compromisos</w:t>
      </w:r>
      <w:r w:rsidR="00D202C3" w:rsidRPr="00704B08">
        <w:rPr>
          <w:rFonts w:ascii="Arial Narrow" w:hAnsi="Arial Narrow"/>
          <w:snapToGrid w:val="0"/>
        </w:rPr>
        <w:t xml:space="preserve">, </w:t>
      </w:r>
      <w:r w:rsidR="00A43723">
        <w:rPr>
          <w:rFonts w:ascii="Arial Narrow" w:hAnsi="Arial Narrow"/>
          <w:snapToGrid w:val="0"/>
        </w:rPr>
        <w:t>por lo que</w:t>
      </w:r>
      <w:r w:rsidRPr="00704B08">
        <w:rPr>
          <w:rFonts w:ascii="Arial Narrow" w:hAnsi="Arial Narrow"/>
          <w:snapToGrid w:val="0"/>
        </w:rPr>
        <w:t xml:space="preserve"> las evaluaciones estratégicas aportaban incumplimientos más altos</w:t>
      </w:r>
      <w:r w:rsidR="00F8263C">
        <w:rPr>
          <w:rFonts w:ascii="Arial Narrow" w:hAnsi="Arial Narrow"/>
          <w:snapToGrid w:val="0"/>
        </w:rPr>
        <w:t>,</w:t>
      </w:r>
      <w:r w:rsidRPr="00704B08">
        <w:rPr>
          <w:rFonts w:ascii="Arial Narrow" w:hAnsi="Arial Narrow"/>
          <w:snapToGrid w:val="0"/>
        </w:rPr>
        <w:t xml:space="preserve"> que los que se muestran mediante el presente informe de evaluación del PEI 2019-2024</w:t>
      </w:r>
      <w:r w:rsidR="00F8263C">
        <w:rPr>
          <w:rFonts w:ascii="Arial Narrow" w:hAnsi="Arial Narrow"/>
          <w:snapToGrid w:val="0"/>
        </w:rPr>
        <w:t xml:space="preserve"> con</w:t>
      </w:r>
      <w:r w:rsidR="005E067A" w:rsidRPr="00704B08">
        <w:rPr>
          <w:rFonts w:ascii="Arial Narrow" w:hAnsi="Arial Narrow"/>
          <w:snapToGrid w:val="0"/>
        </w:rPr>
        <w:t xml:space="preserve"> la herramienta informática</w:t>
      </w:r>
      <w:r w:rsidR="00F8263C">
        <w:rPr>
          <w:rFonts w:ascii="Arial Narrow" w:hAnsi="Arial Narrow"/>
          <w:snapToGrid w:val="0"/>
        </w:rPr>
        <w:t xml:space="preserve"> que</w:t>
      </w:r>
      <w:r w:rsidR="005E067A" w:rsidRPr="00704B08">
        <w:rPr>
          <w:rFonts w:ascii="Arial Narrow" w:hAnsi="Arial Narrow"/>
          <w:snapToGrid w:val="0"/>
        </w:rPr>
        <w:t xml:space="preserve"> permite un mayor seguimiento</w:t>
      </w:r>
      <w:r w:rsidR="00F8263C">
        <w:rPr>
          <w:rFonts w:ascii="Arial Narrow" w:hAnsi="Arial Narrow"/>
          <w:snapToGrid w:val="0"/>
        </w:rPr>
        <w:t>.</w:t>
      </w:r>
    </w:p>
    <w:p w14:paraId="6B3D492A" w14:textId="77777777" w:rsidR="00353B39" w:rsidRPr="00704B08" w:rsidRDefault="00353B39">
      <w:pPr>
        <w:spacing w:line="360" w:lineRule="auto"/>
        <w:jc w:val="both"/>
        <w:rPr>
          <w:rFonts w:ascii="Arial Narrow" w:hAnsi="Arial Narrow"/>
        </w:rPr>
      </w:pPr>
    </w:p>
    <w:p w14:paraId="73B09039" w14:textId="2921B6D6" w:rsidR="005305D8" w:rsidRPr="00704B08" w:rsidRDefault="00353B39">
      <w:pPr>
        <w:spacing w:line="360" w:lineRule="auto"/>
        <w:jc w:val="both"/>
        <w:rPr>
          <w:rFonts w:ascii="Arial Narrow" w:hAnsi="Arial Narrow"/>
        </w:rPr>
      </w:pPr>
      <w:r w:rsidRPr="00704B08">
        <w:rPr>
          <w:rFonts w:ascii="Arial Narrow" w:hAnsi="Arial Narrow"/>
        </w:rPr>
        <w:t xml:space="preserve">En aras de continuar el impulso de la planificación institucional, se realizó un análisis de las oportunidades de mejora y lecciones aprendidas de los procesos anteriores, y se planteó la metodología a aplicar por medio del </w:t>
      </w:r>
      <w:r w:rsidRPr="00CC279A">
        <w:rPr>
          <w:rFonts w:ascii="Arial Narrow" w:hAnsi="Arial Narrow"/>
          <w:i/>
          <w:iCs/>
        </w:rPr>
        <w:t xml:space="preserve">“Modelo de Gestión para el Proceso de Planificación </w:t>
      </w:r>
      <w:r w:rsidRPr="00CC279A">
        <w:rPr>
          <w:rFonts w:ascii="Arial Narrow" w:hAnsi="Arial Narrow"/>
          <w:i/>
          <w:iCs/>
        </w:rPr>
        <w:lastRenderedPageBreak/>
        <w:t>Estratégica 2019-2024”</w:t>
      </w:r>
      <w:r w:rsidRPr="00704B08">
        <w:rPr>
          <w:rFonts w:ascii="Arial Narrow" w:hAnsi="Arial Narrow"/>
        </w:rPr>
        <w:t>, basada en los principios orientadores de innovación, participación e integración; aprobado por la Corte Plena en sesión 32-17 del 02 de octubre del 2017, artículo XII.</w:t>
      </w:r>
    </w:p>
    <w:p w14:paraId="0D6FECF6" w14:textId="77777777" w:rsidR="00D202C3" w:rsidRPr="00704B08" w:rsidRDefault="00D202C3">
      <w:pPr>
        <w:spacing w:line="360" w:lineRule="auto"/>
        <w:jc w:val="both"/>
        <w:rPr>
          <w:rFonts w:ascii="Arial Narrow" w:hAnsi="Arial Narrow"/>
        </w:rPr>
      </w:pPr>
    </w:p>
    <w:p w14:paraId="44560FA1" w14:textId="3767BD98" w:rsidR="005305D8" w:rsidRDefault="00EB7E6E">
      <w:pPr>
        <w:spacing w:line="360" w:lineRule="auto"/>
        <w:jc w:val="both"/>
        <w:rPr>
          <w:rFonts w:ascii="Arial Narrow" w:hAnsi="Arial Narrow"/>
        </w:rPr>
      </w:pPr>
      <w:r>
        <w:rPr>
          <w:rFonts w:ascii="Arial Narrow" w:hAnsi="Arial Narrow"/>
        </w:rPr>
        <w:t>Como aspecto importante, se destaca que e</w:t>
      </w:r>
      <w:r w:rsidR="00353B39" w:rsidRPr="00704B08">
        <w:rPr>
          <w:rFonts w:ascii="Arial Narrow" w:hAnsi="Arial Narrow"/>
        </w:rPr>
        <w:t>l Plan Estratégico Institucional del Poder Judicial de Costa Rica para el periodo 2019-2024, fue aprobado por la Corte Plena en sesión 56-18 del 10 de diciembre del 2018, artículo XXIII (oficio 1463-PLA-2018).</w:t>
      </w:r>
      <w:r>
        <w:rPr>
          <w:rFonts w:ascii="Arial Narrow" w:hAnsi="Arial Narrow"/>
        </w:rPr>
        <w:t xml:space="preserve"> Después de esa aprobación, se lleva</w:t>
      </w:r>
      <w:r w:rsidR="00320EFD">
        <w:rPr>
          <w:rFonts w:ascii="Arial Narrow" w:hAnsi="Arial Narrow"/>
        </w:rPr>
        <w:t>n</w:t>
      </w:r>
      <w:r>
        <w:rPr>
          <w:rFonts w:ascii="Arial Narrow" w:hAnsi="Arial Narrow"/>
        </w:rPr>
        <w:t xml:space="preserve"> a cabo procesos de realineamiento y ajuste o inclusión de metas</w:t>
      </w:r>
      <w:r w:rsidR="00F8263C">
        <w:rPr>
          <w:rFonts w:ascii="Arial Narrow" w:hAnsi="Arial Narrow"/>
        </w:rPr>
        <w:t>.</w:t>
      </w:r>
      <w:r>
        <w:rPr>
          <w:rFonts w:ascii="Arial Narrow" w:hAnsi="Arial Narrow"/>
        </w:rPr>
        <w:t xml:space="preserve"> </w:t>
      </w:r>
      <w:r w:rsidR="00F8263C">
        <w:rPr>
          <w:rFonts w:ascii="Arial Narrow" w:hAnsi="Arial Narrow"/>
        </w:rPr>
        <w:t>S</w:t>
      </w:r>
      <w:r>
        <w:rPr>
          <w:rFonts w:ascii="Arial Narrow" w:hAnsi="Arial Narrow"/>
        </w:rPr>
        <w:t>e destaca la siguiente tabla</w:t>
      </w:r>
      <w:r w:rsidR="00F8263C">
        <w:rPr>
          <w:rFonts w:ascii="Arial Narrow" w:hAnsi="Arial Narrow"/>
        </w:rPr>
        <w:t>,</w:t>
      </w:r>
      <w:r>
        <w:rPr>
          <w:rFonts w:ascii="Arial Narrow" w:hAnsi="Arial Narrow"/>
        </w:rPr>
        <w:t xml:space="preserve"> que muestra </w:t>
      </w:r>
      <w:r w:rsidR="00D2631B">
        <w:rPr>
          <w:rFonts w:ascii="Arial Narrow" w:hAnsi="Arial Narrow"/>
        </w:rPr>
        <w:t>las versiones</w:t>
      </w:r>
      <w:r>
        <w:rPr>
          <w:rFonts w:ascii="Arial Narrow" w:hAnsi="Arial Narrow"/>
        </w:rPr>
        <w:t xml:space="preserve"> que</w:t>
      </w:r>
      <w:r w:rsidR="00F8263C">
        <w:rPr>
          <w:rFonts w:ascii="Arial Narrow" w:hAnsi="Arial Narrow"/>
        </w:rPr>
        <w:t xml:space="preserve"> a</w:t>
      </w:r>
      <w:r>
        <w:rPr>
          <w:rFonts w:ascii="Arial Narrow" w:hAnsi="Arial Narrow"/>
        </w:rPr>
        <w:t xml:space="preserve"> la fecha tiene el PEI</w:t>
      </w:r>
      <w:r w:rsidR="00194BB6">
        <w:rPr>
          <w:rFonts w:ascii="Arial Narrow" w:hAnsi="Arial Narrow"/>
        </w:rPr>
        <w:t>, al cierre del 2020 la última versión aprobada es la Versión 4.0 (se adjunta en Anexo 1)</w:t>
      </w:r>
      <w:r>
        <w:rPr>
          <w:rFonts w:ascii="Arial Narrow" w:hAnsi="Arial Narrow"/>
        </w:rPr>
        <w:t>:</w:t>
      </w:r>
    </w:p>
    <w:p w14:paraId="77AC782B" w14:textId="2E8AF48C" w:rsidR="00194BB6" w:rsidRDefault="00194BB6">
      <w:pPr>
        <w:spacing w:line="360" w:lineRule="auto"/>
        <w:jc w:val="both"/>
        <w:rPr>
          <w:rFonts w:ascii="Arial Narrow" w:hAnsi="Arial Narrow"/>
        </w:rPr>
      </w:pPr>
    </w:p>
    <w:p w14:paraId="23D45A21" w14:textId="24927177" w:rsidR="00194BB6" w:rsidRDefault="00194BB6">
      <w:pPr>
        <w:spacing w:line="360" w:lineRule="auto"/>
        <w:jc w:val="both"/>
        <w:rPr>
          <w:rFonts w:ascii="Arial Narrow" w:hAnsi="Arial Narrow"/>
        </w:rPr>
      </w:pPr>
    </w:p>
    <w:p w14:paraId="2117B507" w14:textId="6E6A1CC7" w:rsidR="006153A6" w:rsidRDefault="006153A6">
      <w:pPr>
        <w:rPr>
          <w:rFonts w:ascii="Arial Narrow" w:hAnsi="Arial Narrow"/>
        </w:rPr>
      </w:pPr>
      <w:r>
        <w:rPr>
          <w:rFonts w:ascii="Arial Narrow" w:hAnsi="Arial Narrow"/>
        </w:rPr>
        <w:br w:type="page"/>
      </w:r>
    </w:p>
    <w:p w14:paraId="77DEDE20" w14:textId="77777777" w:rsidR="00194BB6" w:rsidRDefault="00194BB6">
      <w:pPr>
        <w:spacing w:line="360" w:lineRule="auto"/>
        <w:jc w:val="both"/>
        <w:rPr>
          <w:rFonts w:ascii="Arial Narrow" w:hAnsi="Arial Narrow"/>
        </w:rPr>
      </w:pPr>
    </w:p>
    <w:p w14:paraId="2563DB0A" w14:textId="7D874256" w:rsidR="006157A3" w:rsidRPr="00CC279A" w:rsidRDefault="006157A3" w:rsidP="00CC279A">
      <w:pPr>
        <w:jc w:val="center"/>
        <w:rPr>
          <w:rFonts w:ascii="Arial Narrow" w:hAnsi="Arial Narrow"/>
        </w:rPr>
      </w:pPr>
    </w:p>
    <w:p w14:paraId="4908E9F5" w14:textId="321BDD59" w:rsidR="00DF140C" w:rsidRPr="00CC279A" w:rsidRDefault="00A75670" w:rsidP="00CC279A">
      <w:pPr>
        <w:pStyle w:val="Descripcin"/>
        <w:jc w:val="center"/>
        <w:rPr>
          <w:rFonts w:ascii="Arial Narrow" w:hAnsi="Arial Narrow"/>
        </w:rPr>
      </w:pPr>
      <w:bookmarkStart w:id="11" w:name="_Toc84919459"/>
      <w:r w:rsidRPr="00CC279A">
        <w:rPr>
          <w:rFonts w:ascii="Arial Narrow" w:hAnsi="Arial Narrow"/>
          <w:sz w:val="24"/>
          <w:szCs w:val="24"/>
        </w:rPr>
        <w:t xml:space="preserve">Tabla </w:t>
      </w:r>
      <w:r w:rsidRPr="00CC279A">
        <w:rPr>
          <w:rFonts w:ascii="Arial Narrow" w:hAnsi="Arial Narrow"/>
          <w:sz w:val="24"/>
          <w:szCs w:val="24"/>
        </w:rPr>
        <w:fldChar w:fldCharType="begin"/>
      </w:r>
      <w:r w:rsidRPr="00CC279A">
        <w:rPr>
          <w:rFonts w:ascii="Arial Narrow" w:hAnsi="Arial Narrow"/>
          <w:sz w:val="24"/>
          <w:szCs w:val="24"/>
        </w:rPr>
        <w:instrText xml:space="preserve"> SEQ Tabla \* ARABIC </w:instrText>
      </w:r>
      <w:r w:rsidRPr="00CC279A">
        <w:rPr>
          <w:rFonts w:ascii="Arial Narrow" w:hAnsi="Arial Narrow"/>
          <w:sz w:val="24"/>
          <w:szCs w:val="24"/>
        </w:rPr>
        <w:fldChar w:fldCharType="separate"/>
      </w:r>
      <w:r w:rsidR="003615B4">
        <w:rPr>
          <w:rFonts w:ascii="Arial Narrow" w:hAnsi="Arial Narrow"/>
          <w:noProof/>
          <w:sz w:val="24"/>
          <w:szCs w:val="24"/>
        </w:rPr>
        <w:t>1</w:t>
      </w:r>
      <w:r w:rsidRPr="00CC279A">
        <w:rPr>
          <w:rFonts w:ascii="Arial Narrow" w:hAnsi="Arial Narrow"/>
          <w:sz w:val="24"/>
          <w:szCs w:val="24"/>
        </w:rPr>
        <w:fldChar w:fldCharType="end"/>
      </w:r>
      <w:r w:rsidRPr="00CC279A">
        <w:rPr>
          <w:rFonts w:ascii="Arial Narrow" w:hAnsi="Arial Narrow"/>
          <w:sz w:val="24"/>
          <w:szCs w:val="24"/>
        </w:rPr>
        <w:t xml:space="preserve"> Listado de versiones aprobadas de la matriz del Plan Estratégico</w:t>
      </w:r>
      <w:r w:rsidRPr="00CC279A">
        <w:rPr>
          <w:rFonts w:ascii="Arial Narrow" w:hAnsi="Arial Narrow"/>
          <w:noProof/>
          <w:sz w:val="24"/>
          <w:szCs w:val="24"/>
        </w:rPr>
        <w:t xml:space="preserve"> Institucional 2019-2020 y su acta de aprobación por Corte Plena</w:t>
      </w:r>
      <w:bookmarkEnd w:id="11"/>
    </w:p>
    <w:p w14:paraId="36438133" w14:textId="77777777" w:rsidR="006157A3" w:rsidRPr="00CC279A" w:rsidRDefault="006157A3" w:rsidP="00CC279A"/>
    <w:p w14:paraId="209F3E11" w14:textId="77777777" w:rsidR="008E5DA9" w:rsidRDefault="008E5DA9" w:rsidP="009D5823">
      <w:pPr>
        <w:jc w:val="center"/>
        <w:rPr>
          <w:rFonts w:ascii="Arial Narrow" w:hAnsi="Arial Narrow" w:cs="Arial"/>
          <w:b/>
          <w:bCs/>
          <w:color w:val="000000"/>
          <w:sz w:val="18"/>
          <w:szCs w:val="18"/>
          <w:lang w:val="es-CR" w:eastAsia="es-CR"/>
        </w:rPr>
        <w:sectPr w:rsidR="008E5DA9" w:rsidSect="006157A3">
          <w:headerReference w:type="even" r:id="rId44"/>
          <w:headerReference w:type="default" r:id="rId45"/>
          <w:footerReference w:type="even" r:id="rId46"/>
          <w:footerReference w:type="default" r:id="rId47"/>
          <w:headerReference w:type="first" r:id="rId48"/>
          <w:footerReference w:type="first" r:id="rId49"/>
          <w:pgSz w:w="12242" w:h="15842" w:code="1"/>
          <w:pgMar w:top="719" w:right="2603" w:bottom="719" w:left="1560" w:header="709" w:footer="709" w:gutter="0"/>
          <w:cols w:space="708"/>
          <w:docGrid w:linePitch="360"/>
        </w:sectPr>
      </w:pPr>
    </w:p>
    <w:p w14:paraId="271E9812" w14:textId="77777777" w:rsidR="008E5DA9" w:rsidRDefault="008E5DA9" w:rsidP="009D5823">
      <w:pPr>
        <w:jc w:val="center"/>
        <w:rPr>
          <w:rFonts w:ascii="Arial Narrow" w:hAnsi="Arial Narrow" w:cs="Arial"/>
          <w:b/>
          <w:bCs/>
          <w:color w:val="000000"/>
          <w:sz w:val="18"/>
          <w:szCs w:val="18"/>
          <w:lang w:val="es-CR" w:eastAsia="es-CR"/>
        </w:rPr>
        <w:sectPr w:rsidR="008E5DA9" w:rsidSect="008E5DA9">
          <w:type w:val="continuous"/>
          <w:pgSz w:w="12242" w:h="15842" w:code="1"/>
          <w:pgMar w:top="719" w:right="2603" w:bottom="719" w:left="1560" w:header="709" w:footer="709" w:gutter="0"/>
          <w:cols w:space="708"/>
          <w:docGrid w:linePitch="360"/>
        </w:sectPr>
      </w:pPr>
    </w:p>
    <w:tbl>
      <w:tblPr>
        <w:tblW w:w="9203" w:type="dxa"/>
        <w:tblCellMar>
          <w:left w:w="70" w:type="dxa"/>
          <w:right w:w="70" w:type="dxa"/>
        </w:tblCellMar>
        <w:tblLook w:val="04A0" w:firstRow="1" w:lastRow="0" w:firstColumn="1" w:lastColumn="0" w:noHBand="0" w:noVBand="1"/>
      </w:tblPr>
      <w:tblGrid>
        <w:gridCol w:w="682"/>
        <w:gridCol w:w="1093"/>
        <w:gridCol w:w="1207"/>
        <w:gridCol w:w="1937"/>
        <w:gridCol w:w="746"/>
        <w:gridCol w:w="1174"/>
        <w:gridCol w:w="1010"/>
        <w:gridCol w:w="1002"/>
        <w:gridCol w:w="1002"/>
      </w:tblGrid>
      <w:tr w:rsidR="00EB7E6E" w:rsidRPr="009D5823" w14:paraId="0AAD491F" w14:textId="77777777" w:rsidTr="00704B08">
        <w:trPr>
          <w:trHeight w:val="571"/>
        </w:trPr>
        <w:tc>
          <w:tcPr>
            <w:tcW w:w="650" w:type="dxa"/>
            <w:tcBorders>
              <w:top w:val="single" w:sz="4" w:space="0" w:color="auto"/>
              <w:left w:val="single" w:sz="4" w:space="0" w:color="auto"/>
              <w:bottom w:val="single" w:sz="4" w:space="0" w:color="auto"/>
              <w:right w:val="single" w:sz="4" w:space="0" w:color="auto"/>
            </w:tcBorders>
            <w:shd w:val="clear" w:color="000000" w:fill="8EA9DB"/>
            <w:vAlign w:val="center"/>
            <w:hideMark/>
          </w:tcPr>
          <w:p w14:paraId="0DE5B7A7" w14:textId="181CE234" w:rsidR="00EB7E6E" w:rsidRPr="00704B08" w:rsidRDefault="00EB7E6E" w:rsidP="009D5823">
            <w:pPr>
              <w:jc w:val="center"/>
              <w:rPr>
                <w:rFonts w:ascii="Arial Narrow" w:hAnsi="Arial Narrow" w:cs="Arial"/>
                <w:b/>
                <w:bCs/>
                <w:color w:val="000000"/>
                <w:sz w:val="18"/>
                <w:szCs w:val="18"/>
                <w:lang w:val="es-CR" w:eastAsia="es-CR"/>
              </w:rPr>
            </w:pPr>
            <w:r w:rsidRPr="00704B08">
              <w:rPr>
                <w:rFonts w:ascii="Arial Narrow" w:hAnsi="Arial Narrow" w:cs="Arial"/>
                <w:b/>
                <w:bCs/>
                <w:color w:val="000000"/>
                <w:sz w:val="18"/>
                <w:szCs w:val="18"/>
                <w:lang w:val="es-CR" w:eastAsia="es-CR"/>
              </w:rPr>
              <w:lastRenderedPageBreak/>
              <w:t>No. Versión</w:t>
            </w:r>
          </w:p>
        </w:tc>
        <w:tc>
          <w:tcPr>
            <w:tcW w:w="1093" w:type="dxa"/>
            <w:tcBorders>
              <w:top w:val="single" w:sz="4" w:space="0" w:color="auto"/>
              <w:left w:val="nil"/>
              <w:bottom w:val="single" w:sz="4" w:space="0" w:color="auto"/>
              <w:right w:val="single" w:sz="4" w:space="0" w:color="auto"/>
            </w:tcBorders>
            <w:shd w:val="clear" w:color="000000" w:fill="8EA9DB"/>
            <w:vAlign w:val="center"/>
            <w:hideMark/>
          </w:tcPr>
          <w:p w14:paraId="40C34900" w14:textId="77777777" w:rsidR="00EB7E6E" w:rsidRPr="00704B08" w:rsidRDefault="00EB7E6E" w:rsidP="009D5823">
            <w:pPr>
              <w:jc w:val="center"/>
              <w:rPr>
                <w:rFonts w:ascii="Arial Narrow" w:hAnsi="Arial Narrow" w:cs="Arial"/>
                <w:b/>
                <w:bCs/>
                <w:color w:val="000000"/>
                <w:sz w:val="18"/>
                <w:szCs w:val="18"/>
                <w:lang w:val="es-CR" w:eastAsia="es-CR"/>
              </w:rPr>
            </w:pPr>
            <w:r w:rsidRPr="00704B08">
              <w:rPr>
                <w:rFonts w:ascii="Arial Narrow" w:hAnsi="Arial Narrow" w:cs="Arial"/>
                <w:b/>
                <w:bCs/>
                <w:color w:val="000000"/>
                <w:sz w:val="18"/>
                <w:szCs w:val="18"/>
                <w:lang w:val="es-CR" w:eastAsia="es-CR"/>
              </w:rPr>
              <w:t>No. Oficio Remitido</w:t>
            </w:r>
          </w:p>
        </w:tc>
        <w:tc>
          <w:tcPr>
            <w:tcW w:w="1207" w:type="dxa"/>
            <w:tcBorders>
              <w:top w:val="single" w:sz="4" w:space="0" w:color="auto"/>
              <w:left w:val="nil"/>
              <w:bottom w:val="single" w:sz="4" w:space="0" w:color="auto"/>
              <w:right w:val="single" w:sz="4" w:space="0" w:color="auto"/>
            </w:tcBorders>
            <w:shd w:val="clear" w:color="000000" w:fill="8EA9DB"/>
            <w:vAlign w:val="center"/>
            <w:hideMark/>
          </w:tcPr>
          <w:p w14:paraId="1ED45BD8" w14:textId="77777777" w:rsidR="00EB7E6E" w:rsidRPr="00704B08" w:rsidRDefault="00EB7E6E" w:rsidP="009D5823">
            <w:pPr>
              <w:jc w:val="center"/>
              <w:rPr>
                <w:rFonts w:ascii="Arial Narrow" w:hAnsi="Arial Narrow" w:cs="Arial"/>
                <w:b/>
                <w:bCs/>
                <w:color w:val="000000"/>
                <w:sz w:val="18"/>
                <w:szCs w:val="18"/>
                <w:lang w:val="es-CR" w:eastAsia="es-CR"/>
              </w:rPr>
            </w:pPr>
            <w:r w:rsidRPr="00704B08">
              <w:rPr>
                <w:rFonts w:ascii="Arial Narrow" w:hAnsi="Arial Narrow" w:cs="Arial"/>
                <w:b/>
                <w:bCs/>
                <w:color w:val="000000"/>
                <w:sz w:val="18"/>
                <w:szCs w:val="18"/>
                <w:lang w:val="es-CR" w:eastAsia="es-CR"/>
              </w:rPr>
              <w:t>Fecha Oficio</w:t>
            </w:r>
          </w:p>
        </w:tc>
        <w:tc>
          <w:tcPr>
            <w:tcW w:w="1828" w:type="dxa"/>
            <w:tcBorders>
              <w:top w:val="single" w:sz="4" w:space="0" w:color="auto"/>
              <w:left w:val="nil"/>
              <w:bottom w:val="single" w:sz="4" w:space="0" w:color="auto"/>
              <w:right w:val="single" w:sz="4" w:space="0" w:color="auto"/>
            </w:tcBorders>
            <w:shd w:val="clear" w:color="000000" w:fill="8EA9DB"/>
            <w:vAlign w:val="center"/>
            <w:hideMark/>
          </w:tcPr>
          <w:p w14:paraId="53D434F3" w14:textId="77777777" w:rsidR="00EB7E6E" w:rsidRPr="00704B08" w:rsidRDefault="00EB7E6E" w:rsidP="009D5823">
            <w:pPr>
              <w:jc w:val="center"/>
              <w:rPr>
                <w:rFonts w:ascii="Arial Narrow" w:hAnsi="Arial Narrow" w:cs="Arial"/>
                <w:b/>
                <w:bCs/>
                <w:color w:val="000000"/>
                <w:sz w:val="18"/>
                <w:szCs w:val="18"/>
                <w:lang w:val="es-CR" w:eastAsia="es-CR"/>
              </w:rPr>
            </w:pPr>
            <w:r w:rsidRPr="00704B08">
              <w:rPr>
                <w:rFonts w:ascii="Arial Narrow" w:hAnsi="Arial Narrow" w:cs="Arial"/>
                <w:b/>
                <w:bCs/>
                <w:color w:val="000000"/>
                <w:sz w:val="18"/>
                <w:szCs w:val="18"/>
                <w:lang w:val="es-CR" w:eastAsia="es-CR"/>
              </w:rPr>
              <w:t>Acta de Aprobación</w:t>
            </w:r>
          </w:p>
        </w:tc>
        <w:tc>
          <w:tcPr>
            <w:tcW w:w="746" w:type="dxa"/>
            <w:tcBorders>
              <w:top w:val="single" w:sz="4" w:space="0" w:color="auto"/>
              <w:left w:val="nil"/>
              <w:bottom w:val="single" w:sz="4" w:space="0" w:color="auto"/>
              <w:right w:val="single" w:sz="4" w:space="0" w:color="auto"/>
            </w:tcBorders>
            <w:shd w:val="clear" w:color="000000" w:fill="8EA9DB"/>
            <w:vAlign w:val="center"/>
            <w:hideMark/>
          </w:tcPr>
          <w:p w14:paraId="0F00330F" w14:textId="77777777" w:rsidR="00EB7E6E" w:rsidRPr="00704B08" w:rsidRDefault="00EB7E6E" w:rsidP="009D5823">
            <w:pPr>
              <w:jc w:val="center"/>
              <w:rPr>
                <w:rFonts w:ascii="Arial Narrow" w:hAnsi="Arial Narrow" w:cs="Arial"/>
                <w:b/>
                <w:bCs/>
                <w:color w:val="000000"/>
                <w:sz w:val="18"/>
                <w:szCs w:val="18"/>
                <w:lang w:val="es-CR" w:eastAsia="es-CR"/>
              </w:rPr>
            </w:pPr>
            <w:r w:rsidRPr="00704B08">
              <w:rPr>
                <w:rFonts w:ascii="Arial Narrow" w:hAnsi="Arial Narrow" w:cs="Arial"/>
                <w:b/>
                <w:bCs/>
                <w:color w:val="000000"/>
                <w:sz w:val="18"/>
                <w:szCs w:val="18"/>
                <w:lang w:val="es-CR" w:eastAsia="es-CR"/>
              </w:rPr>
              <w:t>Fecha Acta</w:t>
            </w:r>
          </w:p>
        </w:tc>
        <w:tc>
          <w:tcPr>
            <w:tcW w:w="1616" w:type="dxa"/>
            <w:tcBorders>
              <w:top w:val="single" w:sz="4" w:space="0" w:color="auto"/>
              <w:left w:val="nil"/>
              <w:bottom w:val="single" w:sz="4" w:space="0" w:color="auto"/>
              <w:right w:val="single" w:sz="4" w:space="0" w:color="auto"/>
            </w:tcBorders>
            <w:shd w:val="clear" w:color="000000" w:fill="8EA9DB"/>
            <w:vAlign w:val="center"/>
            <w:hideMark/>
          </w:tcPr>
          <w:p w14:paraId="15B385B1" w14:textId="0A7B73D0" w:rsidR="00EB7E6E" w:rsidRPr="00704B08" w:rsidRDefault="00EB7E6E" w:rsidP="009D5823">
            <w:pPr>
              <w:jc w:val="center"/>
              <w:rPr>
                <w:rFonts w:ascii="Arial Narrow" w:hAnsi="Arial Narrow" w:cs="Arial"/>
                <w:b/>
                <w:bCs/>
                <w:color w:val="000000"/>
                <w:sz w:val="18"/>
                <w:szCs w:val="18"/>
                <w:lang w:val="es-CR" w:eastAsia="es-CR"/>
              </w:rPr>
            </w:pPr>
            <w:r w:rsidRPr="00704B08">
              <w:rPr>
                <w:rFonts w:ascii="Arial Narrow" w:hAnsi="Arial Narrow" w:cs="Arial"/>
                <w:b/>
                <w:bCs/>
                <w:color w:val="000000"/>
                <w:sz w:val="18"/>
                <w:szCs w:val="18"/>
                <w:lang w:val="es-CR" w:eastAsia="es-CR"/>
              </w:rPr>
              <w:t>Detalle de Actualización</w:t>
            </w:r>
          </w:p>
        </w:tc>
        <w:tc>
          <w:tcPr>
            <w:tcW w:w="772" w:type="dxa"/>
            <w:tcBorders>
              <w:top w:val="single" w:sz="4" w:space="0" w:color="auto"/>
              <w:left w:val="nil"/>
              <w:bottom w:val="single" w:sz="4" w:space="0" w:color="auto"/>
              <w:right w:val="single" w:sz="4" w:space="0" w:color="auto"/>
            </w:tcBorders>
            <w:shd w:val="clear" w:color="000000" w:fill="8EA9DB"/>
            <w:vAlign w:val="center"/>
            <w:hideMark/>
          </w:tcPr>
          <w:p w14:paraId="231C9678" w14:textId="5D2018CC" w:rsidR="00EB7E6E" w:rsidRPr="00704B08" w:rsidRDefault="00BE7C90" w:rsidP="009D5823">
            <w:pPr>
              <w:jc w:val="center"/>
              <w:rPr>
                <w:rFonts w:ascii="Arial Narrow" w:hAnsi="Arial Narrow" w:cs="Arial"/>
                <w:b/>
                <w:bCs/>
                <w:color w:val="000000"/>
                <w:sz w:val="18"/>
                <w:szCs w:val="18"/>
                <w:lang w:val="es-CR" w:eastAsia="es-CR"/>
              </w:rPr>
            </w:pPr>
            <w:r>
              <w:rPr>
                <w:rFonts w:ascii="Arial Narrow" w:hAnsi="Arial Narrow" w:cs="Arial"/>
                <w:b/>
                <w:bCs/>
                <w:color w:val="000000"/>
                <w:sz w:val="18"/>
                <w:szCs w:val="18"/>
                <w:lang w:val="es-CR" w:eastAsia="es-CR"/>
              </w:rPr>
              <w:t>Cantidad de o</w:t>
            </w:r>
            <w:r w:rsidR="00EB7E6E" w:rsidRPr="00704B08">
              <w:rPr>
                <w:rFonts w:ascii="Arial Narrow" w:hAnsi="Arial Narrow" w:cs="Arial"/>
                <w:b/>
                <w:bCs/>
                <w:color w:val="000000"/>
                <w:sz w:val="18"/>
                <w:szCs w:val="18"/>
                <w:lang w:val="es-CR" w:eastAsia="es-CR"/>
              </w:rPr>
              <w:t>bjetivos</w:t>
            </w:r>
            <w:r w:rsidR="006157A3">
              <w:rPr>
                <w:rFonts w:ascii="Arial Narrow" w:hAnsi="Arial Narrow" w:cs="Arial"/>
                <w:b/>
                <w:bCs/>
                <w:color w:val="000000"/>
                <w:sz w:val="18"/>
                <w:szCs w:val="18"/>
                <w:lang w:val="es-CR" w:eastAsia="es-CR"/>
              </w:rPr>
              <w:t xml:space="preserve"> estratégicos</w:t>
            </w:r>
          </w:p>
        </w:tc>
        <w:tc>
          <w:tcPr>
            <w:tcW w:w="757" w:type="dxa"/>
            <w:tcBorders>
              <w:top w:val="single" w:sz="4" w:space="0" w:color="auto"/>
              <w:left w:val="nil"/>
              <w:bottom w:val="single" w:sz="4" w:space="0" w:color="auto"/>
              <w:right w:val="single" w:sz="4" w:space="0" w:color="auto"/>
            </w:tcBorders>
            <w:shd w:val="clear" w:color="000000" w:fill="8EA9DB"/>
            <w:vAlign w:val="center"/>
            <w:hideMark/>
          </w:tcPr>
          <w:p w14:paraId="1AC531CB" w14:textId="33644092" w:rsidR="00EB7E6E" w:rsidRPr="00704B08" w:rsidRDefault="00BE7C90" w:rsidP="009D5823">
            <w:pPr>
              <w:jc w:val="center"/>
              <w:rPr>
                <w:rFonts w:ascii="Arial Narrow" w:hAnsi="Arial Narrow" w:cs="Arial"/>
                <w:b/>
                <w:bCs/>
                <w:color w:val="000000"/>
                <w:sz w:val="18"/>
                <w:szCs w:val="18"/>
                <w:lang w:val="es-CR" w:eastAsia="es-CR"/>
              </w:rPr>
            </w:pPr>
            <w:r>
              <w:rPr>
                <w:rFonts w:ascii="Arial Narrow" w:hAnsi="Arial Narrow" w:cs="Arial"/>
                <w:b/>
                <w:bCs/>
                <w:color w:val="000000"/>
                <w:sz w:val="18"/>
                <w:szCs w:val="18"/>
                <w:lang w:val="es-CR" w:eastAsia="es-CR"/>
              </w:rPr>
              <w:t>Cantidad de a</w:t>
            </w:r>
            <w:r w:rsidR="00EB7E6E" w:rsidRPr="00704B08">
              <w:rPr>
                <w:rFonts w:ascii="Arial Narrow" w:hAnsi="Arial Narrow" w:cs="Arial"/>
                <w:b/>
                <w:bCs/>
                <w:color w:val="000000"/>
                <w:sz w:val="18"/>
                <w:szCs w:val="18"/>
                <w:lang w:val="es-CR" w:eastAsia="es-CR"/>
              </w:rPr>
              <w:t>cciones</w:t>
            </w:r>
            <w:r w:rsidR="006157A3">
              <w:rPr>
                <w:rFonts w:ascii="Arial Narrow" w:hAnsi="Arial Narrow" w:cs="Arial"/>
                <w:b/>
                <w:bCs/>
                <w:color w:val="000000"/>
                <w:sz w:val="18"/>
                <w:szCs w:val="18"/>
                <w:lang w:val="es-CR" w:eastAsia="es-CR"/>
              </w:rPr>
              <w:t xml:space="preserve"> estratégicas</w:t>
            </w:r>
          </w:p>
        </w:tc>
        <w:tc>
          <w:tcPr>
            <w:tcW w:w="534" w:type="dxa"/>
            <w:tcBorders>
              <w:top w:val="single" w:sz="4" w:space="0" w:color="auto"/>
              <w:left w:val="nil"/>
              <w:bottom w:val="single" w:sz="4" w:space="0" w:color="auto"/>
              <w:right w:val="single" w:sz="4" w:space="0" w:color="auto"/>
            </w:tcBorders>
            <w:shd w:val="clear" w:color="000000" w:fill="8EA9DB"/>
            <w:vAlign w:val="center"/>
            <w:hideMark/>
          </w:tcPr>
          <w:p w14:paraId="1A13F511" w14:textId="280E018C" w:rsidR="00EB7E6E" w:rsidRPr="00704B08" w:rsidRDefault="00BE7C90" w:rsidP="009D5823">
            <w:pPr>
              <w:jc w:val="center"/>
              <w:rPr>
                <w:rFonts w:ascii="Arial Narrow" w:hAnsi="Arial Narrow" w:cs="Arial"/>
                <w:b/>
                <w:bCs/>
                <w:color w:val="000000"/>
                <w:sz w:val="18"/>
                <w:szCs w:val="18"/>
                <w:lang w:val="es-CR" w:eastAsia="es-CR"/>
              </w:rPr>
            </w:pPr>
            <w:r>
              <w:rPr>
                <w:rFonts w:ascii="Arial Narrow" w:hAnsi="Arial Narrow" w:cs="Arial"/>
                <w:b/>
                <w:bCs/>
                <w:color w:val="000000"/>
                <w:sz w:val="18"/>
                <w:szCs w:val="18"/>
                <w:lang w:val="es-CR" w:eastAsia="es-CR"/>
              </w:rPr>
              <w:t>Cantidad de m</w:t>
            </w:r>
            <w:r w:rsidR="00EB7E6E" w:rsidRPr="00704B08">
              <w:rPr>
                <w:rFonts w:ascii="Arial Narrow" w:hAnsi="Arial Narrow" w:cs="Arial"/>
                <w:b/>
                <w:bCs/>
                <w:color w:val="000000"/>
                <w:sz w:val="18"/>
                <w:szCs w:val="18"/>
                <w:lang w:val="es-CR" w:eastAsia="es-CR"/>
              </w:rPr>
              <w:t>etas</w:t>
            </w:r>
            <w:r w:rsidR="006157A3">
              <w:rPr>
                <w:rFonts w:ascii="Arial Narrow" w:hAnsi="Arial Narrow" w:cs="Arial"/>
                <w:b/>
                <w:bCs/>
                <w:color w:val="000000"/>
                <w:sz w:val="18"/>
                <w:szCs w:val="18"/>
                <w:lang w:val="es-CR" w:eastAsia="es-CR"/>
              </w:rPr>
              <w:t xml:space="preserve"> estratégicas</w:t>
            </w:r>
          </w:p>
        </w:tc>
      </w:tr>
      <w:tr w:rsidR="00EB7E6E" w:rsidRPr="009D5823" w14:paraId="322A07EB" w14:textId="77777777" w:rsidTr="00704B08">
        <w:trPr>
          <w:trHeight w:val="542"/>
        </w:trPr>
        <w:tc>
          <w:tcPr>
            <w:tcW w:w="650" w:type="dxa"/>
            <w:tcBorders>
              <w:top w:val="nil"/>
              <w:left w:val="single" w:sz="4" w:space="0" w:color="auto"/>
              <w:bottom w:val="single" w:sz="4" w:space="0" w:color="auto"/>
              <w:right w:val="single" w:sz="4" w:space="0" w:color="auto"/>
            </w:tcBorders>
            <w:shd w:val="clear" w:color="000000" w:fill="FFFFFF"/>
            <w:noWrap/>
            <w:vAlign w:val="center"/>
            <w:hideMark/>
          </w:tcPr>
          <w:p w14:paraId="34DAE9BA" w14:textId="77777777" w:rsidR="00EB7E6E" w:rsidRPr="00704B08" w:rsidRDefault="00EB7E6E" w:rsidP="009D5823">
            <w:pPr>
              <w:jc w:val="center"/>
              <w:rPr>
                <w:rFonts w:ascii="Arial Narrow" w:hAnsi="Arial Narrow" w:cs="Arial"/>
                <w:color w:val="000000"/>
                <w:sz w:val="18"/>
                <w:szCs w:val="18"/>
                <w:lang w:val="es-CR" w:eastAsia="es-CR"/>
              </w:rPr>
            </w:pPr>
            <w:r w:rsidRPr="00704B08">
              <w:rPr>
                <w:rFonts w:ascii="Arial Narrow" w:hAnsi="Arial Narrow" w:cs="Arial"/>
                <w:color w:val="000000"/>
                <w:sz w:val="18"/>
                <w:szCs w:val="18"/>
                <w:lang w:val="es-CR" w:eastAsia="es-CR"/>
              </w:rPr>
              <w:t>1.0</w:t>
            </w:r>
          </w:p>
        </w:tc>
        <w:tc>
          <w:tcPr>
            <w:tcW w:w="1093" w:type="dxa"/>
            <w:tcBorders>
              <w:top w:val="nil"/>
              <w:left w:val="nil"/>
              <w:bottom w:val="single" w:sz="4" w:space="0" w:color="auto"/>
              <w:right w:val="single" w:sz="4" w:space="0" w:color="auto"/>
            </w:tcBorders>
            <w:shd w:val="clear" w:color="000000" w:fill="FFFFFF"/>
            <w:noWrap/>
            <w:vAlign w:val="center"/>
            <w:hideMark/>
          </w:tcPr>
          <w:p w14:paraId="4D4558A4" w14:textId="77777777" w:rsidR="00EB7E6E" w:rsidRPr="00704B08" w:rsidRDefault="00EB7E6E" w:rsidP="00704B08">
            <w:pPr>
              <w:jc w:val="center"/>
              <w:rPr>
                <w:rFonts w:ascii="Arial Narrow" w:hAnsi="Arial Narrow" w:cs="Arial"/>
                <w:color w:val="000000"/>
                <w:sz w:val="18"/>
                <w:szCs w:val="18"/>
                <w:lang w:val="es-CR" w:eastAsia="es-CR"/>
              </w:rPr>
            </w:pPr>
            <w:r w:rsidRPr="00704B08">
              <w:rPr>
                <w:rFonts w:ascii="Arial Narrow" w:hAnsi="Arial Narrow" w:cs="Arial"/>
                <w:color w:val="000000"/>
                <w:sz w:val="18"/>
                <w:szCs w:val="18"/>
                <w:lang w:val="es-CR" w:eastAsia="es-CR"/>
              </w:rPr>
              <w:t>1463-PLA-2018</w:t>
            </w:r>
          </w:p>
        </w:tc>
        <w:tc>
          <w:tcPr>
            <w:tcW w:w="1207" w:type="dxa"/>
            <w:tcBorders>
              <w:top w:val="nil"/>
              <w:left w:val="nil"/>
              <w:bottom w:val="single" w:sz="4" w:space="0" w:color="auto"/>
              <w:right w:val="single" w:sz="4" w:space="0" w:color="auto"/>
            </w:tcBorders>
            <w:shd w:val="clear" w:color="000000" w:fill="FFFFFF"/>
            <w:noWrap/>
            <w:vAlign w:val="center"/>
            <w:hideMark/>
          </w:tcPr>
          <w:p w14:paraId="78665DC5" w14:textId="12CB715E" w:rsidR="00EB7E6E" w:rsidRPr="00704B08" w:rsidRDefault="00EB7E6E" w:rsidP="009D5823">
            <w:pPr>
              <w:jc w:val="center"/>
              <w:rPr>
                <w:rFonts w:ascii="Arial Narrow" w:hAnsi="Arial Narrow" w:cs="Arial"/>
                <w:color w:val="000000"/>
                <w:sz w:val="18"/>
                <w:szCs w:val="18"/>
                <w:lang w:val="es-CR" w:eastAsia="es-CR"/>
              </w:rPr>
            </w:pPr>
            <w:r>
              <w:rPr>
                <w:rFonts w:ascii="Arial Narrow" w:hAnsi="Arial Narrow" w:cs="Arial"/>
                <w:color w:val="000000"/>
                <w:sz w:val="18"/>
                <w:szCs w:val="18"/>
                <w:lang w:val="es-CR" w:eastAsia="es-CR"/>
              </w:rPr>
              <w:t>30/11/18</w:t>
            </w:r>
          </w:p>
        </w:tc>
        <w:tc>
          <w:tcPr>
            <w:tcW w:w="1828" w:type="dxa"/>
            <w:tcBorders>
              <w:top w:val="nil"/>
              <w:left w:val="nil"/>
              <w:bottom w:val="single" w:sz="4" w:space="0" w:color="auto"/>
              <w:right w:val="single" w:sz="4" w:space="0" w:color="auto"/>
            </w:tcBorders>
            <w:shd w:val="clear" w:color="000000" w:fill="FFFFFF"/>
            <w:vAlign w:val="center"/>
            <w:hideMark/>
          </w:tcPr>
          <w:p w14:paraId="0A2858BD" w14:textId="4E159F4B" w:rsidR="00EB7E6E" w:rsidRPr="00704B08" w:rsidRDefault="00EB7E6E" w:rsidP="00704B08">
            <w:pPr>
              <w:jc w:val="center"/>
              <w:rPr>
                <w:rFonts w:ascii="Arial Narrow" w:hAnsi="Arial Narrow" w:cs="Arial"/>
                <w:color w:val="000000"/>
                <w:sz w:val="18"/>
                <w:szCs w:val="18"/>
                <w:lang w:val="es-CR" w:eastAsia="es-CR"/>
              </w:rPr>
            </w:pPr>
            <w:r w:rsidRPr="00704B08">
              <w:rPr>
                <w:rFonts w:ascii="Arial Narrow" w:hAnsi="Arial Narrow" w:cs="Arial"/>
                <w:color w:val="000000"/>
                <w:sz w:val="18"/>
                <w:szCs w:val="18"/>
                <w:lang w:val="es-CR" w:eastAsia="es-CR"/>
              </w:rPr>
              <w:t>Acta de Corte Plena 71-2018, Artículo VI</w:t>
            </w:r>
          </w:p>
        </w:tc>
        <w:tc>
          <w:tcPr>
            <w:tcW w:w="746" w:type="dxa"/>
            <w:tcBorders>
              <w:top w:val="nil"/>
              <w:left w:val="nil"/>
              <w:bottom w:val="single" w:sz="4" w:space="0" w:color="auto"/>
              <w:right w:val="single" w:sz="4" w:space="0" w:color="auto"/>
            </w:tcBorders>
            <w:shd w:val="clear" w:color="000000" w:fill="FFFFFF"/>
            <w:noWrap/>
            <w:vAlign w:val="center"/>
            <w:hideMark/>
          </w:tcPr>
          <w:p w14:paraId="48E0FC0A" w14:textId="4E435CED" w:rsidR="00EB7E6E" w:rsidRPr="00704B08" w:rsidRDefault="00EB7E6E" w:rsidP="009D5823">
            <w:pPr>
              <w:jc w:val="center"/>
              <w:rPr>
                <w:rFonts w:ascii="Arial Narrow" w:hAnsi="Arial Narrow" w:cs="Arial"/>
                <w:color w:val="000000"/>
                <w:sz w:val="18"/>
                <w:szCs w:val="18"/>
                <w:lang w:val="es-CR" w:eastAsia="es-CR"/>
              </w:rPr>
            </w:pPr>
            <w:r>
              <w:rPr>
                <w:rFonts w:ascii="Arial Narrow" w:hAnsi="Arial Narrow" w:cs="Arial"/>
                <w:color w:val="000000"/>
                <w:sz w:val="18"/>
                <w:szCs w:val="18"/>
                <w:lang w:val="es-CR" w:eastAsia="es-CR"/>
              </w:rPr>
              <w:t>7/12/18</w:t>
            </w:r>
          </w:p>
        </w:tc>
        <w:tc>
          <w:tcPr>
            <w:tcW w:w="1616" w:type="dxa"/>
            <w:tcBorders>
              <w:top w:val="nil"/>
              <w:left w:val="nil"/>
              <w:bottom w:val="single" w:sz="4" w:space="0" w:color="auto"/>
              <w:right w:val="single" w:sz="4" w:space="0" w:color="auto"/>
            </w:tcBorders>
            <w:shd w:val="clear" w:color="000000" w:fill="FFFFFF"/>
            <w:vAlign w:val="center"/>
            <w:hideMark/>
          </w:tcPr>
          <w:p w14:paraId="7A31DA01" w14:textId="77777777" w:rsidR="00EB7E6E" w:rsidRPr="00704B08" w:rsidRDefault="00EB7E6E" w:rsidP="00704B08">
            <w:pPr>
              <w:jc w:val="center"/>
              <w:rPr>
                <w:rFonts w:ascii="Arial Narrow" w:hAnsi="Arial Narrow" w:cs="Arial"/>
                <w:color w:val="000000"/>
                <w:sz w:val="18"/>
                <w:szCs w:val="18"/>
                <w:lang w:val="es-CR" w:eastAsia="es-CR"/>
              </w:rPr>
            </w:pPr>
            <w:r w:rsidRPr="00704B08">
              <w:rPr>
                <w:rFonts w:ascii="Arial Narrow" w:hAnsi="Arial Narrow" w:cs="Arial"/>
                <w:color w:val="000000"/>
                <w:sz w:val="18"/>
                <w:szCs w:val="18"/>
                <w:lang w:val="es-CR" w:eastAsia="es-CR"/>
              </w:rPr>
              <w:t>Aprobación inicial</w:t>
            </w:r>
          </w:p>
        </w:tc>
        <w:tc>
          <w:tcPr>
            <w:tcW w:w="772" w:type="dxa"/>
            <w:tcBorders>
              <w:top w:val="nil"/>
              <w:left w:val="nil"/>
              <w:bottom w:val="single" w:sz="4" w:space="0" w:color="auto"/>
              <w:right w:val="single" w:sz="4" w:space="0" w:color="auto"/>
            </w:tcBorders>
            <w:shd w:val="clear" w:color="000000" w:fill="FFFFFF"/>
            <w:vAlign w:val="center"/>
            <w:hideMark/>
          </w:tcPr>
          <w:p w14:paraId="6585586A" w14:textId="77777777" w:rsidR="00EB7E6E" w:rsidRPr="00704B08" w:rsidRDefault="00EB7E6E" w:rsidP="00704B08">
            <w:pPr>
              <w:jc w:val="center"/>
              <w:rPr>
                <w:rFonts w:ascii="Arial Narrow" w:hAnsi="Arial Narrow" w:cs="Arial"/>
                <w:color w:val="000000"/>
                <w:sz w:val="18"/>
                <w:szCs w:val="18"/>
                <w:lang w:val="es-CR" w:eastAsia="es-CR"/>
              </w:rPr>
            </w:pPr>
            <w:r w:rsidRPr="00704B08">
              <w:rPr>
                <w:rFonts w:ascii="Arial Narrow" w:hAnsi="Arial Narrow" w:cs="Arial"/>
                <w:color w:val="000000"/>
                <w:sz w:val="18"/>
                <w:szCs w:val="18"/>
                <w:lang w:val="es-CR" w:eastAsia="es-CR"/>
              </w:rPr>
              <w:t>5</w:t>
            </w:r>
          </w:p>
        </w:tc>
        <w:tc>
          <w:tcPr>
            <w:tcW w:w="757" w:type="dxa"/>
            <w:tcBorders>
              <w:top w:val="nil"/>
              <w:left w:val="nil"/>
              <w:bottom w:val="single" w:sz="4" w:space="0" w:color="auto"/>
              <w:right w:val="single" w:sz="4" w:space="0" w:color="auto"/>
            </w:tcBorders>
            <w:shd w:val="clear" w:color="000000" w:fill="FFFFFF"/>
            <w:vAlign w:val="center"/>
            <w:hideMark/>
          </w:tcPr>
          <w:p w14:paraId="479DC4AE" w14:textId="77777777" w:rsidR="00EB7E6E" w:rsidRPr="00704B08" w:rsidRDefault="00EB7E6E" w:rsidP="00704B08">
            <w:pPr>
              <w:jc w:val="center"/>
              <w:rPr>
                <w:rFonts w:ascii="Arial Narrow" w:hAnsi="Arial Narrow" w:cs="Arial"/>
                <w:color w:val="000000"/>
                <w:sz w:val="18"/>
                <w:szCs w:val="18"/>
                <w:lang w:val="es-CR" w:eastAsia="es-CR"/>
              </w:rPr>
            </w:pPr>
            <w:r w:rsidRPr="00704B08">
              <w:rPr>
                <w:rFonts w:ascii="Arial Narrow" w:hAnsi="Arial Narrow" w:cs="Arial"/>
                <w:color w:val="000000"/>
                <w:sz w:val="18"/>
                <w:szCs w:val="18"/>
                <w:lang w:val="es-CR" w:eastAsia="es-CR"/>
              </w:rPr>
              <w:t>22</w:t>
            </w:r>
          </w:p>
        </w:tc>
        <w:tc>
          <w:tcPr>
            <w:tcW w:w="534" w:type="dxa"/>
            <w:tcBorders>
              <w:top w:val="nil"/>
              <w:left w:val="nil"/>
              <w:bottom w:val="single" w:sz="4" w:space="0" w:color="auto"/>
              <w:right w:val="single" w:sz="4" w:space="0" w:color="auto"/>
            </w:tcBorders>
            <w:shd w:val="clear" w:color="000000" w:fill="FFFFFF"/>
            <w:vAlign w:val="center"/>
            <w:hideMark/>
          </w:tcPr>
          <w:p w14:paraId="0A8F2FD0" w14:textId="77777777" w:rsidR="00EB7E6E" w:rsidRPr="00704B08" w:rsidRDefault="00EB7E6E" w:rsidP="00704B08">
            <w:pPr>
              <w:jc w:val="center"/>
              <w:rPr>
                <w:rFonts w:ascii="Arial Narrow" w:hAnsi="Arial Narrow" w:cs="Arial"/>
                <w:color w:val="000000"/>
                <w:sz w:val="18"/>
                <w:szCs w:val="18"/>
                <w:lang w:val="es-CR" w:eastAsia="es-CR"/>
              </w:rPr>
            </w:pPr>
            <w:r w:rsidRPr="00704B08">
              <w:rPr>
                <w:rFonts w:ascii="Arial Narrow" w:hAnsi="Arial Narrow" w:cs="Arial"/>
                <w:color w:val="000000"/>
                <w:sz w:val="18"/>
                <w:szCs w:val="18"/>
                <w:lang w:val="es-CR" w:eastAsia="es-CR"/>
              </w:rPr>
              <w:t>228</w:t>
            </w:r>
          </w:p>
        </w:tc>
      </w:tr>
      <w:tr w:rsidR="00EB7E6E" w:rsidRPr="009D5823" w14:paraId="531894BB" w14:textId="77777777" w:rsidTr="00704B08">
        <w:trPr>
          <w:trHeight w:val="1355"/>
        </w:trPr>
        <w:tc>
          <w:tcPr>
            <w:tcW w:w="650" w:type="dxa"/>
            <w:tcBorders>
              <w:top w:val="nil"/>
              <w:left w:val="single" w:sz="4" w:space="0" w:color="auto"/>
              <w:bottom w:val="single" w:sz="4" w:space="0" w:color="auto"/>
              <w:right w:val="single" w:sz="4" w:space="0" w:color="auto"/>
            </w:tcBorders>
            <w:shd w:val="clear" w:color="000000" w:fill="FFFFFF"/>
            <w:noWrap/>
            <w:vAlign w:val="center"/>
            <w:hideMark/>
          </w:tcPr>
          <w:p w14:paraId="117E958B" w14:textId="77777777" w:rsidR="00EB7E6E" w:rsidRPr="00704B08" w:rsidRDefault="00EB7E6E" w:rsidP="009D5823">
            <w:pPr>
              <w:jc w:val="center"/>
              <w:rPr>
                <w:rFonts w:ascii="Arial Narrow" w:hAnsi="Arial Narrow" w:cs="Arial"/>
                <w:color w:val="000000"/>
                <w:sz w:val="18"/>
                <w:szCs w:val="18"/>
                <w:lang w:val="es-CR" w:eastAsia="es-CR"/>
              </w:rPr>
            </w:pPr>
            <w:r w:rsidRPr="00704B08">
              <w:rPr>
                <w:rFonts w:ascii="Arial Narrow" w:hAnsi="Arial Narrow" w:cs="Arial"/>
                <w:color w:val="000000"/>
                <w:sz w:val="18"/>
                <w:szCs w:val="18"/>
                <w:lang w:val="es-CR" w:eastAsia="es-CR"/>
              </w:rPr>
              <w:t>2.0</w:t>
            </w:r>
          </w:p>
        </w:tc>
        <w:tc>
          <w:tcPr>
            <w:tcW w:w="1093" w:type="dxa"/>
            <w:tcBorders>
              <w:top w:val="nil"/>
              <w:left w:val="nil"/>
              <w:bottom w:val="single" w:sz="4" w:space="0" w:color="auto"/>
              <w:right w:val="single" w:sz="4" w:space="0" w:color="auto"/>
            </w:tcBorders>
            <w:shd w:val="clear" w:color="000000" w:fill="FFFFFF"/>
            <w:noWrap/>
            <w:vAlign w:val="center"/>
            <w:hideMark/>
          </w:tcPr>
          <w:p w14:paraId="403BC0CD" w14:textId="77777777" w:rsidR="00EB7E6E" w:rsidRPr="00704B08" w:rsidRDefault="00EB7E6E" w:rsidP="00704B08">
            <w:pPr>
              <w:jc w:val="center"/>
              <w:rPr>
                <w:rFonts w:ascii="Arial Narrow" w:hAnsi="Arial Narrow" w:cs="Arial"/>
                <w:color w:val="000000"/>
                <w:sz w:val="18"/>
                <w:szCs w:val="18"/>
                <w:lang w:val="es-CR" w:eastAsia="es-CR"/>
              </w:rPr>
            </w:pPr>
            <w:r w:rsidRPr="00704B08">
              <w:rPr>
                <w:rFonts w:ascii="Arial Narrow" w:hAnsi="Arial Narrow" w:cs="Arial"/>
                <w:color w:val="000000"/>
                <w:sz w:val="18"/>
                <w:szCs w:val="18"/>
                <w:lang w:val="es-CR" w:eastAsia="es-CR"/>
              </w:rPr>
              <w:t>156-PLA-PE-2019</w:t>
            </w:r>
          </w:p>
        </w:tc>
        <w:tc>
          <w:tcPr>
            <w:tcW w:w="1207" w:type="dxa"/>
            <w:tcBorders>
              <w:top w:val="nil"/>
              <w:left w:val="nil"/>
              <w:bottom w:val="single" w:sz="4" w:space="0" w:color="auto"/>
              <w:right w:val="single" w:sz="4" w:space="0" w:color="auto"/>
            </w:tcBorders>
            <w:shd w:val="clear" w:color="000000" w:fill="FFFFFF"/>
            <w:noWrap/>
            <w:vAlign w:val="center"/>
            <w:hideMark/>
          </w:tcPr>
          <w:p w14:paraId="4F604101" w14:textId="7FC47E95" w:rsidR="00EB7E6E" w:rsidRPr="00704B08" w:rsidRDefault="00EB7E6E" w:rsidP="009D5823">
            <w:pPr>
              <w:jc w:val="center"/>
              <w:rPr>
                <w:rFonts w:ascii="Arial Narrow" w:hAnsi="Arial Narrow" w:cs="Arial"/>
                <w:color w:val="000000"/>
                <w:sz w:val="18"/>
                <w:szCs w:val="18"/>
                <w:lang w:val="es-CR" w:eastAsia="es-CR"/>
              </w:rPr>
            </w:pPr>
            <w:r>
              <w:rPr>
                <w:rFonts w:ascii="Arial Narrow" w:hAnsi="Arial Narrow" w:cs="Arial"/>
                <w:color w:val="000000"/>
                <w:sz w:val="18"/>
                <w:szCs w:val="18"/>
                <w:lang w:val="es-CR" w:eastAsia="es-CR"/>
              </w:rPr>
              <w:t>8/2/19</w:t>
            </w:r>
          </w:p>
        </w:tc>
        <w:tc>
          <w:tcPr>
            <w:tcW w:w="1828" w:type="dxa"/>
            <w:tcBorders>
              <w:top w:val="nil"/>
              <w:left w:val="nil"/>
              <w:bottom w:val="single" w:sz="4" w:space="0" w:color="auto"/>
              <w:right w:val="single" w:sz="4" w:space="0" w:color="auto"/>
            </w:tcBorders>
            <w:shd w:val="clear" w:color="000000" w:fill="FFFFFF"/>
            <w:vAlign w:val="center"/>
            <w:hideMark/>
          </w:tcPr>
          <w:p w14:paraId="3AAA969C" w14:textId="2D7535A4" w:rsidR="00EB7E6E" w:rsidRPr="00704B08" w:rsidRDefault="00EB7E6E" w:rsidP="00704B08">
            <w:pPr>
              <w:jc w:val="center"/>
              <w:rPr>
                <w:rFonts w:ascii="Arial Narrow" w:hAnsi="Arial Narrow" w:cs="Arial"/>
                <w:color w:val="000000"/>
                <w:sz w:val="18"/>
                <w:szCs w:val="18"/>
                <w:lang w:val="es-CR" w:eastAsia="es-CR"/>
              </w:rPr>
            </w:pPr>
            <w:r w:rsidRPr="00704B08">
              <w:rPr>
                <w:rFonts w:ascii="Arial Narrow" w:hAnsi="Arial Narrow" w:cs="Arial"/>
                <w:color w:val="000000"/>
                <w:sz w:val="18"/>
                <w:szCs w:val="18"/>
                <w:lang w:val="es-CR" w:eastAsia="es-CR"/>
              </w:rPr>
              <w:t>Acta de Corte Plena</w:t>
            </w:r>
            <w:r w:rsidR="00441D03">
              <w:rPr>
                <w:rFonts w:ascii="Arial Narrow" w:hAnsi="Arial Narrow" w:cs="Arial"/>
                <w:color w:val="000000"/>
                <w:sz w:val="18"/>
                <w:szCs w:val="18"/>
                <w:lang w:val="es-CR" w:eastAsia="es-CR"/>
              </w:rPr>
              <w:t xml:space="preserve"> </w:t>
            </w:r>
            <w:r w:rsidRPr="00704B08">
              <w:rPr>
                <w:rFonts w:ascii="Arial Narrow" w:hAnsi="Arial Narrow" w:cs="Arial"/>
                <w:color w:val="000000"/>
                <w:sz w:val="18"/>
                <w:szCs w:val="18"/>
                <w:lang w:val="es-CR" w:eastAsia="es-CR"/>
              </w:rPr>
              <w:t>6</w:t>
            </w:r>
            <w:r w:rsidR="00441D03">
              <w:rPr>
                <w:rFonts w:ascii="Arial Narrow" w:hAnsi="Arial Narrow" w:cs="Arial"/>
                <w:color w:val="000000"/>
                <w:sz w:val="18"/>
                <w:szCs w:val="18"/>
                <w:lang w:val="es-CR" w:eastAsia="es-CR"/>
              </w:rPr>
              <w:t>-</w:t>
            </w:r>
            <w:r w:rsidRPr="00704B08">
              <w:rPr>
                <w:rFonts w:ascii="Arial Narrow" w:hAnsi="Arial Narrow" w:cs="Arial"/>
                <w:color w:val="000000"/>
                <w:sz w:val="18"/>
                <w:szCs w:val="18"/>
                <w:lang w:val="es-CR" w:eastAsia="es-CR"/>
              </w:rPr>
              <w:t>2019, Artículo XXIX. Ver acta:  https://nexuspj.poder-judicial.go.cr/document/act-1-0003-3699-64</w:t>
            </w:r>
          </w:p>
        </w:tc>
        <w:tc>
          <w:tcPr>
            <w:tcW w:w="746" w:type="dxa"/>
            <w:tcBorders>
              <w:top w:val="nil"/>
              <w:left w:val="nil"/>
              <w:bottom w:val="single" w:sz="4" w:space="0" w:color="auto"/>
              <w:right w:val="single" w:sz="4" w:space="0" w:color="auto"/>
            </w:tcBorders>
            <w:shd w:val="clear" w:color="000000" w:fill="FFFFFF"/>
            <w:noWrap/>
            <w:vAlign w:val="center"/>
            <w:hideMark/>
          </w:tcPr>
          <w:p w14:paraId="3D60B0F2" w14:textId="14ECCEEE" w:rsidR="00EB7E6E" w:rsidRPr="00704B08" w:rsidRDefault="00EB7E6E" w:rsidP="009D5823">
            <w:pPr>
              <w:jc w:val="center"/>
              <w:rPr>
                <w:rFonts w:ascii="Arial Narrow" w:hAnsi="Arial Narrow" w:cs="Arial"/>
                <w:color w:val="000000"/>
                <w:sz w:val="18"/>
                <w:szCs w:val="18"/>
                <w:lang w:val="es-CR" w:eastAsia="es-CR"/>
              </w:rPr>
            </w:pPr>
            <w:r>
              <w:rPr>
                <w:rFonts w:ascii="Arial Narrow" w:hAnsi="Arial Narrow" w:cs="Arial"/>
                <w:color w:val="000000"/>
                <w:sz w:val="18"/>
                <w:szCs w:val="18"/>
                <w:lang w:val="es-CR" w:eastAsia="es-CR"/>
              </w:rPr>
              <w:t>18/2/19</w:t>
            </w:r>
          </w:p>
        </w:tc>
        <w:tc>
          <w:tcPr>
            <w:tcW w:w="1616" w:type="dxa"/>
            <w:tcBorders>
              <w:top w:val="nil"/>
              <w:left w:val="nil"/>
              <w:bottom w:val="single" w:sz="4" w:space="0" w:color="auto"/>
              <w:right w:val="single" w:sz="4" w:space="0" w:color="auto"/>
            </w:tcBorders>
            <w:shd w:val="clear" w:color="000000" w:fill="FFFFFF"/>
            <w:vAlign w:val="center"/>
            <w:hideMark/>
          </w:tcPr>
          <w:p w14:paraId="4170F853" w14:textId="276E5082" w:rsidR="00EB7E6E" w:rsidRPr="00704B08" w:rsidRDefault="00EB7E6E" w:rsidP="00704B08">
            <w:pPr>
              <w:jc w:val="center"/>
              <w:rPr>
                <w:rFonts w:ascii="Arial Narrow" w:hAnsi="Arial Narrow" w:cs="Arial"/>
                <w:color w:val="000000"/>
                <w:sz w:val="18"/>
                <w:szCs w:val="18"/>
                <w:lang w:val="es-CR" w:eastAsia="es-CR"/>
              </w:rPr>
            </w:pPr>
            <w:r w:rsidRPr="00704B08">
              <w:rPr>
                <w:rFonts w:ascii="Arial Narrow" w:hAnsi="Arial Narrow" w:cs="Arial"/>
                <w:color w:val="000000"/>
                <w:sz w:val="18"/>
                <w:szCs w:val="18"/>
                <w:lang w:val="es-CR" w:eastAsia="es-CR"/>
              </w:rPr>
              <w:t>1.Modificación de responsable al Despacho de la Presidencia y a las coordinaciones de las metas estratégicas relacionadas con las 10 reformas urgentes de la Corte Plena.</w:t>
            </w:r>
          </w:p>
        </w:tc>
        <w:tc>
          <w:tcPr>
            <w:tcW w:w="772" w:type="dxa"/>
            <w:tcBorders>
              <w:top w:val="nil"/>
              <w:left w:val="nil"/>
              <w:bottom w:val="single" w:sz="4" w:space="0" w:color="auto"/>
              <w:right w:val="single" w:sz="4" w:space="0" w:color="auto"/>
            </w:tcBorders>
            <w:shd w:val="clear" w:color="000000" w:fill="FFFFFF"/>
            <w:vAlign w:val="center"/>
            <w:hideMark/>
          </w:tcPr>
          <w:p w14:paraId="25F35BC6" w14:textId="77777777" w:rsidR="00EB7E6E" w:rsidRPr="00704B08" w:rsidRDefault="00EB7E6E" w:rsidP="00704B08">
            <w:pPr>
              <w:jc w:val="center"/>
              <w:rPr>
                <w:rFonts w:ascii="Arial Narrow" w:hAnsi="Arial Narrow" w:cs="Arial"/>
                <w:color w:val="000000"/>
                <w:sz w:val="18"/>
                <w:szCs w:val="18"/>
                <w:lang w:val="es-CR" w:eastAsia="es-CR"/>
              </w:rPr>
            </w:pPr>
            <w:r w:rsidRPr="00704B08">
              <w:rPr>
                <w:rFonts w:ascii="Arial Narrow" w:hAnsi="Arial Narrow" w:cs="Arial"/>
                <w:color w:val="000000"/>
                <w:sz w:val="18"/>
                <w:szCs w:val="18"/>
                <w:lang w:val="es-CR" w:eastAsia="es-CR"/>
              </w:rPr>
              <w:t>5</w:t>
            </w:r>
          </w:p>
        </w:tc>
        <w:tc>
          <w:tcPr>
            <w:tcW w:w="757" w:type="dxa"/>
            <w:tcBorders>
              <w:top w:val="nil"/>
              <w:left w:val="nil"/>
              <w:bottom w:val="single" w:sz="4" w:space="0" w:color="auto"/>
              <w:right w:val="single" w:sz="4" w:space="0" w:color="auto"/>
            </w:tcBorders>
            <w:shd w:val="clear" w:color="000000" w:fill="FFFFFF"/>
            <w:vAlign w:val="center"/>
            <w:hideMark/>
          </w:tcPr>
          <w:p w14:paraId="041489AF" w14:textId="77777777" w:rsidR="00EB7E6E" w:rsidRPr="00704B08" w:rsidRDefault="00EB7E6E" w:rsidP="00704B08">
            <w:pPr>
              <w:jc w:val="center"/>
              <w:rPr>
                <w:rFonts w:ascii="Arial Narrow" w:hAnsi="Arial Narrow" w:cs="Arial"/>
                <w:color w:val="000000"/>
                <w:sz w:val="18"/>
                <w:szCs w:val="18"/>
                <w:lang w:val="es-CR" w:eastAsia="es-CR"/>
              </w:rPr>
            </w:pPr>
            <w:r w:rsidRPr="00704B08">
              <w:rPr>
                <w:rFonts w:ascii="Arial Narrow" w:hAnsi="Arial Narrow" w:cs="Arial"/>
                <w:color w:val="000000"/>
                <w:sz w:val="18"/>
                <w:szCs w:val="18"/>
                <w:lang w:val="es-CR" w:eastAsia="es-CR"/>
              </w:rPr>
              <w:t>22</w:t>
            </w:r>
          </w:p>
        </w:tc>
        <w:tc>
          <w:tcPr>
            <w:tcW w:w="534" w:type="dxa"/>
            <w:tcBorders>
              <w:top w:val="nil"/>
              <w:left w:val="nil"/>
              <w:bottom w:val="single" w:sz="4" w:space="0" w:color="auto"/>
              <w:right w:val="single" w:sz="4" w:space="0" w:color="auto"/>
            </w:tcBorders>
            <w:shd w:val="clear" w:color="000000" w:fill="FFFFFF"/>
            <w:vAlign w:val="center"/>
            <w:hideMark/>
          </w:tcPr>
          <w:p w14:paraId="22F2AE61" w14:textId="77777777" w:rsidR="00EB7E6E" w:rsidRPr="00704B08" w:rsidRDefault="00EB7E6E" w:rsidP="00704B08">
            <w:pPr>
              <w:jc w:val="center"/>
              <w:rPr>
                <w:rFonts w:ascii="Arial Narrow" w:hAnsi="Arial Narrow" w:cs="Arial"/>
                <w:color w:val="000000"/>
                <w:sz w:val="18"/>
                <w:szCs w:val="18"/>
                <w:lang w:val="es-CR" w:eastAsia="es-CR"/>
              </w:rPr>
            </w:pPr>
            <w:r w:rsidRPr="00704B08">
              <w:rPr>
                <w:rFonts w:ascii="Arial Narrow" w:hAnsi="Arial Narrow" w:cs="Arial"/>
                <w:color w:val="000000"/>
                <w:sz w:val="18"/>
                <w:szCs w:val="18"/>
                <w:lang w:val="es-CR" w:eastAsia="es-CR"/>
              </w:rPr>
              <w:t>228</w:t>
            </w:r>
          </w:p>
        </w:tc>
      </w:tr>
      <w:tr w:rsidR="00EB7E6E" w:rsidRPr="009D5823" w14:paraId="22C68F0B" w14:textId="77777777" w:rsidTr="00704B08">
        <w:trPr>
          <w:trHeight w:val="1355"/>
        </w:trPr>
        <w:tc>
          <w:tcPr>
            <w:tcW w:w="650" w:type="dxa"/>
            <w:tcBorders>
              <w:top w:val="nil"/>
              <w:left w:val="single" w:sz="4" w:space="0" w:color="auto"/>
              <w:bottom w:val="single" w:sz="4" w:space="0" w:color="auto"/>
              <w:right w:val="single" w:sz="4" w:space="0" w:color="auto"/>
            </w:tcBorders>
            <w:shd w:val="clear" w:color="000000" w:fill="FFFFFF"/>
            <w:noWrap/>
            <w:vAlign w:val="center"/>
            <w:hideMark/>
          </w:tcPr>
          <w:p w14:paraId="710EAD70" w14:textId="77777777" w:rsidR="00EB7E6E" w:rsidRPr="00704B08" w:rsidRDefault="00EB7E6E" w:rsidP="009D5823">
            <w:pPr>
              <w:jc w:val="center"/>
              <w:rPr>
                <w:rFonts w:ascii="Arial Narrow" w:hAnsi="Arial Narrow" w:cs="Arial"/>
                <w:color w:val="000000"/>
                <w:sz w:val="18"/>
                <w:szCs w:val="18"/>
                <w:lang w:val="es-CR" w:eastAsia="es-CR"/>
              </w:rPr>
            </w:pPr>
            <w:r w:rsidRPr="00704B08">
              <w:rPr>
                <w:rFonts w:ascii="Arial Narrow" w:hAnsi="Arial Narrow" w:cs="Arial"/>
                <w:color w:val="000000"/>
                <w:sz w:val="18"/>
                <w:szCs w:val="18"/>
                <w:lang w:val="es-CR" w:eastAsia="es-CR"/>
              </w:rPr>
              <w:t>3.0</w:t>
            </w:r>
          </w:p>
        </w:tc>
        <w:tc>
          <w:tcPr>
            <w:tcW w:w="1093" w:type="dxa"/>
            <w:tcBorders>
              <w:top w:val="nil"/>
              <w:left w:val="nil"/>
              <w:bottom w:val="single" w:sz="4" w:space="0" w:color="auto"/>
              <w:right w:val="single" w:sz="4" w:space="0" w:color="auto"/>
            </w:tcBorders>
            <w:shd w:val="clear" w:color="000000" w:fill="FFFFFF"/>
            <w:noWrap/>
            <w:vAlign w:val="center"/>
            <w:hideMark/>
          </w:tcPr>
          <w:p w14:paraId="5B2083EB" w14:textId="77777777" w:rsidR="00EB7E6E" w:rsidRPr="00704B08" w:rsidRDefault="00EB7E6E" w:rsidP="00704B08">
            <w:pPr>
              <w:jc w:val="center"/>
              <w:rPr>
                <w:rFonts w:ascii="Arial Narrow" w:hAnsi="Arial Narrow" w:cs="Arial"/>
                <w:color w:val="000000"/>
                <w:sz w:val="18"/>
                <w:szCs w:val="18"/>
                <w:lang w:val="es-CR" w:eastAsia="es-CR"/>
              </w:rPr>
            </w:pPr>
            <w:r w:rsidRPr="00704B08">
              <w:rPr>
                <w:rFonts w:ascii="Arial Narrow" w:hAnsi="Arial Narrow" w:cs="Arial"/>
                <w:color w:val="000000"/>
                <w:sz w:val="18"/>
                <w:szCs w:val="18"/>
                <w:lang w:val="es-CR" w:eastAsia="es-CR"/>
              </w:rPr>
              <w:t>449-PLA-PE-2019</w:t>
            </w:r>
          </w:p>
        </w:tc>
        <w:tc>
          <w:tcPr>
            <w:tcW w:w="1207" w:type="dxa"/>
            <w:tcBorders>
              <w:top w:val="nil"/>
              <w:left w:val="nil"/>
              <w:bottom w:val="single" w:sz="4" w:space="0" w:color="auto"/>
              <w:right w:val="single" w:sz="4" w:space="0" w:color="auto"/>
            </w:tcBorders>
            <w:shd w:val="clear" w:color="000000" w:fill="FFFFFF"/>
            <w:noWrap/>
            <w:vAlign w:val="center"/>
            <w:hideMark/>
          </w:tcPr>
          <w:p w14:paraId="0971AD4F" w14:textId="18BC5C9B" w:rsidR="00EB7E6E" w:rsidRPr="00704B08" w:rsidRDefault="00EB7E6E" w:rsidP="009D5823">
            <w:pPr>
              <w:jc w:val="center"/>
              <w:rPr>
                <w:rFonts w:ascii="Arial Narrow" w:hAnsi="Arial Narrow" w:cs="Arial"/>
                <w:color w:val="000000"/>
                <w:sz w:val="18"/>
                <w:szCs w:val="18"/>
                <w:lang w:val="es-CR" w:eastAsia="es-CR"/>
              </w:rPr>
            </w:pPr>
            <w:r>
              <w:rPr>
                <w:rFonts w:ascii="Arial Narrow" w:hAnsi="Arial Narrow" w:cs="Arial"/>
                <w:color w:val="000000"/>
                <w:sz w:val="18"/>
                <w:szCs w:val="18"/>
                <w:lang w:val="es-CR" w:eastAsia="es-CR"/>
              </w:rPr>
              <w:t>28/3/19</w:t>
            </w:r>
          </w:p>
        </w:tc>
        <w:tc>
          <w:tcPr>
            <w:tcW w:w="1828" w:type="dxa"/>
            <w:tcBorders>
              <w:top w:val="nil"/>
              <w:left w:val="nil"/>
              <w:bottom w:val="single" w:sz="4" w:space="0" w:color="auto"/>
              <w:right w:val="single" w:sz="4" w:space="0" w:color="auto"/>
            </w:tcBorders>
            <w:shd w:val="clear" w:color="000000" w:fill="FFFFFF"/>
            <w:vAlign w:val="center"/>
            <w:hideMark/>
          </w:tcPr>
          <w:p w14:paraId="6912687E" w14:textId="128AA2B3" w:rsidR="00EB7E6E" w:rsidRPr="00704B08" w:rsidRDefault="00EB7E6E" w:rsidP="00704B08">
            <w:pPr>
              <w:jc w:val="center"/>
              <w:rPr>
                <w:rFonts w:ascii="Arial Narrow" w:hAnsi="Arial Narrow" w:cs="Arial"/>
                <w:color w:val="000000"/>
                <w:sz w:val="18"/>
                <w:szCs w:val="18"/>
                <w:lang w:val="es-CR" w:eastAsia="es-CR"/>
              </w:rPr>
            </w:pPr>
            <w:r w:rsidRPr="00704B08">
              <w:rPr>
                <w:rFonts w:ascii="Arial Narrow" w:hAnsi="Arial Narrow" w:cs="Arial"/>
                <w:color w:val="000000"/>
                <w:sz w:val="18"/>
                <w:szCs w:val="18"/>
                <w:lang w:val="es-CR" w:eastAsia="es-CR"/>
              </w:rPr>
              <w:t>Acta de Corte Plena</w:t>
            </w:r>
            <w:r w:rsidR="00441D03">
              <w:rPr>
                <w:rFonts w:ascii="Arial Narrow" w:hAnsi="Arial Narrow" w:cs="Arial"/>
                <w:color w:val="000000"/>
                <w:sz w:val="18"/>
                <w:szCs w:val="18"/>
                <w:lang w:val="es-CR" w:eastAsia="es-CR"/>
              </w:rPr>
              <w:t xml:space="preserve"> </w:t>
            </w:r>
            <w:r w:rsidRPr="00704B08">
              <w:rPr>
                <w:rFonts w:ascii="Arial Narrow" w:hAnsi="Arial Narrow" w:cs="Arial"/>
                <w:color w:val="000000"/>
                <w:sz w:val="18"/>
                <w:szCs w:val="18"/>
                <w:lang w:val="es-CR" w:eastAsia="es-CR"/>
              </w:rPr>
              <w:t xml:space="preserve">15-2019, Artículo IV. Ver acta: </w:t>
            </w:r>
            <w:hyperlink r:id="rId50" w:history="1">
              <w:r w:rsidR="00441D03" w:rsidRPr="00866C8E">
                <w:rPr>
                  <w:rStyle w:val="Hipervnculo"/>
                  <w:rFonts w:ascii="Arial Narrow" w:hAnsi="Arial Narrow" w:cs="Arial"/>
                  <w:sz w:val="18"/>
                  <w:szCs w:val="18"/>
                  <w:lang w:val="es-CR" w:eastAsia="es-CR"/>
                </w:rPr>
                <w:t>https://nexuspj.poder-judicial.go.cr/document/act-1-0003-3743-18</w:t>
              </w:r>
            </w:hyperlink>
          </w:p>
        </w:tc>
        <w:tc>
          <w:tcPr>
            <w:tcW w:w="746" w:type="dxa"/>
            <w:tcBorders>
              <w:top w:val="nil"/>
              <w:left w:val="nil"/>
              <w:bottom w:val="single" w:sz="4" w:space="0" w:color="auto"/>
              <w:right w:val="single" w:sz="4" w:space="0" w:color="auto"/>
            </w:tcBorders>
            <w:shd w:val="clear" w:color="000000" w:fill="FFFFFF"/>
            <w:noWrap/>
            <w:vAlign w:val="center"/>
            <w:hideMark/>
          </w:tcPr>
          <w:p w14:paraId="023F9DD7" w14:textId="2AA01333" w:rsidR="00EB7E6E" w:rsidRPr="00704B08" w:rsidRDefault="00EB7E6E" w:rsidP="009D5823">
            <w:pPr>
              <w:jc w:val="center"/>
              <w:rPr>
                <w:rFonts w:ascii="Arial Narrow" w:hAnsi="Arial Narrow" w:cs="Arial"/>
                <w:color w:val="000000"/>
                <w:sz w:val="18"/>
                <w:szCs w:val="18"/>
                <w:lang w:val="es-CR" w:eastAsia="es-CR"/>
              </w:rPr>
            </w:pPr>
            <w:r>
              <w:rPr>
                <w:rFonts w:ascii="Arial Narrow" w:hAnsi="Arial Narrow" w:cs="Arial"/>
                <w:color w:val="000000"/>
                <w:sz w:val="18"/>
                <w:szCs w:val="18"/>
                <w:lang w:val="es-CR" w:eastAsia="es-CR"/>
              </w:rPr>
              <w:t>8/4/19</w:t>
            </w:r>
          </w:p>
        </w:tc>
        <w:tc>
          <w:tcPr>
            <w:tcW w:w="1616" w:type="dxa"/>
            <w:tcBorders>
              <w:top w:val="nil"/>
              <w:left w:val="nil"/>
              <w:bottom w:val="single" w:sz="4" w:space="0" w:color="auto"/>
              <w:right w:val="single" w:sz="4" w:space="0" w:color="auto"/>
            </w:tcBorders>
            <w:shd w:val="clear" w:color="000000" w:fill="FFFFFF"/>
            <w:vAlign w:val="center"/>
            <w:hideMark/>
          </w:tcPr>
          <w:p w14:paraId="5D970271" w14:textId="4E134944" w:rsidR="00EB7E6E" w:rsidRPr="00704B08" w:rsidRDefault="00EB7E6E" w:rsidP="00704B08">
            <w:pPr>
              <w:jc w:val="center"/>
              <w:rPr>
                <w:rFonts w:ascii="Arial Narrow" w:hAnsi="Arial Narrow" w:cs="Arial"/>
                <w:color w:val="000000"/>
                <w:sz w:val="18"/>
                <w:szCs w:val="18"/>
                <w:lang w:val="es-CR" w:eastAsia="es-CR"/>
              </w:rPr>
            </w:pPr>
            <w:r w:rsidRPr="00704B08">
              <w:rPr>
                <w:rFonts w:ascii="Arial Narrow" w:hAnsi="Arial Narrow" w:cs="Arial"/>
                <w:color w:val="000000"/>
                <w:sz w:val="18"/>
                <w:szCs w:val="18"/>
                <w:lang w:val="es-CR" w:eastAsia="es-CR"/>
              </w:rPr>
              <w:t>1.Modificación en la coordinación de la meta estratégica relacionada con la evaluación del desempeño.</w:t>
            </w:r>
          </w:p>
        </w:tc>
        <w:tc>
          <w:tcPr>
            <w:tcW w:w="772" w:type="dxa"/>
            <w:tcBorders>
              <w:top w:val="nil"/>
              <w:left w:val="nil"/>
              <w:bottom w:val="single" w:sz="4" w:space="0" w:color="auto"/>
              <w:right w:val="single" w:sz="4" w:space="0" w:color="auto"/>
            </w:tcBorders>
            <w:shd w:val="clear" w:color="000000" w:fill="FFFFFF"/>
            <w:vAlign w:val="center"/>
            <w:hideMark/>
          </w:tcPr>
          <w:p w14:paraId="054591E2" w14:textId="77777777" w:rsidR="00EB7E6E" w:rsidRPr="00704B08" w:rsidRDefault="00EB7E6E" w:rsidP="00704B08">
            <w:pPr>
              <w:jc w:val="center"/>
              <w:rPr>
                <w:rFonts w:ascii="Arial Narrow" w:hAnsi="Arial Narrow" w:cs="Arial"/>
                <w:color w:val="000000"/>
                <w:sz w:val="18"/>
                <w:szCs w:val="18"/>
                <w:lang w:val="es-CR" w:eastAsia="es-CR"/>
              </w:rPr>
            </w:pPr>
            <w:r w:rsidRPr="00704B08">
              <w:rPr>
                <w:rFonts w:ascii="Arial Narrow" w:hAnsi="Arial Narrow" w:cs="Arial"/>
                <w:color w:val="000000"/>
                <w:sz w:val="18"/>
                <w:szCs w:val="18"/>
                <w:lang w:val="es-CR" w:eastAsia="es-CR"/>
              </w:rPr>
              <w:t>5</w:t>
            </w:r>
          </w:p>
        </w:tc>
        <w:tc>
          <w:tcPr>
            <w:tcW w:w="757" w:type="dxa"/>
            <w:tcBorders>
              <w:top w:val="nil"/>
              <w:left w:val="nil"/>
              <w:bottom w:val="single" w:sz="4" w:space="0" w:color="auto"/>
              <w:right w:val="single" w:sz="4" w:space="0" w:color="auto"/>
            </w:tcBorders>
            <w:shd w:val="clear" w:color="000000" w:fill="FFFFFF"/>
            <w:vAlign w:val="center"/>
            <w:hideMark/>
          </w:tcPr>
          <w:p w14:paraId="58FA33A3" w14:textId="77777777" w:rsidR="00EB7E6E" w:rsidRPr="00704B08" w:rsidRDefault="00EB7E6E" w:rsidP="00704B08">
            <w:pPr>
              <w:jc w:val="center"/>
              <w:rPr>
                <w:rFonts w:ascii="Arial Narrow" w:hAnsi="Arial Narrow" w:cs="Arial"/>
                <w:color w:val="000000"/>
                <w:sz w:val="18"/>
                <w:szCs w:val="18"/>
                <w:lang w:val="es-CR" w:eastAsia="es-CR"/>
              </w:rPr>
            </w:pPr>
            <w:r w:rsidRPr="00704B08">
              <w:rPr>
                <w:rFonts w:ascii="Arial Narrow" w:hAnsi="Arial Narrow" w:cs="Arial"/>
                <w:color w:val="000000"/>
                <w:sz w:val="18"/>
                <w:szCs w:val="18"/>
                <w:lang w:val="es-CR" w:eastAsia="es-CR"/>
              </w:rPr>
              <w:t>22</w:t>
            </w:r>
          </w:p>
        </w:tc>
        <w:tc>
          <w:tcPr>
            <w:tcW w:w="534" w:type="dxa"/>
            <w:tcBorders>
              <w:top w:val="nil"/>
              <w:left w:val="nil"/>
              <w:bottom w:val="single" w:sz="4" w:space="0" w:color="auto"/>
              <w:right w:val="single" w:sz="4" w:space="0" w:color="auto"/>
            </w:tcBorders>
            <w:shd w:val="clear" w:color="000000" w:fill="FFFFFF"/>
            <w:vAlign w:val="center"/>
            <w:hideMark/>
          </w:tcPr>
          <w:p w14:paraId="119BD852" w14:textId="77777777" w:rsidR="00EB7E6E" w:rsidRPr="00704B08" w:rsidRDefault="00EB7E6E" w:rsidP="00704B08">
            <w:pPr>
              <w:jc w:val="center"/>
              <w:rPr>
                <w:rFonts w:ascii="Arial Narrow" w:hAnsi="Arial Narrow" w:cs="Arial"/>
                <w:color w:val="000000"/>
                <w:sz w:val="18"/>
                <w:szCs w:val="18"/>
                <w:lang w:val="es-CR" w:eastAsia="es-CR"/>
              </w:rPr>
            </w:pPr>
            <w:r w:rsidRPr="00704B08">
              <w:rPr>
                <w:rFonts w:ascii="Arial Narrow" w:hAnsi="Arial Narrow" w:cs="Arial"/>
                <w:color w:val="000000"/>
                <w:sz w:val="18"/>
                <w:szCs w:val="18"/>
                <w:lang w:val="es-CR" w:eastAsia="es-CR"/>
              </w:rPr>
              <w:t>228</w:t>
            </w:r>
          </w:p>
        </w:tc>
      </w:tr>
      <w:tr w:rsidR="00EB7E6E" w:rsidRPr="009D5823" w14:paraId="77FA3893" w14:textId="77777777" w:rsidTr="00704B08">
        <w:trPr>
          <w:trHeight w:val="1626"/>
        </w:trPr>
        <w:tc>
          <w:tcPr>
            <w:tcW w:w="650" w:type="dxa"/>
            <w:tcBorders>
              <w:top w:val="nil"/>
              <w:left w:val="single" w:sz="4" w:space="0" w:color="auto"/>
              <w:bottom w:val="single" w:sz="4" w:space="0" w:color="auto"/>
              <w:right w:val="single" w:sz="4" w:space="0" w:color="auto"/>
            </w:tcBorders>
            <w:shd w:val="clear" w:color="000000" w:fill="FFFFFF"/>
            <w:noWrap/>
            <w:vAlign w:val="center"/>
            <w:hideMark/>
          </w:tcPr>
          <w:p w14:paraId="366A56E3" w14:textId="77777777" w:rsidR="00EB7E6E" w:rsidRPr="00704B08" w:rsidRDefault="00EB7E6E" w:rsidP="009D5823">
            <w:pPr>
              <w:jc w:val="center"/>
              <w:rPr>
                <w:rFonts w:ascii="Arial Narrow" w:hAnsi="Arial Narrow" w:cs="Arial"/>
                <w:color w:val="000000"/>
                <w:sz w:val="18"/>
                <w:szCs w:val="18"/>
                <w:lang w:val="es-CR" w:eastAsia="es-CR"/>
              </w:rPr>
            </w:pPr>
            <w:r w:rsidRPr="00704B08">
              <w:rPr>
                <w:rFonts w:ascii="Arial Narrow" w:hAnsi="Arial Narrow" w:cs="Arial"/>
                <w:color w:val="000000"/>
                <w:sz w:val="18"/>
                <w:szCs w:val="18"/>
                <w:lang w:val="es-CR" w:eastAsia="es-CR"/>
              </w:rPr>
              <w:t>4.0</w:t>
            </w:r>
          </w:p>
        </w:tc>
        <w:tc>
          <w:tcPr>
            <w:tcW w:w="1093" w:type="dxa"/>
            <w:tcBorders>
              <w:top w:val="nil"/>
              <w:left w:val="nil"/>
              <w:bottom w:val="single" w:sz="4" w:space="0" w:color="auto"/>
              <w:right w:val="single" w:sz="4" w:space="0" w:color="auto"/>
            </w:tcBorders>
            <w:shd w:val="clear" w:color="000000" w:fill="FFFFFF"/>
            <w:noWrap/>
            <w:vAlign w:val="center"/>
            <w:hideMark/>
          </w:tcPr>
          <w:p w14:paraId="28941DA8" w14:textId="77777777" w:rsidR="00EB7E6E" w:rsidRPr="00704B08" w:rsidRDefault="00EB7E6E" w:rsidP="00704B08">
            <w:pPr>
              <w:jc w:val="center"/>
              <w:rPr>
                <w:rFonts w:ascii="Arial Narrow" w:hAnsi="Arial Narrow" w:cs="Arial"/>
                <w:color w:val="000000"/>
                <w:sz w:val="18"/>
                <w:szCs w:val="18"/>
                <w:lang w:val="es-CR" w:eastAsia="es-CR"/>
              </w:rPr>
            </w:pPr>
            <w:r w:rsidRPr="00704B08">
              <w:rPr>
                <w:rFonts w:ascii="Arial Narrow" w:hAnsi="Arial Narrow" w:cs="Arial"/>
                <w:color w:val="000000"/>
                <w:sz w:val="18"/>
                <w:szCs w:val="18"/>
                <w:lang w:val="es-CR" w:eastAsia="es-CR"/>
              </w:rPr>
              <w:t>1467-PLA-PE-2019</w:t>
            </w:r>
          </w:p>
        </w:tc>
        <w:tc>
          <w:tcPr>
            <w:tcW w:w="1207" w:type="dxa"/>
            <w:tcBorders>
              <w:top w:val="nil"/>
              <w:left w:val="nil"/>
              <w:bottom w:val="single" w:sz="4" w:space="0" w:color="auto"/>
              <w:right w:val="single" w:sz="4" w:space="0" w:color="auto"/>
            </w:tcBorders>
            <w:shd w:val="clear" w:color="000000" w:fill="FFFFFF"/>
            <w:noWrap/>
            <w:vAlign w:val="center"/>
            <w:hideMark/>
          </w:tcPr>
          <w:p w14:paraId="55426BAE" w14:textId="1319D937" w:rsidR="00EB7E6E" w:rsidRPr="00704B08" w:rsidRDefault="00EB7E6E" w:rsidP="009D5823">
            <w:pPr>
              <w:jc w:val="center"/>
              <w:rPr>
                <w:rFonts w:ascii="Arial Narrow" w:hAnsi="Arial Narrow" w:cs="Arial"/>
                <w:color w:val="000000"/>
                <w:sz w:val="18"/>
                <w:szCs w:val="18"/>
                <w:lang w:val="es-CR" w:eastAsia="es-CR"/>
              </w:rPr>
            </w:pPr>
            <w:r>
              <w:rPr>
                <w:rFonts w:ascii="Arial Narrow" w:hAnsi="Arial Narrow" w:cs="Arial"/>
                <w:color w:val="000000"/>
                <w:sz w:val="18"/>
                <w:szCs w:val="18"/>
                <w:lang w:val="es-CR" w:eastAsia="es-CR"/>
              </w:rPr>
              <w:t>10/9/19</w:t>
            </w:r>
          </w:p>
        </w:tc>
        <w:tc>
          <w:tcPr>
            <w:tcW w:w="1828" w:type="dxa"/>
            <w:tcBorders>
              <w:top w:val="nil"/>
              <w:left w:val="nil"/>
              <w:bottom w:val="single" w:sz="4" w:space="0" w:color="auto"/>
              <w:right w:val="single" w:sz="4" w:space="0" w:color="auto"/>
            </w:tcBorders>
            <w:shd w:val="clear" w:color="000000" w:fill="FFFFFF"/>
            <w:vAlign w:val="center"/>
            <w:hideMark/>
          </w:tcPr>
          <w:p w14:paraId="7029CE25" w14:textId="5B26E619" w:rsidR="00EB7E6E" w:rsidRPr="00704B08" w:rsidRDefault="00EB7E6E" w:rsidP="00704B08">
            <w:pPr>
              <w:jc w:val="center"/>
              <w:rPr>
                <w:rFonts w:ascii="Arial Narrow" w:hAnsi="Arial Narrow" w:cs="Arial"/>
                <w:color w:val="000000"/>
                <w:sz w:val="18"/>
                <w:szCs w:val="18"/>
                <w:lang w:val="es-CR" w:eastAsia="es-CR"/>
              </w:rPr>
            </w:pPr>
            <w:r w:rsidRPr="00704B08">
              <w:rPr>
                <w:rFonts w:ascii="Arial Narrow" w:hAnsi="Arial Narrow" w:cs="Arial"/>
                <w:color w:val="000000"/>
                <w:sz w:val="18"/>
                <w:szCs w:val="18"/>
                <w:lang w:val="es-CR" w:eastAsia="es-CR"/>
              </w:rPr>
              <w:t xml:space="preserve">Acta de Corte Plena 30-2019, Artículo XXX. Ver acta: </w:t>
            </w:r>
            <w:hyperlink r:id="rId51" w:history="1">
              <w:r w:rsidR="00441D03" w:rsidRPr="00866C8E">
                <w:rPr>
                  <w:rStyle w:val="Hipervnculo"/>
                  <w:rFonts w:ascii="Arial Narrow" w:hAnsi="Arial Narrow" w:cs="Arial"/>
                  <w:sz w:val="18"/>
                  <w:szCs w:val="18"/>
                  <w:lang w:val="es-CR" w:eastAsia="es-CR"/>
                </w:rPr>
                <w:t>https://nexuspj.poder-judicial.go.cr/document/act-1-0003-3871-30</w:t>
              </w:r>
            </w:hyperlink>
          </w:p>
        </w:tc>
        <w:tc>
          <w:tcPr>
            <w:tcW w:w="746" w:type="dxa"/>
            <w:tcBorders>
              <w:top w:val="nil"/>
              <w:left w:val="nil"/>
              <w:bottom w:val="single" w:sz="4" w:space="0" w:color="auto"/>
              <w:right w:val="single" w:sz="4" w:space="0" w:color="auto"/>
            </w:tcBorders>
            <w:shd w:val="clear" w:color="000000" w:fill="FFFFFF"/>
            <w:noWrap/>
            <w:vAlign w:val="center"/>
            <w:hideMark/>
          </w:tcPr>
          <w:p w14:paraId="0ED65CC7" w14:textId="0ECDDBF1" w:rsidR="00EB7E6E" w:rsidRPr="00704B08" w:rsidRDefault="00EB7E6E" w:rsidP="009D5823">
            <w:pPr>
              <w:jc w:val="center"/>
              <w:rPr>
                <w:rFonts w:ascii="Arial Narrow" w:hAnsi="Arial Narrow" w:cs="Arial"/>
                <w:color w:val="000000"/>
                <w:sz w:val="18"/>
                <w:szCs w:val="18"/>
                <w:lang w:val="es-CR" w:eastAsia="es-CR"/>
              </w:rPr>
            </w:pPr>
            <w:r>
              <w:rPr>
                <w:rFonts w:ascii="Arial Narrow" w:hAnsi="Arial Narrow" w:cs="Arial"/>
                <w:color w:val="000000"/>
                <w:sz w:val="18"/>
                <w:szCs w:val="18"/>
                <w:lang w:val="es-CR" w:eastAsia="es-CR"/>
              </w:rPr>
              <w:t>7/8/19</w:t>
            </w:r>
          </w:p>
        </w:tc>
        <w:tc>
          <w:tcPr>
            <w:tcW w:w="1616" w:type="dxa"/>
            <w:tcBorders>
              <w:top w:val="nil"/>
              <w:left w:val="nil"/>
              <w:bottom w:val="single" w:sz="4" w:space="0" w:color="auto"/>
              <w:right w:val="single" w:sz="4" w:space="0" w:color="auto"/>
            </w:tcBorders>
            <w:shd w:val="clear" w:color="000000" w:fill="FFFFFF"/>
            <w:vAlign w:val="center"/>
            <w:hideMark/>
          </w:tcPr>
          <w:p w14:paraId="50B1F12B" w14:textId="3FB55676" w:rsidR="00EB7E6E" w:rsidRPr="00704B08" w:rsidRDefault="00EB7E6E" w:rsidP="00704B08">
            <w:pPr>
              <w:jc w:val="center"/>
              <w:rPr>
                <w:rFonts w:ascii="Arial Narrow" w:hAnsi="Arial Narrow" w:cs="Arial"/>
                <w:color w:val="000000"/>
                <w:sz w:val="18"/>
                <w:szCs w:val="18"/>
                <w:lang w:val="es-CR" w:eastAsia="es-CR"/>
              </w:rPr>
            </w:pPr>
            <w:r w:rsidRPr="00704B08">
              <w:rPr>
                <w:rFonts w:ascii="Arial Narrow" w:hAnsi="Arial Narrow" w:cs="Arial"/>
                <w:color w:val="000000"/>
                <w:sz w:val="18"/>
                <w:szCs w:val="18"/>
                <w:lang w:val="es-CR" w:eastAsia="es-CR"/>
              </w:rPr>
              <w:t>1.Modificación de meta estratégica relacionada con la implementación a nivel nacional la Justicia Restaurativa de conformidad con la ley.</w:t>
            </w:r>
            <w:r w:rsidRPr="00704B08">
              <w:rPr>
                <w:rFonts w:ascii="Arial Narrow" w:hAnsi="Arial Narrow" w:cs="Arial"/>
                <w:color w:val="000000"/>
                <w:sz w:val="18"/>
                <w:szCs w:val="18"/>
                <w:lang w:val="es-CR" w:eastAsia="es-CR"/>
              </w:rPr>
              <w:br/>
            </w:r>
            <w:r w:rsidR="006157A3" w:rsidRPr="00704B08">
              <w:rPr>
                <w:rFonts w:ascii="Arial Narrow" w:hAnsi="Arial Narrow" w:cs="Arial"/>
                <w:color w:val="000000"/>
                <w:sz w:val="18"/>
                <w:szCs w:val="18"/>
                <w:lang w:val="es-CR" w:eastAsia="es-CR"/>
              </w:rPr>
              <w:t>2. Inclusión</w:t>
            </w:r>
            <w:r w:rsidRPr="00704B08">
              <w:rPr>
                <w:rFonts w:ascii="Arial Narrow" w:hAnsi="Arial Narrow" w:cs="Arial"/>
                <w:color w:val="000000"/>
                <w:sz w:val="18"/>
                <w:szCs w:val="18"/>
                <w:lang w:val="es-CR" w:eastAsia="es-CR"/>
              </w:rPr>
              <w:t xml:space="preserve"> de nueva meta estratégica al Centro de Información Jurisprudencial relacionada con el acceso a la información judicial.</w:t>
            </w:r>
          </w:p>
        </w:tc>
        <w:tc>
          <w:tcPr>
            <w:tcW w:w="772" w:type="dxa"/>
            <w:tcBorders>
              <w:top w:val="nil"/>
              <w:left w:val="nil"/>
              <w:bottom w:val="single" w:sz="4" w:space="0" w:color="auto"/>
              <w:right w:val="single" w:sz="4" w:space="0" w:color="auto"/>
            </w:tcBorders>
            <w:shd w:val="clear" w:color="000000" w:fill="FFFFFF"/>
            <w:vAlign w:val="center"/>
            <w:hideMark/>
          </w:tcPr>
          <w:p w14:paraId="557DE546" w14:textId="77777777" w:rsidR="00EB7E6E" w:rsidRPr="00704B08" w:rsidRDefault="00EB7E6E" w:rsidP="00704B08">
            <w:pPr>
              <w:jc w:val="center"/>
              <w:rPr>
                <w:rFonts w:ascii="Arial Narrow" w:hAnsi="Arial Narrow" w:cs="Arial"/>
                <w:color w:val="000000"/>
                <w:sz w:val="18"/>
                <w:szCs w:val="18"/>
                <w:lang w:val="es-CR" w:eastAsia="es-CR"/>
              </w:rPr>
            </w:pPr>
            <w:r w:rsidRPr="00704B08">
              <w:rPr>
                <w:rFonts w:ascii="Arial Narrow" w:hAnsi="Arial Narrow" w:cs="Arial"/>
                <w:color w:val="000000"/>
                <w:sz w:val="18"/>
                <w:szCs w:val="18"/>
                <w:lang w:val="es-CR" w:eastAsia="es-CR"/>
              </w:rPr>
              <w:t>5</w:t>
            </w:r>
          </w:p>
        </w:tc>
        <w:tc>
          <w:tcPr>
            <w:tcW w:w="757" w:type="dxa"/>
            <w:tcBorders>
              <w:top w:val="nil"/>
              <w:left w:val="nil"/>
              <w:bottom w:val="single" w:sz="4" w:space="0" w:color="auto"/>
              <w:right w:val="single" w:sz="4" w:space="0" w:color="auto"/>
            </w:tcBorders>
            <w:shd w:val="clear" w:color="000000" w:fill="FFFFFF"/>
            <w:vAlign w:val="center"/>
            <w:hideMark/>
          </w:tcPr>
          <w:p w14:paraId="59D1826C" w14:textId="77777777" w:rsidR="00EB7E6E" w:rsidRPr="00704B08" w:rsidRDefault="00EB7E6E" w:rsidP="00704B08">
            <w:pPr>
              <w:jc w:val="center"/>
              <w:rPr>
                <w:rFonts w:ascii="Arial Narrow" w:hAnsi="Arial Narrow" w:cs="Arial"/>
                <w:color w:val="000000"/>
                <w:sz w:val="18"/>
                <w:szCs w:val="18"/>
                <w:lang w:val="es-CR" w:eastAsia="es-CR"/>
              </w:rPr>
            </w:pPr>
            <w:r w:rsidRPr="00704B08">
              <w:rPr>
                <w:rFonts w:ascii="Arial Narrow" w:hAnsi="Arial Narrow" w:cs="Arial"/>
                <w:color w:val="000000"/>
                <w:sz w:val="18"/>
                <w:szCs w:val="18"/>
                <w:lang w:val="es-CR" w:eastAsia="es-CR"/>
              </w:rPr>
              <w:t>22</w:t>
            </w:r>
          </w:p>
        </w:tc>
        <w:tc>
          <w:tcPr>
            <w:tcW w:w="534" w:type="dxa"/>
            <w:tcBorders>
              <w:top w:val="nil"/>
              <w:left w:val="nil"/>
              <w:bottom w:val="single" w:sz="4" w:space="0" w:color="auto"/>
              <w:right w:val="single" w:sz="4" w:space="0" w:color="auto"/>
            </w:tcBorders>
            <w:shd w:val="clear" w:color="000000" w:fill="FFFFFF"/>
            <w:vAlign w:val="center"/>
            <w:hideMark/>
          </w:tcPr>
          <w:p w14:paraId="55855AD3" w14:textId="77777777" w:rsidR="00EB7E6E" w:rsidRPr="00704B08" w:rsidRDefault="00EB7E6E" w:rsidP="00704B08">
            <w:pPr>
              <w:jc w:val="center"/>
              <w:rPr>
                <w:rFonts w:ascii="Arial Narrow" w:hAnsi="Arial Narrow" w:cs="Arial"/>
                <w:color w:val="000000"/>
                <w:sz w:val="18"/>
                <w:szCs w:val="18"/>
                <w:lang w:val="es-CR" w:eastAsia="es-CR"/>
              </w:rPr>
            </w:pPr>
            <w:r w:rsidRPr="00704B08">
              <w:rPr>
                <w:rFonts w:ascii="Arial Narrow" w:hAnsi="Arial Narrow" w:cs="Arial"/>
                <w:color w:val="000000"/>
                <w:sz w:val="18"/>
                <w:szCs w:val="18"/>
                <w:lang w:val="es-CR" w:eastAsia="es-CR"/>
              </w:rPr>
              <w:t>229</w:t>
            </w:r>
          </w:p>
        </w:tc>
      </w:tr>
    </w:tbl>
    <w:p w14:paraId="6D374052" w14:textId="77777777" w:rsidR="00106F8C" w:rsidRDefault="00106F8C" w:rsidP="00CC3693">
      <w:pPr>
        <w:spacing w:line="360" w:lineRule="auto"/>
        <w:jc w:val="both"/>
        <w:rPr>
          <w:rFonts w:ascii="Arial Narrow" w:hAnsi="Arial Narrow"/>
        </w:rPr>
      </w:pPr>
    </w:p>
    <w:p w14:paraId="1C3980FD" w14:textId="62D08EEF" w:rsidR="005305D8" w:rsidRPr="00704B08" w:rsidRDefault="00353B39" w:rsidP="00CC3693">
      <w:pPr>
        <w:spacing w:line="360" w:lineRule="auto"/>
        <w:jc w:val="both"/>
        <w:rPr>
          <w:rFonts w:ascii="Arial Narrow" w:hAnsi="Arial Narrow"/>
        </w:rPr>
      </w:pPr>
      <w:r w:rsidRPr="00704B08">
        <w:rPr>
          <w:rFonts w:ascii="Arial Narrow" w:hAnsi="Arial Narrow"/>
        </w:rPr>
        <w:t xml:space="preserve">El Plan Estratégico Institucional 2019 </w:t>
      </w:r>
      <w:r w:rsidR="00EB7E6E">
        <w:rPr>
          <w:rFonts w:ascii="Arial Narrow" w:hAnsi="Arial Narrow"/>
        </w:rPr>
        <w:t>-</w:t>
      </w:r>
      <w:r w:rsidRPr="00704B08">
        <w:rPr>
          <w:rFonts w:ascii="Arial Narrow" w:hAnsi="Arial Narrow"/>
        </w:rPr>
        <w:t>2024 visualiza el marco filosófico compuesto por la misión, visión, valores institucionales, ejes transversales y políticas institucionales. Estos son los elementos principales que definen el funcionamiento de la Institución, permeables en todo el proceso de la planificación estratégica, el quehacer diario y la toma de decisiones. Además, se llevó a cabo el planteamiento del mapa estratégico; compuesto por los temas, objetivos y metas estratégicas, así como el detalle de los indicadores y responsables de los compromisos para los próximos seis años.</w:t>
      </w:r>
    </w:p>
    <w:p w14:paraId="2B96EF54" w14:textId="1361E2FA" w:rsidR="006E2DE5" w:rsidRDefault="006E2DE5" w:rsidP="00C02919">
      <w:pPr>
        <w:spacing w:line="360" w:lineRule="auto"/>
        <w:jc w:val="both"/>
        <w:rPr>
          <w:rFonts w:ascii="Arial Narrow" w:hAnsi="Arial Narrow"/>
        </w:rPr>
      </w:pPr>
    </w:p>
    <w:p w14:paraId="31165A4C" w14:textId="3AAFF608" w:rsidR="00612BB9" w:rsidRPr="00704B08" w:rsidRDefault="00320EFD" w:rsidP="009D5823">
      <w:pPr>
        <w:spacing w:line="360" w:lineRule="auto"/>
        <w:jc w:val="both"/>
        <w:rPr>
          <w:rFonts w:ascii="Arial Narrow" w:hAnsi="Arial Narrow"/>
        </w:rPr>
      </w:pPr>
      <w:r>
        <w:rPr>
          <w:rFonts w:ascii="Arial Narrow" w:hAnsi="Arial Narrow"/>
        </w:rPr>
        <w:t>Otros antecedentes</w:t>
      </w:r>
      <w:r w:rsidR="00EB7E6E" w:rsidRPr="00704B08">
        <w:rPr>
          <w:rFonts w:ascii="Arial Narrow" w:hAnsi="Arial Narrow"/>
        </w:rPr>
        <w:t>:</w:t>
      </w:r>
    </w:p>
    <w:p w14:paraId="41E46B00" w14:textId="77777777" w:rsidR="00EB7E6E" w:rsidRPr="00704B08" w:rsidRDefault="00EB7E6E" w:rsidP="005C4C02">
      <w:pPr>
        <w:spacing w:line="360" w:lineRule="auto"/>
        <w:jc w:val="both"/>
        <w:rPr>
          <w:rFonts w:ascii="Arial Narrow" w:hAnsi="Arial Narrow" w:cs="Arial"/>
          <w:color w:val="000066"/>
          <w:shd w:val="clear" w:color="auto" w:fill="FFFFFF"/>
        </w:rPr>
      </w:pPr>
    </w:p>
    <w:p w14:paraId="1C107509" w14:textId="76084F6C" w:rsidR="005305D8" w:rsidRPr="00704B08" w:rsidRDefault="00435AC6" w:rsidP="00704B08">
      <w:pPr>
        <w:pStyle w:val="Prrafodelista"/>
        <w:numPr>
          <w:ilvl w:val="0"/>
          <w:numId w:val="103"/>
        </w:numPr>
        <w:spacing w:line="360" w:lineRule="auto"/>
        <w:jc w:val="both"/>
        <w:rPr>
          <w:rFonts w:ascii="Arial Narrow" w:hAnsi="Arial Narrow"/>
        </w:rPr>
      </w:pPr>
      <w:r w:rsidRPr="00704B08">
        <w:rPr>
          <w:rFonts w:ascii="Arial Narrow" w:hAnsi="Arial Narrow"/>
        </w:rPr>
        <w:t>Elaboración del informe 739-P</w:t>
      </w:r>
      <w:r w:rsidR="00612BB9" w:rsidRPr="00704B08">
        <w:rPr>
          <w:rFonts w:ascii="Arial Narrow" w:hAnsi="Arial Narrow"/>
        </w:rPr>
        <w:t>LA</w:t>
      </w:r>
      <w:r w:rsidRPr="00704B08">
        <w:rPr>
          <w:rFonts w:ascii="Arial Narrow" w:hAnsi="Arial Narrow"/>
        </w:rPr>
        <w:t>-PE-2020</w:t>
      </w:r>
      <w:r w:rsidR="00612BB9" w:rsidRPr="00704B08">
        <w:rPr>
          <w:rFonts w:ascii="Arial Narrow" w:hAnsi="Arial Narrow"/>
        </w:rPr>
        <w:t xml:space="preserve"> por parte de la Dirección de Planificación, relacionado</w:t>
      </w:r>
      <w:r w:rsidRPr="00704B08">
        <w:rPr>
          <w:rFonts w:ascii="Arial Narrow" w:hAnsi="Arial Narrow"/>
        </w:rPr>
        <w:t xml:space="preserve"> con el procedimiento de gestión de riesgos que abarca el (PEI), los Planes Anuales Operativos 2020 (PAOs) y el Portafolio de Proyectos Estratégicos</w:t>
      </w:r>
      <w:r w:rsidR="00612BB9" w:rsidRPr="00704B08">
        <w:rPr>
          <w:rFonts w:ascii="Arial Narrow" w:hAnsi="Arial Narrow"/>
        </w:rPr>
        <w:t>.</w:t>
      </w:r>
    </w:p>
    <w:p w14:paraId="34CB6535" w14:textId="79F66DF7" w:rsidR="00435AC6" w:rsidRPr="00704B08" w:rsidRDefault="00435AC6" w:rsidP="00704B08">
      <w:pPr>
        <w:spacing w:line="360" w:lineRule="auto"/>
        <w:jc w:val="both"/>
        <w:rPr>
          <w:rFonts w:ascii="Arial Narrow" w:hAnsi="Arial Narrow"/>
        </w:rPr>
      </w:pPr>
    </w:p>
    <w:p w14:paraId="7DE59EC4" w14:textId="0416F1A2" w:rsidR="00435AC6" w:rsidRPr="00704B08" w:rsidRDefault="00612BB9" w:rsidP="00704B08">
      <w:pPr>
        <w:pStyle w:val="Prrafodelista"/>
        <w:numPr>
          <w:ilvl w:val="0"/>
          <w:numId w:val="103"/>
        </w:numPr>
        <w:spacing w:line="360" w:lineRule="auto"/>
        <w:jc w:val="both"/>
        <w:rPr>
          <w:rFonts w:ascii="Arial Narrow" w:hAnsi="Arial Narrow"/>
        </w:rPr>
      </w:pPr>
      <w:r w:rsidRPr="00704B08">
        <w:rPr>
          <w:rFonts w:ascii="Arial Narrow" w:hAnsi="Arial Narrow"/>
        </w:rPr>
        <w:t xml:space="preserve">Elaboración del informe 184 </w:t>
      </w:r>
      <w:hyperlink r:id="rId52" w:tgtFrame="_blank" w:history="1">
        <w:r w:rsidRPr="00704B08">
          <w:rPr>
            <w:rFonts w:ascii="Arial Narrow" w:hAnsi="Arial Narrow"/>
          </w:rPr>
          <w:t>CACMFJ-JEF-2020 -875-PLA-2020</w:t>
        </w:r>
      </w:hyperlink>
      <w:r w:rsidRPr="00704B08">
        <w:rPr>
          <w:rFonts w:ascii="Arial Narrow" w:hAnsi="Arial Narrow"/>
        </w:rPr>
        <w:t xml:space="preserve"> por parte de la Dirección de Planificación y el Centro de Apoyo, Coordinación y Mejoramiento de la Función Jurisdiccional, relacionado con </w:t>
      </w:r>
      <w:r w:rsidRPr="00704B08">
        <w:rPr>
          <w:rFonts w:ascii="Arial Narrow" w:eastAsia="Calibri" w:hAnsi="Arial Narrow" w:cs="Arial"/>
          <w:color w:val="000000" w:themeColor="text1"/>
          <w:lang w:val="es-ES" w:eastAsia="es-CR"/>
        </w:rPr>
        <w:t>la revisión de las posibles afectaciones sobre los objetivos y metas planteados para el 2020, mediante la identificación de los riesgos materializados y potenciales debido a la emergencia sanitaria provocada por la enfermedad COVID-19, donde se procedió a presentar la propuesta para el restablecimiento de los servicios de administración de justicia, en aras de volver a la “nueva normalidad” de manera progresiva, atendiendo en todo momento a las directrices del Ministerio de  Salud.</w:t>
      </w:r>
    </w:p>
    <w:p w14:paraId="790AFAEC" w14:textId="35491AF5" w:rsidR="00435AC6" w:rsidRPr="00704B08" w:rsidRDefault="00435AC6" w:rsidP="00704B08">
      <w:pPr>
        <w:spacing w:line="360" w:lineRule="auto"/>
        <w:jc w:val="both"/>
        <w:rPr>
          <w:rFonts w:ascii="Arial Narrow" w:hAnsi="Arial Narrow"/>
        </w:rPr>
      </w:pPr>
    </w:p>
    <w:p w14:paraId="509C0025" w14:textId="6C10EE41" w:rsidR="00435AC6" w:rsidRDefault="003E4536">
      <w:pPr>
        <w:pStyle w:val="Prrafodelista"/>
        <w:numPr>
          <w:ilvl w:val="0"/>
          <w:numId w:val="103"/>
        </w:numPr>
        <w:spacing w:line="360" w:lineRule="auto"/>
        <w:jc w:val="both"/>
        <w:rPr>
          <w:rFonts w:ascii="Arial Narrow" w:hAnsi="Arial Narrow"/>
        </w:rPr>
      </w:pPr>
      <w:r w:rsidRPr="00704B08">
        <w:rPr>
          <w:rFonts w:ascii="Arial Narrow" w:hAnsi="Arial Narrow"/>
        </w:rPr>
        <w:t>Elaboración del informe 1121-PLA-PE-2020 por parte de la Dirección de Planificación sobre la p</w:t>
      </w:r>
      <w:r w:rsidR="00435AC6" w:rsidRPr="00704B08">
        <w:rPr>
          <w:rFonts w:ascii="Arial Narrow" w:hAnsi="Arial Narrow"/>
        </w:rPr>
        <w:t>ropuesta de trabajo para alinear el Plan Estratégico Institucional (PEI) 2019-2024 con la Agenda 2030 de los Objetivos de Desarrollo Sostenible (ODS).</w:t>
      </w:r>
    </w:p>
    <w:p w14:paraId="3D94A9A3" w14:textId="77777777" w:rsidR="00607958" w:rsidRPr="00704B08" w:rsidRDefault="00607958" w:rsidP="00704B08">
      <w:pPr>
        <w:pStyle w:val="Prrafodelista"/>
        <w:rPr>
          <w:rFonts w:ascii="Arial Narrow" w:hAnsi="Arial Narrow"/>
        </w:rPr>
      </w:pPr>
    </w:p>
    <w:p w14:paraId="0EF49920" w14:textId="37DBD1F4" w:rsidR="00435AC6" w:rsidRPr="00704B08" w:rsidRDefault="00607958" w:rsidP="00704B08">
      <w:pPr>
        <w:pStyle w:val="Prrafodelista"/>
        <w:numPr>
          <w:ilvl w:val="0"/>
          <w:numId w:val="103"/>
        </w:numPr>
        <w:spacing w:line="360" w:lineRule="auto"/>
        <w:jc w:val="both"/>
        <w:rPr>
          <w:rFonts w:ascii="Arial Narrow" w:hAnsi="Arial Narrow" w:cs="Arial"/>
          <w:color w:val="000066"/>
          <w:shd w:val="clear" w:color="auto" w:fill="FFFFFF"/>
        </w:rPr>
      </w:pPr>
      <w:r w:rsidRPr="00607958">
        <w:rPr>
          <w:rFonts w:ascii="Arial Narrow" w:hAnsi="Arial Narrow"/>
        </w:rPr>
        <w:lastRenderedPageBreak/>
        <w:t xml:space="preserve">Por medio del informe 22-PLA-PE-2021, del 11 de enero de 2021 se comunica que se </w:t>
      </w:r>
      <w:r w:rsidRPr="00704B08">
        <w:rPr>
          <w:rFonts w:ascii="Arial Narrow" w:hAnsi="Arial Narrow"/>
        </w:rPr>
        <w:t xml:space="preserve">procedió a remitir a la Secretaría General de la Corte, mediante oficio 1972-PLA-PE-2020 del 1 de diciembre de 2020, la propuesta de ajuste de los objetivos y metas de 2020 relacionado con el proceso de monitoreo del comportamiento de los casos terminados y la afectación que estos podrían tener debido a la situación de emergencia del COVID-19.  </w:t>
      </w:r>
      <w:r w:rsidRPr="00607958">
        <w:rPr>
          <w:rFonts w:ascii="Arial Narrow" w:hAnsi="Arial Narrow"/>
        </w:rPr>
        <w:t xml:space="preserve"> </w:t>
      </w:r>
      <w:r w:rsidRPr="00704B08">
        <w:rPr>
          <w:rFonts w:ascii="Arial Narrow" w:hAnsi="Arial Narrow"/>
        </w:rPr>
        <w:t xml:space="preserve">No obstante, dado que el plazo de ejecución de los objetivos y metas del 2020 ya fue concluido, esta Dirección considera que el ajuste de los objetivos y metas del 2020 no es oportuno realizarlo, sino que se procederá a remitir un informe de los resultados obtenidos en el 2020. De esta manera, se solicita dejar sin efecto el oficio 1972-PLA-PE-2020. </w:t>
      </w:r>
    </w:p>
    <w:p w14:paraId="01DFAB49" w14:textId="77777777" w:rsidR="00435AC6" w:rsidRPr="00704B08" w:rsidRDefault="00435AC6" w:rsidP="00704B08">
      <w:pPr>
        <w:spacing w:line="360" w:lineRule="auto"/>
        <w:jc w:val="both"/>
        <w:rPr>
          <w:rFonts w:ascii="Arial Narrow" w:hAnsi="Arial Narrow"/>
        </w:rPr>
      </w:pPr>
    </w:p>
    <w:p w14:paraId="34DE0D2E" w14:textId="3BF3659F" w:rsidR="00D2631B" w:rsidRDefault="00D2631B">
      <w:pPr>
        <w:rPr>
          <w:rFonts w:ascii="Arial Narrow" w:hAnsi="Arial Narrow"/>
        </w:rPr>
      </w:pPr>
      <w:r>
        <w:rPr>
          <w:rFonts w:ascii="Arial Narrow" w:hAnsi="Arial Narrow"/>
        </w:rPr>
        <w:br w:type="page"/>
      </w:r>
    </w:p>
    <w:p w14:paraId="038E4B46" w14:textId="77777777" w:rsidR="005305D8" w:rsidRPr="00704B08" w:rsidRDefault="005305D8" w:rsidP="00704B08">
      <w:pPr>
        <w:spacing w:line="360" w:lineRule="auto"/>
        <w:jc w:val="both"/>
        <w:rPr>
          <w:rFonts w:ascii="Arial Narrow" w:hAnsi="Arial Narrow"/>
        </w:rPr>
      </w:pPr>
    </w:p>
    <w:p w14:paraId="08796C38" w14:textId="2639873B" w:rsidR="00E61DA1" w:rsidRPr="000B4845" w:rsidRDefault="00E61DA1">
      <w:pPr>
        <w:pStyle w:val="Ttulo2"/>
      </w:pPr>
      <w:bookmarkStart w:id="12" w:name="_Toc84919349"/>
      <w:r w:rsidRPr="000B4845">
        <w:t xml:space="preserve">Alcance de la </w:t>
      </w:r>
      <w:r w:rsidR="00125E7D">
        <w:t>E</w:t>
      </w:r>
      <w:r w:rsidRPr="000B4845">
        <w:t>valuación</w:t>
      </w:r>
      <w:bookmarkEnd w:id="12"/>
    </w:p>
    <w:p w14:paraId="35CF6CA0" w14:textId="718704B9" w:rsidR="00E61DA1" w:rsidRPr="000B4845" w:rsidRDefault="00E61DA1" w:rsidP="00E61DA1">
      <w:pPr>
        <w:rPr>
          <w:rFonts w:eastAsia="Calibri"/>
          <w:lang w:eastAsia="en-US"/>
        </w:rPr>
      </w:pPr>
    </w:p>
    <w:p w14:paraId="63CD1BCD" w14:textId="79DD6DD8" w:rsidR="00E61DA1" w:rsidRPr="00704B08" w:rsidRDefault="00E61DA1" w:rsidP="00CC3693">
      <w:pPr>
        <w:spacing w:line="360" w:lineRule="auto"/>
        <w:jc w:val="both"/>
        <w:rPr>
          <w:rFonts w:ascii="Arial Narrow" w:hAnsi="Arial Narrow"/>
        </w:rPr>
      </w:pPr>
      <w:r w:rsidRPr="00704B08">
        <w:rPr>
          <w:rFonts w:ascii="Arial Narrow" w:hAnsi="Arial Narrow"/>
        </w:rPr>
        <w:t>Sobre el alcance de esta evaluación es importante destacar los esfuerzos hechos por los diferentes órganos del Poder Judicial, desde la construcción de Sistemas informáticos, hasta todos los esfuerzos de coordinación para llevar a cabo una ejecución del Plan Estratégico Institucional de manera óptima y transparente, como se presenta de seguido.</w:t>
      </w:r>
    </w:p>
    <w:p w14:paraId="7A6BB239" w14:textId="77777777" w:rsidR="00D202C3" w:rsidRPr="00704B08" w:rsidRDefault="00D202C3" w:rsidP="00C02919">
      <w:pPr>
        <w:spacing w:line="360" w:lineRule="auto"/>
        <w:jc w:val="both"/>
        <w:rPr>
          <w:rFonts w:ascii="Arial Narrow" w:hAnsi="Arial Narrow"/>
        </w:rPr>
      </w:pPr>
    </w:p>
    <w:p w14:paraId="3ECBE05E" w14:textId="4E2E05A9" w:rsidR="00E61DA1" w:rsidRPr="00704B08" w:rsidRDefault="00E61DA1" w:rsidP="005C4C02">
      <w:pPr>
        <w:spacing w:line="360" w:lineRule="auto"/>
        <w:jc w:val="both"/>
        <w:rPr>
          <w:rFonts w:ascii="Arial Narrow" w:hAnsi="Arial Narrow"/>
        </w:rPr>
      </w:pPr>
      <w:r w:rsidRPr="009D5823">
        <w:rPr>
          <w:rFonts w:ascii="Arial Narrow" w:hAnsi="Arial Narrow"/>
        </w:rPr>
        <w:t xml:space="preserve">La evaluación del PEI se </w:t>
      </w:r>
      <w:r w:rsidR="00D202C3" w:rsidRPr="009D5823">
        <w:rPr>
          <w:rFonts w:ascii="Arial Narrow" w:hAnsi="Arial Narrow"/>
        </w:rPr>
        <w:t xml:space="preserve">circunscribe </w:t>
      </w:r>
      <w:r w:rsidRPr="009D5823">
        <w:rPr>
          <w:rFonts w:ascii="Arial Narrow" w:hAnsi="Arial Narrow"/>
        </w:rPr>
        <w:t xml:space="preserve">a las </w:t>
      </w:r>
      <w:r w:rsidRPr="009D5823">
        <w:rPr>
          <w:rFonts w:ascii="Arial Narrow" w:hAnsi="Arial Narrow"/>
          <w:b/>
          <w:bCs/>
        </w:rPr>
        <w:t xml:space="preserve">187 metas </w:t>
      </w:r>
      <w:r w:rsidR="007F3359" w:rsidRPr="00704B08">
        <w:rPr>
          <w:rFonts w:ascii="Arial Narrow" w:hAnsi="Arial Narrow"/>
          <w:b/>
          <w:bCs/>
        </w:rPr>
        <w:t>estratégicas (para el año 2019)</w:t>
      </w:r>
      <w:r w:rsidR="007F3359" w:rsidRPr="00704B08">
        <w:rPr>
          <w:rFonts w:ascii="Arial Narrow" w:hAnsi="Arial Narrow"/>
        </w:rPr>
        <w:t xml:space="preserve"> y 219</w:t>
      </w:r>
      <w:r w:rsidR="007F3359" w:rsidRPr="00704B08">
        <w:rPr>
          <w:rFonts w:ascii="Arial Narrow" w:hAnsi="Arial Narrow"/>
          <w:b/>
          <w:bCs/>
        </w:rPr>
        <w:t xml:space="preserve"> metas estratégicas (para el año 2020)</w:t>
      </w:r>
      <w:r w:rsidR="007F3359" w:rsidRPr="00704B08">
        <w:rPr>
          <w:rFonts w:ascii="Arial Narrow" w:hAnsi="Arial Narrow"/>
        </w:rPr>
        <w:t xml:space="preserve"> </w:t>
      </w:r>
      <w:r w:rsidRPr="009D5823">
        <w:rPr>
          <w:rFonts w:ascii="Arial Narrow" w:hAnsi="Arial Narrow"/>
        </w:rPr>
        <w:t xml:space="preserve">contenidas en el PEI </w:t>
      </w:r>
      <w:r w:rsidR="00633212" w:rsidRPr="009D5823">
        <w:rPr>
          <w:rFonts w:ascii="Arial Narrow" w:hAnsi="Arial Narrow"/>
        </w:rPr>
        <w:t>que fueron</w:t>
      </w:r>
      <w:r w:rsidRPr="009D5823">
        <w:rPr>
          <w:rFonts w:ascii="Arial Narrow" w:hAnsi="Arial Narrow"/>
        </w:rPr>
        <w:t xml:space="preserve"> ejecutadas </w:t>
      </w:r>
      <w:r w:rsidR="002016B0" w:rsidRPr="009D5823">
        <w:rPr>
          <w:rFonts w:ascii="Arial Narrow" w:hAnsi="Arial Narrow"/>
        </w:rPr>
        <w:t xml:space="preserve">mediante el cumplimiento de los objetivos y metas operativas del PAO, esto vinculado </w:t>
      </w:r>
      <w:r w:rsidR="00633212" w:rsidRPr="009D5823">
        <w:rPr>
          <w:rFonts w:ascii="Arial Narrow" w:hAnsi="Arial Narrow"/>
        </w:rPr>
        <w:t>a</w:t>
      </w:r>
      <w:r w:rsidR="002016B0" w:rsidRPr="009D5823">
        <w:rPr>
          <w:rFonts w:ascii="Arial Narrow" w:hAnsi="Arial Narrow"/>
        </w:rPr>
        <w:t xml:space="preserve"> los 5 temas estratégicos.</w:t>
      </w:r>
      <w:r w:rsidR="00776286" w:rsidRPr="009D5823">
        <w:rPr>
          <w:rFonts w:ascii="Arial Narrow" w:hAnsi="Arial Narrow"/>
        </w:rPr>
        <w:t xml:space="preserve"> La fecha de generación de datos del 2019 </w:t>
      </w:r>
      <w:r w:rsidR="00F04641" w:rsidRPr="009D5823">
        <w:rPr>
          <w:rFonts w:ascii="Arial Narrow" w:hAnsi="Arial Narrow"/>
        </w:rPr>
        <w:t>consideró</w:t>
      </w:r>
      <w:r w:rsidR="00776286" w:rsidRPr="009D5823">
        <w:rPr>
          <w:rFonts w:ascii="Arial Narrow" w:hAnsi="Arial Narrow"/>
        </w:rPr>
        <w:t xml:space="preserve"> los avances incorporados </w:t>
      </w:r>
      <w:r w:rsidR="00D202C3" w:rsidRPr="009D5823">
        <w:rPr>
          <w:rFonts w:ascii="Arial Narrow" w:hAnsi="Arial Narrow"/>
        </w:rPr>
        <w:t>en el sistema hasta e</w:t>
      </w:r>
      <w:r w:rsidR="00776286" w:rsidRPr="009D5823">
        <w:rPr>
          <w:rFonts w:ascii="Arial Narrow" w:hAnsi="Arial Narrow"/>
        </w:rPr>
        <w:t xml:space="preserve">l </w:t>
      </w:r>
      <w:r w:rsidR="00776286" w:rsidRPr="009D5823">
        <w:rPr>
          <w:rFonts w:ascii="Arial Narrow" w:hAnsi="Arial Narrow"/>
          <w:b/>
          <w:bCs/>
        </w:rPr>
        <w:t>24 de enero del 2020</w:t>
      </w:r>
      <w:r w:rsidR="007F3359" w:rsidRPr="00704B08">
        <w:rPr>
          <w:rFonts w:ascii="Arial Narrow" w:hAnsi="Arial Narrow"/>
          <w:b/>
          <w:bCs/>
        </w:rPr>
        <w:t xml:space="preserve"> y </w:t>
      </w:r>
      <w:r w:rsidR="007F3359" w:rsidRPr="00704B08">
        <w:rPr>
          <w:rFonts w:ascii="Arial Narrow" w:hAnsi="Arial Narrow"/>
        </w:rPr>
        <w:t>para el año 2020</w:t>
      </w:r>
      <w:r w:rsidR="007F3359" w:rsidRPr="00704B08">
        <w:rPr>
          <w:rFonts w:ascii="Arial Narrow" w:hAnsi="Arial Narrow"/>
          <w:b/>
          <w:bCs/>
        </w:rPr>
        <w:t xml:space="preserve"> hasta el 4 de </w:t>
      </w:r>
      <w:r w:rsidR="00EB7E6E" w:rsidRPr="00704B08">
        <w:rPr>
          <w:rFonts w:ascii="Arial Narrow" w:hAnsi="Arial Narrow"/>
          <w:b/>
          <w:bCs/>
        </w:rPr>
        <w:t>marzo 2021</w:t>
      </w:r>
      <w:r w:rsidR="00776286" w:rsidRPr="009D5823">
        <w:rPr>
          <w:rFonts w:ascii="Arial Narrow" w:hAnsi="Arial Narrow"/>
          <w:b/>
          <w:bCs/>
        </w:rPr>
        <w:t>,</w:t>
      </w:r>
      <w:r w:rsidR="00776286" w:rsidRPr="009D5823">
        <w:rPr>
          <w:rFonts w:ascii="Arial Narrow" w:hAnsi="Arial Narrow"/>
        </w:rPr>
        <w:t xml:space="preserve"> esto con el fin de que los despachos tuvieran oportunidad una vez regresaran del cierre colectivo, de concluir con el registro de avances de las metas.</w:t>
      </w:r>
    </w:p>
    <w:p w14:paraId="614EE168" w14:textId="2583F549" w:rsidR="006E2DE5" w:rsidRPr="00704B08" w:rsidRDefault="006E2DE5">
      <w:pPr>
        <w:spacing w:line="360" w:lineRule="auto"/>
        <w:jc w:val="both"/>
        <w:rPr>
          <w:rFonts w:ascii="Arial Narrow" w:eastAsia="Calibri" w:hAnsi="Arial Narrow"/>
          <w:lang w:eastAsia="en-US"/>
        </w:rPr>
      </w:pPr>
    </w:p>
    <w:p w14:paraId="3B1A4FB9" w14:textId="3938B82F" w:rsidR="002D42D4" w:rsidRPr="00704B08" w:rsidRDefault="00E15AA5">
      <w:pPr>
        <w:spacing w:line="360" w:lineRule="auto"/>
        <w:jc w:val="both"/>
        <w:rPr>
          <w:rFonts w:ascii="Arial Narrow" w:hAnsi="Arial Narrow"/>
        </w:rPr>
      </w:pPr>
      <w:r w:rsidRPr="00704B08">
        <w:rPr>
          <w:rFonts w:ascii="Arial Narrow" w:hAnsi="Arial Narrow"/>
        </w:rPr>
        <w:t xml:space="preserve">Es importante señalar que con respecto a la posibilidad de brindar seguimiento a otros aspectos o componentes del PEI, durante el </w:t>
      </w:r>
      <w:r w:rsidRPr="009D5823">
        <w:rPr>
          <w:rFonts w:ascii="Arial Narrow" w:hAnsi="Arial Narrow"/>
        </w:rPr>
        <w:t>año 2020</w:t>
      </w:r>
      <w:r w:rsidR="00474CD3">
        <w:rPr>
          <w:rFonts w:ascii="Arial Narrow" w:hAnsi="Arial Narrow"/>
        </w:rPr>
        <w:t xml:space="preserve"> y 2021</w:t>
      </w:r>
      <w:r w:rsidR="00E326DE" w:rsidRPr="009D5823">
        <w:rPr>
          <w:rFonts w:ascii="Arial Narrow" w:hAnsi="Arial Narrow"/>
        </w:rPr>
        <w:t xml:space="preserve"> </w:t>
      </w:r>
      <w:r w:rsidRPr="009D5823">
        <w:rPr>
          <w:rFonts w:ascii="Arial Narrow" w:hAnsi="Arial Narrow"/>
        </w:rPr>
        <w:t xml:space="preserve">se ha estado trabajando en una serie de mejoras en el sistema informático, </w:t>
      </w:r>
      <w:r w:rsidRPr="006157A3">
        <w:rPr>
          <w:rFonts w:ascii="Arial Narrow" w:hAnsi="Arial Narrow"/>
        </w:rPr>
        <w:t>de manera tal que se visualiza que para el</w:t>
      </w:r>
      <w:r w:rsidR="002D42D4" w:rsidRPr="00E05ABB">
        <w:rPr>
          <w:rFonts w:ascii="Arial Narrow" w:hAnsi="Arial Narrow"/>
        </w:rPr>
        <w:t xml:space="preserve"> </w:t>
      </w:r>
      <w:r w:rsidRPr="00E05ABB">
        <w:rPr>
          <w:rFonts w:ascii="Arial Narrow" w:hAnsi="Arial Narrow"/>
        </w:rPr>
        <w:t xml:space="preserve">informe anual de seguimiento al PEI </w:t>
      </w:r>
      <w:r w:rsidR="002D42D4" w:rsidRPr="00A714B2">
        <w:rPr>
          <w:rFonts w:ascii="Arial Narrow" w:hAnsi="Arial Narrow"/>
        </w:rPr>
        <w:t xml:space="preserve">del año </w:t>
      </w:r>
      <w:r w:rsidR="006157A3" w:rsidRPr="006157A3">
        <w:rPr>
          <w:rFonts w:ascii="Arial Narrow" w:hAnsi="Arial Narrow"/>
        </w:rPr>
        <w:t>2021</w:t>
      </w:r>
      <w:r w:rsidR="006157A3">
        <w:rPr>
          <w:rFonts w:ascii="Arial Narrow" w:hAnsi="Arial Narrow"/>
        </w:rPr>
        <w:t xml:space="preserve"> </w:t>
      </w:r>
      <w:r w:rsidR="002D42D4" w:rsidRPr="009D5823">
        <w:rPr>
          <w:rFonts w:ascii="Arial Narrow" w:hAnsi="Arial Narrow"/>
        </w:rPr>
        <w:t>se</w:t>
      </w:r>
      <w:r w:rsidRPr="009D5823">
        <w:rPr>
          <w:rFonts w:ascii="Arial Narrow" w:hAnsi="Arial Narrow"/>
        </w:rPr>
        <w:t xml:space="preserve">rá posible </w:t>
      </w:r>
      <w:r w:rsidR="002D42D4" w:rsidRPr="009D5823">
        <w:rPr>
          <w:rFonts w:ascii="Arial Narrow" w:hAnsi="Arial Narrow"/>
        </w:rPr>
        <w:t>llevar a cabo la evaluación de cumplimiento de Ejes Transversales, Políticas Institucionales (Aprobado en Corte Plena en sesión 2-2020 celebrada el 13 de enero de 2020, artículo XXXII, aprobó el Modelo de Gestión de las Políticas Institucionales)</w:t>
      </w:r>
      <w:r w:rsidRPr="009D5823">
        <w:rPr>
          <w:rFonts w:ascii="Arial Narrow" w:hAnsi="Arial Narrow"/>
        </w:rPr>
        <w:t xml:space="preserve"> y </w:t>
      </w:r>
      <w:r w:rsidR="002D42D4" w:rsidRPr="009D5823">
        <w:rPr>
          <w:rFonts w:ascii="Arial Narrow" w:hAnsi="Arial Narrow"/>
        </w:rPr>
        <w:t>Proyectos estratégicos, entre otras variables.</w:t>
      </w:r>
      <w:r w:rsidR="002D42D4" w:rsidRPr="00704B08">
        <w:rPr>
          <w:rFonts w:ascii="Arial Narrow" w:hAnsi="Arial Narrow"/>
        </w:rPr>
        <w:t xml:space="preserve"> </w:t>
      </w:r>
    </w:p>
    <w:p w14:paraId="24FF093D" w14:textId="06B39FC3" w:rsidR="000819C1" w:rsidRDefault="000819C1" w:rsidP="002D42D4">
      <w:pPr>
        <w:spacing w:line="360" w:lineRule="auto"/>
        <w:jc w:val="both"/>
        <w:rPr>
          <w:rFonts w:ascii="Arial Narrow" w:hAnsi="Arial Narrow" w:cs="Book Antiqua"/>
        </w:rPr>
      </w:pPr>
    </w:p>
    <w:p w14:paraId="3404C0DA" w14:textId="04B29D4F" w:rsidR="00D2631B" w:rsidRDefault="00D2631B">
      <w:pPr>
        <w:rPr>
          <w:rFonts w:ascii="Arial Narrow" w:hAnsi="Arial Narrow" w:cs="Book Antiqua"/>
        </w:rPr>
      </w:pPr>
      <w:r>
        <w:rPr>
          <w:rFonts w:ascii="Arial Narrow" w:hAnsi="Arial Narrow" w:cs="Book Antiqua"/>
        </w:rPr>
        <w:br w:type="page"/>
      </w:r>
    </w:p>
    <w:p w14:paraId="534999C5" w14:textId="77777777" w:rsidR="000819C1" w:rsidRPr="00484CC1" w:rsidRDefault="000819C1" w:rsidP="002D42D4">
      <w:pPr>
        <w:spacing w:line="360" w:lineRule="auto"/>
        <w:jc w:val="both"/>
        <w:rPr>
          <w:rFonts w:ascii="Arial Narrow" w:hAnsi="Arial Narrow" w:cs="Book Antiqua"/>
        </w:rPr>
      </w:pPr>
    </w:p>
    <w:p w14:paraId="0965BE52" w14:textId="40CB483D" w:rsidR="005305D8" w:rsidRPr="000B4845" w:rsidRDefault="00E4253A">
      <w:pPr>
        <w:pStyle w:val="Ttulo2"/>
      </w:pPr>
      <w:r>
        <w:t xml:space="preserve"> </w:t>
      </w:r>
      <w:bookmarkStart w:id="13" w:name="_Toc84919350"/>
      <w:r w:rsidR="005305D8" w:rsidRPr="000B4845">
        <w:t>Metodología</w:t>
      </w:r>
      <w:bookmarkEnd w:id="13"/>
    </w:p>
    <w:p w14:paraId="010AB47B" w14:textId="1B0933F5" w:rsidR="005305D8" w:rsidRPr="000B4845" w:rsidRDefault="005305D8" w:rsidP="005305D8">
      <w:pPr>
        <w:rPr>
          <w:rFonts w:ascii="Arial Narrow" w:eastAsia="Calibri" w:hAnsi="Arial Narrow"/>
          <w:sz w:val="28"/>
          <w:szCs w:val="28"/>
          <w:lang w:eastAsia="en-US"/>
        </w:rPr>
      </w:pPr>
    </w:p>
    <w:p w14:paraId="5BDACA4B" w14:textId="499CEBA3" w:rsidR="00A14152" w:rsidRDefault="005305D8" w:rsidP="00CC3693">
      <w:pPr>
        <w:spacing w:line="360" w:lineRule="auto"/>
        <w:jc w:val="both"/>
        <w:rPr>
          <w:rFonts w:ascii="Arial Narrow" w:hAnsi="Arial Narrow"/>
        </w:rPr>
      </w:pPr>
      <w:r w:rsidRPr="00704B08">
        <w:rPr>
          <w:rFonts w:ascii="Arial Narrow" w:hAnsi="Arial Narrow"/>
        </w:rPr>
        <w:t>La metodología de seguimiento y control del PEI permite obtener información sobre el estado de avance en la ejecución d</w:t>
      </w:r>
      <w:r w:rsidR="008B6366" w:rsidRPr="00704B08">
        <w:rPr>
          <w:rFonts w:ascii="Arial Narrow" w:hAnsi="Arial Narrow"/>
        </w:rPr>
        <w:t>el Plan Estratégico</w:t>
      </w:r>
      <w:r w:rsidRPr="00704B08">
        <w:rPr>
          <w:rFonts w:ascii="Arial Narrow" w:hAnsi="Arial Narrow"/>
        </w:rPr>
        <w:t>, y facilita el control por parte de l</w:t>
      </w:r>
      <w:r w:rsidR="008B6366" w:rsidRPr="00704B08">
        <w:rPr>
          <w:rFonts w:ascii="Arial Narrow" w:hAnsi="Arial Narrow"/>
        </w:rPr>
        <w:t>os responsables estratégicos</w:t>
      </w:r>
      <w:r w:rsidRPr="00704B08">
        <w:rPr>
          <w:rFonts w:ascii="Arial Narrow" w:hAnsi="Arial Narrow"/>
        </w:rPr>
        <w:t xml:space="preserve">, así como la adaptación de la planificación estratégica ante nuevos escenarios. </w:t>
      </w:r>
    </w:p>
    <w:p w14:paraId="2408BA96" w14:textId="77777777" w:rsidR="00D2631B" w:rsidRDefault="00D2631B" w:rsidP="00CC3693">
      <w:pPr>
        <w:spacing w:line="360" w:lineRule="auto"/>
        <w:jc w:val="both"/>
        <w:rPr>
          <w:rFonts w:ascii="Arial Narrow" w:hAnsi="Arial Narrow"/>
        </w:rPr>
      </w:pPr>
    </w:p>
    <w:p w14:paraId="6669E8E2" w14:textId="590C2B7C" w:rsidR="00A14152" w:rsidRDefault="005305D8" w:rsidP="00CC3693">
      <w:pPr>
        <w:spacing w:line="360" w:lineRule="auto"/>
        <w:jc w:val="both"/>
        <w:rPr>
          <w:rFonts w:ascii="Arial Narrow" w:hAnsi="Arial Narrow"/>
        </w:rPr>
      </w:pPr>
      <w:r w:rsidRPr="00704B08">
        <w:rPr>
          <w:rFonts w:ascii="Arial Narrow" w:hAnsi="Arial Narrow"/>
        </w:rPr>
        <w:t xml:space="preserve">El seguimiento del Plan se efectúa mediante las acciones y compromisos asumidos por los responsables de las estrategias, los cuales fueron </w:t>
      </w:r>
      <w:r w:rsidR="008B6366" w:rsidRPr="00704B08">
        <w:rPr>
          <w:rFonts w:ascii="Arial Narrow" w:hAnsi="Arial Narrow"/>
        </w:rPr>
        <w:t>vinculados</w:t>
      </w:r>
      <w:r w:rsidRPr="00704B08">
        <w:rPr>
          <w:rFonts w:ascii="Arial Narrow" w:hAnsi="Arial Narrow"/>
        </w:rPr>
        <w:t xml:space="preserve"> en el </w:t>
      </w:r>
      <w:r w:rsidR="00A14152">
        <w:rPr>
          <w:rFonts w:ascii="Arial Narrow" w:hAnsi="Arial Narrow"/>
        </w:rPr>
        <w:t>P</w:t>
      </w:r>
      <w:r w:rsidRPr="00704B08">
        <w:rPr>
          <w:rFonts w:ascii="Arial Narrow" w:hAnsi="Arial Narrow"/>
        </w:rPr>
        <w:t xml:space="preserve">lan </w:t>
      </w:r>
      <w:r w:rsidR="00A14152">
        <w:rPr>
          <w:rFonts w:ascii="Arial Narrow" w:hAnsi="Arial Narrow"/>
        </w:rPr>
        <w:t>A</w:t>
      </w:r>
      <w:r w:rsidRPr="00704B08">
        <w:rPr>
          <w:rFonts w:ascii="Arial Narrow" w:hAnsi="Arial Narrow"/>
        </w:rPr>
        <w:t xml:space="preserve">nual </w:t>
      </w:r>
      <w:r w:rsidR="00A14152">
        <w:rPr>
          <w:rFonts w:ascii="Arial Narrow" w:hAnsi="Arial Narrow"/>
        </w:rPr>
        <w:t>O</w:t>
      </w:r>
      <w:r w:rsidRPr="00704B08">
        <w:rPr>
          <w:rFonts w:ascii="Arial Narrow" w:hAnsi="Arial Narrow"/>
        </w:rPr>
        <w:t>perativo</w:t>
      </w:r>
      <w:r w:rsidR="00A14152">
        <w:rPr>
          <w:rFonts w:ascii="Arial Narrow" w:hAnsi="Arial Narrow"/>
        </w:rPr>
        <w:t xml:space="preserve"> (PAO)</w:t>
      </w:r>
      <w:r w:rsidRPr="00704B08">
        <w:rPr>
          <w:rFonts w:ascii="Arial Narrow" w:hAnsi="Arial Narrow"/>
        </w:rPr>
        <w:t xml:space="preserve">. </w:t>
      </w:r>
    </w:p>
    <w:p w14:paraId="350699E9" w14:textId="77777777" w:rsidR="00D2631B" w:rsidRDefault="00D2631B" w:rsidP="00CC3693">
      <w:pPr>
        <w:spacing w:line="360" w:lineRule="auto"/>
        <w:jc w:val="both"/>
        <w:rPr>
          <w:rFonts w:ascii="Arial Narrow" w:hAnsi="Arial Narrow"/>
        </w:rPr>
      </w:pPr>
    </w:p>
    <w:p w14:paraId="021803C4" w14:textId="594B4181" w:rsidR="008B6366" w:rsidRDefault="005305D8" w:rsidP="00CC3693">
      <w:pPr>
        <w:spacing w:line="360" w:lineRule="auto"/>
        <w:jc w:val="both"/>
        <w:rPr>
          <w:rFonts w:ascii="Arial Narrow" w:hAnsi="Arial Narrow"/>
        </w:rPr>
      </w:pPr>
      <w:r w:rsidRPr="00704B08">
        <w:rPr>
          <w:rFonts w:ascii="Arial Narrow" w:hAnsi="Arial Narrow"/>
        </w:rPr>
        <w:t xml:space="preserve">El grado de avance y, por ende, el logro de las diferentes estrategias y la consecución del marco estratégico definido en el </w:t>
      </w:r>
      <w:r w:rsidR="00652A12" w:rsidRPr="00704B08">
        <w:rPr>
          <w:rFonts w:ascii="Arial Narrow" w:hAnsi="Arial Narrow"/>
        </w:rPr>
        <w:t>PEI</w:t>
      </w:r>
      <w:r w:rsidR="00A14152">
        <w:rPr>
          <w:rFonts w:ascii="Arial Narrow" w:hAnsi="Arial Narrow"/>
        </w:rPr>
        <w:t>,</w:t>
      </w:r>
      <w:r w:rsidRPr="00704B08">
        <w:rPr>
          <w:rFonts w:ascii="Arial Narrow" w:hAnsi="Arial Narrow"/>
        </w:rPr>
        <w:t xml:space="preserve"> depende de la ejecución de estas acciones. </w:t>
      </w:r>
    </w:p>
    <w:p w14:paraId="371CE51B" w14:textId="77777777" w:rsidR="00D2631B" w:rsidRPr="00704B08" w:rsidRDefault="00D2631B" w:rsidP="00CC3693">
      <w:pPr>
        <w:spacing w:line="360" w:lineRule="auto"/>
        <w:jc w:val="both"/>
        <w:rPr>
          <w:rFonts w:ascii="Arial Narrow" w:hAnsi="Arial Narrow"/>
        </w:rPr>
      </w:pPr>
    </w:p>
    <w:p w14:paraId="4B1B0B7B" w14:textId="1F5788F8" w:rsidR="005305D8" w:rsidRPr="00704B08" w:rsidRDefault="00633212" w:rsidP="005C4C02">
      <w:pPr>
        <w:spacing w:line="360" w:lineRule="auto"/>
        <w:jc w:val="both"/>
        <w:rPr>
          <w:rFonts w:ascii="Arial Narrow" w:hAnsi="Arial Narrow"/>
        </w:rPr>
      </w:pPr>
      <w:r w:rsidRPr="00704B08">
        <w:rPr>
          <w:rFonts w:ascii="Arial Narrow" w:hAnsi="Arial Narrow"/>
        </w:rPr>
        <w:t>La evaluación</w:t>
      </w:r>
      <w:r w:rsidR="00A14152">
        <w:rPr>
          <w:rFonts w:ascii="Arial Narrow" w:hAnsi="Arial Narrow"/>
        </w:rPr>
        <w:t>,</w:t>
      </w:r>
      <w:r w:rsidRPr="00704B08">
        <w:rPr>
          <w:rFonts w:ascii="Arial Narrow" w:hAnsi="Arial Narrow"/>
        </w:rPr>
        <w:t xml:space="preserve"> consiste en analizar l</w:t>
      </w:r>
      <w:r w:rsidR="005305D8" w:rsidRPr="00704B08">
        <w:rPr>
          <w:rFonts w:ascii="Arial Narrow" w:hAnsi="Arial Narrow"/>
        </w:rPr>
        <w:t xml:space="preserve">as acciones ejecutadas durante el </w:t>
      </w:r>
      <w:r w:rsidR="00330B3C" w:rsidRPr="00704B08">
        <w:rPr>
          <w:rFonts w:ascii="Arial Narrow" w:hAnsi="Arial Narrow"/>
        </w:rPr>
        <w:t>2019</w:t>
      </w:r>
      <w:r w:rsidR="005305D8" w:rsidRPr="00704B08">
        <w:rPr>
          <w:rFonts w:ascii="Arial Narrow" w:hAnsi="Arial Narrow"/>
        </w:rPr>
        <w:t xml:space="preserve"> </w:t>
      </w:r>
      <w:r w:rsidR="00E326DE" w:rsidRPr="00704B08">
        <w:rPr>
          <w:rFonts w:ascii="Arial Narrow" w:hAnsi="Arial Narrow"/>
        </w:rPr>
        <w:t xml:space="preserve">y 2020 </w:t>
      </w:r>
      <w:r w:rsidRPr="00704B08">
        <w:rPr>
          <w:rFonts w:ascii="Arial Narrow" w:hAnsi="Arial Narrow"/>
        </w:rPr>
        <w:t>para</w:t>
      </w:r>
      <w:r w:rsidR="005305D8" w:rsidRPr="00704B08">
        <w:rPr>
          <w:rFonts w:ascii="Arial Narrow" w:hAnsi="Arial Narrow"/>
        </w:rPr>
        <w:t xml:space="preserve"> </w:t>
      </w:r>
      <w:r w:rsidR="008B6366" w:rsidRPr="00704B08">
        <w:rPr>
          <w:rFonts w:ascii="Arial Narrow" w:hAnsi="Arial Narrow"/>
        </w:rPr>
        <w:t>determinar el cumplimiento de avance de las metas estratégicas de acuerdo co</w:t>
      </w:r>
      <w:r w:rsidR="00330B3C" w:rsidRPr="00704B08">
        <w:rPr>
          <w:rFonts w:ascii="Arial Narrow" w:hAnsi="Arial Narrow"/>
        </w:rPr>
        <w:t>n</w:t>
      </w:r>
      <w:r w:rsidR="008B6366" w:rsidRPr="00704B08">
        <w:rPr>
          <w:rFonts w:ascii="Arial Narrow" w:hAnsi="Arial Narrow"/>
        </w:rPr>
        <w:t xml:space="preserve"> el tema estratégico y así se obtiene el </w:t>
      </w:r>
      <w:r w:rsidR="00AE3F2A">
        <w:rPr>
          <w:rFonts w:ascii="Arial Narrow" w:hAnsi="Arial Narrow"/>
        </w:rPr>
        <w:t>cumplimiento acumulado</w:t>
      </w:r>
      <w:r w:rsidRPr="00704B08">
        <w:rPr>
          <w:rFonts w:ascii="Arial Narrow" w:hAnsi="Arial Narrow"/>
        </w:rPr>
        <w:t xml:space="preserve">. </w:t>
      </w:r>
      <w:r w:rsidR="005305D8" w:rsidRPr="00704B08">
        <w:rPr>
          <w:rFonts w:ascii="Arial Narrow" w:hAnsi="Arial Narrow"/>
        </w:rPr>
        <w:t>E</w:t>
      </w:r>
      <w:r w:rsidR="008B6366" w:rsidRPr="00704B08">
        <w:rPr>
          <w:rFonts w:ascii="Arial Narrow" w:hAnsi="Arial Narrow"/>
        </w:rPr>
        <w:t>s importante destacar que las</w:t>
      </w:r>
      <w:r w:rsidR="005305D8" w:rsidRPr="00704B08">
        <w:rPr>
          <w:rFonts w:ascii="Arial Narrow" w:hAnsi="Arial Narrow"/>
        </w:rPr>
        <w:t xml:space="preserve"> metas </w:t>
      </w:r>
      <w:r w:rsidR="008B6366" w:rsidRPr="00704B08">
        <w:rPr>
          <w:rFonts w:ascii="Arial Narrow" w:hAnsi="Arial Narrow"/>
        </w:rPr>
        <w:t xml:space="preserve">estratégicas </w:t>
      </w:r>
      <w:r w:rsidR="005305D8" w:rsidRPr="00704B08">
        <w:rPr>
          <w:rFonts w:ascii="Arial Narrow" w:hAnsi="Arial Narrow"/>
        </w:rPr>
        <w:t xml:space="preserve">pueden iniciar su ejecución en distintos momentos de la vigencia del PEI. </w:t>
      </w:r>
    </w:p>
    <w:p w14:paraId="2BFACF75" w14:textId="77777777" w:rsidR="00633212" w:rsidRPr="00704B08" w:rsidRDefault="00633212">
      <w:pPr>
        <w:spacing w:line="360" w:lineRule="auto"/>
        <w:jc w:val="both"/>
        <w:rPr>
          <w:rFonts w:ascii="Arial Narrow" w:hAnsi="Arial Narrow"/>
        </w:rPr>
      </w:pPr>
    </w:p>
    <w:p w14:paraId="19F37ADE" w14:textId="405EB54D" w:rsidR="008B6366" w:rsidRPr="00704B08" w:rsidRDefault="008B6366" w:rsidP="00260A6A">
      <w:pPr>
        <w:spacing w:line="360" w:lineRule="auto"/>
        <w:jc w:val="both"/>
        <w:rPr>
          <w:rFonts w:ascii="Arial Narrow" w:hAnsi="Arial Narrow"/>
        </w:rPr>
      </w:pPr>
      <w:r w:rsidRPr="00704B08">
        <w:rPr>
          <w:rFonts w:ascii="Arial Narrow" w:hAnsi="Arial Narrow"/>
        </w:rPr>
        <w:t xml:space="preserve">El mecanismo de valoración para obtener resultados del PEI para el año 2019 </w:t>
      </w:r>
      <w:r w:rsidR="00E326DE" w:rsidRPr="00704B08">
        <w:rPr>
          <w:rFonts w:ascii="Arial Narrow" w:hAnsi="Arial Narrow"/>
        </w:rPr>
        <w:t xml:space="preserve">y 2020 </w:t>
      </w:r>
      <w:r w:rsidR="00260A6A">
        <w:rPr>
          <w:rFonts w:ascii="Arial Narrow" w:hAnsi="Arial Narrow"/>
        </w:rPr>
        <w:t xml:space="preserve">consiste en </w:t>
      </w:r>
      <w:r w:rsidRPr="00704B08">
        <w:rPr>
          <w:rFonts w:ascii="Arial Narrow" w:hAnsi="Arial Narrow"/>
        </w:rPr>
        <w:t>medir el nivel de progreso y cumplimiento del PEI, con base en el grado de avance anual y acumulado de las metas</w:t>
      </w:r>
      <w:r w:rsidR="004F223E" w:rsidRPr="00704B08">
        <w:rPr>
          <w:rFonts w:ascii="Arial Narrow" w:hAnsi="Arial Narrow"/>
        </w:rPr>
        <w:t xml:space="preserve"> estratégicas</w:t>
      </w:r>
      <w:r w:rsidRPr="00704B08">
        <w:rPr>
          <w:rFonts w:ascii="Arial Narrow" w:hAnsi="Arial Narrow"/>
        </w:rPr>
        <w:t xml:space="preserve">, el cual se obtiene mediante una evaluación </w:t>
      </w:r>
      <w:r w:rsidR="004F223E" w:rsidRPr="00704B08">
        <w:rPr>
          <w:rFonts w:ascii="Arial Narrow" w:hAnsi="Arial Narrow"/>
        </w:rPr>
        <w:t xml:space="preserve">y monitoreo </w:t>
      </w:r>
      <w:r w:rsidRPr="00704B08">
        <w:rPr>
          <w:rFonts w:ascii="Arial Narrow" w:hAnsi="Arial Narrow"/>
        </w:rPr>
        <w:t>continu</w:t>
      </w:r>
      <w:r w:rsidR="004F223E" w:rsidRPr="00704B08">
        <w:rPr>
          <w:rFonts w:ascii="Arial Narrow" w:hAnsi="Arial Narrow"/>
        </w:rPr>
        <w:t xml:space="preserve">o </w:t>
      </w:r>
      <w:r w:rsidRPr="00704B08">
        <w:rPr>
          <w:rFonts w:ascii="Arial Narrow" w:hAnsi="Arial Narrow"/>
        </w:rPr>
        <w:t xml:space="preserve">de las diferentes acciones ejecutadas para asegurar su cumplimiento, según sea </w:t>
      </w:r>
      <w:r w:rsidR="002615F3" w:rsidRPr="00704B08">
        <w:rPr>
          <w:rFonts w:ascii="Arial Narrow" w:hAnsi="Arial Narrow"/>
        </w:rPr>
        <w:t>el periodo para analizar</w:t>
      </w:r>
      <w:r w:rsidRPr="00704B08">
        <w:rPr>
          <w:rFonts w:ascii="Arial Narrow" w:hAnsi="Arial Narrow"/>
        </w:rPr>
        <w:t>.</w:t>
      </w:r>
    </w:p>
    <w:p w14:paraId="337225B6" w14:textId="77777777" w:rsidR="00DB6112" w:rsidRPr="00704B08" w:rsidRDefault="00DB6112" w:rsidP="00704B08">
      <w:pPr>
        <w:spacing w:line="360" w:lineRule="auto"/>
        <w:jc w:val="both"/>
        <w:rPr>
          <w:rFonts w:ascii="Arial Narrow" w:hAnsi="Arial Narrow"/>
        </w:rPr>
      </w:pPr>
    </w:p>
    <w:p w14:paraId="24740811" w14:textId="382E11FD" w:rsidR="006153A6" w:rsidRPr="00CA204D" w:rsidRDefault="008B6366" w:rsidP="00260A6A">
      <w:pPr>
        <w:spacing w:line="360" w:lineRule="auto"/>
        <w:jc w:val="both"/>
        <w:rPr>
          <w:rFonts w:ascii="Arial Narrow" w:hAnsi="Arial Narrow" w:cs="Book Antiqua"/>
        </w:rPr>
      </w:pPr>
      <w:r w:rsidRPr="00704B08">
        <w:rPr>
          <w:rFonts w:ascii="Arial Narrow" w:hAnsi="Arial Narrow"/>
        </w:rPr>
        <w:t>La evaluación se fundamenta en la recopilación de evidencias sobre las actuaciones realizadas durante el período de ejecución de las metas</w:t>
      </w:r>
      <w:r w:rsidR="004F223E" w:rsidRPr="00704B08">
        <w:rPr>
          <w:rFonts w:ascii="Arial Narrow" w:hAnsi="Arial Narrow"/>
        </w:rPr>
        <w:t>, en este caso 2019</w:t>
      </w:r>
      <w:r w:rsidR="00E326DE" w:rsidRPr="00704B08">
        <w:rPr>
          <w:rFonts w:ascii="Arial Narrow" w:hAnsi="Arial Narrow"/>
        </w:rPr>
        <w:t xml:space="preserve"> y 2020</w:t>
      </w:r>
      <w:r w:rsidRPr="00704B08">
        <w:rPr>
          <w:rFonts w:ascii="Arial Narrow" w:hAnsi="Arial Narrow"/>
        </w:rPr>
        <w:t xml:space="preserve">. </w:t>
      </w:r>
      <w:r w:rsidR="00260A6A">
        <w:rPr>
          <w:rFonts w:ascii="Arial Narrow" w:hAnsi="Arial Narrow"/>
        </w:rPr>
        <w:t xml:space="preserve">Para ello, se </w:t>
      </w:r>
      <w:r w:rsidR="00260A6A">
        <w:rPr>
          <w:rFonts w:ascii="Arial Narrow" w:hAnsi="Arial Narrow" w:cs="Book Antiqua"/>
        </w:rPr>
        <w:t xml:space="preserve">basa en </w:t>
      </w:r>
      <w:r w:rsidR="006153A6" w:rsidRPr="00704B08">
        <w:rPr>
          <w:rFonts w:ascii="Arial Narrow" w:hAnsi="Arial Narrow" w:cs="Book Antiqua"/>
        </w:rPr>
        <w:t>la información contenida en el sistema PAO</w:t>
      </w:r>
      <w:r w:rsidR="006153A6">
        <w:rPr>
          <w:rFonts w:ascii="Arial Narrow" w:hAnsi="Arial Narrow" w:cs="Book Antiqua"/>
        </w:rPr>
        <w:t xml:space="preserve"> y c</w:t>
      </w:r>
      <w:r w:rsidR="006153A6" w:rsidRPr="00704B08">
        <w:rPr>
          <w:rFonts w:ascii="Arial Narrow" w:hAnsi="Arial Narrow" w:cs="Book Antiqua"/>
        </w:rPr>
        <w:t xml:space="preserve">omo resultado, se obtiene el grado </w:t>
      </w:r>
      <w:r w:rsidR="006153A6" w:rsidRPr="00704B08">
        <w:rPr>
          <w:rFonts w:ascii="Arial Narrow" w:hAnsi="Arial Narrow" w:cs="Book Antiqua"/>
        </w:rPr>
        <w:lastRenderedPageBreak/>
        <w:t xml:space="preserve">de avance anual de cada </w:t>
      </w:r>
      <w:r w:rsidR="006153A6" w:rsidRPr="009D106D">
        <w:rPr>
          <w:rFonts w:ascii="Arial Narrow" w:hAnsi="Arial Narrow" w:cs="Book Antiqua"/>
        </w:rPr>
        <w:t xml:space="preserve">componente del PEI; </w:t>
      </w:r>
      <w:r w:rsidR="006153A6" w:rsidRPr="00CA204D">
        <w:rPr>
          <w:rFonts w:ascii="Arial Narrow" w:hAnsi="Arial Narrow" w:cs="Book Antiqua"/>
        </w:rPr>
        <w:t xml:space="preserve">lo anterior, </w:t>
      </w:r>
      <w:r w:rsidR="006153A6">
        <w:rPr>
          <w:rFonts w:ascii="Arial Narrow" w:hAnsi="Arial Narrow" w:cs="Book Antiqua"/>
        </w:rPr>
        <w:t>a</w:t>
      </w:r>
      <w:r w:rsidR="006153A6" w:rsidRPr="00CA204D">
        <w:rPr>
          <w:rFonts w:ascii="Arial Narrow" w:hAnsi="Arial Narrow" w:cs="Book Antiqua"/>
        </w:rPr>
        <w:t xml:space="preserve"> través de la valoración directa del grado de cumplimiento de la meta estratégica y al avance reportado por la oficina u oficinas responsables por medio de las metas operativas vinculadas al PAO. </w:t>
      </w:r>
    </w:p>
    <w:p w14:paraId="3DE302E9" w14:textId="77777777" w:rsidR="00DB6112" w:rsidRPr="00704B08" w:rsidRDefault="00DB6112" w:rsidP="00CC3693">
      <w:pPr>
        <w:spacing w:line="360" w:lineRule="auto"/>
        <w:jc w:val="both"/>
        <w:rPr>
          <w:rFonts w:ascii="Arial Narrow" w:hAnsi="Arial Narrow"/>
        </w:rPr>
      </w:pPr>
    </w:p>
    <w:p w14:paraId="33114D7D" w14:textId="0CB9C40F" w:rsidR="00D202C3" w:rsidRPr="00704B08" w:rsidRDefault="00633212" w:rsidP="00E10947">
      <w:pPr>
        <w:spacing w:line="360" w:lineRule="auto"/>
        <w:jc w:val="both"/>
        <w:rPr>
          <w:rFonts w:ascii="Arial Narrow" w:hAnsi="Arial Narrow"/>
        </w:rPr>
      </w:pPr>
      <w:r w:rsidRPr="00704B08">
        <w:rPr>
          <w:rFonts w:ascii="Arial Narrow" w:hAnsi="Arial Narrow"/>
        </w:rPr>
        <w:t xml:space="preserve">Por medio del </w:t>
      </w:r>
      <w:r w:rsidR="00AE3F2A">
        <w:rPr>
          <w:rFonts w:ascii="Arial Narrow" w:hAnsi="Arial Narrow"/>
        </w:rPr>
        <w:t xml:space="preserve">Sistema </w:t>
      </w:r>
      <w:r w:rsidRPr="00704B08">
        <w:rPr>
          <w:rFonts w:ascii="Arial Narrow" w:hAnsi="Arial Narrow"/>
        </w:rPr>
        <w:t>PAO, es que se registra la evidencia de que la meta fue debidamente completada.</w:t>
      </w:r>
      <w:r w:rsidR="008B6366" w:rsidRPr="00704B08">
        <w:rPr>
          <w:rFonts w:ascii="Arial Narrow" w:hAnsi="Arial Narrow"/>
        </w:rPr>
        <w:t xml:space="preserve"> </w:t>
      </w:r>
      <w:r w:rsidR="00C30E3B" w:rsidRPr="00704B08">
        <w:rPr>
          <w:rFonts w:ascii="Arial Narrow" w:hAnsi="Arial Narrow"/>
        </w:rPr>
        <w:t>Se presenta en los siguientes apartados por Tema estratégico que el cumplimiento corresponde a una escala de 0-100%, por lo que resulta conveniente analizar esto en función del valor que se esperaba para el año evaluado (2019</w:t>
      </w:r>
      <w:r w:rsidR="00E326DE" w:rsidRPr="00704B08">
        <w:rPr>
          <w:rFonts w:ascii="Arial Narrow" w:hAnsi="Arial Narrow"/>
        </w:rPr>
        <w:t xml:space="preserve"> y 2020</w:t>
      </w:r>
      <w:r w:rsidR="00C30E3B" w:rsidRPr="00704B08">
        <w:rPr>
          <w:rFonts w:ascii="Arial Narrow" w:hAnsi="Arial Narrow"/>
        </w:rPr>
        <w:t>) y así realizar los ajustes a las prioridades institucionales que se consideren pertinentes</w:t>
      </w:r>
      <w:r w:rsidRPr="00704B08">
        <w:rPr>
          <w:rFonts w:ascii="Arial Narrow" w:hAnsi="Arial Narrow"/>
        </w:rPr>
        <w:t xml:space="preserve">, esto en caso de considerar que hay metas con retraso o con un nivel de cumplimiento </w:t>
      </w:r>
      <w:r w:rsidR="00AE3F2A">
        <w:rPr>
          <w:rFonts w:ascii="Arial Narrow" w:hAnsi="Arial Narrow"/>
        </w:rPr>
        <w:t>medio-</w:t>
      </w:r>
      <w:r w:rsidRPr="00704B08">
        <w:rPr>
          <w:rFonts w:ascii="Arial Narrow" w:hAnsi="Arial Narrow"/>
        </w:rPr>
        <w:t>bajo.</w:t>
      </w:r>
    </w:p>
    <w:p w14:paraId="2DF5BCB9" w14:textId="77777777" w:rsidR="00BB3C4F" w:rsidRPr="00704B08" w:rsidRDefault="00BB3C4F" w:rsidP="00CC3693">
      <w:pPr>
        <w:spacing w:line="360" w:lineRule="auto"/>
        <w:jc w:val="both"/>
        <w:rPr>
          <w:rFonts w:ascii="Arial Narrow" w:hAnsi="Arial Narrow"/>
        </w:rPr>
      </w:pPr>
    </w:p>
    <w:p w14:paraId="07832F68" w14:textId="3864E7D1" w:rsidR="000323E7" w:rsidRDefault="004B3694" w:rsidP="00CC279A">
      <w:pPr>
        <w:spacing w:line="360" w:lineRule="auto"/>
        <w:jc w:val="both"/>
        <w:rPr>
          <w:rFonts w:ascii="Arial Narrow" w:hAnsi="Arial Narrow"/>
        </w:rPr>
      </w:pPr>
      <w:r w:rsidRPr="00704B08">
        <w:rPr>
          <w:rFonts w:ascii="Arial Narrow" w:hAnsi="Arial Narrow"/>
        </w:rPr>
        <w:t>La definición de</w:t>
      </w:r>
      <w:r w:rsidR="00AE3F2A">
        <w:rPr>
          <w:rFonts w:ascii="Arial Narrow" w:hAnsi="Arial Narrow"/>
        </w:rPr>
        <w:t xml:space="preserve"> parámetros y rangos de cumplimiento, así como los respectivos</w:t>
      </w:r>
      <w:r w:rsidRPr="00704B08">
        <w:rPr>
          <w:rFonts w:ascii="Arial Narrow" w:hAnsi="Arial Narrow"/>
        </w:rPr>
        <w:t xml:space="preserve"> colores para el análisis de los cuadros por temas estratégicos se establece de la siguiente manera: </w:t>
      </w:r>
    </w:p>
    <w:p w14:paraId="121E144C" w14:textId="4FFEC647" w:rsidR="000323E7" w:rsidRDefault="000323E7">
      <w:pPr>
        <w:rPr>
          <w:rFonts w:ascii="Arial Narrow" w:hAnsi="Arial Narrow"/>
        </w:rPr>
      </w:pPr>
    </w:p>
    <w:p w14:paraId="6083B934" w14:textId="77777777" w:rsidR="004B3694" w:rsidRPr="00704B08" w:rsidRDefault="004B3694" w:rsidP="00CC279A">
      <w:pPr>
        <w:spacing w:line="360" w:lineRule="auto"/>
        <w:ind w:left="708"/>
        <w:jc w:val="both"/>
        <w:rPr>
          <w:rFonts w:ascii="Arial Narrow" w:hAnsi="Arial Narrow"/>
        </w:rPr>
      </w:pPr>
    </w:p>
    <w:p w14:paraId="3D4FBBD6" w14:textId="66A2D236" w:rsidR="00DB6112" w:rsidRPr="009B40EF" w:rsidRDefault="00A75670" w:rsidP="009B40EF">
      <w:pPr>
        <w:pStyle w:val="Descripcin"/>
        <w:jc w:val="center"/>
        <w:rPr>
          <w:rFonts w:ascii="Arial Narrow" w:hAnsi="Arial Narrow"/>
          <w:sz w:val="24"/>
          <w:szCs w:val="24"/>
        </w:rPr>
      </w:pPr>
      <w:bookmarkStart w:id="14" w:name="_Toc84919460"/>
      <w:r w:rsidRPr="00CC279A">
        <w:rPr>
          <w:rFonts w:ascii="Arial Narrow" w:hAnsi="Arial Narrow"/>
          <w:sz w:val="24"/>
          <w:szCs w:val="24"/>
        </w:rPr>
        <w:t xml:space="preserve">Tabla </w:t>
      </w:r>
      <w:r w:rsidRPr="00CC279A">
        <w:rPr>
          <w:rFonts w:ascii="Arial Narrow" w:hAnsi="Arial Narrow"/>
          <w:sz w:val="24"/>
          <w:szCs w:val="24"/>
        </w:rPr>
        <w:fldChar w:fldCharType="begin"/>
      </w:r>
      <w:r w:rsidRPr="00CC279A">
        <w:rPr>
          <w:rFonts w:ascii="Arial Narrow" w:hAnsi="Arial Narrow"/>
          <w:sz w:val="24"/>
          <w:szCs w:val="24"/>
        </w:rPr>
        <w:instrText xml:space="preserve"> SEQ Tabla \* ARABIC </w:instrText>
      </w:r>
      <w:r w:rsidRPr="00CC279A">
        <w:rPr>
          <w:rFonts w:ascii="Arial Narrow" w:hAnsi="Arial Narrow"/>
          <w:sz w:val="24"/>
          <w:szCs w:val="24"/>
        </w:rPr>
        <w:fldChar w:fldCharType="separate"/>
      </w:r>
      <w:r w:rsidRPr="00CC279A">
        <w:rPr>
          <w:rFonts w:ascii="Arial Narrow" w:hAnsi="Arial Narrow"/>
          <w:noProof/>
          <w:sz w:val="24"/>
          <w:szCs w:val="24"/>
        </w:rPr>
        <w:t>2</w:t>
      </w:r>
      <w:r w:rsidRPr="00CC279A">
        <w:rPr>
          <w:rFonts w:ascii="Arial Narrow" w:hAnsi="Arial Narrow"/>
          <w:sz w:val="24"/>
          <w:szCs w:val="24"/>
        </w:rPr>
        <w:fldChar w:fldCharType="end"/>
      </w:r>
      <w:r w:rsidRPr="00CC279A">
        <w:rPr>
          <w:rFonts w:ascii="Arial Narrow" w:hAnsi="Arial Narrow"/>
          <w:sz w:val="24"/>
          <w:szCs w:val="24"/>
        </w:rPr>
        <w:t xml:space="preserve"> Definición de parámetros y rangos de cumplimiento en la evaluación del PEI 2019-2020</w:t>
      </w:r>
      <w:bookmarkEnd w:id="14"/>
    </w:p>
    <w:p w14:paraId="65000ECD" w14:textId="77777777" w:rsidR="00DB6112" w:rsidRPr="00DB6112" w:rsidRDefault="00DB6112" w:rsidP="00DB6112">
      <w:pPr>
        <w:rPr>
          <w:lang w:eastAsia="en-US"/>
        </w:rPr>
      </w:pPr>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96"/>
        <w:gridCol w:w="3402"/>
        <w:gridCol w:w="3969"/>
      </w:tblGrid>
      <w:tr w:rsidR="004B3694" w14:paraId="02D84BF2" w14:textId="77777777" w:rsidTr="00704B08">
        <w:trPr>
          <w:jc w:val="center"/>
        </w:trPr>
        <w:tc>
          <w:tcPr>
            <w:tcW w:w="1696" w:type="dxa"/>
            <w:shd w:val="clear" w:color="auto" w:fill="AEAAAA" w:themeFill="background2" w:themeFillShade="BF"/>
            <w:vAlign w:val="center"/>
          </w:tcPr>
          <w:p w14:paraId="48B3A384" w14:textId="33B7E866" w:rsidR="004B3694" w:rsidRPr="004B3694" w:rsidRDefault="004B3694" w:rsidP="004B3694">
            <w:pPr>
              <w:spacing w:line="360" w:lineRule="auto"/>
              <w:jc w:val="center"/>
              <w:rPr>
                <w:rFonts w:ascii="Arial Narrow" w:hAnsi="Arial Narrow" w:cs="Book Antiqua"/>
                <w:b/>
                <w:bCs/>
              </w:rPr>
            </w:pPr>
            <w:r w:rsidRPr="00E15AA5">
              <w:rPr>
                <w:rFonts w:ascii="Arial Narrow" w:hAnsi="Arial Narrow" w:cs="Book Antiqua"/>
                <w:b/>
                <w:bCs/>
              </w:rPr>
              <w:t>Color</w:t>
            </w:r>
          </w:p>
        </w:tc>
        <w:tc>
          <w:tcPr>
            <w:tcW w:w="3402" w:type="dxa"/>
            <w:shd w:val="clear" w:color="auto" w:fill="AEAAAA" w:themeFill="background2" w:themeFillShade="BF"/>
            <w:vAlign w:val="center"/>
          </w:tcPr>
          <w:p w14:paraId="2E94E768" w14:textId="743067B1" w:rsidR="004B3694" w:rsidRPr="004B3694" w:rsidRDefault="00B85695" w:rsidP="004B3694">
            <w:pPr>
              <w:spacing w:line="360" w:lineRule="auto"/>
              <w:jc w:val="center"/>
              <w:rPr>
                <w:rFonts w:ascii="Arial Narrow" w:hAnsi="Arial Narrow" w:cs="Book Antiqua"/>
                <w:b/>
                <w:bCs/>
              </w:rPr>
            </w:pPr>
            <w:r>
              <w:rPr>
                <w:rFonts w:ascii="Arial Narrow" w:hAnsi="Arial Narrow" w:cs="Book Antiqua"/>
                <w:b/>
                <w:bCs/>
              </w:rPr>
              <w:t xml:space="preserve"> P</w:t>
            </w:r>
            <w:r w:rsidRPr="004B3694">
              <w:rPr>
                <w:rFonts w:ascii="Arial Narrow" w:hAnsi="Arial Narrow" w:cs="Book Antiqua"/>
                <w:b/>
                <w:bCs/>
              </w:rPr>
              <w:t>arámetro</w:t>
            </w:r>
            <w:r>
              <w:rPr>
                <w:rFonts w:ascii="Arial Narrow" w:hAnsi="Arial Narrow" w:cs="Book Antiqua"/>
                <w:b/>
                <w:bCs/>
              </w:rPr>
              <w:t xml:space="preserve"> de cumplimiento</w:t>
            </w:r>
          </w:p>
        </w:tc>
        <w:tc>
          <w:tcPr>
            <w:tcW w:w="3969" w:type="dxa"/>
            <w:shd w:val="clear" w:color="auto" w:fill="AEAAAA" w:themeFill="background2" w:themeFillShade="BF"/>
            <w:vAlign w:val="center"/>
          </w:tcPr>
          <w:p w14:paraId="217E3C34" w14:textId="240FE356" w:rsidR="004B3694" w:rsidRPr="004B3694" w:rsidRDefault="00B85695" w:rsidP="004B3694">
            <w:pPr>
              <w:spacing w:line="360" w:lineRule="auto"/>
              <w:jc w:val="center"/>
              <w:rPr>
                <w:rFonts w:ascii="Arial Narrow" w:hAnsi="Arial Narrow" w:cs="Book Antiqua"/>
                <w:b/>
                <w:bCs/>
              </w:rPr>
            </w:pPr>
            <w:r>
              <w:rPr>
                <w:rFonts w:ascii="Arial Narrow" w:hAnsi="Arial Narrow" w:cs="Book Antiqua"/>
                <w:b/>
                <w:bCs/>
              </w:rPr>
              <w:t>Rango</w:t>
            </w:r>
          </w:p>
        </w:tc>
      </w:tr>
      <w:tr w:rsidR="004B3694" w14:paraId="5238FA7C" w14:textId="77777777" w:rsidTr="00704B08">
        <w:trPr>
          <w:jc w:val="center"/>
        </w:trPr>
        <w:tc>
          <w:tcPr>
            <w:tcW w:w="1696" w:type="dxa"/>
            <w:vAlign w:val="center"/>
          </w:tcPr>
          <w:p w14:paraId="3EE6271B" w14:textId="5C7B28CD" w:rsidR="004B3694" w:rsidRDefault="004B3694" w:rsidP="004B3694">
            <w:pPr>
              <w:spacing w:line="360" w:lineRule="auto"/>
              <w:jc w:val="center"/>
              <w:rPr>
                <w:rFonts w:ascii="Arial Narrow" w:hAnsi="Arial Narrow" w:cs="Book Antiqua"/>
              </w:rPr>
            </w:pPr>
            <w:r>
              <w:rPr>
                <w:rFonts w:ascii="Arial Narrow" w:hAnsi="Arial Narrow" w:cs="Book Antiqua"/>
              </w:rPr>
              <w:t>Verde</w:t>
            </w:r>
            <w:r w:rsidR="008254FA">
              <w:rPr>
                <w:rFonts w:ascii="Arial Narrow" w:hAnsi="Arial Narrow" w:cs="Book Antiqua"/>
              </w:rPr>
              <w:t xml:space="preserve"> </w:t>
            </w:r>
            <w:r w:rsidR="008254FA" w:rsidRPr="008254FA">
              <w:rPr>
                <w:rFonts w:ascii="Webdings" w:eastAsia="Webdings" w:hAnsi="Webdings" w:cs="Webdings"/>
                <w:color w:val="70AD47" w:themeColor="accent6"/>
              </w:rPr>
              <w:t></w:t>
            </w:r>
          </w:p>
        </w:tc>
        <w:tc>
          <w:tcPr>
            <w:tcW w:w="3402" w:type="dxa"/>
            <w:vAlign w:val="center"/>
          </w:tcPr>
          <w:p w14:paraId="1E770663" w14:textId="10911B22" w:rsidR="004B3694" w:rsidRDefault="004B3694" w:rsidP="004B3694">
            <w:pPr>
              <w:spacing w:line="360" w:lineRule="auto"/>
              <w:jc w:val="center"/>
              <w:rPr>
                <w:rFonts w:ascii="Arial Narrow" w:hAnsi="Arial Narrow" w:cs="Book Antiqua"/>
              </w:rPr>
            </w:pPr>
            <w:r>
              <w:rPr>
                <w:rFonts w:ascii="Arial Narrow" w:hAnsi="Arial Narrow" w:cs="Book Antiqua"/>
              </w:rPr>
              <w:t>C</w:t>
            </w:r>
            <w:r w:rsidR="00B85695">
              <w:rPr>
                <w:rFonts w:ascii="Arial Narrow" w:hAnsi="Arial Narrow" w:cs="Book Antiqua"/>
              </w:rPr>
              <w:t>umplimiento Alto (CA)</w:t>
            </w:r>
          </w:p>
        </w:tc>
        <w:tc>
          <w:tcPr>
            <w:tcW w:w="3969" w:type="dxa"/>
            <w:vAlign w:val="center"/>
          </w:tcPr>
          <w:p w14:paraId="573CCAB2" w14:textId="29CAB401" w:rsidR="004B3694" w:rsidRDefault="3BFE9F27" w:rsidP="004B3694">
            <w:pPr>
              <w:spacing w:line="360" w:lineRule="auto"/>
              <w:jc w:val="center"/>
              <w:rPr>
                <w:rFonts w:ascii="Arial Narrow" w:hAnsi="Arial Narrow" w:cs="Book Antiqua"/>
              </w:rPr>
            </w:pPr>
            <w:r w:rsidRPr="596C5A54">
              <w:rPr>
                <w:rFonts w:ascii="Arial Narrow" w:hAnsi="Arial Narrow" w:cs="Book Antiqua"/>
              </w:rPr>
              <w:t>Mayor o igual a 90%</w:t>
            </w:r>
          </w:p>
        </w:tc>
      </w:tr>
      <w:tr w:rsidR="004B3694" w14:paraId="45C2CF72" w14:textId="77777777" w:rsidTr="00704B08">
        <w:trPr>
          <w:jc w:val="center"/>
        </w:trPr>
        <w:tc>
          <w:tcPr>
            <w:tcW w:w="1696" w:type="dxa"/>
            <w:vAlign w:val="center"/>
          </w:tcPr>
          <w:p w14:paraId="6EEE4F7F" w14:textId="5BA4C96B" w:rsidR="004B3694" w:rsidRDefault="004B3694" w:rsidP="004B3694">
            <w:pPr>
              <w:spacing w:line="360" w:lineRule="auto"/>
              <w:jc w:val="center"/>
              <w:rPr>
                <w:rFonts w:ascii="Arial Narrow" w:hAnsi="Arial Narrow" w:cs="Book Antiqua"/>
              </w:rPr>
            </w:pPr>
            <w:r>
              <w:rPr>
                <w:rFonts w:ascii="Arial Narrow" w:hAnsi="Arial Narrow" w:cs="Book Antiqua"/>
              </w:rPr>
              <w:t>Amarillo</w:t>
            </w:r>
            <w:r w:rsidR="008254FA">
              <w:rPr>
                <w:rFonts w:ascii="Arial Narrow" w:hAnsi="Arial Narrow" w:cs="Book Antiqua"/>
              </w:rPr>
              <w:t xml:space="preserve"> </w:t>
            </w:r>
            <w:r w:rsidR="008254FA" w:rsidRPr="008254FA">
              <w:rPr>
                <w:rFonts w:ascii="Webdings" w:eastAsia="Webdings" w:hAnsi="Webdings" w:cs="Webdings"/>
                <w:color w:val="FFFF00"/>
              </w:rPr>
              <w:t></w:t>
            </w:r>
          </w:p>
        </w:tc>
        <w:tc>
          <w:tcPr>
            <w:tcW w:w="3402" w:type="dxa"/>
            <w:vAlign w:val="center"/>
          </w:tcPr>
          <w:p w14:paraId="476C9CEB" w14:textId="60685D3B" w:rsidR="004B3694" w:rsidRDefault="004B3694" w:rsidP="004B3694">
            <w:pPr>
              <w:spacing w:line="360" w:lineRule="auto"/>
              <w:jc w:val="center"/>
              <w:rPr>
                <w:rFonts w:ascii="Arial Narrow" w:hAnsi="Arial Narrow" w:cs="Book Antiqua"/>
              </w:rPr>
            </w:pPr>
            <w:r>
              <w:rPr>
                <w:rFonts w:ascii="Arial Narrow" w:hAnsi="Arial Narrow" w:cs="Book Antiqua"/>
              </w:rPr>
              <w:t xml:space="preserve">Cumplimiento </w:t>
            </w:r>
            <w:r w:rsidR="00B85695">
              <w:rPr>
                <w:rFonts w:ascii="Arial Narrow" w:hAnsi="Arial Narrow" w:cs="Book Antiqua"/>
              </w:rPr>
              <w:t>Medio (CM)</w:t>
            </w:r>
          </w:p>
        </w:tc>
        <w:tc>
          <w:tcPr>
            <w:tcW w:w="3969" w:type="dxa"/>
            <w:vAlign w:val="center"/>
          </w:tcPr>
          <w:p w14:paraId="2CCCBEDC" w14:textId="1ECD9C98" w:rsidR="004B3694" w:rsidRDefault="6C5ABA0D" w:rsidP="004B3694">
            <w:pPr>
              <w:spacing w:line="360" w:lineRule="auto"/>
              <w:jc w:val="center"/>
              <w:rPr>
                <w:rFonts w:ascii="Arial Narrow" w:hAnsi="Arial Narrow" w:cs="Book Antiqua"/>
              </w:rPr>
            </w:pPr>
            <w:r w:rsidRPr="596C5A54">
              <w:rPr>
                <w:rFonts w:ascii="Arial Narrow" w:hAnsi="Arial Narrow" w:cs="Book Antiqua"/>
              </w:rPr>
              <w:t>Menor o igual a 89,99% o igual a 50,00%</w:t>
            </w:r>
          </w:p>
        </w:tc>
      </w:tr>
      <w:tr w:rsidR="004B3694" w14:paraId="3B588804" w14:textId="77777777" w:rsidTr="00704B08">
        <w:trPr>
          <w:jc w:val="center"/>
        </w:trPr>
        <w:tc>
          <w:tcPr>
            <w:tcW w:w="1696" w:type="dxa"/>
            <w:vAlign w:val="center"/>
          </w:tcPr>
          <w:p w14:paraId="5D9D13DE" w14:textId="50FD25DF" w:rsidR="004B3694" w:rsidRDefault="004B3694" w:rsidP="004B3694">
            <w:pPr>
              <w:spacing w:line="360" w:lineRule="auto"/>
              <w:jc w:val="center"/>
              <w:rPr>
                <w:rFonts w:ascii="Arial Narrow" w:hAnsi="Arial Narrow" w:cs="Book Antiqua"/>
              </w:rPr>
            </w:pPr>
            <w:r>
              <w:rPr>
                <w:rFonts w:ascii="Arial Narrow" w:hAnsi="Arial Narrow" w:cs="Book Antiqua"/>
              </w:rPr>
              <w:t>Rojo</w:t>
            </w:r>
            <w:r w:rsidR="008254FA">
              <w:rPr>
                <w:rFonts w:ascii="Arial Narrow" w:hAnsi="Arial Narrow" w:cs="Book Antiqua"/>
              </w:rPr>
              <w:t xml:space="preserve"> </w:t>
            </w:r>
            <w:r w:rsidR="008254FA" w:rsidRPr="008254FA">
              <w:rPr>
                <w:rFonts w:ascii="Webdings" w:eastAsia="Webdings" w:hAnsi="Webdings" w:cs="Webdings"/>
                <w:color w:val="FF0000"/>
              </w:rPr>
              <w:t></w:t>
            </w:r>
          </w:p>
        </w:tc>
        <w:tc>
          <w:tcPr>
            <w:tcW w:w="3402" w:type="dxa"/>
            <w:vAlign w:val="center"/>
          </w:tcPr>
          <w:p w14:paraId="6E10021D" w14:textId="6DF0CBD5" w:rsidR="004B3694" w:rsidRDefault="00B85695" w:rsidP="004B3694">
            <w:pPr>
              <w:spacing w:line="360" w:lineRule="auto"/>
              <w:jc w:val="center"/>
              <w:rPr>
                <w:rFonts w:ascii="Arial Narrow" w:hAnsi="Arial Narrow" w:cs="Book Antiqua"/>
              </w:rPr>
            </w:pPr>
            <w:r>
              <w:rPr>
                <w:rFonts w:ascii="Arial Narrow" w:hAnsi="Arial Narrow" w:cs="Book Antiqua"/>
              </w:rPr>
              <w:t xml:space="preserve">Cumplimiento </w:t>
            </w:r>
            <w:r w:rsidR="00516277">
              <w:rPr>
                <w:rFonts w:ascii="Arial Narrow" w:hAnsi="Arial Narrow" w:cs="Book Antiqua"/>
              </w:rPr>
              <w:t>B</w:t>
            </w:r>
            <w:r>
              <w:rPr>
                <w:rFonts w:ascii="Arial Narrow" w:hAnsi="Arial Narrow" w:cs="Book Antiqua"/>
              </w:rPr>
              <w:t>ajo (CB)</w:t>
            </w:r>
          </w:p>
        </w:tc>
        <w:tc>
          <w:tcPr>
            <w:tcW w:w="3969" w:type="dxa"/>
            <w:vAlign w:val="center"/>
          </w:tcPr>
          <w:p w14:paraId="772E03E6" w14:textId="49C89AD9" w:rsidR="004B3694" w:rsidRDefault="17A7E157" w:rsidP="004B3694">
            <w:pPr>
              <w:spacing w:line="360" w:lineRule="auto"/>
              <w:jc w:val="center"/>
              <w:rPr>
                <w:rFonts w:ascii="Arial Narrow" w:hAnsi="Arial Narrow" w:cs="Book Antiqua"/>
              </w:rPr>
            </w:pPr>
            <w:r w:rsidRPr="596C5A54">
              <w:rPr>
                <w:rFonts w:ascii="Arial Narrow" w:hAnsi="Arial Narrow" w:cs="Book Antiqua"/>
              </w:rPr>
              <w:t xml:space="preserve">Menor o igual 49,99% </w:t>
            </w:r>
          </w:p>
        </w:tc>
      </w:tr>
    </w:tbl>
    <w:p w14:paraId="09316797" w14:textId="2FE94309" w:rsidR="004B3694" w:rsidRPr="004B3694" w:rsidRDefault="004B3694" w:rsidP="004B3694">
      <w:pPr>
        <w:spacing w:line="360" w:lineRule="auto"/>
        <w:rPr>
          <w:rFonts w:ascii="Arial Narrow" w:hAnsi="Arial Narrow" w:cs="Book Antiqua"/>
          <w:sz w:val="18"/>
          <w:szCs w:val="18"/>
        </w:rPr>
      </w:pPr>
      <w:r w:rsidRPr="596C5A54">
        <w:rPr>
          <w:rFonts w:ascii="Arial Narrow" w:hAnsi="Arial Narrow" w:cs="Book Antiqua"/>
          <w:sz w:val="18"/>
          <w:szCs w:val="18"/>
        </w:rPr>
        <w:t xml:space="preserve">Fuente: </w:t>
      </w:r>
      <w:r w:rsidR="009A6DD6" w:rsidRPr="00704B08">
        <w:rPr>
          <w:rFonts w:ascii="Arial Narrow" w:hAnsi="Arial Narrow" w:cs="Book Antiqua"/>
          <w:sz w:val="18"/>
          <w:szCs w:val="18"/>
        </w:rPr>
        <w:t>Lineamientos técnicos sobre el presupuesto de la República, Ministerio de Hacienda.</w:t>
      </w:r>
    </w:p>
    <w:p w14:paraId="12E91BF4" w14:textId="5385DCD4" w:rsidR="00633212" w:rsidRPr="000B4845" w:rsidRDefault="00633212" w:rsidP="00704B08">
      <w:pPr>
        <w:spacing w:line="360" w:lineRule="auto"/>
        <w:jc w:val="both"/>
      </w:pPr>
    </w:p>
    <w:p w14:paraId="059D5DF9" w14:textId="55EB6C1A" w:rsidR="008B6366" w:rsidRPr="00704B08" w:rsidRDefault="004B3694" w:rsidP="00704B08">
      <w:pPr>
        <w:spacing w:line="360" w:lineRule="auto"/>
        <w:jc w:val="both"/>
        <w:rPr>
          <w:rFonts w:ascii="Arial Narrow" w:hAnsi="Arial Narrow"/>
        </w:rPr>
      </w:pPr>
      <w:r w:rsidRPr="00704B08">
        <w:rPr>
          <w:rFonts w:ascii="Arial Narrow" w:hAnsi="Arial Narrow"/>
        </w:rPr>
        <w:t xml:space="preserve">De seguido, se muestra una </w:t>
      </w:r>
      <w:r w:rsidR="00474CD3">
        <w:rPr>
          <w:rFonts w:ascii="Arial Narrow" w:hAnsi="Arial Narrow"/>
        </w:rPr>
        <w:t>ilustración</w:t>
      </w:r>
      <w:r w:rsidR="00474CD3" w:rsidRPr="00704B08">
        <w:rPr>
          <w:rFonts w:ascii="Arial Narrow" w:hAnsi="Arial Narrow"/>
        </w:rPr>
        <w:t xml:space="preserve"> </w:t>
      </w:r>
      <w:r w:rsidRPr="00704B08">
        <w:rPr>
          <w:rFonts w:ascii="Arial Narrow" w:hAnsi="Arial Narrow"/>
        </w:rPr>
        <w:t>que detall</w:t>
      </w:r>
      <w:r w:rsidR="00633212" w:rsidRPr="00704B08">
        <w:rPr>
          <w:rFonts w:ascii="Arial Narrow" w:hAnsi="Arial Narrow"/>
        </w:rPr>
        <w:t>a</w:t>
      </w:r>
      <w:r w:rsidRPr="00704B08">
        <w:rPr>
          <w:rFonts w:ascii="Arial Narrow" w:hAnsi="Arial Narrow"/>
        </w:rPr>
        <w:t xml:space="preserve"> los 5 temas estratégicos contenidos en el </w:t>
      </w:r>
      <w:r w:rsidR="00652A12" w:rsidRPr="00704B08">
        <w:rPr>
          <w:rFonts w:ascii="Arial Narrow" w:hAnsi="Arial Narrow"/>
        </w:rPr>
        <w:t>PEI,</w:t>
      </w:r>
      <w:r w:rsidRPr="00704B08">
        <w:rPr>
          <w:rFonts w:ascii="Arial Narrow" w:hAnsi="Arial Narrow"/>
        </w:rPr>
        <w:t xml:space="preserve"> así como la misión y visión, que resulta oportuna destacar</w:t>
      </w:r>
      <w:r w:rsidR="00633212" w:rsidRPr="00704B08">
        <w:rPr>
          <w:rFonts w:ascii="Arial Narrow" w:hAnsi="Arial Narrow"/>
        </w:rPr>
        <w:t>, en ocasión de esta evaluación</w:t>
      </w:r>
      <w:r w:rsidR="00FB52F7" w:rsidRPr="00704B08">
        <w:rPr>
          <w:rFonts w:ascii="Arial Narrow" w:hAnsi="Arial Narrow"/>
        </w:rPr>
        <w:t>, con el fin de tener presente el norte que la institución debe siempre seguir</w:t>
      </w:r>
      <w:r w:rsidRPr="00704B08">
        <w:rPr>
          <w:rFonts w:ascii="Arial Narrow" w:hAnsi="Arial Narrow"/>
        </w:rPr>
        <w:t>.</w:t>
      </w:r>
    </w:p>
    <w:p w14:paraId="5AA50FC4" w14:textId="7C097E83" w:rsidR="00441D03" w:rsidRDefault="00441D03">
      <w:pPr>
        <w:rPr>
          <w:rFonts w:ascii="Arial Narrow" w:hAnsi="Arial Narrow"/>
        </w:rPr>
      </w:pPr>
      <w:r>
        <w:rPr>
          <w:rFonts w:ascii="Arial Narrow" w:hAnsi="Arial Narrow"/>
        </w:rPr>
        <w:br w:type="page"/>
      </w:r>
    </w:p>
    <w:p w14:paraId="134756F0" w14:textId="77777777" w:rsidR="00E15AA5" w:rsidRPr="00704B08" w:rsidRDefault="00E15AA5" w:rsidP="00704B08">
      <w:pPr>
        <w:spacing w:line="360" w:lineRule="auto"/>
        <w:jc w:val="both"/>
        <w:rPr>
          <w:rFonts w:ascii="Arial Narrow" w:hAnsi="Arial Narrow"/>
        </w:rPr>
      </w:pPr>
    </w:p>
    <w:p w14:paraId="0649FBF8" w14:textId="5E3E4BCF" w:rsidR="008B6366" w:rsidRPr="00484CC1" w:rsidRDefault="00D657CE" w:rsidP="00484CC1">
      <w:pPr>
        <w:pStyle w:val="Descripcin"/>
        <w:jc w:val="center"/>
        <w:rPr>
          <w:rFonts w:ascii="Arial Narrow" w:hAnsi="Arial Narrow" w:cs="Book Antiqua"/>
          <w:b w:val="0"/>
          <w:bCs w:val="0"/>
          <w:sz w:val="24"/>
          <w:szCs w:val="24"/>
        </w:rPr>
      </w:pPr>
      <w:bookmarkStart w:id="15" w:name="_Toc52201842"/>
      <w:r w:rsidRPr="00484CC1">
        <w:rPr>
          <w:rFonts w:ascii="Arial Narrow" w:hAnsi="Arial Narrow"/>
          <w:sz w:val="24"/>
          <w:szCs w:val="24"/>
        </w:rPr>
        <w:t xml:space="preserve">Ilustración </w:t>
      </w:r>
      <w:r w:rsidRPr="00484CC1">
        <w:rPr>
          <w:rFonts w:ascii="Arial Narrow" w:hAnsi="Arial Narrow"/>
          <w:sz w:val="24"/>
          <w:szCs w:val="24"/>
        </w:rPr>
        <w:fldChar w:fldCharType="begin"/>
      </w:r>
      <w:r w:rsidRPr="00484CC1">
        <w:rPr>
          <w:rFonts w:ascii="Arial Narrow" w:hAnsi="Arial Narrow"/>
          <w:sz w:val="24"/>
          <w:szCs w:val="24"/>
        </w:rPr>
        <w:instrText xml:space="preserve"> SEQ Ilustración \* ARABIC </w:instrText>
      </w:r>
      <w:r w:rsidRPr="00484CC1">
        <w:rPr>
          <w:rFonts w:ascii="Arial Narrow" w:hAnsi="Arial Narrow"/>
          <w:sz w:val="24"/>
          <w:szCs w:val="24"/>
        </w:rPr>
        <w:fldChar w:fldCharType="separate"/>
      </w:r>
      <w:r w:rsidRPr="00484CC1">
        <w:rPr>
          <w:rFonts w:ascii="Arial Narrow" w:hAnsi="Arial Narrow"/>
          <w:noProof/>
          <w:sz w:val="24"/>
          <w:szCs w:val="24"/>
        </w:rPr>
        <w:t>1</w:t>
      </w:r>
      <w:r w:rsidRPr="00484CC1">
        <w:rPr>
          <w:rFonts w:ascii="Arial Narrow" w:hAnsi="Arial Narrow"/>
          <w:sz w:val="24"/>
          <w:szCs w:val="24"/>
        </w:rPr>
        <w:fldChar w:fldCharType="end"/>
      </w:r>
      <w:r w:rsidR="00211B03">
        <w:rPr>
          <w:rFonts w:ascii="Arial Narrow" w:hAnsi="Arial Narrow"/>
          <w:sz w:val="24"/>
          <w:szCs w:val="24"/>
        </w:rPr>
        <w:t xml:space="preserve">  </w:t>
      </w:r>
      <w:r w:rsidR="008B6366" w:rsidRPr="00484CC1">
        <w:rPr>
          <w:rFonts w:ascii="Arial Narrow" w:hAnsi="Arial Narrow" w:cs="Book Antiqua"/>
          <w:sz w:val="24"/>
          <w:szCs w:val="24"/>
        </w:rPr>
        <w:t>Temas estratégicos del PEI 2019-2024</w:t>
      </w:r>
      <w:bookmarkEnd w:id="15"/>
    </w:p>
    <w:p w14:paraId="169C13F2" w14:textId="62B96EE1" w:rsidR="008B6366" w:rsidRPr="000B4845" w:rsidRDefault="008B6366" w:rsidP="00FB52F7">
      <w:pPr>
        <w:spacing w:line="360" w:lineRule="auto"/>
        <w:ind w:left="360"/>
        <w:jc w:val="center"/>
        <w:rPr>
          <w:rFonts w:ascii="Arial Narrow" w:hAnsi="Arial Narrow" w:cs="Book Antiqua"/>
          <w:sz w:val="22"/>
          <w:szCs w:val="22"/>
        </w:rPr>
      </w:pPr>
      <w:r>
        <w:rPr>
          <w:noProof/>
          <w:lang w:val="es-CR" w:eastAsia="es-CR"/>
        </w:rPr>
        <w:drawing>
          <wp:inline distT="0" distB="0" distL="0" distR="0" wp14:anchorId="22FA3EC7" wp14:editId="4B91E98F">
            <wp:extent cx="5850254" cy="3041965"/>
            <wp:effectExtent l="0" t="0" r="0" b="6350"/>
            <wp:docPr id="4"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pic:nvPicPr>
                  <pic:blipFill>
                    <a:blip r:embed="rId53">
                      <a:extLst>
                        <a:ext uri="{FF2B5EF4-FFF2-40B4-BE49-F238E27FC236}">
                          <a16:creationId xmlns:a16="http://schemas.microsoft.com/office/drawing/2014/main" xmlns:ask="http://schemas.microsoft.com/office/drawing/2018/sketchyshapes" xmlns:c="http://schemas.openxmlformats.org/drawingml/2006/chart" xmlns:a14="http://schemas.microsoft.com/office/drawing/2010/main" xmlns:w="http://schemas.openxmlformats.org/wordprocessingml/2006/main" xmlns:w10="urn:schemas-microsoft-com:office:word" xmlns:v="urn:schemas-microsoft-com:vml" xmlns:o="urn:schemas-microsoft-com:office:office" xmlns=""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id="{6E022052-140E-437C-B813-C865B2F01CF1}"/>
                        </a:ext>
                      </a:extLst>
                    </a:blip>
                    <a:srcRect t="4744" r="2847"/>
                    <a:stretch>
                      <a:fillRect/>
                    </a:stretch>
                  </pic:blipFill>
                  <pic:spPr>
                    <a:xfrm>
                      <a:off x="0" y="0"/>
                      <a:ext cx="5850254" cy="3041965"/>
                    </a:xfrm>
                    <a:prstGeom prst="rect">
                      <a:avLst/>
                    </a:prstGeom>
                  </pic:spPr>
                </pic:pic>
              </a:graphicData>
            </a:graphic>
          </wp:inline>
        </w:drawing>
      </w:r>
      <w:r w:rsidRPr="596C5A54">
        <w:rPr>
          <w:rFonts w:ascii="Arial Narrow" w:hAnsi="Arial Narrow" w:cs="Book Antiqua"/>
          <w:sz w:val="22"/>
          <w:szCs w:val="22"/>
        </w:rPr>
        <w:t>Fuente: PEI 2019-2024 del Poder Judicial.</w:t>
      </w:r>
    </w:p>
    <w:p w14:paraId="395FDE28" w14:textId="32DEE5AB" w:rsidR="00B7030D" w:rsidRDefault="00B7030D">
      <w:pPr>
        <w:rPr>
          <w:rFonts w:ascii="Arial Narrow" w:eastAsia="Calibri" w:hAnsi="Arial Narrow"/>
          <w:sz w:val="28"/>
          <w:szCs w:val="28"/>
          <w:lang w:eastAsia="en-US"/>
        </w:rPr>
      </w:pPr>
    </w:p>
    <w:p w14:paraId="06C035EC" w14:textId="66087D8C" w:rsidR="005305D8" w:rsidRPr="000B4845" w:rsidRDefault="002F75F2">
      <w:pPr>
        <w:pStyle w:val="Ttulo2"/>
      </w:pPr>
      <w:r>
        <w:t xml:space="preserve"> </w:t>
      </w:r>
      <w:bookmarkStart w:id="16" w:name="_Toc84919351"/>
      <w:r w:rsidR="005305D8" w:rsidRPr="000B4845">
        <w:t xml:space="preserve">Resultados del </w:t>
      </w:r>
      <w:r w:rsidR="00D2631B">
        <w:t xml:space="preserve">Cumplimiento del </w:t>
      </w:r>
      <w:r w:rsidR="00FB52F7">
        <w:t>Plan Estratégico Institucional</w:t>
      </w:r>
      <w:r w:rsidR="005305D8" w:rsidRPr="000B4845">
        <w:t xml:space="preserve"> para </w:t>
      </w:r>
      <w:r w:rsidR="00D2631B">
        <w:t>los</w:t>
      </w:r>
      <w:r w:rsidR="00D2631B" w:rsidRPr="000B4845">
        <w:t xml:space="preserve"> </w:t>
      </w:r>
      <w:r w:rsidR="008623B6">
        <w:t>año</w:t>
      </w:r>
      <w:r w:rsidR="00D2631B">
        <w:t>s</w:t>
      </w:r>
      <w:r w:rsidR="008623B6">
        <w:t xml:space="preserve"> 2019 y 2020</w:t>
      </w:r>
      <w:bookmarkEnd w:id="16"/>
    </w:p>
    <w:p w14:paraId="2E294608" w14:textId="32DE099A" w:rsidR="005305D8" w:rsidRPr="000B4845" w:rsidRDefault="005305D8" w:rsidP="004F223E">
      <w:pPr>
        <w:jc w:val="both"/>
        <w:rPr>
          <w:rFonts w:ascii="Arial Narrow" w:eastAsia="Calibri" w:hAnsi="Arial Narrow"/>
          <w:sz w:val="28"/>
          <w:szCs w:val="28"/>
          <w:lang w:eastAsia="en-US"/>
        </w:rPr>
      </w:pPr>
    </w:p>
    <w:p w14:paraId="0B2318B6" w14:textId="5C77C7B2" w:rsidR="008B6366" w:rsidRPr="00704B08" w:rsidRDefault="008B6366" w:rsidP="00704B08">
      <w:pPr>
        <w:spacing w:line="360" w:lineRule="auto"/>
        <w:jc w:val="both"/>
        <w:rPr>
          <w:rFonts w:ascii="Arial Narrow" w:eastAsia="Calibri" w:hAnsi="Arial Narrow"/>
          <w:lang w:eastAsia="en-US"/>
        </w:rPr>
      </w:pPr>
    </w:p>
    <w:p w14:paraId="09051EBC" w14:textId="327E0ED0" w:rsidR="00441D03" w:rsidRDefault="00B74343" w:rsidP="00704B08">
      <w:pPr>
        <w:spacing w:line="360" w:lineRule="auto"/>
        <w:jc w:val="both"/>
        <w:rPr>
          <w:rFonts w:ascii="Arial Narrow" w:hAnsi="Arial Narrow" w:cs="Book Antiqua"/>
        </w:rPr>
      </w:pPr>
      <w:r w:rsidRPr="00704B08">
        <w:rPr>
          <w:rFonts w:ascii="Arial Narrow" w:hAnsi="Arial Narrow" w:cs="Book Antiqua"/>
        </w:rPr>
        <w:t xml:space="preserve">Se generó el reporte general del cumplimiento de las metas estratégicas del Plan Estratégico </w:t>
      </w:r>
      <w:r w:rsidR="00E46624" w:rsidRPr="00704B08">
        <w:rPr>
          <w:rFonts w:ascii="Arial Narrow" w:hAnsi="Arial Narrow" w:cs="Book Antiqua"/>
        </w:rPr>
        <w:t>Institucional para</w:t>
      </w:r>
      <w:r w:rsidRPr="00704B08">
        <w:rPr>
          <w:rFonts w:ascii="Arial Narrow" w:hAnsi="Arial Narrow" w:cs="Book Antiqua"/>
        </w:rPr>
        <w:t xml:space="preserve"> el año 2019 y 2020 </w:t>
      </w:r>
      <w:r w:rsidR="00E46624" w:rsidRPr="00704B08">
        <w:rPr>
          <w:rFonts w:ascii="Arial Narrow" w:hAnsi="Arial Narrow" w:cs="Book Antiqua"/>
        </w:rPr>
        <w:t>y</w:t>
      </w:r>
      <w:r w:rsidRPr="00704B08">
        <w:rPr>
          <w:rFonts w:ascii="Arial Narrow" w:hAnsi="Arial Narrow" w:cs="Book Antiqua"/>
        </w:rPr>
        <w:t xml:space="preserve"> se obtuvo lo siguiente: </w:t>
      </w:r>
    </w:p>
    <w:p w14:paraId="290B00BB" w14:textId="77777777" w:rsidR="00441D03" w:rsidRDefault="00441D03">
      <w:pPr>
        <w:rPr>
          <w:rFonts w:ascii="Arial Narrow" w:hAnsi="Arial Narrow" w:cs="Book Antiqua"/>
        </w:rPr>
      </w:pPr>
      <w:r>
        <w:rPr>
          <w:rFonts w:ascii="Arial Narrow" w:hAnsi="Arial Narrow" w:cs="Book Antiqua"/>
        </w:rPr>
        <w:br w:type="page"/>
      </w:r>
    </w:p>
    <w:p w14:paraId="067430BA" w14:textId="77777777" w:rsidR="00B74343" w:rsidRPr="00704B08" w:rsidRDefault="00B74343" w:rsidP="00704B08">
      <w:pPr>
        <w:spacing w:line="360" w:lineRule="auto"/>
        <w:jc w:val="both"/>
        <w:rPr>
          <w:rFonts w:ascii="Arial Narrow" w:hAnsi="Arial Narrow" w:cs="Book Antiqua"/>
        </w:rPr>
      </w:pPr>
    </w:p>
    <w:p w14:paraId="413EF3DD" w14:textId="52C332E8" w:rsidR="00B7030D" w:rsidRPr="00CC279A" w:rsidRDefault="00DF140C" w:rsidP="00CC279A">
      <w:pPr>
        <w:pStyle w:val="Descripcin"/>
        <w:jc w:val="center"/>
        <w:rPr>
          <w:rFonts w:ascii="Arial Narrow" w:hAnsi="Arial Narrow"/>
          <w:b w:val="0"/>
          <w:bCs w:val="0"/>
          <w:sz w:val="24"/>
          <w:szCs w:val="24"/>
        </w:rPr>
      </w:pPr>
      <w:bookmarkStart w:id="17" w:name="_Toc83115331"/>
      <w:r w:rsidRPr="00CC279A">
        <w:rPr>
          <w:rFonts w:ascii="Arial Narrow" w:hAnsi="Arial Narrow"/>
          <w:sz w:val="24"/>
          <w:szCs w:val="24"/>
        </w:rPr>
        <w:t xml:space="preserve">Gráfico </w:t>
      </w:r>
      <w:r w:rsidRPr="00CC279A">
        <w:rPr>
          <w:rFonts w:ascii="Arial Narrow" w:hAnsi="Arial Narrow"/>
          <w:sz w:val="24"/>
          <w:szCs w:val="24"/>
        </w:rPr>
        <w:fldChar w:fldCharType="begin"/>
      </w:r>
      <w:r w:rsidRPr="00CC279A">
        <w:rPr>
          <w:rFonts w:ascii="Arial Narrow" w:hAnsi="Arial Narrow"/>
          <w:sz w:val="24"/>
          <w:szCs w:val="24"/>
        </w:rPr>
        <w:instrText xml:space="preserve"> SEQ Gráfico \* ARABIC </w:instrText>
      </w:r>
      <w:r w:rsidRPr="00CC279A">
        <w:rPr>
          <w:rFonts w:ascii="Arial Narrow" w:hAnsi="Arial Narrow"/>
          <w:sz w:val="24"/>
          <w:szCs w:val="24"/>
        </w:rPr>
        <w:fldChar w:fldCharType="separate"/>
      </w:r>
      <w:r>
        <w:rPr>
          <w:rFonts w:ascii="Arial Narrow" w:hAnsi="Arial Narrow"/>
          <w:noProof/>
          <w:sz w:val="24"/>
          <w:szCs w:val="24"/>
        </w:rPr>
        <w:t>4</w:t>
      </w:r>
      <w:r w:rsidRPr="00CC279A">
        <w:rPr>
          <w:rFonts w:ascii="Arial Narrow" w:hAnsi="Arial Narrow"/>
          <w:sz w:val="24"/>
          <w:szCs w:val="24"/>
        </w:rPr>
        <w:fldChar w:fldCharType="end"/>
      </w:r>
      <w:r w:rsidRPr="00CC279A">
        <w:rPr>
          <w:rFonts w:ascii="Arial Narrow" w:hAnsi="Arial Narrow"/>
          <w:sz w:val="24"/>
          <w:szCs w:val="24"/>
        </w:rPr>
        <w:t xml:space="preserve"> Porcentaje de cumplimiento del PEI de acuerdo con el año 2019 y 2020</w:t>
      </w:r>
      <w:bookmarkEnd w:id="17"/>
    </w:p>
    <w:p w14:paraId="10C1A432" w14:textId="77777777" w:rsidR="00DF140C" w:rsidRDefault="00DF140C">
      <w:pPr>
        <w:rPr>
          <w:rFonts w:ascii="Arial Narrow" w:hAnsi="Arial Narrow"/>
          <w:b/>
          <w:bCs/>
          <w:sz w:val="20"/>
          <w:szCs w:val="20"/>
        </w:rPr>
      </w:pPr>
    </w:p>
    <w:p w14:paraId="0C4C02FA" w14:textId="3F9B69A3" w:rsidR="006378FE" w:rsidRPr="00CC279A" w:rsidRDefault="006378FE" w:rsidP="00CC279A">
      <w:pPr>
        <w:rPr>
          <w:rFonts w:eastAsia="Calibri"/>
          <w:lang w:eastAsia="en-US"/>
        </w:rPr>
      </w:pPr>
    </w:p>
    <w:p w14:paraId="38250F8D" w14:textId="77777777" w:rsidR="004B32C9" w:rsidRPr="00704B08" w:rsidRDefault="004B32C9" w:rsidP="00704B08">
      <w:pPr>
        <w:rPr>
          <w:rFonts w:eastAsia="Calibri"/>
        </w:rPr>
      </w:pPr>
    </w:p>
    <w:p w14:paraId="2DBE79B9" w14:textId="751E6633" w:rsidR="00474CD3" w:rsidRDefault="00215E3B" w:rsidP="00776286">
      <w:pPr>
        <w:spacing w:line="360" w:lineRule="auto"/>
        <w:jc w:val="center"/>
        <w:rPr>
          <w:rFonts w:ascii="Arial Narrow" w:eastAsia="Calibri" w:hAnsi="Arial Narrow"/>
          <w:lang w:eastAsia="en-US"/>
        </w:rPr>
      </w:pPr>
      <w:r>
        <w:rPr>
          <w:noProof/>
          <w:lang w:val="es-CR" w:eastAsia="es-CR"/>
        </w:rPr>
        <w:drawing>
          <wp:inline distT="0" distB="0" distL="0" distR="0" wp14:anchorId="262FE4EF" wp14:editId="592E3ED7">
            <wp:extent cx="4587240" cy="2758440"/>
            <wp:effectExtent l="0" t="0" r="3810" b="3810"/>
            <wp:docPr id="166" name="Imagen 166" descr="Gráfico, Gráfico de barra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Imagen 166" descr="Gráfico, Gráfico de barras&#10;&#10;Descripción generada automáticamente"/>
                    <pic:cNvPicPr>
                      <a:picLocks noChangeAspect="1" noChangeArrowheads="1"/>
                    </pic:cNvPicPr>
                  </pic:nvPicPr>
                  <pic:blipFill>
                    <a:blip r:embed="rId37" r:link="rId38">
                      <a:extLst>
                        <a:ext uri="{28A0092B-C50C-407E-A947-70E740481C1C}">
                          <a14:useLocalDpi xmlns:a14="http://schemas.microsoft.com/office/drawing/2010/main" val="0"/>
                        </a:ext>
                      </a:extLst>
                    </a:blip>
                    <a:srcRect/>
                    <a:stretch>
                      <a:fillRect/>
                    </a:stretch>
                  </pic:blipFill>
                  <pic:spPr bwMode="auto">
                    <a:xfrm>
                      <a:off x="0" y="0"/>
                      <a:ext cx="4587240" cy="2758440"/>
                    </a:xfrm>
                    <a:prstGeom prst="rect">
                      <a:avLst/>
                    </a:prstGeom>
                    <a:noFill/>
                    <a:ln>
                      <a:noFill/>
                    </a:ln>
                  </pic:spPr>
                </pic:pic>
              </a:graphicData>
            </a:graphic>
          </wp:inline>
        </w:drawing>
      </w:r>
    </w:p>
    <w:p w14:paraId="598C8A6E" w14:textId="3737406A" w:rsidR="00B74343" w:rsidRDefault="00E46624" w:rsidP="00776286">
      <w:pPr>
        <w:spacing w:line="360" w:lineRule="auto"/>
        <w:jc w:val="center"/>
        <w:rPr>
          <w:rFonts w:ascii="Arial Narrow" w:eastAsia="Calibri" w:hAnsi="Arial Narrow"/>
          <w:sz w:val="18"/>
          <w:szCs w:val="18"/>
          <w:lang w:eastAsia="en-US"/>
        </w:rPr>
      </w:pPr>
      <w:r w:rsidRPr="000B4845">
        <w:rPr>
          <w:rFonts w:ascii="Arial Narrow" w:eastAsia="Calibri" w:hAnsi="Arial Narrow"/>
          <w:sz w:val="18"/>
          <w:szCs w:val="18"/>
          <w:lang w:eastAsia="en-US"/>
        </w:rPr>
        <w:t>Fuente: Sistema PEI al 24 de enero del 2020 (año 2019)</w:t>
      </w:r>
      <w:r>
        <w:rPr>
          <w:rFonts w:ascii="Arial Narrow" w:eastAsia="Calibri" w:hAnsi="Arial Narrow"/>
          <w:sz w:val="18"/>
          <w:szCs w:val="18"/>
          <w:lang w:eastAsia="en-US"/>
        </w:rPr>
        <w:t xml:space="preserve"> y al 04 de marzo 2021 (año 2020).</w:t>
      </w:r>
    </w:p>
    <w:p w14:paraId="5DAEF9F3" w14:textId="1CB7B825" w:rsidR="00E46624" w:rsidRDefault="00E46624" w:rsidP="00776286">
      <w:pPr>
        <w:spacing w:line="360" w:lineRule="auto"/>
        <w:jc w:val="center"/>
        <w:rPr>
          <w:rFonts w:ascii="Arial Narrow" w:eastAsia="Calibri" w:hAnsi="Arial Narrow"/>
          <w:sz w:val="18"/>
          <w:szCs w:val="18"/>
          <w:lang w:eastAsia="en-US"/>
        </w:rPr>
      </w:pPr>
    </w:p>
    <w:p w14:paraId="012E9392" w14:textId="77777777" w:rsidR="00E46624" w:rsidRDefault="00E46624" w:rsidP="00704B08">
      <w:pPr>
        <w:spacing w:line="360" w:lineRule="auto"/>
        <w:rPr>
          <w:rFonts w:ascii="Arial Narrow" w:eastAsia="Calibri" w:hAnsi="Arial Narrow"/>
          <w:lang w:eastAsia="en-US"/>
        </w:rPr>
      </w:pPr>
    </w:p>
    <w:p w14:paraId="1B9739FD" w14:textId="35EE3BB6" w:rsidR="00E46624" w:rsidRPr="00691ED5" w:rsidRDefault="007A2F91" w:rsidP="00704B08">
      <w:pPr>
        <w:spacing w:line="360" w:lineRule="auto"/>
        <w:jc w:val="both"/>
        <w:rPr>
          <w:rFonts w:ascii="Arial Narrow" w:eastAsia="Calibri" w:hAnsi="Arial Narrow"/>
          <w:lang w:eastAsia="en-US"/>
        </w:rPr>
      </w:pPr>
      <w:r w:rsidRPr="596C5A54">
        <w:rPr>
          <w:rFonts w:ascii="Arial Narrow" w:eastAsia="Calibri" w:hAnsi="Arial Narrow"/>
          <w:lang w:eastAsia="en-US"/>
        </w:rPr>
        <w:t>Se logra evidenciar que el porcentaje de cumplimiento muestra un leve increment</w:t>
      </w:r>
      <w:r w:rsidRPr="009D5823">
        <w:rPr>
          <w:rFonts w:ascii="Arial Narrow" w:eastAsia="Calibri" w:hAnsi="Arial Narrow"/>
          <w:lang w:eastAsia="en-US"/>
        </w:rPr>
        <w:t>o de 0,52%</w:t>
      </w:r>
      <w:r w:rsidRPr="596C5A54">
        <w:rPr>
          <w:rFonts w:ascii="Arial Narrow" w:eastAsia="Calibri" w:hAnsi="Arial Narrow"/>
          <w:lang w:eastAsia="en-US"/>
        </w:rPr>
        <w:t xml:space="preserve"> </w:t>
      </w:r>
      <w:r w:rsidR="00E46624" w:rsidRPr="596C5A54">
        <w:rPr>
          <w:rFonts w:ascii="Arial Narrow" w:eastAsia="Calibri" w:hAnsi="Arial Narrow"/>
          <w:lang w:eastAsia="en-US"/>
        </w:rPr>
        <w:t>con respecto al año 2020.</w:t>
      </w:r>
    </w:p>
    <w:p w14:paraId="59776547" w14:textId="77777777" w:rsidR="00E46624" w:rsidRPr="00691ED5" w:rsidRDefault="00E46624" w:rsidP="00704B08">
      <w:pPr>
        <w:spacing w:line="360" w:lineRule="auto"/>
        <w:jc w:val="both"/>
        <w:rPr>
          <w:rFonts w:ascii="Arial Narrow" w:eastAsia="Calibri" w:hAnsi="Arial Narrow"/>
          <w:lang w:eastAsia="en-US"/>
        </w:rPr>
      </w:pPr>
    </w:p>
    <w:p w14:paraId="39AEA085" w14:textId="03805457" w:rsidR="00CA275F" w:rsidRPr="00CC279A" w:rsidRDefault="00E46624" w:rsidP="00C02919">
      <w:pPr>
        <w:spacing w:line="360" w:lineRule="auto"/>
        <w:jc w:val="both"/>
        <w:rPr>
          <w:rFonts w:ascii="Arial Narrow" w:eastAsia="Calibri" w:hAnsi="Arial Narrow"/>
          <w:b/>
          <w:bCs/>
          <w:lang w:eastAsia="en-US"/>
        </w:rPr>
      </w:pPr>
      <w:r w:rsidRPr="00CC279A">
        <w:rPr>
          <w:rFonts w:ascii="Arial Narrow" w:eastAsia="Calibri" w:hAnsi="Arial Narrow"/>
          <w:b/>
          <w:bCs/>
          <w:lang w:eastAsia="en-US"/>
        </w:rPr>
        <w:t xml:space="preserve">Es importante mencionar que </w:t>
      </w:r>
      <w:r w:rsidR="00CA275F" w:rsidRPr="00CC279A">
        <w:rPr>
          <w:rFonts w:ascii="Arial Narrow" w:eastAsia="Calibri" w:hAnsi="Arial Narrow"/>
          <w:b/>
          <w:bCs/>
          <w:lang w:eastAsia="en-US"/>
        </w:rPr>
        <w:t xml:space="preserve">el porcentaje de cumplimiento </w:t>
      </w:r>
      <w:r w:rsidR="00143A08" w:rsidRPr="00CC279A">
        <w:rPr>
          <w:rFonts w:ascii="Arial Narrow" w:eastAsia="Calibri" w:hAnsi="Arial Narrow"/>
          <w:b/>
          <w:bCs/>
          <w:lang w:eastAsia="en-US"/>
        </w:rPr>
        <w:t>se refiere al promedio de cumplimiento de todas las metas estratégicas del Plan Estratégico Institucional.</w:t>
      </w:r>
    </w:p>
    <w:p w14:paraId="7883BCC6" w14:textId="70EDF728" w:rsidR="00E15AA5" w:rsidRPr="00691ED5" w:rsidRDefault="00E15AA5">
      <w:pPr>
        <w:spacing w:line="360" w:lineRule="auto"/>
        <w:jc w:val="both"/>
        <w:rPr>
          <w:rFonts w:ascii="Arial Narrow" w:eastAsia="Calibri" w:hAnsi="Arial Narrow"/>
          <w:lang w:eastAsia="en-US"/>
        </w:rPr>
      </w:pPr>
    </w:p>
    <w:p w14:paraId="5DDB6FE5" w14:textId="17FCCD78" w:rsidR="004F223E" w:rsidRPr="00691ED5" w:rsidRDefault="004B3694">
      <w:pPr>
        <w:spacing w:line="360" w:lineRule="auto"/>
        <w:jc w:val="both"/>
        <w:rPr>
          <w:rFonts w:ascii="Arial Narrow" w:eastAsia="Calibri" w:hAnsi="Arial Narrow"/>
          <w:lang w:eastAsia="en-US"/>
        </w:rPr>
      </w:pPr>
      <w:r w:rsidRPr="00691ED5">
        <w:rPr>
          <w:rFonts w:ascii="Arial Narrow" w:eastAsia="Calibri" w:hAnsi="Arial Narrow"/>
          <w:lang w:eastAsia="en-US"/>
        </w:rPr>
        <w:t>Lo anterior</w:t>
      </w:r>
      <w:r w:rsidR="004F223E" w:rsidRPr="00691ED5">
        <w:rPr>
          <w:rFonts w:ascii="Arial Narrow" w:eastAsia="Calibri" w:hAnsi="Arial Narrow"/>
          <w:lang w:eastAsia="en-US"/>
        </w:rPr>
        <w:t xml:space="preserve"> con base en el análisis de </w:t>
      </w:r>
      <w:r w:rsidR="00230646" w:rsidRPr="00691ED5">
        <w:rPr>
          <w:rFonts w:ascii="Arial Narrow" w:eastAsia="Calibri" w:hAnsi="Arial Narrow"/>
          <w:lang w:eastAsia="en-US"/>
        </w:rPr>
        <w:t>187</w:t>
      </w:r>
      <w:r w:rsidR="00CA275F" w:rsidRPr="00691ED5">
        <w:rPr>
          <w:rFonts w:ascii="Arial Narrow" w:eastAsia="Calibri" w:hAnsi="Arial Narrow"/>
          <w:lang w:eastAsia="en-US"/>
        </w:rPr>
        <w:t>(año</w:t>
      </w:r>
      <w:r w:rsidR="007F48B8" w:rsidRPr="00691ED5">
        <w:rPr>
          <w:rFonts w:ascii="Arial Narrow" w:eastAsia="Calibri" w:hAnsi="Arial Narrow"/>
          <w:lang w:eastAsia="en-US"/>
        </w:rPr>
        <w:t xml:space="preserve"> </w:t>
      </w:r>
      <w:r w:rsidR="00CA275F" w:rsidRPr="00691ED5">
        <w:rPr>
          <w:rFonts w:ascii="Arial Narrow" w:eastAsia="Calibri" w:hAnsi="Arial Narrow"/>
          <w:lang w:eastAsia="en-US"/>
        </w:rPr>
        <w:t>2019)</w:t>
      </w:r>
      <w:r w:rsidR="004F223E" w:rsidRPr="00691ED5">
        <w:rPr>
          <w:rFonts w:ascii="Arial Narrow" w:eastAsia="Calibri" w:hAnsi="Arial Narrow"/>
          <w:lang w:eastAsia="en-US"/>
        </w:rPr>
        <w:t xml:space="preserve"> </w:t>
      </w:r>
      <w:r w:rsidR="00CA275F" w:rsidRPr="00691ED5">
        <w:rPr>
          <w:rFonts w:ascii="Arial Narrow" w:eastAsia="Calibri" w:hAnsi="Arial Narrow"/>
          <w:lang w:eastAsia="en-US"/>
        </w:rPr>
        <w:t>y 219 (año 2020) metas estratégicas</w:t>
      </w:r>
      <w:r w:rsidR="004F223E" w:rsidRPr="00691ED5">
        <w:rPr>
          <w:rFonts w:ascii="Arial Narrow" w:eastAsia="Calibri" w:hAnsi="Arial Narrow"/>
          <w:lang w:eastAsia="en-US"/>
        </w:rPr>
        <w:t xml:space="preserve"> </w:t>
      </w:r>
      <w:r w:rsidRPr="00691ED5">
        <w:rPr>
          <w:rFonts w:ascii="Arial Narrow" w:eastAsia="Calibri" w:hAnsi="Arial Narrow"/>
          <w:lang w:eastAsia="en-US"/>
        </w:rPr>
        <w:t>atinentes a los cinco temas estratégicos</w:t>
      </w:r>
      <w:r w:rsidR="004F223E" w:rsidRPr="00691ED5">
        <w:rPr>
          <w:rFonts w:ascii="Arial Narrow" w:eastAsia="Calibri" w:hAnsi="Arial Narrow"/>
          <w:lang w:eastAsia="en-US"/>
        </w:rPr>
        <w:t>.</w:t>
      </w:r>
      <w:r w:rsidR="00B7030D" w:rsidRPr="00691ED5">
        <w:rPr>
          <w:rFonts w:ascii="Arial Narrow" w:eastAsia="Calibri" w:hAnsi="Arial Narrow"/>
          <w:lang w:eastAsia="en-US"/>
        </w:rPr>
        <w:t xml:space="preserve"> </w:t>
      </w:r>
      <w:r w:rsidR="004F223E" w:rsidRPr="00691ED5">
        <w:rPr>
          <w:rFonts w:ascii="Arial Narrow" w:eastAsia="Calibri" w:hAnsi="Arial Narrow"/>
          <w:lang w:eastAsia="en-US"/>
        </w:rPr>
        <w:t xml:space="preserve">La siguiente tabla muestra en términos absolutos la cantidad de </w:t>
      </w:r>
      <w:r w:rsidR="004F223E" w:rsidRPr="00CC279A">
        <w:rPr>
          <w:rFonts w:ascii="Arial Narrow" w:eastAsia="Calibri" w:hAnsi="Arial Narrow"/>
          <w:b/>
          <w:bCs/>
          <w:i/>
          <w:iCs/>
          <w:lang w:eastAsia="en-US"/>
        </w:rPr>
        <w:t>metas estratégicas</w:t>
      </w:r>
      <w:r w:rsidR="004F223E" w:rsidRPr="00691ED5">
        <w:rPr>
          <w:rFonts w:ascii="Arial Narrow" w:eastAsia="Calibri" w:hAnsi="Arial Narrow"/>
          <w:lang w:eastAsia="en-US"/>
        </w:rPr>
        <w:t xml:space="preserve"> por </w:t>
      </w:r>
      <w:r w:rsidR="004F223E" w:rsidRPr="00CC279A">
        <w:rPr>
          <w:rFonts w:ascii="Arial Narrow" w:eastAsia="Calibri" w:hAnsi="Arial Narrow"/>
          <w:b/>
          <w:bCs/>
          <w:i/>
          <w:iCs/>
          <w:lang w:eastAsia="en-US"/>
        </w:rPr>
        <w:t>tema estratégico</w:t>
      </w:r>
      <w:r w:rsidR="00B10EDE" w:rsidRPr="00691ED5">
        <w:rPr>
          <w:rFonts w:ascii="Arial Narrow" w:eastAsia="Calibri" w:hAnsi="Arial Narrow"/>
          <w:lang w:eastAsia="en-US"/>
        </w:rPr>
        <w:t>.</w:t>
      </w:r>
    </w:p>
    <w:p w14:paraId="30C3060F" w14:textId="2627BE22" w:rsidR="00441D03" w:rsidRDefault="00441D03">
      <w:pPr>
        <w:rPr>
          <w:rFonts w:ascii="Arial Narrow" w:eastAsia="Calibri" w:hAnsi="Arial Narrow"/>
          <w:b/>
          <w:bCs/>
          <w:lang w:eastAsia="en-US"/>
        </w:rPr>
      </w:pPr>
      <w:r>
        <w:rPr>
          <w:rFonts w:ascii="Arial Narrow" w:eastAsia="Calibri" w:hAnsi="Arial Narrow"/>
          <w:b/>
          <w:bCs/>
          <w:lang w:eastAsia="en-US"/>
        </w:rPr>
        <w:br w:type="page"/>
      </w:r>
    </w:p>
    <w:p w14:paraId="5DB5DAAB" w14:textId="77777777" w:rsidR="00474CD3" w:rsidRDefault="00474CD3" w:rsidP="00B10EDE">
      <w:pPr>
        <w:spacing w:line="360" w:lineRule="auto"/>
        <w:jc w:val="center"/>
        <w:rPr>
          <w:rFonts w:ascii="Arial Narrow" w:eastAsia="Calibri" w:hAnsi="Arial Narrow"/>
          <w:b/>
          <w:bCs/>
          <w:lang w:eastAsia="en-US"/>
        </w:rPr>
      </w:pPr>
    </w:p>
    <w:p w14:paraId="565D50CA" w14:textId="4CD75222" w:rsidR="00796ECB" w:rsidRPr="009B40EF" w:rsidRDefault="009B40EF" w:rsidP="009B40EF">
      <w:pPr>
        <w:pStyle w:val="Descripcin"/>
        <w:jc w:val="center"/>
        <w:rPr>
          <w:rFonts w:ascii="Arial Narrow" w:hAnsi="Arial Narrow"/>
          <w:sz w:val="24"/>
          <w:szCs w:val="24"/>
        </w:rPr>
      </w:pPr>
      <w:bookmarkStart w:id="18" w:name="_Toc84919461"/>
      <w:r w:rsidRPr="00CC279A">
        <w:rPr>
          <w:rFonts w:ascii="Arial Narrow" w:hAnsi="Arial Narrow"/>
          <w:sz w:val="24"/>
          <w:szCs w:val="24"/>
        </w:rPr>
        <w:t xml:space="preserve">Tabla </w:t>
      </w:r>
      <w:r w:rsidRPr="00CC279A">
        <w:rPr>
          <w:rFonts w:ascii="Arial Narrow" w:hAnsi="Arial Narrow"/>
          <w:sz w:val="24"/>
          <w:szCs w:val="24"/>
        </w:rPr>
        <w:fldChar w:fldCharType="begin"/>
      </w:r>
      <w:r w:rsidRPr="00CC279A">
        <w:rPr>
          <w:rFonts w:ascii="Arial Narrow" w:hAnsi="Arial Narrow"/>
          <w:sz w:val="24"/>
          <w:szCs w:val="24"/>
        </w:rPr>
        <w:instrText xml:space="preserve"> SEQ Tabla \* ARABIC </w:instrText>
      </w:r>
      <w:r w:rsidRPr="00CC279A">
        <w:rPr>
          <w:rFonts w:ascii="Arial Narrow" w:hAnsi="Arial Narrow"/>
          <w:sz w:val="24"/>
          <w:szCs w:val="24"/>
        </w:rPr>
        <w:fldChar w:fldCharType="separate"/>
      </w:r>
      <w:r w:rsidRPr="00CC279A">
        <w:rPr>
          <w:rFonts w:ascii="Arial Narrow" w:hAnsi="Arial Narrow"/>
          <w:noProof/>
          <w:sz w:val="24"/>
          <w:szCs w:val="24"/>
        </w:rPr>
        <w:t>3</w:t>
      </w:r>
      <w:r w:rsidRPr="00CC279A">
        <w:rPr>
          <w:rFonts w:ascii="Arial Narrow" w:hAnsi="Arial Narrow"/>
          <w:sz w:val="24"/>
          <w:szCs w:val="24"/>
        </w:rPr>
        <w:fldChar w:fldCharType="end"/>
      </w:r>
      <w:r w:rsidRPr="00CC279A">
        <w:rPr>
          <w:rFonts w:ascii="Arial Narrow" w:hAnsi="Arial Narrow"/>
          <w:sz w:val="24"/>
          <w:szCs w:val="24"/>
        </w:rPr>
        <w:t xml:space="preserve"> Tema Estratégico y cantidad de metas estratégicas</w:t>
      </w:r>
      <w:bookmarkEnd w:id="18"/>
    </w:p>
    <w:p w14:paraId="4340344B" w14:textId="246629B9" w:rsidR="00796ECB" w:rsidRDefault="00796ECB" w:rsidP="00C847FC">
      <w:pPr>
        <w:spacing w:line="360" w:lineRule="auto"/>
        <w:jc w:val="center"/>
        <w:rPr>
          <w:rFonts w:ascii="Arial Narrow" w:eastAsia="Calibri" w:hAnsi="Arial Narrow"/>
          <w:b/>
          <w:bCs/>
          <w:lang w:eastAsia="en-US"/>
        </w:rPr>
      </w:pPr>
    </w:p>
    <w:tbl>
      <w:tblPr>
        <w:tblpPr w:leftFromText="141" w:rightFromText="141" w:vertAnchor="text" w:horzAnchor="page" w:tblpX="2061" w:tblpY="274"/>
        <w:tblW w:w="882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458"/>
        <w:gridCol w:w="1955"/>
        <w:gridCol w:w="1266"/>
        <w:gridCol w:w="1947"/>
        <w:gridCol w:w="1198"/>
      </w:tblGrid>
      <w:tr w:rsidR="00474CD3" w:rsidRPr="009739A5" w14:paraId="294C43A1" w14:textId="77777777" w:rsidTr="00704B08">
        <w:trPr>
          <w:trHeight w:val="456"/>
        </w:trPr>
        <w:tc>
          <w:tcPr>
            <w:tcW w:w="2458" w:type="dxa"/>
            <w:vMerge w:val="restart"/>
            <w:shd w:val="clear" w:color="000000" w:fill="4472C4"/>
            <w:vAlign w:val="center"/>
            <w:hideMark/>
          </w:tcPr>
          <w:p w14:paraId="5D94F74F" w14:textId="77777777" w:rsidR="00474CD3" w:rsidRPr="009739A5" w:rsidRDefault="00474CD3" w:rsidP="00531E2E">
            <w:pPr>
              <w:jc w:val="center"/>
              <w:rPr>
                <w:rFonts w:ascii="Arial Narrow" w:hAnsi="Arial Narrow" w:cs="Calibri"/>
                <w:b/>
                <w:bCs/>
                <w:color w:val="FFFFFF"/>
                <w:sz w:val="22"/>
                <w:szCs w:val="22"/>
                <w:lang w:val="es-CR" w:eastAsia="es-CR"/>
              </w:rPr>
            </w:pPr>
            <w:r w:rsidRPr="009739A5">
              <w:rPr>
                <w:rFonts w:ascii="Arial Narrow" w:hAnsi="Arial Narrow" w:cs="Calibri"/>
                <w:b/>
                <w:bCs/>
                <w:color w:val="FFFFFF"/>
                <w:sz w:val="22"/>
                <w:szCs w:val="22"/>
                <w:lang w:eastAsia="es-CR"/>
              </w:rPr>
              <w:t>Tema estratégico</w:t>
            </w:r>
          </w:p>
        </w:tc>
        <w:tc>
          <w:tcPr>
            <w:tcW w:w="1955" w:type="dxa"/>
            <w:vMerge w:val="restart"/>
            <w:shd w:val="clear" w:color="000000" w:fill="4472C4"/>
            <w:vAlign w:val="center"/>
            <w:hideMark/>
          </w:tcPr>
          <w:p w14:paraId="36E07967" w14:textId="77777777" w:rsidR="00474CD3" w:rsidRPr="009739A5" w:rsidRDefault="00474CD3" w:rsidP="00531E2E">
            <w:pPr>
              <w:jc w:val="center"/>
              <w:rPr>
                <w:rFonts w:ascii="Arial Narrow" w:hAnsi="Arial Narrow" w:cs="Calibri"/>
                <w:b/>
                <w:bCs/>
                <w:color w:val="FFFFFF"/>
                <w:sz w:val="22"/>
                <w:szCs w:val="22"/>
                <w:lang w:val="es-CR" w:eastAsia="es-CR"/>
              </w:rPr>
            </w:pPr>
            <w:r w:rsidRPr="009739A5">
              <w:rPr>
                <w:rFonts w:ascii="Arial Narrow" w:hAnsi="Arial Narrow" w:cs="Calibri"/>
                <w:b/>
                <w:bCs/>
                <w:color w:val="FFFFFF"/>
                <w:sz w:val="22"/>
                <w:szCs w:val="22"/>
                <w:lang w:eastAsia="es-CR"/>
              </w:rPr>
              <w:t>Cantidad de metas estratégicas vinculadas (2019)</w:t>
            </w:r>
          </w:p>
        </w:tc>
        <w:tc>
          <w:tcPr>
            <w:tcW w:w="1266" w:type="dxa"/>
            <w:vMerge w:val="restart"/>
            <w:shd w:val="clear" w:color="000000" w:fill="4472C4"/>
            <w:vAlign w:val="center"/>
            <w:hideMark/>
          </w:tcPr>
          <w:p w14:paraId="5C9E26E1" w14:textId="77777777" w:rsidR="00474CD3" w:rsidRPr="009739A5" w:rsidRDefault="00474CD3" w:rsidP="00531E2E">
            <w:pPr>
              <w:jc w:val="center"/>
              <w:rPr>
                <w:rFonts w:ascii="Arial Narrow" w:hAnsi="Arial Narrow" w:cs="Calibri"/>
                <w:b/>
                <w:bCs/>
                <w:color w:val="FFFFFF"/>
                <w:sz w:val="22"/>
                <w:szCs w:val="22"/>
                <w:lang w:val="es-CR" w:eastAsia="es-CR"/>
              </w:rPr>
            </w:pPr>
            <w:r w:rsidRPr="009739A5">
              <w:rPr>
                <w:rFonts w:ascii="Arial Narrow" w:hAnsi="Arial Narrow" w:cs="Calibri"/>
                <w:b/>
                <w:bCs/>
                <w:color w:val="FFFFFF"/>
                <w:sz w:val="22"/>
                <w:szCs w:val="22"/>
                <w:lang w:eastAsia="es-CR"/>
              </w:rPr>
              <w:t>Peso porcentual (2019)</w:t>
            </w:r>
          </w:p>
        </w:tc>
        <w:tc>
          <w:tcPr>
            <w:tcW w:w="1947" w:type="dxa"/>
            <w:vMerge w:val="restart"/>
            <w:shd w:val="clear" w:color="000000" w:fill="4472C4"/>
            <w:vAlign w:val="center"/>
            <w:hideMark/>
          </w:tcPr>
          <w:p w14:paraId="3A466400" w14:textId="77777777" w:rsidR="00474CD3" w:rsidRPr="009739A5" w:rsidRDefault="00474CD3" w:rsidP="00531E2E">
            <w:pPr>
              <w:jc w:val="center"/>
              <w:rPr>
                <w:rFonts w:ascii="Arial Narrow" w:hAnsi="Arial Narrow" w:cs="Calibri"/>
                <w:b/>
                <w:bCs/>
                <w:color w:val="FFFFFF"/>
                <w:sz w:val="22"/>
                <w:szCs w:val="22"/>
                <w:lang w:val="es-CR" w:eastAsia="es-CR"/>
              </w:rPr>
            </w:pPr>
            <w:r w:rsidRPr="009739A5">
              <w:rPr>
                <w:rFonts w:ascii="Arial Narrow" w:hAnsi="Arial Narrow" w:cs="Calibri"/>
                <w:b/>
                <w:bCs/>
                <w:color w:val="FFFFFF"/>
                <w:sz w:val="22"/>
                <w:szCs w:val="22"/>
                <w:lang w:eastAsia="es-CR"/>
              </w:rPr>
              <w:t>Cantidad de metas estratégicas vinculadas (2020)</w:t>
            </w:r>
          </w:p>
        </w:tc>
        <w:tc>
          <w:tcPr>
            <w:tcW w:w="1198" w:type="dxa"/>
            <w:vMerge w:val="restart"/>
            <w:shd w:val="clear" w:color="000000" w:fill="4472C4"/>
            <w:vAlign w:val="center"/>
            <w:hideMark/>
          </w:tcPr>
          <w:p w14:paraId="39771ACF" w14:textId="77777777" w:rsidR="00474CD3" w:rsidRPr="009739A5" w:rsidRDefault="00474CD3" w:rsidP="00531E2E">
            <w:pPr>
              <w:jc w:val="center"/>
              <w:rPr>
                <w:rFonts w:ascii="Arial Narrow" w:hAnsi="Arial Narrow" w:cs="Calibri"/>
                <w:b/>
                <w:bCs/>
                <w:color w:val="FFFFFF"/>
                <w:sz w:val="22"/>
                <w:szCs w:val="22"/>
                <w:lang w:val="es-CR" w:eastAsia="es-CR"/>
              </w:rPr>
            </w:pPr>
            <w:r w:rsidRPr="009739A5">
              <w:rPr>
                <w:rFonts w:ascii="Arial Narrow" w:hAnsi="Arial Narrow" w:cs="Calibri"/>
                <w:b/>
                <w:bCs/>
                <w:color w:val="FFFFFF"/>
                <w:sz w:val="22"/>
                <w:szCs w:val="22"/>
                <w:lang w:eastAsia="es-CR"/>
              </w:rPr>
              <w:t xml:space="preserve">Peso </w:t>
            </w:r>
            <w:r w:rsidRPr="00D07FE8">
              <w:rPr>
                <w:rFonts w:ascii="Arial Narrow" w:hAnsi="Arial Narrow" w:cs="Calibri"/>
                <w:b/>
                <w:bCs/>
                <w:color w:val="FFFFFF"/>
                <w:sz w:val="22"/>
                <w:szCs w:val="22"/>
                <w:lang w:eastAsia="es-CR"/>
              </w:rPr>
              <w:t>porcentual (2020</w:t>
            </w:r>
            <w:r w:rsidRPr="009739A5">
              <w:rPr>
                <w:rFonts w:ascii="Arial Narrow" w:hAnsi="Arial Narrow" w:cs="Calibri"/>
                <w:b/>
                <w:bCs/>
                <w:color w:val="FFFFFF"/>
                <w:sz w:val="22"/>
                <w:szCs w:val="22"/>
                <w:lang w:eastAsia="es-CR"/>
              </w:rPr>
              <w:t>)</w:t>
            </w:r>
          </w:p>
        </w:tc>
      </w:tr>
      <w:tr w:rsidR="00474CD3" w:rsidRPr="009739A5" w14:paraId="7A80BC61" w14:textId="77777777" w:rsidTr="00704B08">
        <w:trPr>
          <w:trHeight w:val="293"/>
        </w:trPr>
        <w:tc>
          <w:tcPr>
            <w:tcW w:w="2458" w:type="dxa"/>
            <w:vMerge/>
            <w:vAlign w:val="center"/>
            <w:hideMark/>
          </w:tcPr>
          <w:p w14:paraId="6DCB3574" w14:textId="77777777" w:rsidR="00474CD3" w:rsidRPr="009739A5" w:rsidRDefault="00474CD3" w:rsidP="00531E2E">
            <w:pPr>
              <w:rPr>
                <w:rFonts w:ascii="Arial Narrow" w:hAnsi="Arial Narrow" w:cs="Calibri"/>
                <w:b/>
                <w:bCs/>
                <w:color w:val="FFFFFF"/>
                <w:sz w:val="22"/>
                <w:szCs w:val="22"/>
                <w:lang w:val="es-CR" w:eastAsia="es-CR"/>
              </w:rPr>
            </w:pPr>
          </w:p>
        </w:tc>
        <w:tc>
          <w:tcPr>
            <w:tcW w:w="1955" w:type="dxa"/>
            <w:vMerge/>
            <w:vAlign w:val="center"/>
            <w:hideMark/>
          </w:tcPr>
          <w:p w14:paraId="27CE854C" w14:textId="77777777" w:rsidR="00474CD3" w:rsidRPr="009739A5" w:rsidRDefault="00474CD3" w:rsidP="00531E2E">
            <w:pPr>
              <w:rPr>
                <w:rFonts w:ascii="Arial Narrow" w:hAnsi="Arial Narrow" w:cs="Calibri"/>
                <w:b/>
                <w:bCs/>
                <w:color w:val="FFFFFF"/>
                <w:sz w:val="22"/>
                <w:szCs w:val="22"/>
                <w:lang w:val="es-CR" w:eastAsia="es-CR"/>
              </w:rPr>
            </w:pPr>
          </w:p>
        </w:tc>
        <w:tc>
          <w:tcPr>
            <w:tcW w:w="1266" w:type="dxa"/>
            <w:vMerge/>
            <w:vAlign w:val="center"/>
            <w:hideMark/>
          </w:tcPr>
          <w:p w14:paraId="38DC8CA7" w14:textId="77777777" w:rsidR="00474CD3" w:rsidRPr="009739A5" w:rsidRDefault="00474CD3" w:rsidP="00531E2E">
            <w:pPr>
              <w:rPr>
                <w:rFonts w:ascii="Arial Narrow" w:hAnsi="Arial Narrow" w:cs="Calibri"/>
                <w:b/>
                <w:bCs/>
                <w:color w:val="FFFFFF"/>
                <w:sz w:val="22"/>
                <w:szCs w:val="22"/>
                <w:lang w:val="es-CR" w:eastAsia="es-CR"/>
              </w:rPr>
            </w:pPr>
          </w:p>
        </w:tc>
        <w:tc>
          <w:tcPr>
            <w:tcW w:w="1947" w:type="dxa"/>
            <w:vMerge/>
            <w:vAlign w:val="center"/>
            <w:hideMark/>
          </w:tcPr>
          <w:p w14:paraId="000CA68F" w14:textId="77777777" w:rsidR="00474CD3" w:rsidRPr="009739A5" w:rsidRDefault="00474CD3" w:rsidP="00531E2E">
            <w:pPr>
              <w:rPr>
                <w:rFonts w:ascii="Arial Narrow" w:hAnsi="Arial Narrow" w:cs="Calibri"/>
                <w:b/>
                <w:bCs/>
                <w:color w:val="FFFFFF"/>
                <w:sz w:val="22"/>
                <w:szCs w:val="22"/>
                <w:lang w:val="es-CR" w:eastAsia="es-CR"/>
              </w:rPr>
            </w:pPr>
          </w:p>
        </w:tc>
        <w:tc>
          <w:tcPr>
            <w:tcW w:w="1198" w:type="dxa"/>
            <w:vMerge/>
            <w:vAlign w:val="center"/>
            <w:hideMark/>
          </w:tcPr>
          <w:p w14:paraId="005E5ECC" w14:textId="77777777" w:rsidR="00474CD3" w:rsidRPr="009739A5" w:rsidRDefault="00474CD3" w:rsidP="00531E2E">
            <w:pPr>
              <w:rPr>
                <w:rFonts w:ascii="Arial Narrow" w:hAnsi="Arial Narrow" w:cs="Calibri"/>
                <w:b/>
                <w:bCs/>
                <w:color w:val="FFFFFF"/>
                <w:sz w:val="22"/>
                <w:szCs w:val="22"/>
                <w:lang w:val="es-CR" w:eastAsia="es-CR"/>
              </w:rPr>
            </w:pPr>
          </w:p>
        </w:tc>
      </w:tr>
      <w:tr w:rsidR="00474CD3" w:rsidRPr="009739A5" w14:paraId="2AAC8B98" w14:textId="77777777" w:rsidTr="00704B08">
        <w:trPr>
          <w:trHeight w:val="704"/>
        </w:trPr>
        <w:tc>
          <w:tcPr>
            <w:tcW w:w="2458" w:type="dxa"/>
            <w:shd w:val="clear" w:color="000000" w:fill="D9E2F3"/>
            <w:vAlign w:val="center"/>
            <w:hideMark/>
          </w:tcPr>
          <w:p w14:paraId="37C7E148" w14:textId="77777777" w:rsidR="00474CD3" w:rsidRPr="009739A5" w:rsidRDefault="00474CD3" w:rsidP="00531E2E">
            <w:pPr>
              <w:rPr>
                <w:rFonts w:ascii="Arial Narrow" w:hAnsi="Arial Narrow" w:cs="Calibri"/>
                <w:b/>
                <w:bCs/>
                <w:color w:val="000000"/>
                <w:sz w:val="22"/>
                <w:szCs w:val="22"/>
                <w:lang w:val="es-CR" w:eastAsia="es-CR"/>
              </w:rPr>
            </w:pPr>
            <w:r w:rsidRPr="009739A5">
              <w:rPr>
                <w:rFonts w:ascii="Arial Narrow" w:hAnsi="Arial Narrow" w:cs="Calibri"/>
                <w:b/>
                <w:bCs/>
                <w:color w:val="000000"/>
                <w:sz w:val="22"/>
                <w:szCs w:val="22"/>
                <w:lang w:eastAsia="es-CR"/>
              </w:rPr>
              <w:t>Resolución oportuna de conflictos</w:t>
            </w:r>
          </w:p>
        </w:tc>
        <w:tc>
          <w:tcPr>
            <w:tcW w:w="1955" w:type="dxa"/>
            <w:shd w:val="clear" w:color="000000" w:fill="D9E2F3"/>
            <w:vAlign w:val="center"/>
            <w:hideMark/>
          </w:tcPr>
          <w:p w14:paraId="0A1A4D5E" w14:textId="77777777" w:rsidR="00474CD3" w:rsidRPr="009739A5" w:rsidRDefault="00474CD3" w:rsidP="00531E2E">
            <w:pPr>
              <w:jc w:val="center"/>
              <w:rPr>
                <w:rFonts w:ascii="Arial Narrow" w:hAnsi="Arial Narrow" w:cs="Calibri"/>
                <w:color w:val="000000"/>
                <w:sz w:val="22"/>
                <w:szCs w:val="22"/>
                <w:lang w:val="es-CR" w:eastAsia="es-CR"/>
              </w:rPr>
            </w:pPr>
            <w:r w:rsidRPr="009739A5">
              <w:rPr>
                <w:rFonts w:ascii="Arial Narrow" w:hAnsi="Arial Narrow" w:cs="Calibri"/>
                <w:color w:val="000000"/>
                <w:sz w:val="22"/>
                <w:szCs w:val="22"/>
                <w:lang w:eastAsia="es-CR"/>
              </w:rPr>
              <w:t>64</w:t>
            </w:r>
          </w:p>
        </w:tc>
        <w:tc>
          <w:tcPr>
            <w:tcW w:w="1266" w:type="dxa"/>
            <w:shd w:val="clear" w:color="000000" w:fill="D9E2F3"/>
            <w:vAlign w:val="center"/>
            <w:hideMark/>
          </w:tcPr>
          <w:p w14:paraId="2E16CA31" w14:textId="77777777" w:rsidR="00474CD3" w:rsidRPr="009739A5" w:rsidRDefault="00474CD3" w:rsidP="00531E2E">
            <w:pPr>
              <w:jc w:val="center"/>
              <w:rPr>
                <w:rFonts w:ascii="Arial Narrow" w:hAnsi="Arial Narrow" w:cs="Calibri"/>
                <w:color w:val="000000"/>
                <w:sz w:val="22"/>
                <w:szCs w:val="22"/>
                <w:lang w:val="es-CR" w:eastAsia="es-CR"/>
              </w:rPr>
            </w:pPr>
            <w:r w:rsidRPr="009739A5">
              <w:rPr>
                <w:rFonts w:ascii="Arial Narrow" w:hAnsi="Arial Narrow" w:cs="Calibri"/>
                <w:color w:val="000000"/>
                <w:sz w:val="22"/>
                <w:szCs w:val="22"/>
                <w:lang w:eastAsia="es-CR"/>
              </w:rPr>
              <w:t>34%</w:t>
            </w:r>
          </w:p>
        </w:tc>
        <w:tc>
          <w:tcPr>
            <w:tcW w:w="1947" w:type="dxa"/>
            <w:shd w:val="clear" w:color="000000" w:fill="D9E2F3"/>
            <w:vAlign w:val="center"/>
            <w:hideMark/>
          </w:tcPr>
          <w:p w14:paraId="3B5798BC" w14:textId="77777777" w:rsidR="00474CD3" w:rsidRPr="009739A5" w:rsidRDefault="00474CD3" w:rsidP="00531E2E">
            <w:pPr>
              <w:jc w:val="center"/>
              <w:rPr>
                <w:rFonts w:ascii="Arial Narrow" w:hAnsi="Arial Narrow" w:cs="Calibri"/>
                <w:color w:val="000000"/>
                <w:sz w:val="22"/>
                <w:szCs w:val="22"/>
                <w:lang w:val="es-CR" w:eastAsia="es-CR"/>
              </w:rPr>
            </w:pPr>
            <w:r w:rsidRPr="009739A5">
              <w:rPr>
                <w:rFonts w:ascii="Arial Narrow" w:hAnsi="Arial Narrow" w:cs="Calibri"/>
                <w:color w:val="000000"/>
                <w:sz w:val="22"/>
                <w:szCs w:val="22"/>
                <w:lang w:val="es-CR" w:eastAsia="es-CR"/>
              </w:rPr>
              <w:t>71</w:t>
            </w:r>
          </w:p>
        </w:tc>
        <w:tc>
          <w:tcPr>
            <w:tcW w:w="1198" w:type="dxa"/>
            <w:shd w:val="clear" w:color="000000" w:fill="D9E2F3"/>
            <w:vAlign w:val="center"/>
            <w:hideMark/>
          </w:tcPr>
          <w:p w14:paraId="2A8B4375" w14:textId="07F4F29A" w:rsidR="00474CD3" w:rsidRPr="009739A5" w:rsidRDefault="00474CD3" w:rsidP="00531E2E">
            <w:pPr>
              <w:jc w:val="center"/>
              <w:rPr>
                <w:rFonts w:ascii="Arial Narrow" w:hAnsi="Arial Narrow" w:cs="Calibri"/>
                <w:color w:val="000000"/>
                <w:sz w:val="22"/>
                <w:szCs w:val="22"/>
                <w:lang w:val="es-CR" w:eastAsia="es-CR"/>
              </w:rPr>
            </w:pPr>
            <w:r w:rsidRPr="009739A5">
              <w:rPr>
                <w:rFonts w:ascii="Arial Narrow" w:hAnsi="Arial Narrow" w:cs="Calibri"/>
                <w:color w:val="000000"/>
                <w:sz w:val="22"/>
                <w:szCs w:val="22"/>
                <w:lang w:val="es-CR" w:eastAsia="es-CR"/>
              </w:rPr>
              <w:t>3</w:t>
            </w:r>
            <w:r>
              <w:rPr>
                <w:rFonts w:ascii="Arial Narrow" w:hAnsi="Arial Narrow" w:cs="Calibri"/>
                <w:color w:val="000000"/>
                <w:sz w:val="22"/>
                <w:szCs w:val="22"/>
                <w:lang w:val="es-CR" w:eastAsia="es-CR"/>
              </w:rPr>
              <w:t>3</w:t>
            </w:r>
            <w:r w:rsidRPr="009739A5">
              <w:rPr>
                <w:rFonts w:ascii="Arial Narrow" w:hAnsi="Arial Narrow" w:cs="Calibri"/>
                <w:color w:val="000000"/>
                <w:sz w:val="22"/>
                <w:szCs w:val="22"/>
                <w:lang w:val="es-CR" w:eastAsia="es-CR"/>
              </w:rPr>
              <w:t>%</w:t>
            </w:r>
          </w:p>
        </w:tc>
      </w:tr>
      <w:tr w:rsidR="00474CD3" w:rsidRPr="009739A5" w14:paraId="23B72986" w14:textId="77777777" w:rsidTr="00704B08">
        <w:trPr>
          <w:trHeight w:val="704"/>
        </w:trPr>
        <w:tc>
          <w:tcPr>
            <w:tcW w:w="2458" w:type="dxa"/>
            <w:shd w:val="clear" w:color="auto" w:fill="auto"/>
            <w:vAlign w:val="center"/>
            <w:hideMark/>
          </w:tcPr>
          <w:p w14:paraId="387408AE" w14:textId="77777777" w:rsidR="00474CD3" w:rsidRPr="009739A5" w:rsidRDefault="00474CD3" w:rsidP="00531E2E">
            <w:pPr>
              <w:rPr>
                <w:rFonts w:ascii="Arial Narrow" w:hAnsi="Arial Narrow" w:cs="Calibri"/>
                <w:b/>
                <w:bCs/>
                <w:color w:val="000000"/>
                <w:sz w:val="22"/>
                <w:szCs w:val="22"/>
                <w:lang w:val="es-CR" w:eastAsia="es-CR"/>
              </w:rPr>
            </w:pPr>
            <w:r w:rsidRPr="009739A5">
              <w:rPr>
                <w:rFonts w:ascii="Arial Narrow" w:hAnsi="Arial Narrow" w:cs="Calibri"/>
                <w:b/>
                <w:bCs/>
                <w:color w:val="000000"/>
                <w:sz w:val="22"/>
                <w:szCs w:val="22"/>
                <w:lang w:eastAsia="es-CR"/>
              </w:rPr>
              <w:t>Optimización e innovación de los servicios judiciales</w:t>
            </w:r>
          </w:p>
        </w:tc>
        <w:tc>
          <w:tcPr>
            <w:tcW w:w="1955" w:type="dxa"/>
            <w:shd w:val="clear" w:color="auto" w:fill="auto"/>
            <w:vAlign w:val="center"/>
            <w:hideMark/>
          </w:tcPr>
          <w:p w14:paraId="567DD978" w14:textId="77777777" w:rsidR="00474CD3" w:rsidRPr="009739A5" w:rsidRDefault="00474CD3" w:rsidP="00531E2E">
            <w:pPr>
              <w:jc w:val="center"/>
              <w:rPr>
                <w:rFonts w:ascii="Arial Narrow" w:hAnsi="Arial Narrow" w:cs="Calibri"/>
                <w:color w:val="000000"/>
                <w:sz w:val="22"/>
                <w:szCs w:val="22"/>
                <w:lang w:val="es-CR" w:eastAsia="es-CR"/>
              </w:rPr>
            </w:pPr>
            <w:r w:rsidRPr="009739A5">
              <w:rPr>
                <w:rFonts w:ascii="Arial Narrow" w:hAnsi="Arial Narrow" w:cs="Calibri"/>
                <w:color w:val="000000"/>
                <w:sz w:val="22"/>
                <w:szCs w:val="22"/>
                <w:lang w:eastAsia="es-CR"/>
              </w:rPr>
              <w:t>44</w:t>
            </w:r>
          </w:p>
        </w:tc>
        <w:tc>
          <w:tcPr>
            <w:tcW w:w="1266" w:type="dxa"/>
            <w:shd w:val="clear" w:color="auto" w:fill="auto"/>
            <w:vAlign w:val="center"/>
            <w:hideMark/>
          </w:tcPr>
          <w:p w14:paraId="350CBDC4" w14:textId="77777777" w:rsidR="00474CD3" w:rsidRPr="009739A5" w:rsidRDefault="00474CD3" w:rsidP="00531E2E">
            <w:pPr>
              <w:jc w:val="center"/>
              <w:rPr>
                <w:rFonts w:ascii="Arial Narrow" w:hAnsi="Arial Narrow" w:cs="Calibri"/>
                <w:color w:val="000000"/>
                <w:sz w:val="22"/>
                <w:szCs w:val="22"/>
                <w:lang w:val="es-CR" w:eastAsia="es-CR"/>
              </w:rPr>
            </w:pPr>
            <w:r w:rsidRPr="009739A5">
              <w:rPr>
                <w:rFonts w:ascii="Arial Narrow" w:hAnsi="Arial Narrow" w:cs="Calibri"/>
                <w:color w:val="000000"/>
                <w:sz w:val="22"/>
                <w:szCs w:val="22"/>
                <w:lang w:eastAsia="es-CR"/>
              </w:rPr>
              <w:t>24%</w:t>
            </w:r>
          </w:p>
        </w:tc>
        <w:tc>
          <w:tcPr>
            <w:tcW w:w="1947" w:type="dxa"/>
            <w:shd w:val="clear" w:color="auto" w:fill="auto"/>
            <w:vAlign w:val="center"/>
            <w:hideMark/>
          </w:tcPr>
          <w:p w14:paraId="44D8D4A1" w14:textId="77777777" w:rsidR="00474CD3" w:rsidRPr="009739A5" w:rsidRDefault="00474CD3" w:rsidP="00531E2E">
            <w:pPr>
              <w:jc w:val="center"/>
              <w:rPr>
                <w:rFonts w:ascii="Arial Narrow" w:hAnsi="Arial Narrow" w:cs="Calibri"/>
                <w:color w:val="000000"/>
                <w:sz w:val="22"/>
                <w:szCs w:val="22"/>
                <w:lang w:val="es-CR" w:eastAsia="es-CR"/>
              </w:rPr>
            </w:pPr>
            <w:r w:rsidRPr="009739A5">
              <w:rPr>
                <w:rFonts w:ascii="Arial Narrow" w:hAnsi="Arial Narrow" w:cs="Calibri"/>
                <w:color w:val="000000"/>
                <w:sz w:val="22"/>
                <w:szCs w:val="22"/>
                <w:lang w:val="es-CR" w:eastAsia="es-CR"/>
              </w:rPr>
              <w:t>53</w:t>
            </w:r>
          </w:p>
        </w:tc>
        <w:tc>
          <w:tcPr>
            <w:tcW w:w="1198" w:type="dxa"/>
            <w:shd w:val="clear" w:color="auto" w:fill="auto"/>
            <w:vAlign w:val="center"/>
            <w:hideMark/>
          </w:tcPr>
          <w:p w14:paraId="4D6208D1" w14:textId="77777777" w:rsidR="00474CD3" w:rsidRPr="009739A5" w:rsidRDefault="00474CD3" w:rsidP="00531E2E">
            <w:pPr>
              <w:jc w:val="center"/>
              <w:rPr>
                <w:rFonts w:ascii="Arial Narrow" w:hAnsi="Arial Narrow" w:cs="Calibri"/>
                <w:color w:val="000000"/>
                <w:sz w:val="22"/>
                <w:szCs w:val="22"/>
                <w:lang w:val="es-CR" w:eastAsia="es-CR"/>
              </w:rPr>
            </w:pPr>
            <w:r w:rsidRPr="009739A5">
              <w:rPr>
                <w:rFonts w:ascii="Arial Narrow" w:hAnsi="Arial Narrow" w:cs="Calibri"/>
                <w:color w:val="000000"/>
                <w:sz w:val="22"/>
                <w:szCs w:val="22"/>
                <w:lang w:val="es-CR" w:eastAsia="es-CR"/>
              </w:rPr>
              <w:t>24%</w:t>
            </w:r>
          </w:p>
        </w:tc>
      </w:tr>
      <w:tr w:rsidR="00474CD3" w:rsidRPr="009739A5" w14:paraId="22C93640" w14:textId="77777777" w:rsidTr="00704B08">
        <w:trPr>
          <w:trHeight w:val="248"/>
        </w:trPr>
        <w:tc>
          <w:tcPr>
            <w:tcW w:w="2458" w:type="dxa"/>
            <w:shd w:val="clear" w:color="000000" w:fill="D9E2F3"/>
            <w:vAlign w:val="center"/>
            <w:hideMark/>
          </w:tcPr>
          <w:p w14:paraId="44C0AFA1" w14:textId="77777777" w:rsidR="00474CD3" w:rsidRPr="009739A5" w:rsidRDefault="00474CD3" w:rsidP="00531E2E">
            <w:pPr>
              <w:rPr>
                <w:rFonts w:ascii="Arial Narrow" w:hAnsi="Arial Narrow" w:cs="Calibri"/>
                <w:b/>
                <w:bCs/>
                <w:color w:val="000000"/>
                <w:sz w:val="22"/>
                <w:szCs w:val="22"/>
                <w:lang w:val="es-CR" w:eastAsia="es-CR"/>
              </w:rPr>
            </w:pPr>
            <w:r w:rsidRPr="009739A5">
              <w:rPr>
                <w:rFonts w:ascii="Arial Narrow" w:hAnsi="Arial Narrow" w:cs="Calibri"/>
                <w:b/>
                <w:bCs/>
                <w:color w:val="000000"/>
                <w:sz w:val="22"/>
                <w:szCs w:val="22"/>
                <w:lang w:eastAsia="es-CR"/>
              </w:rPr>
              <w:t>Gestión del Personal</w:t>
            </w:r>
          </w:p>
        </w:tc>
        <w:tc>
          <w:tcPr>
            <w:tcW w:w="1955" w:type="dxa"/>
            <w:shd w:val="clear" w:color="000000" w:fill="D9E2F3"/>
            <w:vAlign w:val="center"/>
            <w:hideMark/>
          </w:tcPr>
          <w:p w14:paraId="2F1E84F0" w14:textId="77777777" w:rsidR="00474CD3" w:rsidRPr="009739A5" w:rsidRDefault="00474CD3" w:rsidP="00531E2E">
            <w:pPr>
              <w:jc w:val="center"/>
              <w:rPr>
                <w:rFonts w:ascii="Arial Narrow" w:hAnsi="Arial Narrow" w:cs="Calibri"/>
                <w:color w:val="000000"/>
                <w:sz w:val="22"/>
                <w:szCs w:val="22"/>
                <w:lang w:val="es-CR" w:eastAsia="es-CR"/>
              </w:rPr>
            </w:pPr>
            <w:r w:rsidRPr="009739A5">
              <w:rPr>
                <w:rFonts w:ascii="Arial Narrow" w:hAnsi="Arial Narrow" w:cs="Calibri"/>
                <w:color w:val="000000"/>
                <w:sz w:val="22"/>
                <w:szCs w:val="22"/>
                <w:lang w:eastAsia="es-CR"/>
              </w:rPr>
              <w:t>41</w:t>
            </w:r>
          </w:p>
        </w:tc>
        <w:tc>
          <w:tcPr>
            <w:tcW w:w="1266" w:type="dxa"/>
            <w:shd w:val="clear" w:color="000000" w:fill="D9E2F3"/>
            <w:vAlign w:val="center"/>
            <w:hideMark/>
          </w:tcPr>
          <w:p w14:paraId="40DEAFAC" w14:textId="77777777" w:rsidR="00474CD3" w:rsidRPr="009739A5" w:rsidRDefault="00474CD3" w:rsidP="00531E2E">
            <w:pPr>
              <w:jc w:val="center"/>
              <w:rPr>
                <w:rFonts w:ascii="Arial Narrow" w:hAnsi="Arial Narrow" w:cs="Calibri"/>
                <w:color w:val="000000"/>
                <w:sz w:val="22"/>
                <w:szCs w:val="22"/>
                <w:lang w:val="es-CR" w:eastAsia="es-CR"/>
              </w:rPr>
            </w:pPr>
            <w:r w:rsidRPr="009739A5">
              <w:rPr>
                <w:rFonts w:ascii="Arial Narrow" w:hAnsi="Arial Narrow" w:cs="Calibri"/>
                <w:color w:val="000000"/>
                <w:sz w:val="22"/>
                <w:szCs w:val="22"/>
                <w:lang w:eastAsia="es-CR"/>
              </w:rPr>
              <w:t>22%</w:t>
            </w:r>
          </w:p>
        </w:tc>
        <w:tc>
          <w:tcPr>
            <w:tcW w:w="1947" w:type="dxa"/>
            <w:shd w:val="clear" w:color="000000" w:fill="D9E2F3"/>
            <w:vAlign w:val="center"/>
            <w:hideMark/>
          </w:tcPr>
          <w:p w14:paraId="3A063413" w14:textId="77777777" w:rsidR="00474CD3" w:rsidRPr="009739A5" w:rsidRDefault="00474CD3" w:rsidP="00531E2E">
            <w:pPr>
              <w:jc w:val="center"/>
              <w:rPr>
                <w:rFonts w:ascii="Arial Narrow" w:hAnsi="Arial Narrow" w:cs="Calibri"/>
                <w:color w:val="000000"/>
                <w:sz w:val="22"/>
                <w:szCs w:val="22"/>
                <w:lang w:val="es-CR" w:eastAsia="es-CR"/>
              </w:rPr>
            </w:pPr>
            <w:r w:rsidRPr="009739A5">
              <w:rPr>
                <w:rFonts w:ascii="Arial Narrow" w:hAnsi="Arial Narrow" w:cs="Calibri"/>
                <w:color w:val="000000"/>
                <w:sz w:val="22"/>
                <w:szCs w:val="22"/>
                <w:lang w:val="es-CR" w:eastAsia="es-CR"/>
              </w:rPr>
              <w:t>51</w:t>
            </w:r>
          </w:p>
        </w:tc>
        <w:tc>
          <w:tcPr>
            <w:tcW w:w="1198" w:type="dxa"/>
            <w:shd w:val="clear" w:color="000000" w:fill="D9E2F3"/>
            <w:vAlign w:val="center"/>
            <w:hideMark/>
          </w:tcPr>
          <w:p w14:paraId="1B088789" w14:textId="77777777" w:rsidR="00474CD3" w:rsidRPr="009739A5" w:rsidRDefault="00474CD3" w:rsidP="00531E2E">
            <w:pPr>
              <w:jc w:val="center"/>
              <w:rPr>
                <w:rFonts w:ascii="Arial Narrow" w:hAnsi="Arial Narrow" w:cs="Calibri"/>
                <w:color w:val="000000"/>
                <w:sz w:val="22"/>
                <w:szCs w:val="22"/>
                <w:lang w:val="es-CR" w:eastAsia="es-CR"/>
              </w:rPr>
            </w:pPr>
            <w:r w:rsidRPr="009739A5">
              <w:rPr>
                <w:rFonts w:ascii="Arial Narrow" w:hAnsi="Arial Narrow" w:cs="Calibri"/>
                <w:color w:val="000000"/>
                <w:sz w:val="22"/>
                <w:szCs w:val="22"/>
                <w:lang w:val="es-CR" w:eastAsia="es-CR"/>
              </w:rPr>
              <w:t>23%</w:t>
            </w:r>
          </w:p>
        </w:tc>
      </w:tr>
      <w:tr w:rsidR="00474CD3" w:rsidRPr="009739A5" w14:paraId="53C2552F" w14:textId="77777777" w:rsidTr="00704B08">
        <w:trPr>
          <w:trHeight w:val="704"/>
        </w:trPr>
        <w:tc>
          <w:tcPr>
            <w:tcW w:w="2458" w:type="dxa"/>
            <w:shd w:val="clear" w:color="auto" w:fill="auto"/>
            <w:vAlign w:val="center"/>
            <w:hideMark/>
          </w:tcPr>
          <w:p w14:paraId="1C330427" w14:textId="77777777" w:rsidR="00474CD3" w:rsidRPr="009739A5" w:rsidRDefault="00474CD3" w:rsidP="00531E2E">
            <w:pPr>
              <w:rPr>
                <w:rFonts w:ascii="Arial Narrow" w:hAnsi="Arial Narrow" w:cs="Calibri"/>
                <w:b/>
                <w:bCs/>
                <w:color w:val="000000"/>
                <w:sz w:val="22"/>
                <w:szCs w:val="22"/>
                <w:lang w:val="es-CR" w:eastAsia="es-CR"/>
              </w:rPr>
            </w:pPr>
            <w:r w:rsidRPr="009739A5">
              <w:rPr>
                <w:rFonts w:ascii="Arial Narrow" w:hAnsi="Arial Narrow" w:cs="Calibri"/>
                <w:b/>
                <w:bCs/>
                <w:color w:val="000000"/>
                <w:sz w:val="22"/>
                <w:szCs w:val="22"/>
                <w:lang w:eastAsia="es-CR"/>
              </w:rPr>
              <w:t>Confianza y probidad en la justicia</w:t>
            </w:r>
          </w:p>
        </w:tc>
        <w:tc>
          <w:tcPr>
            <w:tcW w:w="1955" w:type="dxa"/>
            <w:shd w:val="clear" w:color="auto" w:fill="auto"/>
            <w:vAlign w:val="center"/>
            <w:hideMark/>
          </w:tcPr>
          <w:p w14:paraId="6C3309E8" w14:textId="77777777" w:rsidR="00474CD3" w:rsidRPr="009739A5" w:rsidRDefault="00474CD3" w:rsidP="00531E2E">
            <w:pPr>
              <w:jc w:val="center"/>
              <w:rPr>
                <w:rFonts w:ascii="Arial Narrow" w:hAnsi="Arial Narrow" w:cs="Calibri"/>
                <w:color w:val="000000"/>
                <w:sz w:val="22"/>
                <w:szCs w:val="22"/>
                <w:lang w:val="es-CR" w:eastAsia="es-CR"/>
              </w:rPr>
            </w:pPr>
            <w:r w:rsidRPr="009739A5">
              <w:rPr>
                <w:rFonts w:ascii="Arial Narrow" w:hAnsi="Arial Narrow" w:cs="Calibri"/>
                <w:color w:val="000000"/>
                <w:sz w:val="22"/>
                <w:szCs w:val="22"/>
                <w:lang w:eastAsia="es-CR"/>
              </w:rPr>
              <w:t>30</w:t>
            </w:r>
          </w:p>
        </w:tc>
        <w:tc>
          <w:tcPr>
            <w:tcW w:w="1266" w:type="dxa"/>
            <w:shd w:val="clear" w:color="auto" w:fill="auto"/>
            <w:vAlign w:val="center"/>
            <w:hideMark/>
          </w:tcPr>
          <w:p w14:paraId="7D0FFCE4" w14:textId="77777777" w:rsidR="00474CD3" w:rsidRPr="009739A5" w:rsidRDefault="00474CD3" w:rsidP="00531E2E">
            <w:pPr>
              <w:jc w:val="center"/>
              <w:rPr>
                <w:rFonts w:ascii="Arial Narrow" w:hAnsi="Arial Narrow" w:cs="Calibri"/>
                <w:color w:val="000000"/>
                <w:sz w:val="22"/>
                <w:szCs w:val="22"/>
                <w:lang w:val="es-CR" w:eastAsia="es-CR"/>
              </w:rPr>
            </w:pPr>
            <w:r w:rsidRPr="009739A5">
              <w:rPr>
                <w:rFonts w:ascii="Arial Narrow" w:hAnsi="Arial Narrow" w:cs="Calibri"/>
                <w:color w:val="000000"/>
                <w:sz w:val="22"/>
                <w:szCs w:val="22"/>
                <w:lang w:eastAsia="es-CR"/>
              </w:rPr>
              <w:t>16%</w:t>
            </w:r>
          </w:p>
        </w:tc>
        <w:tc>
          <w:tcPr>
            <w:tcW w:w="1947" w:type="dxa"/>
            <w:shd w:val="clear" w:color="auto" w:fill="auto"/>
            <w:vAlign w:val="center"/>
            <w:hideMark/>
          </w:tcPr>
          <w:p w14:paraId="6965C185" w14:textId="77777777" w:rsidR="00474CD3" w:rsidRPr="009739A5" w:rsidRDefault="00474CD3" w:rsidP="00531E2E">
            <w:pPr>
              <w:jc w:val="center"/>
              <w:rPr>
                <w:rFonts w:ascii="Arial Narrow" w:hAnsi="Arial Narrow" w:cs="Calibri"/>
                <w:color w:val="000000"/>
                <w:sz w:val="22"/>
                <w:szCs w:val="22"/>
                <w:lang w:val="es-CR" w:eastAsia="es-CR"/>
              </w:rPr>
            </w:pPr>
            <w:r w:rsidRPr="009739A5">
              <w:rPr>
                <w:rFonts w:ascii="Arial Narrow" w:hAnsi="Arial Narrow" w:cs="Calibri"/>
                <w:color w:val="000000"/>
                <w:sz w:val="22"/>
                <w:szCs w:val="22"/>
                <w:lang w:val="es-CR" w:eastAsia="es-CR"/>
              </w:rPr>
              <w:t>35</w:t>
            </w:r>
          </w:p>
        </w:tc>
        <w:tc>
          <w:tcPr>
            <w:tcW w:w="1198" w:type="dxa"/>
            <w:shd w:val="clear" w:color="auto" w:fill="auto"/>
            <w:vAlign w:val="center"/>
            <w:hideMark/>
          </w:tcPr>
          <w:p w14:paraId="7FBDED8B" w14:textId="77777777" w:rsidR="00474CD3" w:rsidRPr="009739A5" w:rsidRDefault="00474CD3" w:rsidP="00531E2E">
            <w:pPr>
              <w:jc w:val="center"/>
              <w:rPr>
                <w:rFonts w:ascii="Arial Narrow" w:hAnsi="Arial Narrow" w:cs="Calibri"/>
                <w:color w:val="000000"/>
                <w:sz w:val="22"/>
                <w:szCs w:val="22"/>
                <w:lang w:val="es-CR" w:eastAsia="es-CR"/>
              </w:rPr>
            </w:pPr>
            <w:r w:rsidRPr="009739A5">
              <w:rPr>
                <w:rFonts w:ascii="Arial Narrow" w:hAnsi="Arial Narrow" w:cs="Calibri"/>
                <w:color w:val="000000"/>
                <w:sz w:val="22"/>
                <w:szCs w:val="22"/>
                <w:lang w:val="es-CR" w:eastAsia="es-CR"/>
              </w:rPr>
              <w:t>16%</w:t>
            </w:r>
          </w:p>
        </w:tc>
      </w:tr>
      <w:tr w:rsidR="00474CD3" w:rsidRPr="009739A5" w14:paraId="32E7C84D" w14:textId="77777777" w:rsidTr="00704B08">
        <w:trPr>
          <w:trHeight w:val="472"/>
        </w:trPr>
        <w:tc>
          <w:tcPr>
            <w:tcW w:w="2458" w:type="dxa"/>
            <w:shd w:val="clear" w:color="000000" w:fill="D9E2F3"/>
            <w:vAlign w:val="center"/>
            <w:hideMark/>
          </w:tcPr>
          <w:p w14:paraId="614ACBD5" w14:textId="77777777" w:rsidR="00474CD3" w:rsidRPr="009739A5" w:rsidRDefault="00474CD3" w:rsidP="00531E2E">
            <w:pPr>
              <w:rPr>
                <w:rFonts w:ascii="Arial Narrow" w:hAnsi="Arial Narrow" w:cs="Calibri"/>
                <w:b/>
                <w:bCs/>
                <w:color w:val="000000"/>
                <w:sz w:val="22"/>
                <w:szCs w:val="22"/>
                <w:lang w:val="es-CR" w:eastAsia="es-CR"/>
              </w:rPr>
            </w:pPr>
            <w:r w:rsidRPr="009739A5">
              <w:rPr>
                <w:rFonts w:ascii="Arial Narrow" w:hAnsi="Arial Narrow" w:cs="Calibri"/>
                <w:b/>
                <w:bCs/>
                <w:color w:val="000000"/>
                <w:sz w:val="22"/>
                <w:szCs w:val="22"/>
                <w:lang w:eastAsia="es-CR"/>
              </w:rPr>
              <w:t>Planificación Institucional</w:t>
            </w:r>
          </w:p>
        </w:tc>
        <w:tc>
          <w:tcPr>
            <w:tcW w:w="1955" w:type="dxa"/>
            <w:shd w:val="clear" w:color="000000" w:fill="D9E2F3"/>
            <w:vAlign w:val="center"/>
            <w:hideMark/>
          </w:tcPr>
          <w:p w14:paraId="0D7A8977" w14:textId="77777777" w:rsidR="00474CD3" w:rsidRPr="009739A5" w:rsidRDefault="00474CD3" w:rsidP="00531E2E">
            <w:pPr>
              <w:jc w:val="center"/>
              <w:rPr>
                <w:rFonts w:ascii="Arial Narrow" w:hAnsi="Arial Narrow" w:cs="Calibri"/>
                <w:color w:val="000000"/>
                <w:sz w:val="22"/>
                <w:szCs w:val="22"/>
                <w:lang w:val="es-CR" w:eastAsia="es-CR"/>
              </w:rPr>
            </w:pPr>
            <w:r w:rsidRPr="009739A5">
              <w:rPr>
                <w:rFonts w:ascii="Arial Narrow" w:hAnsi="Arial Narrow" w:cs="Calibri"/>
                <w:color w:val="000000"/>
                <w:sz w:val="22"/>
                <w:szCs w:val="22"/>
                <w:lang w:eastAsia="es-CR"/>
              </w:rPr>
              <w:t>8</w:t>
            </w:r>
          </w:p>
        </w:tc>
        <w:tc>
          <w:tcPr>
            <w:tcW w:w="1266" w:type="dxa"/>
            <w:shd w:val="clear" w:color="000000" w:fill="D9E2F3"/>
            <w:vAlign w:val="center"/>
            <w:hideMark/>
          </w:tcPr>
          <w:p w14:paraId="30F860F7" w14:textId="77777777" w:rsidR="00474CD3" w:rsidRPr="009739A5" w:rsidRDefault="00474CD3" w:rsidP="00531E2E">
            <w:pPr>
              <w:jc w:val="center"/>
              <w:rPr>
                <w:rFonts w:ascii="Arial Narrow" w:hAnsi="Arial Narrow" w:cs="Calibri"/>
                <w:color w:val="000000"/>
                <w:sz w:val="22"/>
                <w:szCs w:val="22"/>
                <w:lang w:val="es-CR" w:eastAsia="es-CR"/>
              </w:rPr>
            </w:pPr>
            <w:r w:rsidRPr="009739A5">
              <w:rPr>
                <w:rFonts w:ascii="Arial Narrow" w:hAnsi="Arial Narrow" w:cs="Calibri"/>
                <w:color w:val="000000"/>
                <w:sz w:val="22"/>
                <w:szCs w:val="22"/>
                <w:lang w:eastAsia="es-CR"/>
              </w:rPr>
              <w:t>4%</w:t>
            </w:r>
          </w:p>
        </w:tc>
        <w:tc>
          <w:tcPr>
            <w:tcW w:w="1947" w:type="dxa"/>
            <w:shd w:val="clear" w:color="000000" w:fill="D9E2F3"/>
            <w:vAlign w:val="center"/>
            <w:hideMark/>
          </w:tcPr>
          <w:p w14:paraId="43ACA930" w14:textId="77777777" w:rsidR="00474CD3" w:rsidRPr="009739A5" w:rsidRDefault="00474CD3" w:rsidP="00531E2E">
            <w:pPr>
              <w:jc w:val="center"/>
              <w:rPr>
                <w:rFonts w:ascii="Arial Narrow" w:hAnsi="Arial Narrow" w:cs="Calibri"/>
                <w:color w:val="000000"/>
                <w:sz w:val="22"/>
                <w:szCs w:val="22"/>
                <w:lang w:val="es-CR" w:eastAsia="es-CR"/>
              </w:rPr>
            </w:pPr>
            <w:r w:rsidRPr="009739A5">
              <w:rPr>
                <w:rFonts w:ascii="Arial Narrow" w:hAnsi="Arial Narrow" w:cs="Calibri"/>
                <w:color w:val="000000"/>
                <w:sz w:val="22"/>
                <w:szCs w:val="22"/>
                <w:lang w:val="es-CR" w:eastAsia="es-CR"/>
              </w:rPr>
              <w:t>9</w:t>
            </w:r>
          </w:p>
        </w:tc>
        <w:tc>
          <w:tcPr>
            <w:tcW w:w="1198" w:type="dxa"/>
            <w:shd w:val="clear" w:color="000000" w:fill="D9E2F3"/>
            <w:vAlign w:val="center"/>
            <w:hideMark/>
          </w:tcPr>
          <w:p w14:paraId="51E37EE3" w14:textId="77777777" w:rsidR="00474CD3" w:rsidRPr="009739A5" w:rsidRDefault="00474CD3" w:rsidP="00531E2E">
            <w:pPr>
              <w:jc w:val="center"/>
              <w:rPr>
                <w:rFonts w:ascii="Arial Narrow" w:hAnsi="Arial Narrow" w:cs="Calibri"/>
                <w:color w:val="000000"/>
                <w:sz w:val="22"/>
                <w:szCs w:val="22"/>
                <w:lang w:val="es-CR" w:eastAsia="es-CR"/>
              </w:rPr>
            </w:pPr>
            <w:r w:rsidRPr="009739A5">
              <w:rPr>
                <w:rFonts w:ascii="Arial Narrow" w:hAnsi="Arial Narrow" w:cs="Calibri"/>
                <w:color w:val="000000"/>
                <w:sz w:val="22"/>
                <w:szCs w:val="22"/>
                <w:lang w:val="es-CR" w:eastAsia="es-CR"/>
              </w:rPr>
              <w:t>4%</w:t>
            </w:r>
          </w:p>
        </w:tc>
      </w:tr>
      <w:tr w:rsidR="00474CD3" w:rsidRPr="009739A5" w14:paraId="552BFF25" w14:textId="77777777" w:rsidTr="00704B08">
        <w:trPr>
          <w:trHeight w:val="248"/>
        </w:trPr>
        <w:tc>
          <w:tcPr>
            <w:tcW w:w="2458" w:type="dxa"/>
            <w:shd w:val="clear" w:color="auto" w:fill="auto"/>
            <w:vAlign w:val="center"/>
            <w:hideMark/>
          </w:tcPr>
          <w:p w14:paraId="00FBFC88" w14:textId="77777777" w:rsidR="00474CD3" w:rsidRPr="009739A5" w:rsidRDefault="00474CD3" w:rsidP="00531E2E">
            <w:pPr>
              <w:jc w:val="center"/>
              <w:rPr>
                <w:rFonts w:ascii="Arial Narrow" w:hAnsi="Arial Narrow" w:cs="Calibri"/>
                <w:b/>
                <w:bCs/>
                <w:color w:val="000000"/>
                <w:sz w:val="22"/>
                <w:szCs w:val="22"/>
                <w:lang w:val="es-CR" w:eastAsia="es-CR"/>
              </w:rPr>
            </w:pPr>
            <w:r w:rsidRPr="009739A5">
              <w:rPr>
                <w:rFonts w:ascii="Arial Narrow" w:hAnsi="Arial Narrow" w:cs="Calibri"/>
                <w:b/>
                <w:bCs/>
                <w:color w:val="000000"/>
                <w:sz w:val="22"/>
                <w:szCs w:val="22"/>
                <w:lang w:eastAsia="es-CR"/>
              </w:rPr>
              <w:t>TOTAL</w:t>
            </w:r>
          </w:p>
        </w:tc>
        <w:tc>
          <w:tcPr>
            <w:tcW w:w="1955" w:type="dxa"/>
            <w:shd w:val="clear" w:color="auto" w:fill="auto"/>
            <w:vAlign w:val="center"/>
            <w:hideMark/>
          </w:tcPr>
          <w:p w14:paraId="5E13969E" w14:textId="77777777" w:rsidR="00474CD3" w:rsidRPr="009739A5" w:rsidRDefault="00474CD3" w:rsidP="00531E2E">
            <w:pPr>
              <w:jc w:val="center"/>
              <w:rPr>
                <w:rFonts w:ascii="Arial Narrow" w:hAnsi="Arial Narrow" w:cs="Calibri"/>
                <w:b/>
                <w:bCs/>
                <w:color w:val="000000"/>
                <w:sz w:val="22"/>
                <w:szCs w:val="22"/>
                <w:lang w:val="es-CR" w:eastAsia="es-CR"/>
              </w:rPr>
            </w:pPr>
            <w:r w:rsidRPr="009739A5">
              <w:rPr>
                <w:rFonts w:ascii="Arial Narrow" w:hAnsi="Arial Narrow" w:cs="Calibri"/>
                <w:b/>
                <w:bCs/>
                <w:color w:val="000000"/>
                <w:sz w:val="22"/>
                <w:szCs w:val="22"/>
                <w:lang w:eastAsia="es-CR"/>
              </w:rPr>
              <w:t>187</w:t>
            </w:r>
          </w:p>
        </w:tc>
        <w:tc>
          <w:tcPr>
            <w:tcW w:w="1266" w:type="dxa"/>
            <w:shd w:val="clear" w:color="auto" w:fill="auto"/>
            <w:vAlign w:val="center"/>
            <w:hideMark/>
          </w:tcPr>
          <w:p w14:paraId="3086017E" w14:textId="77777777" w:rsidR="00474CD3" w:rsidRPr="009739A5" w:rsidRDefault="00474CD3" w:rsidP="00531E2E">
            <w:pPr>
              <w:jc w:val="center"/>
              <w:rPr>
                <w:rFonts w:ascii="Arial Narrow" w:hAnsi="Arial Narrow" w:cs="Calibri"/>
                <w:b/>
                <w:bCs/>
                <w:color w:val="000000"/>
                <w:sz w:val="22"/>
                <w:szCs w:val="22"/>
                <w:lang w:val="es-CR" w:eastAsia="es-CR"/>
              </w:rPr>
            </w:pPr>
            <w:r w:rsidRPr="009739A5">
              <w:rPr>
                <w:rFonts w:ascii="Arial Narrow" w:hAnsi="Arial Narrow" w:cs="Calibri"/>
                <w:b/>
                <w:bCs/>
                <w:color w:val="000000"/>
                <w:sz w:val="22"/>
                <w:szCs w:val="22"/>
                <w:lang w:eastAsia="es-CR"/>
              </w:rPr>
              <w:t>100%</w:t>
            </w:r>
          </w:p>
        </w:tc>
        <w:tc>
          <w:tcPr>
            <w:tcW w:w="1947" w:type="dxa"/>
            <w:shd w:val="clear" w:color="auto" w:fill="auto"/>
            <w:vAlign w:val="center"/>
            <w:hideMark/>
          </w:tcPr>
          <w:p w14:paraId="1FF418C4" w14:textId="77777777" w:rsidR="00474CD3" w:rsidRPr="009739A5" w:rsidRDefault="00474CD3" w:rsidP="00531E2E">
            <w:pPr>
              <w:jc w:val="center"/>
              <w:rPr>
                <w:rFonts w:ascii="Arial Narrow" w:hAnsi="Arial Narrow" w:cs="Calibri"/>
                <w:b/>
                <w:bCs/>
                <w:color w:val="000000"/>
                <w:sz w:val="22"/>
                <w:szCs w:val="22"/>
                <w:lang w:val="es-CR" w:eastAsia="es-CR"/>
              </w:rPr>
            </w:pPr>
            <w:r w:rsidRPr="009739A5">
              <w:rPr>
                <w:rFonts w:ascii="Arial Narrow" w:hAnsi="Arial Narrow" w:cs="Calibri"/>
                <w:b/>
                <w:bCs/>
                <w:color w:val="000000"/>
                <w:sz w:val="22"/>
                <w:szCs w:val="22"/>
                <w:lang w:val="es-CR" w:eastAsia="es-CR"/>
              </w:rPr>
              <w:t>219</w:t>
            </w:r>
          </w:p>
        </w:tc>
        <w:tc>
          <w:tcPr>
            <w:tcW w:w="1198" w:type="dxa"/>
            <w:shd w:val="clear" w:color="auto" w:fill="auto"/>
            <w:vAlign w:val="center"/>
            <w:hideMark/>
          </w:tcPr>
          <w:p w14:paraId="7266D072" w14:textId="77777777" w:rsidR="00474CD3" w:rsidRPr="009739A5" w:rsidRDefault="00474CD3" w:rsidP="00531E2E">
            <w:pPr>
              <w:jc w:val="center"/>
              <w:rPr>
                <w:rFonts w:ascii="Arial Narrow" w:hAnsi="Arial Narrow" w:cs="Calibri"/>
                <w:b/>
                <w:bCs/>
                <w:color w:val="000000"/>
                <w:sz w:val="22"/>
                <w:szCs w:val="22"/>
                <w:lang w:val="es-CR" w:eastAsia="es-CR"/>
              </w:rPr>
            </w:pPr>
            <w:r w:rsidRPr="009739A5">
              <w:rPr>
                <w:rFonts w:ascii="Arial Narrow" w:hAnsi="Arial Narrow" w:cs="Calibri"/>
                <w:b/>
                <w:bCs/>
                <w:color w:val="000000"/>
                <w:sz w:val="22"/>
                <w:szCs w:val="22"/>
                <w:lang w:val="es-CR" w:eastAsia="es-CR"/>
              </w:rPr>
              <w:t>100%</w:t>
            </w:r>
          </w:p>
        </w:tc>
      </w:tr>
    </w:tbl>
    <w:p w14:paraId="55E78CB1" w14:textId="2F0D4E33" w:rsidR="009739A5" w:rsidRDefault="009739A5" w:rsidP="00C847FC">
      <w:pPr>
        <w:spacing w:line="360" w:lineRule="auto"/>
        <w:jc w:val="center"/>
        <w:rPr>
          <w:rFonts w:ascii="Arial Narrow" w:eastAsia="Calibri" w:hAnsi="Arial Narrow"/>
          <w:b/>
          <w:bCs/>
          <w:lang w:eastAsia="en-US"/>
        </w:rPr>
      </w:pPr>
    </w:p>
    <w:p w14:paraId="2D4B6EA0" w14:textId="77777777" w:rsidR="007F48B8" w:rsidRDefault="007F48B8" w:rsidP="007F48B8">
      <w:pPr>
        <w:ind w:left="-142" w:firstLine="850"/>
        <w:rPr>
          <w:rFonts w:ascii="Arial Narrow" w:eastAsia="Calibri" w:hAnsi="Arial Narrow"/>
          <w:sz w:val="18"/>
          <w:szCs w:val="18"/>
          <w:lang w:eastAsia="en-US"/>
        </w:rPr>
      </w:pPr>
      <w:r w:rsidRPr="000B4845">
        <w:rPr>
          <w:rFonts w:ascii="Arial Narrow" w:eastAsia="Calibri" w:hAnsi="Arial Narrow"/>
          <w:sz w:val="18"/>
          <w:szCs w:val="18"/>
          <w:lang w:eastAsia="en-US"/>
        </w:rPr>
        <w:t>Fuente: Sistema PEI al 24 de enero del 2020 (año 2019)</w:t>
      </w:r>
      <w:r>
        <w:rPr>
          <w:rFonts w:ascii="Arial Narrow" w:eastAsia="Calibri" w:hAnsi="Arial Narrow"/>
          <w:sz w:val="18"/>
          <w:szCs w:val="18"/>
          <w:lang w:eastAsia="en-US"/>
        </w:rPr>
        <w:t xml:space="preserve"> </w:t>
      </w:r>
      <w:r w:rsidRPr="00125E7D">
        <w:rPr>
          <w:rFonts w:ascii="Arial Narrow" w:eastAsia="Calibri" w:hAnsi="Arial Narrow"/>
          <w:sz w:val="18"/>
          <w:szCs w:val="18"/>
          <w:lang w:eastAsia="en-US"/>
        </w:rPr>
        <w:t>y 04 de marzo del 2021 (año 2020).</w:t>
      </w:r>
    </w:p>
    <w:p w14:paraId="4350F40A" w14:textId="77777777" w:rsidR="0087494B" w:rsidRDefault="0087494B" w:rsidP="004B3694">
      <w:pPr>
        <w:spacing w:line="360" w:lineRule="auto"/>
        <w:jc w:val="both"/>
        <w:rPr>
          <w:rFonts w:ascii="Arial Narrow" w:eastAsia="Calibri" w:hAnsi="Arial Narrow"/>
          <w:lang w:eastAsia="en-US"/>
        </w:rPr>
      </w:pPr>
    </w:p>
    <w:p w14:paraId="2D9A36ED" w14:textId="16D4A735" w:rsidR="00B87B9F" w:rsidRPr="00CC279A" w:rsidRDefault="004B3694" w:rsidP="00CC3693">
      <w:pPr>
        <w:spacing w:line="360" w:lineRule="auto"/>
        <w:jc w:val="both"/>
        <w:rPr>
          <w:rFonts w:ascii="Arial Narrow" w:eastAsia="Calibri" w:hAnsi="Arial Narrow"/>
          <w:b/>
          <w:bCs/>
          <w:lang w:eastAsia="en-US"/>
        </w:rPr>
      </w:pPr>
      <w:r w:rsidRPr="00704B08">
        <w:rPr>
          <w:rFonts w:ascii="Arial Narrow" w:eastAsia="Calibri" w:hAnsi="Arial Narrow"/>
          <w:lang w:eastAsia="en-US"/>
        </w:rPr>
        <w:t xml:space="preserve">Como se observa, de la totalidad de metas hay 2 grandes temas estratégicos </w:t>
      </w:r>
      <w:r w:rsidR="00CE71E1" w:rsidRPr="00704B08">
        <w:rPr>
          <w:rFonts w:ascii="Arial Narrow" w:eastAsia="Calibri" w:hAnsi="Arial Narrow"/>
          <w:lang w:eastAsia="en-US"/>
        </w:rPr>
        <w:t xml:space="preserve">de cara </w:t>
      </w:r>
      <w:r w:rsidRPr="00704B08">
        <w:rPr>
          <w:rFonts w:ascii="Arial Narrow" w:eastAsia="Calibri" w:hAnsi="Arial Narrow"/>
          <w:lang w:eastAsia="en-US"/>
        </w:rPr>
        <w:t xml:space="preserve">a la </w:t>
      </w:r>
      <w:r w:rsidR="00CE71E1" w:rsidRPr="00704B08">
        <w:rPr>
          <w:rFonts w:ascii="Arial Narrow" w:eastAsia="Calibri" w:hAnsi="Arial Narrow"/>
          <w:lang w:eastAsia="en-US"/>
        </w:rPr>
        <w:t xml:space="preserve">sociedad </w:t>
      </w:r>
      <w:r w:rsidRPr="00704B08">
        <w:rPr>
          <w:rFonts w:ascii="Arial Narrow" w:eastAsia="Calibri" w:hAnsi="Arial Narrow"/>
          <w:lang w:eastAsia="en-US"/>
        </w:rPr>
        <w:t xml:space="preserve">que son </w:t>
      </w:r>
      <w:r w:rsidRPr="00704B08">
        <w:rPr>
          <w:rFonts w:ascii="Arial Narrow" w:eastAsia="Calibri" w:hAnsi="Arial Narrow"/>
          <w:b/>
          <w:bCs/>
          <w:lang w:eastAsia="en-US"/>
        </w:rPr>
        <w:t>Resolución oportuna de conflictos</w:t>
      </w:r>
      <w:r w:rsidRPr="00704B08">
        <w:rPr>
          <w:rFonts w:ascii="Arial Narrow" w:eastAsia="Calibri" w:hAnsi="Arial Narrow"/>
          <w:lang w:eastAsia="en-US"/>
        </w:rPr>
        <w:t xml:space="preserve"> y </w:t>
      </w:r>
      <w:r w:rsidRPr="00704B08">
        <w:rPr>
          <w:rFonts w:ascii="Arial Narrow" w:eastAsia="Calibri" w:hAnsi="Arial Narrow"/>
          <w:b/>
          <w:bCs/>
          <w:lang w:eastAsia="en-US"/>
        </w:rPr>
        <w:t>Confianza y probidad en la justicia</w:t>
      </w:r>
      <w:r w:rsidRPr="00704B08">
        <w:rPr>
          <w:rFonts w:ascii="Arial Narrow" w:eastAsia="Calibri" w:hAnsi="Arial Narrow"/>
          <w:lang w:eastAsia="en-US"/>
        </w:rPr>
        <w:t xml:space="preserve"> de todas las metas estratégicas, esto refleja el compromiso institucional en </w:t>
      </w:r>
      <w:r w:rsidRPr="00766F1A">
        <w:rPr>
          <w:rFonts w:ascii="Arial Narrow" w:eastAsia="Calibri" w:hAnsi="Arial Narrow"/>
          <w:lang w:eastAsia="en-US"/>
        </w:rPr>
        <w:t xml:space="preserve">servir a la población y </w:t>
      </w:r>
      <w:r w:rsidR="00A14152" w:rsidRPr="00766F1A">
        <w:rPr>
          <w:rFonts w:ascii="Arial Narrow" w:eastAsia="Calibri" w:hAnsi="Arial Narrow"/>
          <w:lang w:eastAsia="en-US"/>
        </w:rPr>
        <w:t>con el eje de</w:t>
      </w:r>
      <w:r w:rsidRPr="00766F1A">
        <w:rPr>
          <w:rFonts w:ascii="Arial Narrow" w:eastAsia="Calibri" w:hAnsi="Arial Narrow"/>
          <w:lang w:eastAsia="en-US"/>
        </w:rPr>
        <w:t xml:space="preserve"> transparen</w:t>
      </w:r>
      <w:r w:rsidR="00A14152" w:rsidRPr="00766F1A">
        <w:rPr>
          <w:rFonts w:ascii="Arial Narrow" w:eastAsia="Calibri" w:hAnsi="Arial Narrow"/>
          <w:lang w:eastAsia="en-US"/>
        </w:rPr>
        <w:t>cia</w:t>
      </w:r>
      <w:r w:rsidR="00FB52F7" w:rsidRPr="00766F1A">
        <w:rPr>
          <w:rFonts w:ascii="Arial Narrow" w:eastAsia="Calibri" w:hAnsi="Arial Narrow"/>
          <w:lang w:eastAsia="en-US"/>
        </w:rPr>
        <w:t xml:space="preserve">, promoviendo </w:t>
      </w:r>
      <w:r w:rsidRPr="00766F1A">
        <w:rPr>
          <w:rFonts w:ascii="Arial Narrow" w:eastAsia="Calibri" w:hAnsi="Arial Narrow"/>
          <w:lang w:eastAsia="en-US"/>
        </w:rPr>
        <w:t xml:space="preserve">la confianza en la justicia. </w:t>
      </w:r>
      <w:r w:rsidR="00B87B9F" w:rsidRPr="00766F1A">
        <w:rPr>
          <w:rFonts w:ascii="Arial Narrow" w:eastAsia="Calibri" w:hAnsi="Arial Narrow"/>
          <w:b/>
          <w:bCs/>
          <w:lang w:eastAsia="en-US"/>
        </w:rPr>
        <w:t xml:space="preserve">Ambos temas recogen el 50% del total de metas estratégicas </w:t>
      </w:r>
      <w:r w:rsidR="00BC3906" w:rsidRPr="00766F1A">
        <w:rPr>
          <w:rFonts w:ascii="Arial Narrow" w:eastAsia="Calibri" w:hAnsi="Arial Narrow"/>
          <w:b/>
          <w:bCs/>
          <w:lang w:eastAsia="en-US"/>
        </w:rPr>
        <w:t>para el año 2019 y un 49% para el año 2020.</w:t>
      </w:r>
    </w:p>
    <w:p w14:paraId="17A3447B" w14:textId="77777777" w:rsidR="00B87B9F" w:rsidRDefault="00B87B9F" w:rsidP="00CC3693">
      <w:pPr>
        <w:spacing w:line="360" w:lineRule="auto"/>
        <w:jc w:val="both"/>
        <w:rPr>
          <w:rFonts w:ascii="Arial Narrow" w:eastAsia="Calibri" w:hAnsi="Arial Narrow"/>
          <w:lang w:eastAsia="en-US"/>
        </w:rPr>
      </w:pPr>
    </w:p>
    <w:p w14:paraId="26FB3328" w14:textId="279C2EA0" w:rsidR="00B87B9F" w:rsidRDefault="004B3694" w:rsidP="00CC3693">
      <w:pPr>
        <w:spacing w:line="360" w:lineRule="auto"/>
        <w:jc w:val="both"/>
        <w:rPr>
          <w:rFonts w:ascii="Arial Narrow" w:eastAsia="Calibri" w:hAnsi="Arial Narrow"/>
          <w:lang w:eastAsia="en-US"/>
        </w:rPr>
      </w:pPr>
      <w:r w:rsidRPr="00704B08">
        <w:rPr>
          <w:rFonts w:ascii="Arial Narrow" w:eastAsia="Calibri" w:hAnsi="Arial Narrow"/>
          <w:lang w:eastAsia="en-US"/>
        </w:rPr>
        <w:t xml:space="preserve">Desde la óptica de procesos, se tiene el tema de </w:t>
      </w:r>
      <w:r w:rsidRPr="00704B08">
        <w:rPr>
          <w:rFonts w:ascii="Arial Narrow" w:eastAsia="Calibri" w:hAnsi="Arial Narrow"/>
          <w:b/>
          <w:bCs/>
          <w:lang w:eastAsia="en-US"/>
        </w:rPr>
        <w:t>Optimización e innovación de los servicios judiciales</w:t>
      </w:r>
      <w:r w:rsidRPr="00704B08">
        <w:rPr>
          <w:rFonts w:ascii="Arial Narrow" w:eastAsia="Calibri" w:hAnsi="Arial Narrow"/>
          <w:lang w:eastAsia="en-US"/>
        </w:rPr>
        <w:t xml:space="preserve"> que registra </w:t>
      </w:r>
      <w:r w:rsidR="00B87B9F">
        <w:rPr>
          <w:rFonts w:ascii="Arial Narrow" w:eastAsia="Calibri" w:hAnsi="Arial Narrow"/>
          <w:lang w:eastAsia="en-US"/>
        </w:rPr>
        <w:t xml:space="preserve">el </w:t>
      </w:r>
      <w:r w:rsidR="00B87B9F" w:rsidRPr="00CC279A">
        <w:rPr>
          <w:rFonts w:ascii="Arial Narrow" w:eastAsia="Calibri" w:hAnsi="Arial Narrow"/>
          <w:b/>
          <w:bCs/>
          <w:lang w:eastAsia="en-US"/>
        </w:rPr>
        <w:t>24%</w:t>
      </w:r>
      <w:r w:rsidR="00B87B9F">
        <w:rPr>
          <w:rFonts w:ascii="Arial Narrow" w:eastAsia="Calibri" w:hAnsi="Arial Narrow"/>
          <w:lang w:eastAsia="en-US"/>
        </w:rPr>
        <w:t xml:space="preserve"> de las metas, en las que se reflejan </w:t>
      </w:r>
      <w:r w:rsidRPr="00704B08">
        <w:rPr>
          <w:rFonts w:ascii="Arial Narrow" w:eastAsia="Calibri" w:hAnsi="Arial Narrow"/>
          <w:lang w:eastAsia="en-US"/>
        </w:rPr>
        <w:t xml:space="preserve">los esfuerzos por modernizar el aparato judicial, mediante </w:t>
      </w:r>
      <w:r w:rsidR="00B87B9F">
        <w:rPr>
          <w:rFonts w:ascii="Arial Narrow" w:eastAsia="Calibri" w:hAnsi="Arial Narrow"/>
          <w:lang w:eastAsia="en-US"/>
        </w:rPr>
        <w:t xml:space="preserve">la </w:t>
      </w:r>
      <w:r w:rsidRPr="00704B08">
        <w:rPr>
          <w:rFonts w:ascii="Arial Narrow" w:eastAsia="Calibri" w:hAnsi="Arial Narrow"/>
          <w:lang w:eastAsia="en-US"/>
        </w:rPr>
        <w:t xml:space="preserve">aplicación de la tecnología y mejoramiento de los procesos. </w:t>
      </w:r>
    </w:p>
    <w:p w14:paraId="5924F9D9" w14:textId="77777777" w:rsidR="00B87B9F" w:rsidRDefault="00B87B9F" w:rsidP="00CC3693">
      <w:pPr>
        <w:spacing w:line="360" w:lineRule="auto"/>
        <w:jc w:val="both"/>
        <w:rPr>
          <w:rFonts w:ascii="Arial Narrow" w:eastAsia="Calibri" w:hAnsi="Arial Narrow"/>
          <w:lang w:eastAsia="en-US"/>
        </w:rPr>
      </w:pPr>
    </w:p>
    <w:p w14:paraId="488352DF" w14:textId="77777777" w:rsidR="00B87B9F" w:rsidRDefault="00B87B9F" w:rsidP="00CC3693">
      <w:pPr>
        <w:spacing w:line="360" w:lineRule="auto"/>
        <w:jc w:val="both"/>
        <w:rPr>
          <w:rFonts w:ascii="Arial Narrow" w:eastAsia="Calibri" w:hAnsi="Arial Narrow"/>
          <w:lang w:eastAsia="en-US"/>
        </w:rPr>
      </w:pPr>
    </w:p>
    <w:p w14:paraId="6634D8D8" w14:textId="1D502006" w:rsidR="004B3694" w:rsidRPr="00704B08" w:rsidRDefault="004B3694" w:rsidP="00CC3693">
      <w:pPr>
        <w:spacing w:line="360" w:lineRule="auto"/>
        <w:jc w:val="both"/>
        <w:rPr>
          <w:rFonts w:ascii="Arial Narrow" w:eastAsia="Calibri" w:hAnsi="Arial Narrow"/>
          <w:lang w:eastAsia="en-US"/>
        </w:rPr>
      </w:pPr>
      <w:r w:rsidRPr="00704B08">
        <w:rPr>
          <w:rFonts w:ascii="Arial Narrow" w:eastAsia="Calibri" w:hAnsi="Arial Narrow"/>
          <w:lang w:eastAsia="en-US"/>
        </w:rPr>
        <w:lastRenderedPageBreak/>
        <w:t xml:space="preserve">Los restantes </w:t>
      </w:r>
      <w:r w:rsidR="00FB52F7" w:rsidRPr="00704B08">
        <w:rPr>
          <w:rFonts w:ascii="Arial Narrow" w:eastAsia="Calibri" w:hAnsi="Arial Narrow"/>
          <w:lang w:eastAsia="en-US"/>
        </w:rPr>
        <w:t>t</w:t>
      </w:r>
      <w:r w:rsidRPr="00704B08">
        <w:rPr>
          <w:rFonts w:ascii="Arial Narrow" w:eastAsia="Calibri" w:hAnsi="Arial Narrow"/>
          <w:lang w:eastAsia="en-US"/>
        </w:rPr>
        <w:t xml:space="preserve">emas son </w:t>
      </w:r>
      <w:r w:rsidRPr="00704B08">
        <w:rPr>
          <w:rFonts w:ascii="Arial Narrow" w:eastAsia="Calibri" w:hAnsi="Arial Narrow"/>
          <w:b/>
          <w:bCs/>
          <w:lang w:eastAsia="en-US"/>
        </w:rPr>
        <w:t>Gestión del Personal</w:t>
      </w:r>
      <w:r w:rsidRPr="00704B08">
        <w:rPr>
          <w:rFonts w:ascii="Arial Narrow" w:eastAsia="Calibri" w:hAnsi="Arial Narrow"/>
          <w:lang w:eastAsia="en-US"/>
        </w:rPr>
        <w:t xml:space="preserve"> por medio de las cuales se realizan tareas relacionadas a la capacitación, </w:t>
      </w:r>
      <w:r w:rsidR="008254FA" w:rsidRPr="00704B08">
        <w:rPr>
          <w:rFonts w:ascii="Arial Narrow" w:eastAsia="Calibri" w:hAnsi="Arial Narrow"/>
          <w:lang w:eastAsia="en-US"/>
        </w:rPr>
        <w:t>reclutamiento</w:t>
      </w:r>
      <w:r w:rsidRPr="00704B08">
        <w:rPr>
          <w:rFonts w:ascii="Arial Narrow" w:eastAsia="Calibri" w:hAnsi="Arial Narrow"/>
          <w:lang w:eastAsia="en-US"/>
        </w:rPr>
        <w:t xml:space="preserve"> del personal, entre otras</w:t>
      </w:r>
      <w:r w:rsidR="0087494B" w:rsidRPr="00704B08">
        <w:rPr>
          <w:rFonts w:ascii="Arial Narrow" w:eastAsia="Calibri" w:hAnsi="Arial Narrow"/>
          <w:lang w:eastAsia="en-US"/>
        </w:rPr>
        <w:t xml:space="preserve"> y </w:t>
      </w:r>
      <w:r w:rsidR="008254FA" w:rsidRPr="00704B08">
        <w:rPr>
          <w:rFonts w:ascii="Arial Narrow" w:eastAsia="Calibri" w:hAnsi="Arial Narrow"/>
          <w:b/>
          <w:bCs/>
          <w:lang w:eastAsia="en-US"/>
        </w:rPr>
        <w:t>Planificación Institucional</w:t>
      </w:r>
      <w:r w:rsidR="008254FA" w:rsidRPr="00704B08">
        <w:rPr>
          <w:rFonts w:ascii="Arial Narrow" w:eastAsia="Calibri" w:hAnsi="Arial Narrow"/>
          <w:lang w:eastAsia="en-US"/>
        </w:rPr>
        <w:t>, a pesar de</w:t>
      </w:r>
      <w:r w:rsidR="00FB52F7" w:rsidRPr="00704B08">
        <w:rPr>
          <w:rFonts w:ascii="Arial Narrow" w:eastAsia="Calibri" w:hAnsi="Arial Narrow"/>
          <w:lang w:eastAsia="en-US"/>
        </w:rPr>
        <w:t xml:space="preserve"> tener asociadas</w:t>
      </w:r>
      <w:r w:rsidR="008254FA" w:rsidRPr="00704B08">
        <w:rPr>
          <w:rFonts w:ascii="Arial Narrow" w:eastAsia="Calibri" w:hAnsi="Arial Narrow"/>
          <w:lang w:eastAsia="en-US"/>
        </w:rPr>
        <w:t xml:space="preserve"> una menor cantidad</w:t>
      </w:r>
      <w:r w:rsidR="00FB52F7" w:rsidRPr="00704B08">
        <w:rPr>
          <w:rFonts w:ascii="Arial Narrow" w:eastAsia="Calibri" w:hAnsi="Arial Narrow"/>
          <w:lang w:eastAsia="en-US"/>
        </w:rPr>
        <w:t xml:space="preserve"> de metas</w:t>
      </w:r>
      <w:r w:rsidR="00B87B9F">
        <w:rPr>
          <w:rFonts w:ascii="Arial Narrow" w:eastAsia="Calibri" w:hAnsi="Arial Narrow"/>
          <w:lang w:eastAsia="en-US"/>
        </w:rPr>
        <w:t xml:space="preserve"> (</w:t>
      </w:r>
      <w:r w:rsidR="00B87B9F" w:rsidRPr="00CC279A">
        <w:rPr>
          <w:rFonts w:ascii="Arial Narrow" w:eastAsia="Calibri" w:hAnsi="Arial Narrow"/>
          <w:b/>
          <w:bCs/>
          <w:lang w:eastAsia="en-US"/>
        </w:rPr>
        <w:t>entre ambas el 26%</w:t>
      </w:r>
      <w:r w:rsidR="00B87B9F">
        <w:rPr>
          <w:rFonts w:ascii="Arial Narrow" w:eastAsia="Calibri" w:hAnsi="Arial Narrow"/>
          <w:b/>
          <w:bCs/>
          <w:lang w:eastAsia="en-US"/>
        </w:rPr>
        <w:t>-27%</w:t>
      </w:r>
      <w:r w:rsidR="00B87B9F" w:rsidRPr="00CC279A">
        <w:rPr>
          <w:rFonts w:ascii="Arial Narrow" w:eastAsia="Calibri" w:hAnsi="Arial Narrow"/>
          <w:b/>
          <w:bCs/>
          <w:lang w:eastAsia="en-US"/>
        </w:rPr>
        <w:t xml:space="preserve"> restante</w:t>
      </w:r>
      <w:r w:rsidR="00B87B9F">
        <w:rPr>
          <w:rFonts w:ascii="Arial Narrow" w:eastAsia="Calibri" w:hAnsi="Arial Narrow"/>
          <w:lang w:eastAsia="en-US"/>
        </w:rPr>
        <w:t>)</w:t>
      </w:r>
      <w:r w:rsidR="00FB52F7" w:rsidRPr="00704B08">
        <w:rPr>
          <w:rFonts w:ascii="Arial Narrow" w:eastAsia="Calibri" w:hAnsi="Arial Narrow"/>
          <w:lang w:eastAsia="en-US"/>
        </w:rPr>
        <w:t>,</w:t>
      </w:r>
      <w:r w:rsidR="008254FA" w:rsidRPr="00704B08">
        <w:rPr>
          <w:rFonts w:ascii="Arial Narrow" w:eastAsia="Calibri" w:hAnsi="Arial Narrow"/>
          <w:lang w:eastAsia="en-US"/>
        </w:rPr>
        <w:t xml:space="preserve"> sus objetivos están claramente definidos, como una base para la toma de decisiones institucional, así como el establecimiento de modelos y métodos de trabajo integrales para llevar a cabo procesos de planificación que requiere la institución.</w:t>
      </w:r>
    </w:p>
    <w:p w14:paraId="572C3F5B" w14:textId="77777777" w:rsidR="004B3694" w:rsidRPr="000B4845" w:rsidRDefault="004B3694" w:rsidP="004F223E">
      <w:pPr>
        <w:jc w:val="center"/>
        <w:rPr>
          <w:rFonts w:ascii="Arial Narrow" w:eastAsia="Calibri" w:hAnsi="Arial Narrow"/>
          <w:sz w:val="28"/>
          <w:szCs w:val="28"/>
          <w:lang w:eastAsia="en-US"/>
        </w:rPr>
      </w:pPr>
    </w:p>
    <w:p w14:paraId="1F2D7FE2" w14:textId="577C0842" w:rsidR="00ED6A66" w:rsidRPr="00704B08" w:rsidRDefault="00BD2019" w:rsidP="00704B08">
      <w:pPr>
        <w:spacing w:line="360" w:lineRule="auto"/>
        <w:jc w:val="both"/>
        <w:rPr>
          <w:rFonts w:ascii="Arial Narrow" w:eastAsia="Calibri" w:hAnsi="Arial Narrow"/>
          <w:lang w:eastAsia="en-US"/>
        </w:rPr>
      </w:pPr>
      <w:r w:rsidRPr="00704B08">
        <w:rPr>
          <w:rFonts w:ascii="Arial Narrow" w:eastAsia="Calibri" w:hAnsi="Arial Narrow"/>
          <w:lang w:eastAsia="en-US"/>
        </w:rPr>
        <w:t>Por otra parte, se</w:t>
      </w:r>
      <w:r w:rsidR="00ED6A66" w:rsidRPr="00704B08">
        <w:rPr>
          <w:rFonts w:ascii="Arial Narrow" w:eastAsia="Calibri" w:hAnsi="Arial Narrow"/>
          <w:lang w:eastAsia="en-US"/>
        </w:rPr>
        <w:t xml:space="preserve"> procedió a analizar el porcentaje del cumplimiento por tema estratégico del año 2019 y el año 2020 del cual se detalla a continuación la información:</w:t>
      </w:r>
    </w:p>
    <w:p w14:paraId="11029379" w14:textId="21426AEB" w:rsidR="00474CD3" w:rsidRDefault="00474CD3" w:rsidP="00C847FC">
      <w:pPr>
        <w:pStyle w:val="Descripcin"/>
        <w:jc w:val="center"/>
        <w:rPr>
          <w:rFonts w:ascii="Arial Narrow" w:hAnsi="Arial Narrow"/>
          <w:sz w:val="24"/>
          <w:szCs w:val="24"/>
        </w:rPr>
      </w:pPr>
    </w:p>
    <w:p w14:paraId="0C0C7DDC" w14:textId="6FB73375" w:rsidR="00DF140C" w:rsidRPr="00DF140C" w:rsidRDefault="00DF140C" w:rsidP="00CC279A">
      <w:pPr>
        <w:pStyle w:val="Descripcin"/>
        <w:rPr>
          <w:rFonts w:ascii="Arial Narrow" w:hAnsi="Arial Narrow"/>
          <w:sz w:val="24"/>
          <w:szCs w:val="24"/>
        </w:rPr>
      </w:pPr>
      <w:bookmarkStart w:id="19" w:name="_Toc83115332"/>
      <w:r w:rsidRPr="00CC279A">
        <w:rPr>
          <w:rFonts w:ascii="Arial Narrow" w:hAnsi="Arial Narrow"/>
          <w:sz w:val="24"/>
          <w:szCs w:val="24"/>
        </w:rPr>
        <w:t xml:space="preserve">Gráfico </w:t>
      </w:r>
      <w:r w:rsidRPr="00CC279A">
        <w:rPr>
          <w:rFonts w:ascii="Arial Narrow" w:hAnsi="Arial Narrow"/>
          <w:sz w:val="24"/>
          <w:szCs w:val="24"/>
        </w:rPr>
        <w:fldChar w:fldCharType="begin"/>
      </w:r>
      <w:r w:rsidRPr="00CC279A">
        <w:rPr>
          <w:rFonts w:ascii="Arial Narrow" w:hAnsi="Arial Narrow"/>
          <w:sz w:val="24"/>
          <w:szCs w:val="24"/>
        </w:rPr>
        <w:instrText xml:space="preserve"> SEQ Gráfico \* ARABIC </w:instrText>
      </w:r>
      <w:r w:rsidRPr="00CC279A">
        <w:rPr>
          <w:rFonts w:ascii="Arial Narrow" w:hAnsi="Arial Narrow"/>
          <w:sz w:val="24"/>
          <w:szCs w:val="24"/>
        </w:rPr>
        <w:fldChar w:fldCharType="separate"/>
      </w:r>
      <w:r w:rsidRPr="00CC279A">
        <w:rPr>
          <w:rFonts w:ascii="Arial Narrow" w:hAnsi="Arial Narrow"/>
          <w:noProof/>
          <w:sz w:val="24"/>
          <w:szCs w:val="24"/>
        </w:rPr>
        <w:t>5</w:t>
      </w:r>
      <w:r w:rsidRPr="00CC279A">
        <w:rPr>
          <w:rFonts w:ascii="Arial Narrow" w:hAnsi="Arial Narrow"/>
          <w:sz w:val="24"/>
          <w:szCs w:val="24"/>
        </w:rPr>
        <w:fldChar w:fldCharType="end"/>
      </w:r>
      <w:r w:rsidRPr="00CC279A">
        <w:rPr>
          <w:rFonts w:ascii="Arial Narrow" w:hAnsi="Arial Narrow"/>
          <w:sz w:val="24"/>
          <w:szCs w:val="24"/>
        </w:rPr>
        <w:t xml:space="preserve"> Porcentaje de cumplimiento por tema estratégico en el año 2019 y 2020.</w:t>
      </w:r>
      <w:bookmarkEnd w:id="19"/>
    </w:p>
    <w:p w14:paraId="62C16279" w14:textId="77777777" w:rsidR="00106F8C" w:rsidRPr="00704B08" w:rsidRDefault="00106F8C" w:rsidP="00704B08">
      <w:pPr>
        <w:rPr>
          <w:rFonts w:eastAsia="Calibri"/>
          <w:lang w:eastAsia="en-US"/>
        </w:rPr>
      </w:pPr>
    </w:p>
    <w:p w14:paraId="3DB3675D" w14:textId="7C16740A" w:rsidR="000470B4" w:rsidRPr="00704B08" w:rsidRDefault="000470B4" w:rsidP="00704B08">
      <w:pPr>
        <w:jc w:val="center"/>
        <w:rPr>
          <w:rFonts w:eastAsia="Calibri"/>
        </w:rPr>
      </w:pPr>
      <w:r>
        <w:rPr>
          <w:rFonts w:ascii="Arial Narrow" w:eastAsia="Calibri" w:hAnsi="Arial Narrow"/>
          <w:noProof/>
          <w:sz w:val="28"/>
          <w:szCs w:val="28"/>
          <w:lang w:val="es-CR" w:eastAsia="es-CR"/>
        </w:rPr>
        <w:drawing>
          <wp:inline distT="0" distB="0" distL="0" distR="0" wp14:anchorId="046EA4BD" wp14:editId="475A1B8A">
            <wp:extent cx="4584700" cy="2755900"/>
            <wp:effectExtent l="57150" t="57150" r="63500" b="63500"/>
            <wp:docPr id="153" name="Imagen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584700" cy="2755900"/>
                    </a:xfrm>
                    <a:prstGeom prst="roundRect">
                      <a:avLst>
                        <a:gd name="adj" fmla="val 4167"/>
                      </a:avLst>
                    </a:prstGeom>
                    <a:solidFill>
                      <a:srgbClr val="FFFFFF"/>
                    </a:solidFill>
                    <a:ln w="19050" cap="sq">
                      <a:solidFill>
                        <a:srgbClr val="4472C4">
                          <a:lumMod val="75000"/>
                        </a:srgbClr>
                      </a:solidFill>
                      <a:miter lim="800000"/>
                    </a:ln>
                    <a:effectLst/>
                    <a:scene3d>
                      <a:camera prst="orthographicFront"/>
                      <a:lightRig rig="threePt" dir="t">
                        <a:rot lat="0" lon="0" rev="2700000"/>
                      </a:lightRig>
                    </a:scene3d>
                    <a:sp3d contourW="6350">
                      <a:bevelT h="38100"/>
                      <a:contourClr>
                        <a:srgbClr val="C0C0C0"/>
                      </a:contourClr>
                    </a:sp3d>
                  </pic:spPr>
                </pic:pic>
              </a:graphicData>
            </a:graphic>
          </wp:inline>
        </w:drawing>
      </w:r>
    </w:p>
    <w:p w14:paraId="13C0E8A8" w14:textId="0B29930B" w:rsidR="002615F3" w:rsidRPr="000B4845" w:rsidRDefault="002615F3" w:rsidP="004F223E">
      <w:pPr>
        <w:jc w:val="center"/>
        <w:rPr>
          <w:rFonts w:ascii="Arial Narrow" w:eastAsia="Calibri" w:hAnsi="Arial Narrow"/>
          <w:sz w:val="28"/>
          <w:szCs w:val="28"/>
          <w:lang w:eastAsia="en-US"/>
        </w:rPr>
      </w:pPr>
    </w:p>
    <w:p w14:paraId="6C7B4AE2" w14:textId="408F4106" w:rsidR="008623B6" w:rsidRDefault="00D07B73" w:rsidP="00704B08">
      <w:pPr>
        <w:jc w:val="center"/>
        <w:rPr>
          <w:rFonts w:ascii="Arial Narrow" w:eastAsia="Calibri" w:hAnsi="Arial Narrow"/>
          <w:lang w:eastAsia="en-US"/>
        </w:rPr>
      </w:pPr>
      <w:r w:rsidRPr="596C5A54">
        <w:rPr>
          <w:noProof/>
        </w:rPr>
        <w:t xml:space="preserve"> </w:t>
      </w:r>
      <w:r w:rsidR="008623B6" w:rsidRPr="000B4845">
        <w:rPr>
          <w:rFonts w:ascii="Arial Narrow" w:eastAsia="Calibri" w:hAnsi="Arial Narrow"/>
          <w:sz w:val="18"/>
          <w:szCs w:val="18"/>
          <w:lang w:eastAsia="en-US"/>
        </w:rPr>
        <w:t>Fuente: Sistema PEI al 24 de enero del 2020 (año 2019)</w:t>
      </w:r>
      <w:r w:rsidR="008623B6">
        <w:rPr>
          <w:rFonts w:ascii="Arial Narrow" w:eastAsia="Calibri" w:hAnsi="Arial Narrow"/>
          <w:sz w:val="18"/>
          <w:szCs w:val="18"/>
          <w:lang w:eastAsia="en-US"/>
        </w:rPr>
        <w:t xml:space="preserve"> y al 04 de marzo 2021 (año 2020).</w:t>
      </w:r>
    </w:p>
    <w:p w14:paraId="24018BAE" w14:textId="77777777" w:rsidR="008254FA" w:rsidRPr="000B4845" w:rsidRDefault="008254FA" w:rsidP="002016B0">
      <w:pPr>
        <w:jc w:val="center"/>
        <w:rPr>
          <w:rFonts w:ascii="Arial Narrow" w:eastAsia="Calibri" w:hAnsi="Arial Narrow"/>
          <w:sz w:val="18"/>
          <w:szCs w:val="18"/>
          <w:lang w:eastAsia="en-US"/>
        </w:rPr>
      </w:pPr>
    </w:p>
    <w:p w14:paraId="13B0E19A" w14:textId="77777777" w:rsidR="00B87B9F" w:rsidRPr="00CC3693" w:rsidRDefault="00B87B9F" w:rsidP="00704B08">
      <w:pPr>
        <w:spacing w:line="360" w:lineRule="auto"/>
        <w:jc w:val="both"/>
        <w:rPr>
          <w:rFonts w:ascii="Arial Narrow" w:eastAsia="Calibri" w:hAnsi="Arial Narrow"/>
          <w:lang w:eastAsia="en-US"/>
        </w:rPr>
      </w:pPr>
    </w:p>
    <w:p w14:paraId="636CC184" w14:textId="13E43F17" w:rsidR="00D3519D" w:rsidRPr="00704B08" w:rsidRDefault="00474CD3" w:rsidP="00704B08">
      <w:pPr>
        <w:spacing w:line="360" w:lineRule="auto"/>
        <w:jc w:val="both"/>
        <w:rPr>
          <w:rFonts w:ascii="Arial Narrow" w:eastAsia="Calibri" w:hAnsi="Arial Narrow"/>
          <w:lang w:eastAsia="en-US"/>
        </w:rPr>
      </w:pPr>
      <w:r>
        <w:rPr>
          <w:rFonts w:ascii="Arial Narrow" w:eastAsia="Calibri" w:hAnsi="Arial Narrow"/>
          <w:lang w:eastAsia="en-US"/>
        </w:rPr>
        <w:t>Al realizar</w:t>
      </w:r>
      <w:r w:rsidR="00D3519D" w:rsidRPr="00704B08">
        <w:rPr>
          <w:rFonts w:ascii="Arial Narrow" w:eastAsia="Calibri" w:hAnsi="Arial Narrow"/>
          <w:lang w:eastAsia="en-US"/>
        </w:rPr>
        <w:t xml:space="preserve"> una </w:t>
      </w:r>
      <w:r w:rsidR="00ED6A66" w:rsidRPr="00704B08">
        <w:rPr>
          <w:rFonts w:ascii="Arial Narrow" w:eastAsia="Calibri" w:hAnsi="Arial Narrow"/>
          <w:lang w:eastAsia="en-US"/>
        </w:rPr>
        <w:t>comparación los</w:t>
      </w:r>
      <w:r w:rsidR="00D3519D" w:rsidRPr="00704B08">
        <w:rPr>
          <w:rFonts w:ascii="Arial Narrow" w:eastAsia="Calibri" w:hAnsi="Arial Narrow"/>
          <w:lang w:eastAsia="en-US"/>
        </w:rPr>
        <w:t xml:space="preserve"> temas estratégicos del período </w:t>
      </w:r>
      <w:r w:rsidR="00334943" w:rsidRPr="00704B08">
        <w:rPr>
          <w:rFonts w:ascii="Arial Narrow" w:eastAsia="Calibri" w:hAnsi="Arial Narrow"/>
          <w:lang w:eastAsia="en-US"/>
        </w:rPr>
        <w:t>2019 y 2020</w:t>
      </w:r>
      <w:r w:rsidR="00D3519D" w:rsidRPr="00704B08">
        <w:rPr>
          <w:rFonts w:ascii="Arial Narrow" w:eastAsia="Calibri" w:hAnsi="Arial Narrow"/>
          <w:lang w:eastAsia="en-US"/>
        </w:rPr>
        <w:t xml:space="preserve"> se tiene </w:t>
      </w:r>
      <w:r w:rsidR="00334943" w:rsidRPr="00704B08">
        <w:rPr>
          <w:rFonts w:ascii="Arial Narrow" w:eastAsia="Calibri" w:hAnsi="Arial Narrow"/>
          <w:lang w:eastAsia="en-US"/>
        </w:rPr>
        <w:t>que,</w:t>
      </w:r>
      <w:r w:rsidR="00D3519D" w:rsidRPr="00704B08">
        <w:rPr>
          <w:rFonts w:ascii="Arial Narrow" w:eastAsia="Calibri" w:hAnsi="Arial Narrow"/>
          <w:lang w:eastAsia="en-US"/>
        </w:rPr>
        <w:t xml:space="preserve"> en el </w:t>
      </w:r>
      <w:r w:rsidR="00334943" w:rsidRPr="00704B08">
        <w:rPr>
          <w:rFonts w:ascii="Arial Narrow" w:eastAsia="Calibri" w:hAnsi="Arial Narrow"/>
          <w:lang w:eastAsia="en-US"/>
        </w:rPr>
        <w:t>2019</w:t>
      </w:r>
      <w:r w:rsidR="00D3519D" w:rsidRPr="00704B08">
        <w:rPr>
          <w:rFonts w:ascii="Arial Narrow" w:eastAsia="Calibri" w:hAnsi="Arial Narrow"/>
          <w:lang w:eastAsia="en-US"/>
        </w:rPr>
        <w:t xml:space="preserve">, el </w:t>
      </w:r>
      <w:r w:rsidR="00334943" w:rsidRPr="00704B08">
        <w:rPr>
          <w:rFonts w:ascii="Arial Narrow" w:eastAsia="Calibri" w:hAnsi="Arial Narrow"/>
          <w:lang w:eastAsia="en-US"/>
        </w:rPr>
        <w:t>tema estratégico</w:t>
      </w:r>
      <w:r w:rsidR="00D3519D" w:rsidRPr="00704B08">
        <w:rPr>
          <w:rFonts w:ascii="Arial Narrow" w:eastAsia="Calibri" w:hAnsi="Arial Narrow"/>
          <w:lang w:eastAsia="en-US"/>
        </w:rPr>
        <w:t xml:space="preserve"> que contaba con un mayor </w:t>
      </w:r>
      <w:r w:rsidR="00334943" w:rsidRPr="00704B08">
        <w:rPr>
          <w:rFonts w:ascii="Arial Narrow" w:eastAsia="Calibri" w:hAnsi="Arial Narrow"/>
          <w:lang w:eastAsia="en-US"/>
        </w:rPr>
        <w:t xml:space="preserve">porcentaje de </w:t>
      </w:r>
      <w:r w:rsidR="00D3519D" w:rsidRPr="00704B08">
        <w:rPr>
          <w:rFonts w:ascii="Arial Narrow" w:eastAsia="Calibri" w:hAnsi="Arial Narrow"/>
          <w:lang w:eastAsia="en-US"/>
        </w:rPr>
        <w:t>c</w:t>
      </w:r>
      <w:r w:rsidR="00334943" w:rsidRPr="00704B08">
        <w:rPr>
          <w:rFonts w:ascii="Arial Narrow" w:eastAsia="Calibri" w:hAnsi="Arial Narrow"/>
          <w:lang w:eastAsia="en-US"/>
        </w:rPr>
        <w:t xml:space="preserve">umplimiento </w:t>
      </w:r>
      <w:r w:rsidR="00D3519D" w:rsidRPr="00704B08">
        <w:rPr>
          <w:rFonts w:ascii="Arial Narrow" w:eastAsia="Calibri" w:hAnsi="Arial Narrow"/>
          <w:lang w:eastAsia="en-US"/>
        </w:rPr>
        <w:t xml:space="preserve">fue </w:t>
      </w:r>
      <w:r w:rsidR="00334943" w:rsidRPr="00CC3693">
        <w:rPr>
          <w:rFonts w:ascii="Arial Narrow" w:eastAsia="Calibri" w:hAnsi="Arial Narrow"/>
          <w:lang w:eastAsia="en-US"/>
        </w:rPr>
        <w:t>Optimización e innovación de los servicios judiciales</w:t>
      </w:r>
      <w:r w:rsidR="00334943" w:rsidRPr="00704B08">
        <w:rPr>
          <w:rFonts w:ascii="Arial Narrow" w:eastAsia="Calibri" w:hAnsi="Arial Narrow"/>
          <w:lang w:eastAsia="en-US"/>
        </w:rPr>
        <w:t xml:space="preserve"> </w:t>
      </w:r>
      <w:r w:rsidR="00D3519D" w:rsidRPr="00704B08">
        <w:rPr>
          <w:rFonts w:ascii="Arial Narrow" w:eastAsia="Calibri" w:hAnsi="Arial Narrow"/>
          <w:lang w:eastAsia="en-US"/>
        </w:rPr>
        <w:t xml:space="preserve">con un </w:t>
      </w:r>
      <w:r w:rsidR="00334943" w:rsidRPr="00704B08">
        <w:rPr>
          <w:rFonts w:ascii="Arial Narrow" w:eastAsia="Calibri" w:hAnsi="Arial Narrow"/>
          <w:lang w:eastAsia="en-US"/>
        </w:rPr>
        <w:t xml:space="preserve">98,05% </w:t>
      </w:r>
      <w:r w:rsidR="00D3519D" w:rsidRPr="00704B08">
        <w:rPr>
          <w:rFonts w:ascii="Arial Narrow" w:eastAsia="Calibri" w:hAnsi="Arial Narrow"/>
          <w:lang w:eastAsia="en-US"/>
        </w:rPr>
        <w:t xml:space="preserve">y el de menor </w:t>
      </w:r>
      <w:r w:rsidR="00334943" w:rsidRPr="00704B08">
        <w:rPr>
          <w:rFonts w:ascii="Arial Narrow" w:eastAsia="Calibri" w:hAnsi="Arial Narrow"/>
          <w:lang w:eastAsia="en-US"/>
        </w:rPr>
        <w:t xml:space="preserve">porcentaje Resolución oportuna de conflictos </w:t>
      </w:r>
      <w:r w:rsidR="00D3519D" w:rsidRPr="00704B08">
        <w:rPr>
          <w:rFonts w:ascii="Arial Narrow" w:eastAsia="Calibri" w:hAnsi="Arial Narrow"/>
          <w:lang w:eastAsia="en-US"/>
        </w:rPr>
        <w:t xml:space="preserve">quien reportó </w:t>
      </w:r>
      <w:r w:rsidR="00334943" w:rsidRPr="00704B08">
        <w:rPr>
          <w:rFonts w:ascii="Arial Narrow" w:eastAsia="Calibri" w:hAnsi="Arial Narrow"/>
          <w:lang w:eastAsia="en-US"/>
        </w:rPr>
        <w:t>un 94,08%</w:t>
      </w:r>
      <w:r w:rsidR="00D3519D" w:rsidRPr="00704B08">
        <w:rPr>
          <w:rFonts w:ascii="Arial Narrow" w:eastAsia="Calibri" w:hAnsi="Arial Narrow"/>
          <w:lang w:eastAsia="en-US"/>
        </w:rPr>
        <w:t xml:space="preserve">. En cuanto al </w:t>
      </w:r>
      <w:r w:rsidR="00334943" w:rsidRPr="00704B08">
        <w:rPr>
          <w:rFonts w:ascii="Arial Narrow" w:eastAsia="Calibri" w:hAnsi="Arial Narrow"/>
          <w:lang w:eastAsia="en-US"/>
        </w:rPr>
        <w:t xml:space="preserve">año 2020 </w:t>
      </w:r>
      <w:r w:rsidR="00D3519D" w:rsidRPr="00704B08">
        <w:rPr>
          <w:rFonts w:ascii="Arial Narrow" w:eastAsia="Calibri" w:hAnsi="Arial Narrow"/>
          <w:lang w:eastAsia="en-US"/>
        </w:rPr>
        <w:t xml:space="preserve">se observa que </w:t>
      </w:r>
      <w:r w:rsidR="00334943" w:rsidRPr="00704B08">
        <w:rPr>
          <w:rFonts w:ascii="Arial Narrow" w:eastAsia="Calibri" w:hAnsi="Arial Narrow"/>
          <w:lang w:eastAsia="en-US"/>
        </w:rPr>
        <w:t xml:space="preserve">el tema estratégico </w:t>
      </w:r>
      <w:r w:rsidR="00334943" w:rsidRPr="00CC3693">
        <w:rPr>
          <w:rFonts w:ascii="Arial Narrow" w:eastAsia="Calibri" w:hAnsi="Arial Narrow"/>
          <w:lang w:eastAsia="en-US"/>
        </w:rPr>
        <w:t xml:space="preserve">Planificación </w:t>
      </w:r>
      <w:r w:rsidR="00334943" w:rsidRPr="00C02919">
        <w:rPr>
          <w:rFonts w:ascii="Arial Narrow" w:eastAsia="Calibri" w:hAnsi="Arial Narrow"/>
          <w:lang w:eastAsia="en-US"/>
        </w:rPr>
        <w:t>Institucional</w:t>
      </w:r>
      <w:r w:rsidR="00334943" w:rsidRPr="00704B08">
        <w:rPr>
          <w:rFonts w:ascii="Arial Narrow" w:eastAsia="Calibri" w:hAnsi="Arial Narrow"/>
          <w:lang w:eastAsia="en-US"/>
        </w:rPr>
        <w:t>, es</w:t>
      </w:r>
      <w:r w:rsidR="00D3519D" w:rsidRPr="00704B08">
        <w:rPr>
          <w:rFonts w:ascii="Arial Narrow" w:eastAsia="Calibri" w:hAnsi="Arial Narrow"/>
          <w:lang w:eastAsia="en-US"/>
        </w:rPr>
        <w:t xml:space="preserve"> el que cuenta con el </w:t>
      </w:r>
      <w:r w:rsidR="00334943" w:rsidRPr="00704B08">
        <w:rPr>
          <w:rFonts w:ascii="Arial Narrow" w:eastAsia="Calibri" w:hAnsi="Arial Narrow"/>
          <w:lang w:eastAsia="en-US"/>
        </w:rPr>
        <w:t xml:space="preserve">porcentaje </w:t>
      </w:r>
      <w:r w:rsidR="00D3519D" w:rsidRPr="00704B08">
        <w:rPr>
          <w:rFonts w:ascii="Arial Narrow" w:eastAsia="Calibri" w:hAnsi="Arial Narrow"/>
          <w:lang w:eastAsia="en-US"/>
        </w:rPr>
        <w:t xml:space="preserve">más alto </w:t>
      </w:r>
      <w:r w:rsidR="00D3519D" w:rsidRPr="00704B08">
        <w:rPr>
          <w:rFonts w:ascii="Arial Narrow" w:eastAsia="Calibri" w:hAnsi="Arial Narrow"/>
          <w:lang w:eastAsia="en-US"/>
        </w:rPr>
        <w:lastRenderedPageBreak/>
        <w:t xml:space="preserve">ya que </w:t>
      </w:r>
      <w:r w:rsidR="00334943" w:rsidRPr="00704B08">
        <w:rPr>
          <w:rFonts w:ascii="Arial Narrow" w:eastAsia="Calibri" w:hAnsi="Arial Narrow"/>
          <w:lang w:eastAsia="en-US"/>
        </w:rPr>
        <w:t>reportó un 99,56%</w:t>
      </w:r>
      <w:r w:rsidR="002746BF" w:rsidRPr="00704B08">
        <w:rPr>
          <w:rFonts w:ascii="Arial Narrow" w:eastAsia="Calibri" w:hAnsi="Arial Narrow"/>
          <w:lang w:eastAsia="en-US"/>
        </w:rPr>
        <w:t xml:space="preserve"> </w:t>
      </w:r>
      <w:r w:rsidR="00D3519D" w:rsidRPr="00704B08">
        <w:rPr>
          <w:rFonts w:ascii="Arial Narrow" w:eastAsia="Calibri" w:hAnsi="Arial Narrow"/>
          <w:lang w:eastAsia="en-US"/>
        </w:rPr>
        <w:t xml:space="preserve">seguido </w:t>
      </w:r>
      <w:r w:rsidR="00334943" w:rsidRPr="00CC3693">
        <w:rPr>
          <w:rFonts w:ascii="Arial Narrow" w:eastAsia="Calibri" w:hAnsi="Arial Narrow"/>
          <w:lang w:eastAsia="en-US"/>
        </w:rPr>
        <w:t>Optimi</w:t>
      </w:r>
      <w:r w:rsidR="00334943" w:rsidRPr="00C02919">
        <w:rPr>
          <w:rFonts w:ascii="Arial Narrow" w:eastAsia="Calibri" w:hAnsi="Arial Narrow"/>
          <w:lang w:eastAsia="en-US"/>
        </w:rPr>
        <w:t>zación e innovación de los servicios judiciales</w:t>
      </w:r>
      <w:r w:rsidR="00334943" w:rsidRPr="00704B08">
        <w:rPr>
          <w:rFonts w:ascii="Arial Narrow" w:eastAsia="Calibri" w:hAnsi="Arial Narrow"/>
          <w:lang w:eastAsia="en-US"/>
        </w:rPr>
        <w:t xml:space="preserve"> </w:t>
      </w:r>
      <w:r w:rsidR="00D3519D" w:rsidRPr="00704B08">
        <w:rPr>
          <w:rFonts w:ascii="Arial Narrow" w:eastAsia="Calibri" w:hAnsi="Arial Narrow"/>
          <w:lang w:eastAsia="en-US"/>
        </w:rPr>
        <w:t xml:space="preserve">que cuenta con </w:t>
      </w:r>
      <w:r w:rsidR="00334943" w:rsidRPr="00704B08">
        <w:rPr>
          <w:rFonts w:ascii="Arial Narrow" w:eastAsia="Calibri" w:hAnsi="Arial Narrow"/>
          <w:lang w:eastAsia="en-US"/>
        </w:rPr>
        <w:t>un 99,32%</w:t>
      </w:r>
      <w:r w:rsidR="00D3519D" w:rsidRPr="00704B08">
        <w:rPr>
          <w:rFonts w:ascii="Arial Narrow" w:eastAsia="Calibri" w:hAnsi="Arial Narrow"/>
          <w:lang w:eastAsia="en-US"/>
        </w:rPr>
        <w:t xml:space="preserve">; por lo que se logra observar que </w:t>
      </w:r>
      <w:r w:rsidR="00334943" w:rsidRPr="00704B08">
        <w:rPr>
          <w:rFonts w:ascii="Arial Narrow" w:eastAsia="Calibri" w:hAnsi="Arial Narrow"/>
          <w:lang w:eastAsia="en-US"/>
        </w:rPr>
        <w:t>para el año 2020</w:t>
      </w:r>
      <w:r w:rsidR="00D3519D" w:rsidRPr="00704B08">
        <w:rPr>
          <w:rFonts w:ascii="Arial Narrow" w:eastAsia="Calibri" w:hAnsi="Arial Narrow"/>
          <w:lang w:eastAsia="en-US"/>
        </w:rPr>
        <w:t xml:space="preserve">, </w:t>
      </w:r>
      <w:r w:rsidR="002746BF" w:rsidRPr="00704B08">
        <w:rPr>
          <w:rFonts w:ascii="Arial Narrow" w:eastAsia="Calibri" w:hAnsi="Arial Narrow"/>
          <w:lang w:eastAsia="en-US"/>
        </w:rPr>
        <w:t xml:space="preserve">el porcentaje de cumplimiento de las metas estratégicas </w:t>
      </w:r>
      <w:r w:rsidR="00D3519D" w:rsidRPr="00704B08">
        <w:rPr>
          <w:rFonts w:ascii="Arial Narrow" w:eastAsia="Calibri" w:hAnsi="Arial Narrow"/>
          <w:lang w:eastAsia="en-US"/>
        </w:rPr>
        <w:t>ha aumentado</w:t>
      </w:r>
      <w:r w:rsidR="002746BF" w:rsidRPr="00704B08">
        <w:rPr>
          <w:rFonts w:ascii="Arial Narrow" w:eastAsia="Calibri" w:hAnsi="Arial Narrow"/>
          <w:lang w:eastAsia="en-US"/>
        </w:rPr>
        <w:t xml:space="preserve"> con excepción del tema estratégico Resolución oportuna de conflictos que refleja una leve disminución de 0,8% </w:t>
      </w:r>
      <w:r w:rsidR="00ED6A66" w:rsidRPr="00704B08">
        <w:rPr>
          <w:rFonts w:ascii="Arial Narrow" w:eastAsia="Calibri" w:hAnsi="Arial Narrow"/>
          <w:lang w:eastAsia="en-US"/>
        </w:rPr>
        <w:t>del 2019 con respecto al 2020</w:t>
      </w:r>
      <w:r w:rsidR="00FA48AC">
        <w:rPr>
          <w:rFonts w:ascii="Arial Narrow" w:eastAsia="Calibri" w:hAnsi="Arial Narrow"/>
          <w:lang w:eastAsia="en-US"/>
        </w:rPr>
        <w:t xml:space="preserve">. </w:t>
      </w:r>
      <w:r w:rsidR="00FA48AC" w:rsidRPr="000323E7">
        <w:rPr>
          <w:rFonts w:ascii="Arial Narrow" w:eastAsia="Calibri" w:hAnsi="Arial Narrow"/>
          <w:lang w:eastAsia="en-US"/>
        </w:rPr>
        <w:t>Es importante indicar que por</w:t>
      </w:r>
      <w:r w:rsidR="00E05ABB" w:rsidRPr="000323E7">
        <w:rPr>
          <w:rFonts w:ascii="Arial Narrow" w:eastAsia="Calibri" w:hAnsi="Arial Narrow"/>
          <w:lang w:eastAsia="en-US"/>
        </w:rPr>
        <w:t xml:space="preserve"> impact</w:t>
      </w:r>
      <w:r w:rsidR="00FA48AC" w:rsidRPr="000323E7">
        <w:rPr>
          <w:rFonts w:ascii="Arial Narrow" w:eastAsia="Calibri" w:hAnsi="Arial Narrow"/>
          <w:lang w:eastAsia="en-US"/>
        </w:rPr>
        <w:t>o</w:t>
      </w:r>
      <w:r w:rsidR="00E05ABB" w:rsidRPr="000323E7">
        <w:rPr>
          <w:rFonts w:ascii="Arial Narrow" w:eastAsia="Calibri" w:hAnsi="Arial Narrow"/>
          <w:lang w:eastAsia="en-US"/>
        </w:rPr>
        <w:t xml:space="preserve"> en la disminución debido a que el 60% de las metas estratégicas de este tema están relacionadas con </w:t>
      </w:r>
      <w:r w:rsidR="00E35455" w:rsidRPr="000323E7">
        <w:rPr>
          <w:rFonts w:ascii="Arial Narrow" w:eastAsia="Calibri" w:hAnsi="Arial Narrow"/>
          <w:lang w:eastAsia="en-US"/>
        </w:rPr>
        <w:t xml:space="preserve">los </w:t>
      </w:r>
      <w:r w:rsidR="00E05ABB" w:rsidRPr="000323E7">
        <w:rPr>
          <w:rFonts w:ascii="Arial Narrow" w:eastAsia="Calibri" w:hAnsi="Arial Narrow"/>
          <w:lang w:eastAsia="en-US"/>
        </w:rPr>
        <w:t>casos terminados en los diferentes despachos judiciales en todo el país y debido al COVID-19 se presentaron situaciones fuera del dominio de las oficinas, a pesar de los múltiples esfuerzos</w:t>
      </w:r>
      <w:r w:rsidR="00E35455" w:rsidRPr="000323E7">
        <w:rPr>
          <w:rFonts w:ascii="Arial Narrow" w:eastAsia="Calibri" w:hAnsi="Arial Narrow"/>
          <w:lang w:eastAsia="en-US"/>
        </w:rPr>
        <w:t xml:space="preserve"> para la continu</w:t>
      </w:r>
      <w:r w:rsidR="00BE7C90" w:rsidRPr="00CC279A">
        <w:rPr>
          <w:rFonts w:ascii="Arial Narrow" w:eastAsia="Calibri" w:hAnsi="Arial Narrow"/>
          <w:lang w:eastAsia="en-US"/>
        </w:rPr>
        <w:t>idad</w:t>
      </w:r>
      <w:r w:rsidR="00E35455" w:rsidRPr="000323E7">
        <w:rPr>
          <w:rFonts w:ascii="Arial Narrow" w:eastAsia="Calibri" w:hAnsi="Arial Narrow"/>
          <w:lang w:eastAsia="en-US"/>
        </w:rPr>
        <w:t xml:space="preserve"> de los servicios </w:t>
      </w:r>
      <w:r w:rsidR="00BE7C90" w:rsidRPr="00CC279A">
        <w:rPr>
          <w:rFonts w:ascii="Arial Narrow" w:eastAsia="Calibri" w:hAnsi="Arial Narrow"/>
          <w:lang w:eastAsia="en-US"/>
        </w:rPr>
        <w:t>judiciales</w:t>
      </w:r>
      <w:r w:rsidR="00E05ABB" w:rsidRPr="000323E7">
        <w:rPr>
          <w:rFonts w:ascii="Arial Narrow" w:eastAsia="Calibri" w:hAnsi="Arial Narrow"/>
          <w:lang w:eastAsia="en-US"/>
        </w:rPr>
        <w:t xml:space="preserve"> para contrarrestar esta emergencia.</w:t>
      </w:r>
    </w:p>
    <w:p w14:paraId="69405D35" w14:textId="77777777" w:rsidR="00C847FC" w:rsidRPr="00704B08" w:rsidRDefault="00C847FC" w:rsidP="00704B08">
      <w:pPr>
        <w:spacing w:line="360" w:lineRule="auto"/>
        <w:jc w:val="both"/>
        <w:rPr>
          <w:rFonts w:ascii="Arial Narrow" w:eastAsia="Calibri" w:hAnsi="Arial Narrow"/>
          <w:lang w:eastAsia="en-US"/>
        </w:rPr>
      </w:pPr>
    </w:p>
    <w:p w14:paraId="71149AE0" w14:textId="7AFB94E1" w:rsidR="008B6366" w:rsidRDefault="00B10EDE">
      <w:pPr>
        <w:spacing w:line="360" w:lineRule="auto"/>
        <w:jc w:val="both"/>
        <w:rPr>
          <w:rFonts w:ascii="Arial Narrow" w:eastAsia="Calibri" w:hAnsi="Arial Narrow"/>
          <w:lang w:eastAsia="en-US"/>
        </w:rPr>
      </w:pPr>
      <w:r w:rsidRPr="00704B08">
        <w:rPr>
          <w:rFonts w:ascii="Arial Narrow" w:eastAsia="Calibri" w:hAnsi="Arial Narrow"/>
          <w:lang w:eastAsia="en-US"/>
        </w:rPr>
        <w:t>A</w:t>
      </w:r>
      <w:r w:rsidR="004F223E" w:rsidRPr="00704B08">
        <w:rPr>
          <w:rFonts w:ascii="Arial Narrow" w:eastAsia="Calibri" w:hAnsi="Arial Narrow"/>
          <w:lang w:eastAsia="en-US"/>
        </w:rPr>
        <w:t xml:space="preserve">l realizar </w:t>
      </w:r>
      <w:r w:rsidRPr="00704B08">
        <w:rPr>
          <w:rFonts w:ascii="Arial Narrow" w:eastAsia="Calibri" w:hAnsi="Arial Narrow"/>
          <w:lang w:eastAsia="en-US"/>
        </w:rPr>
        <w:t>un</w:t>
      </w:r>
      <w:r w:rsidR="004F223E" w:rsidRPr="00704B08">
        <w:rPr>
          <w:rFonts w:ascii="Arial Narrow" w:eastAsia="Calibri" w:hAnsi="Arial Narrow"/>
          <w:lang w:eastAsia="en-US"/>
        </w:rPr>
        <w:t xml:space="preserve"> análisis focalizado por Tema estratégico, </w:t>
      </w:r>
      <w:r w:rsidR="00AB78AD">
        <w:rPr>
          <w:rFonts w:ascii="Arial Narrow" w:eastAsia="Calibri" w:hAnsi="Arial Narrow"/>
          <w:lang w:eastAsia="en-US"/>
        </w:rPr>
        <w:t>se tienen</w:t>
      </w:r>
      <w:r w:rsidR="00AB78AD" w:rsidRPr="00704B08">
        <w:rPr>
          <w:rFonts w:ascii="Arial Narrow" w:eastAsia="Calibri" w:hAnsi="Arial Narrow"/>
          <w:lang w:eastAsia="en-US"/>
        </w:rPr>
        <w:t xml:space="preserve"> </w:t>
      </w:r>
      <w:r w:rsidR="004F223E" w:rsidRPr="00704B08">
        <w:rPr>
          <w:rFonts w:ascii="Arial Narrow" w:eastAsia="Calibri" w:hAnsi="Arial Narrow"/>
          <w:lang w:eastAsia="en-US"/>
        </w:rPr>
        <w:t>los siguientes resultados:</w:t>
      </w:r>
    </w:p>
    <w:p w14:paraId="7E417947" w14:textId="1C124BD6" w:rsidR="00AB78AD" w:rsidRDefault="00AB78AD">
      <w:pPr>
        <w:spacing w:line="360" w:lineRule="auto"/>
        <w:jc w:val="both"/>
        <w:rPr>
          <w:rFonts w:ascii="Arial Narrow" w:eastAsia="Calibri" w:hAnsi="Arial Narrow"/>
          <w:lang w:eastAsia="en-US"/>
        </w:rPr>
      </w:pPr>
    </w:p>
    <w:p w14:paraId="24661B13" w14:textId="3B1F382A" w:rsidR="00AB78AD" w:rsidRPr="00B21AFC" w:rsidRDefault="00194BB6" w:rsidP="00AB78AD">
      <w:pPr>
        <w:pStyle w:val="Ttulo3"/>
        <w:numPr>
          <w:ilvl w:val="0"/>
          <w:numId w:val="62"/>
        </w:numPr>
        <w:rPr>
          <w:rFonts w:ascii="Arial Narrow" w:eastAsia="Calibri" w:hAnsi="Arial Narrow"/>
          <w:lang w:val="es-CR"/>
        </w:rPr>
      </w:pPr>
      <w:bookmarkStart w:id="20" w:name="_Toc84919352"/>
      <w:r>
        <w:rPr>
          <w:rFonts w:ascii="Arial Narrow" w:eastAsia="Calibri" w:hAnsi="Arial Narrow"/>
          <w:lang w:val="es-CR"/>
        </w:rPr>
        <w:t xml:space="preserve">5.1 </w:t>
      </w:r>
      <w:r w:rsidR="00AB78AD" w:rsidRPr="00B21AFC">
        <w:rPr>
          <w:rFonts w:ascii="Arial Narrow" w:eastAsia="Calibri" w:hAnsi="Arial Narrow"/>
          <w:lang w:val="es-CR"/>
        </w:rPr>
        <w:t>Tema estratégico: Resolución Oportuna de Conflictos</w:t>
      </w:r>
      <w:bookmarkEnd w:id="20"/>
    </w:p>
    <w:p w14:paraId="7C295B26" w14:textId="77777777" w:rsidR="00AB78AD" w:rsidRPr="00B21AFC" w:rsidRDefault="00AB78AD" w:rsidP="00AB78AD">
      <w:pPr>
        <w:rPr>
          <w:rFonts w:ascii="Arial Narrow" w:eastAsia="Calibri" w:hAnsi="Arial Narrow"/>
          <w:lang w:eastAsia="en-US"/>
        </w:rPr>
      </w:pPr>
    </w:p>
    <w:p w14:paraId="599ACA4C" w14:textId="77777777" w:rsidR="00AB78AD" w:rsidRPr="00B21AFC" w:rsidRDefault="00AB78AD" w:rsidP="00AB78AD">
      <w:pPr>
        <w:spacing w:line="360" w:lineRule="auto"/>
        <w:jc w:val="both"/>
        <w:rPr>
          <w:rFonts w:ascii="Arial Narrow" w:eastAsia="Calibri" w:hAnsi="Arial Narrow"/>
          <w:lang w:eastAsia="en-US"/>
        </w:rPr>
      </w:pPr>
      <w:r w:rsidRPr="00B21AFC">
        <w:rPr>
          <w:rFonts w:ascii="Arial Narrow" w:eastAsia="Calibri" w:hAnsi="Arial Narrow"/>
          <w:lang w:eastAsia="en-US"/>
        </w:rPr>
        <w:t>Este tema consiste en Resolver conflictos de forma imparcial, célere y eficaz, para contribuir con la democracia y la paz social. Tiene como grandes acciones estratégicas:</w:t>
      </w:r>
    </w:p>
    <w:p w14:paraId="224FAB70" w14:textId="77777777" w:rsidR="00AB78AD" w:rsidRPr="00B21AFC" w:rsidRDefault="00AB78AD" w:rsidP="00AB78AD">
      <w:pPr>
        <w:spacing w:line="360" w:lineRule="auto"/>
        <w:jc w:val="both"/>
        <w:rPr>
          <w:rFonts w:ascii="Arial Narrow" w:eastAsia="Calibri" w:hAnsi="Arial Narrow"/>
          <w:lang w:eastAsia="en-US"/>
        </w:rPr>
      </w:pPr>
    </w:p>
    <w:p w14:paraId="6570BBC1" w14:textId="39589D82" w:rsidR="00AB78AD" w:rsidRPr="00B21AFC" w:rsidRDefault="00AB78AD" w:rsidP="00AB78AD">
      <w:pPr>
        <w:pStyle w:val="Prrafodelista"/>
        <w:numPr>
          <w:ilvl w:val="0"/>
          <w:numId w:val="27"/>
        </w:numPr>
        <w:spacing w:line="360" w:lineRule="auto"/>
        <w:jc w:val="both"/>
        <w:rPr>
          <w:rFonts w:ascii="Arial Narrow" w:eastAsia="Calibri" w:hAnsi="Arial Narrow"/>
          <w:lang w:eastAsia="en-US"/>
        </w:rPr>
      </w:pPr>
      <w:r w:rsidRPr="00B21AFC">
        <w:rPr>
          <w:rFonts w:ascii="Arial Narrow" w:eastAsia="Calibri" w:hAnsi="Arial Narrow"/>
          <w:b/>
          <w:bCs/>
          <w:lang w:eastAsia="en-US"/>
        </w:rPr>
        <w:t>Abordaje integral a la criminalidad:</w:t>
      </w:r>
      <w:r w:rsidRPr="00B21AFC">
        <w:rPr>
          <w:rFonts w:ascii="Arial Narrow" w:eastAsia="Calibri" w:hAnsi="Arial Narrow"/>
          <w:lang w:eastAsia="en-US"/>
        </w:rPr>
        <w:t xml:space="preserve"> Definir e implementar una política de persecución penal y abordaje de la criminalidad, acorde a las realidades sociales y la criminalidad del país. </w:t>
      </w:r>
    </w:p>
    <w:p w14:paraId="30DFD3AD" w14:textId="77777777" w:rsidR="00AB78AD" w:rsidRPr="00B21AFC" w:rsidRDefault="00AB78AD" w:rsidP="00AB78AD">
      <w:pPr>
        <w:pStyle w:val="Prrafodelista"/>
        <w:numPr>
          <w:ilvl w:val="0"/>
          <w:numId w:val="27"/>
        </w:numPr>
        <w:spacing w:line="360" w:lineRule="auto"/>
        <w:jc w:val="both"/>
        <w:rPr>
          <w:rFonts w:ascii="Arial Narrow" w:eastAsia="Calibri" w:hAnsi="Arial Narrow"/>
          <w:lang w:eastAsia="en-US"/>
        </w:rPr>
      </w:pPr>
      <w:r w:rsidRPr="00B21AFC">
        <w:rPr>
          <w:rFonts w:ascii="Arial Narrow" w:eastAsia="Calibri" w:hAnsi="Arial Narrow"/>
          <w:b/>
          <w:bCs/>
          <w:lang w:eastAsia="en-US"/>
        </w:rPr>
        <w:t>Celeridad judicial:</w:t>
      </w:r>
      <w:r w:rsidRPr="00B21AFC">
        <w:rPr>
          <w:rFonts w:ascii="Arial Narrow" w:eastAsia="Calibri" w:hAnsi="Arial Narrow"/>
          <w:lang w:eastAsia="en-US"/>
        </w:rPr>
        <w:t xml:space="preserve"> Implementar mecanismos de gestión que permitan aumentar la celeridad judicial de los juzgados y oficinas judiciales. </w:t>
      </w:r>
    </w:p>
    <w:p w14:paraId="15C8514B" w14:textId="77777777" w:rsidR="00AB78AD" w:rsidRPr="00B21AFC" w:rsidRDefault="00AB78AD" w:rsidP="00AB78AD">
      <w:pPr>
        <w:pStyle w:val="Prrafodelista"/>
        <w:numPr>
          <w:ilvl w:val="0"/>
          <w:numId w:val="27"/>
        </w:numPr>
        <w:spacing w:line="360" w:lineRule="auto"/>
        <w:jc w:val="both"/>
        <w:rPr>
          <w:rFonts w:ascii="Arial Narrow" w:eastAsia="Calibri" w:hAnsi="Arial Narrow"/>
          <w:lang w:eastAsia="en-US"/>
        </w:rPr>
      </w:pPr>
      <w:r w:rsidRPr="00B21AFC">
        <w:rPr>
          <w:rFonts w:ascii="Arial Narrow" w:eastAsia="Calibri" w:hAnsi="Arial Narrow"/>
          <w:b/>
          <w:bCs/>
          <w:lang w:eastAsia="en-US"/>
        </w:rPr>
        <w:t>Medidas alternas:</w:t>
      </w:r>
      <w:r w:rsidRPr="00B21AFC">
        <w:rPr>
          <w:rFonts w:ascii="Arial Narrow" w:eastAsia="Calibri" w:hAnsi="Arial Narrow"/>
          <w:lang w:eastAsia="en-US"/>
        </w:rPr>
        <w:t xml:space="preserve"> Fortalecer la aplicación de las medidas alternas en la solución de conflictos, que contribuyan a agilizar los procesos judiciales y fomentar la paz social. </w:t>
      </w:r>
    </w:p>
    <w:p w14:paraId="40E35BA0" w14:textId="77777777" w:rsidR="00AB78AD" w:rsidRPr="000B4845" w:rsidRDefault="00AB78AD" w:rsidP="00AB78AD">
      <w:pPr>
        <w:pStyle w:val="Prrafodelista"/>
        <w:numPr>
          <w:ilvl w:val="0"/>
          <w:numId w:val="27"/>
        </w:numPr>
        <w:spacing w:line="360" w:lineRule="auto"/>
        <w:jc w:val="both"/>
        <w:rPr>
          <w:rFonts w:ascii="Arial Narrow" w:eastAsia="Calibri" w:hAnsi="Arial Narrow"/>
          <w:lang w:eastAsia="en-US"/>
        </w:rPr>
      </w:pPr>
      <w:r w:rsidRPr="00B21AFC">
        <w:rPr>
          <w:rFonts w:ascii="Arial Narrow" w:eastAsia="Calibri" w:hAnsi="Arial Narrow"/>
          <w:b/>
          <w:bCs/>
          <w:lang w:eastAsia="en-US"/>
        </w:rPr>
        <w:t>Justicia Restaurativa</w:t>
      </w:r>
      <w:r w:rsidRPr="00B21AFC">
        <w:rPr>
          <w:rFonts w:ascii="Arial Narrow" w:eastAsia="Calibri" w:hAnsi="Arial Narrow"/>
          <w:lang w:eastAsia="en-US"/>
        </w:rPr>
        <w:t>: Fortalecer a nivel nacional la Justicia Restaurativa para agilizar la resolución de los procesos judiciales</w:t>
      </w:r>
      <w:r w:rsidRPr="000B4845">
        <w:rPr>
          <w:rFonts w:ascii="Arial Narrow" w:eastAsia="Calibri" w:hAnsi="Arial Narrow"/>
          <w:lang w:eastAsia="en-US"/>
        </w:rPr>
        <w:t xml:space="preserve"> y fomentar a la paz social.</w:t>
      </w:r>
    </w:p>
    <w:p w14:paraId="6D3ED77F" w14:textId="77777777" w:rsidR="00AB78AD" w:rsidRPr="000B4845" w:rsidRDefault="00AB78AD" w:rsidP="00AB78AD">
      <w:pPr>
        <w:rPr>
          <w:rFonts w:ascii="Arial Narrow" w:eastAsia="Calibri" w:hAnsi="Arial Narrow"/>
          <w:lang w:eastAsia="en-US"/>
        </w:rPr>
      </w:pPr>
    </w:p>
    <w:p w14:paraId="1EDE2331" w14:textId="77777777" w:rsidR="00AB78AD" w:rsidRPr="000B4845" w:rsidRDefault="00AB78AD" w:rsidP="00AB78AD">
      <w:pPr>
        <w:rPr>
          <w:rFonts w:ascii="Arial Narrow" w:eastAsia="Calibri" w:hAnsi="Arial Narrow"/>
          <w:lang w:eastAsia="en-US"/>
        </w:rPr>
      </w:pPr>
    </w:p>
    <w:p w14:paraId="3A5A1C2F" w14:textId="77777777" w:rsidR="00AB78AD" w:rsidRPr="000B4845" w:rsidRDefault="00AB78AD" w:rsidP="00AB78AD">
      <w:pPr>
        <w:rPr>
          <w:rFonts w:ascii="Arial Narrow" w:eastAsia="Calibri" w:hAnsi="Arial Narrow"/>
          <w:lang w:eastAsia="en-US"/>
        </w:rPr>
      </w:pPr>
    </w:p>
    <w:p w14:paraId="2DF80587" w14:textId="77777777" w:rsidR="00AB78AD" w:rsidRPr="000B4845" w:rsidRDefault="00AB78AD" w:rsidP="00AB78AD">
      <w:pPr>
        <w:rPr>
          <w:rFonts w:ascii="Arial Narrow" w:eastAsia="Calibri" w:hAnsi="Arial Narrow"/>
          <w:lang w:eastAsia="en-US"/>
        </w:rPr>
        <w:sectPr w:rsidR="00AB78AD" w:rsidRPr="000B4845" w:rsidSect="008E5DA9">
          <w:footnotePr>
            <w:pos w:val="beneathText"/>
          </w:footnotePr>
          <w:type w:val="continuous"/>
          <w:pgSz w:w="12242" w:h="15842" w:code="1"/>
          <w:pgMar w:top="719" w:right="2603" w:bottom="719" w:left="1560" w:header="709" w:footer="709" w:gutter="0"/>
          <w:cols w:space="708"/>
          <w:docGrid w:linePitch="360"/>
        </w:sectPr>
      </w:pPr>
    </w:p>
    <w:p w14:paraId="1EF8C657" w14:textId="77777777" w:rsidR="00AB78AD" w:rsidRDefault="00AB78AD" w:rsidP="00AB78AD">
      <w:pPr>
        <w:rPr>
          <w:rFonts w:ascii="Arial Narrow" w:eastAsia="Calibri" w:hAnsi="Arial Narrow"/>
          <w:lang w:eastAsia="en-US"/>
        </w:rPr>
      </w:pPr>
      <w:r>
        <w:rPr>
          <w:rFonts w:ascii="Arial Narrow" w:eastAsia="Calibri" w:hAnsi="Arial Narrow"/>
          <w:lang w:eastAsia="en-US"/>
        </w:rPr>
        <w:lastRenderedPageBreak/>
        <w:t>Se presenta el análisis de metas estratégicas agrupadas por la acción estratégica a la que pertenecen:</w:t>
      </w:r>
    </w:p>
    <w:p w14:paraId="48DDB738" w14:textId="77777777" w:rsidR="00AB78AD" w:rsidRPr="000B4845" w:rsidRDefault="00AB78AD" w:rsidP="00AB78AD">
      <w:pPr>
        <w:rPr>
          <w:rFonts w:ascii="Arial Narrow" w:eastAsia="Calibri" w:hAnsi="Arial Narrow"/>
          <w:lang w:eastAsia="en-US"/>
        </w:rPr>
      </w:pPr>
    </w:p>
    <w:p w14:paraId="7CCAC159" w14:textId="7C9FC077" w:rsidR="00AB78AD" w:rsidRPr="00CC279A" w:rsidRDefault="000D7411" w:rsidP="00AB78AD">
      <w:pPr>
        <w:pStyle w:val="Ttulo4"/>
        <w:numPr>
          <w:ilvl w:val="0"/>
          <w:numId w:val="62"/>
        </w:numPr>
        <w:rPr>
          <w:rFonts w:ascii="Arial Narrow" w:eastAsia="Calibri" w:hAnsi="Arial Narrow"/>
          <w:lang w:val="es-CR"/>
        </w:rPr>
      </w:pPr>
      <w:r w:rsidRPr="00CC279A">
        <w:rPr>
          <w:rFonts w:ascii="Arial Narrow" w:eastAsia="Calibri" w:hAnsi="Arial Narrow"/>
          <w:lang w:val="es-CR"/>
        </w:rPr>
        <w:t xml:space="preserve">5.1.1. </w:t>
      </w:r>
      <w:r w:rsidR="00AB78AD" w:rsidRPr="00CC279A">
        <w:rPr>
          <w:rFonts w:ascii="Arial Narrow" w:eastAsia="Calibri" w:hAnsi="Arial Narrow"/>
          <w:lang w:val="es-CR"/>
        </w:rPr>
        <w:t>Abordaje integral a la criminalidad</w:t>
      </w:r>
    </w:p>
    <w:p w14:paraId="096863A7" w14:textId="77777777" w:rsidR="00AB78AD" w:rsidRPr="000B4845" w:rsidRDefault="00AB78AD" w:rsidP="00AB78AD">
      <w:pPr>
        <w:rPr>
          <w:rFonts w:ascii="Arial Narrow" w:eastAsia="Calibri" w:hAnsi="Arial Narrow"/>
          <w:lang w:eastAsia="en-US"/>
        </w:rPr>
      </w:pPr>
    </w:p>
    <w:p w14:paraId="04C3BBF0" w14:textId="77777777" w:rsidR="00AB78AD" w:rsidRPr="00F0386C" w:rsidRDefault="00AB78AD" w:rsidP="00704B08">
      <w:pPr>
        <w:spacing w:line="360" w:lineRule="auto"/>
        <w:jc w:val="both"/>
        <w:rPr>
          <w:rFonts w:ascii="Arial Narrow" w:eastAsia="Calibri" w:hAnsi="Arial Narrow"/>
        </w:rPr>
      </w:pPr>
    </w:p>
    <w:p w14:paraId="7879842D" w14:textId="2C4DE97F" w:rsidR="00AB78AD" w:rsidRPr="00F0386C" w:rsidRDefault="00F0386C" w:rsidP="00704B08">
      <w:pPr>
        <w:spacing w:line="360" w:lineRule="auto"/>
        <w:jc w:val="both"/>
        <w:rPr>
          <w:rFonts w:ascii="Arial Narrow" w:eastAsia="Calibri" w:hAnsi="Arial Narrow"/>
          <w:lang w:eastAsia="en-US"/>
        </w:rPr>
      </w:pPr>
      <w:r w:rsidRPr="00704B08">
        <w:rPr>
          <w:rFonts w:ascii="Arial Narrow" w:hAnsi="Arial Narrow" w:cs="Segoe UI"/>
          <w:lang w:eastAsia="es-CR"/>
        </w:rPr>
        <w:t xml:space="preserve">Se observan 5 metas estratégicas de las cuales </w:t>
      </w:r>
      <w:r>
        <w:rPr>
          <w:rFonts w:ascii="Arial Narrow" w:hAnsi="Arial Narrow" w:cs="Segoe UI"/>
          <w:lang w:eastAsia="es-CR"/>
        </w:rPr>
        <w:t>todas</w:t>
      </w:r>
      <w:r w:rsidRPr="00704B08">
        <w:rPr>
          <w:rFonts w:ascii="Arial Narrow" w:hAnsi="Arial Narrow" w:cs="Segoe UI"/>
          <w:lang w:eastAsia="es-CR"/>
        </w:rPr>
        <w:t xml:space="preserve"> muestran una ejecución alta en su cumplimiento. Se detalla a continuación las metas estratégicas y su cumplimiento para el 2019 y 2020:</w:t>
      </w:r>
    </w:p>
    <w:p w14:paraId="68D0B685" w14:textId="77777777" w:rsidR="00AB78AD" w:rsidRDefault="00AB78AD" w:rsidP="00AB78AD">
      <w:pPr>
        <w:ind w:left="372" w:firstLine="708"/>
        <w:rPr>
          <w:rFonts w:ascii="Arial Narrow" w:eastAsia="Calibri" w:hAnsi="Arial Narrow"/>
          <w:lang w:eastAsia="en-US"/>
        </w:rPr>
      </w:pPr>
    </w:p>
    <w:p w14:paraId="29F6F60B" w14:textId="77777777" w:rsidR="00AB78AD" w:rsidRDefault="00AB78AD" w:rsidP="00AB78AD">
      <w:pPr>
        <w:jc w:val="center"/>
        <w:rPr>
          <w:rFonts w:ascii="Arial Narrow" w:eastAsia="Calibri" w:hAnsi="Arial Narrow"/>
          <w:b/>
          <w:bCs/>
          <w:sz w:val="22"/>
          <w:szCs w:val="22"/>
          <w:lang w:eastAsia="en-US"/>
        </w:rPr>
      </w:pPr>
      <w:bookmarkStart w:id="21" w:name="_Toc76062224"/>
      <w:r w:rsidRPr="00C847FC">
        <w:rPr>
          <w:rFonts w:ascii="Arial Narrow" w:hAnsi="Arial Narrow"/>
          <w:b/>
          <w:bCs/>
          <w:sz w:val="22"/>
          <w:szCs w:val="22"/>
        </w:rPr>
        <w:t xml:space="preserve">Cuadro  </w:t>
      </w:r>
      <w:r w:rsidRPr="00C847FC">
        <w:rPr>
          <w:rFonts w:ascii="Arial Narrow" w:hAnsi="Arial Narrow"/>
          <w:b/>
          <w:bCs/>
          <w:sz w:val="22"/>
          <w:szCs w:val="22"/>
        </w:rPr>
        <w:fldChar w:fldCharType="begin"/>
      </w:r>
      <w:r w:rsidRPr="00C847FC">
        <w:rPr>
          <w:rFonts w:ascii="Arial Narrow" w:hAnsi="Arial Narrow"/>
          <w:b/>
          <w:bCs/>
          <w:sz w:val="22"/>
          <w:szCs w:val="22"/>
        </w:rPr>
        <w:instrText xml:space="preserve"> SEQ Cuadro_No. \* ARABIC </w:instrText>
      </w:r>
      <w:r w:rsidRPr="00C847FC">
        <w:rPr>
          <w:rFonts w:ascii="Arial Narrow" w:hAnsi="Arial Narrow"/>
          <w:b/>
          <w:bCs/>
          <w:sz w:val="22"/>
          <w:szCs w:val="22"/>
        </w:rPr>
        <w:fldChar w:fldCharType="separate"/>
      </w:r>
      <w:r w:rsidRPr="00C847FC">
        <w:rPr>
          <w:rFonts w:ascii="Arial Narrow" w:hAnsi="Arial Narrow"/>
          <w:b/>
          <w:bCs/>
          <w:noProof/>
          <w:sz w:val="22"/>
          <w:szCs w:val="22"/>
        </w:rPr>
        <w:t>1</w:t>
      </w:r>
      <w:r w:rsidRPr="00C847FC">
        <w:rPr>
          <w:rFonts w:ascii="Arial Narrow" w:hAnsi="Arial Narrow"/>
          <w:b/>
          <w:bCs/>
          <w:sz w:val="22"/>
          <w:szCs w:val="22"/>
        </w:rPr>
        <w:fldChar w:fldCharType="end"/>
      </w:r>
      <w:r w:rsidRPr="00C847FC">
        <w:rPr>
          <w:rFonts w:ascii="Arial Narrow" w:eastAsia="Calibri" w:hAnsi="Arial Narrow"/>
          <w:b/>
          <w:bCs/>
          <w:sz w:val="22"/>
          <w:szCs w:val="22"/>
          <w:lang w:eastAsia="en-US"/>
        </w:rPr>
        <w:t xml:space="preserve"> Metas estratégicas de Abordaje integral a la Criminalidad y su cumplimiento para el 2019</w:t>
      </w:r>
      <w:r>
        <w:rPr>
          <w:rFonts w:ascii="Arial Narrow" w:eastAsia="Calibri" w:hAnsi="Arial Narrow"/>
          <w:b/>
          <w:bCs/>
          <w:sz w:val="22"/>
          <w:szCs w:val="22"/>
          <w:lang w:eastAsia="en-US"/>
        </w:rPr>
        <w:t>-2020</w:t>
      </w:r>
      <w:bookmarkEnd w:id="21"/>
    </w:p>
    <w:p w14:paraId="0249C2CA" w14:textId="77777777" w:rsidR="00AB78AD" w:rsidRDefault="00AB78AD" w:rsidP="00AB78AD">
      <w:pPr>
        <w:jc w:val="center"/>
        <w:rPr>
          <w:rFonts w:ascii="Arial Narrow" w:eastAsia="Calibri" w:hAnsi="Arial Narrow"/>
          <w:b/>
          <w:bCs/>
          <w:sz w:val="22"/>
          <w:szCs w:val="22"/>
          <w:lang w:eastAsia="en-US"/>
        </w:rPr>
      </w:pPr>
    </w:p>
    <w:p w14:paraId="62C27B19" w14:textId="77777777" w:rsidR="00AB78AD" w:rsidRPr="00C847FC" w:rsidRDefault="00AB78AD" w:rsidP="00AB78AD">
      <w:pPr>
        <w:jc w:val="center"/>
        <w:rPr>
          <w:rFonts w:ascii="Arial Narrow" w:eastAsia="Calibri" w:hAnsi="Arial Narrow"/>
          <w:b/>
          <w:bCs/>
          <w:sz w:val="22"/>
          <w:szCs w:val="22"/>
          <w:lang w:eastAsia="en-US"/>
        </w:rPr>
      </w:pPr>
      <w:r>
        <w:rPr>
          <w:noProof/>
          <w:lang w:val="es-CR" w:eastAsia="es-CR"/>
        </w:rPr>
        <w:drawing>
          <wp:inline distT="0" distB="0" distL="0" distR="0" wp14:anchorId="01BBBC3F" wp14:editId="1A317B74">
            <wp:extent cx="9088120" cy="2570241"/>
            <wp:effectExtent l="19050" t="19050" r="17780" b="20955"/>
            <wp:docPr id="63" name="Imagen 63" descr="Calendari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Imagen 63" descr="Calendario&#10;&#10;Descripción generada automáticamente"/>
                    <pic:cNvPicPr/>
                  </pic:nvPicPr>
                  <pic:blipFill rotWithShape="1">
                    <a:blip r:embed="rId54"/>
                    <a:srcRect r="632"/>
                    <a:stretch/>
                  </pic:blipFill>
                  <pic:spPr bwMode="auto">
                    <a:xfrm>
                      <a:off x="0" y="0"/>
                      <a:ext cx="9092643" cy="2571520"/>
                    </a:xfrm>
                    <a:prstGeom prst="rect">
                      <a:avLst/>
                    </a:prstGeom>
                    <a:ln w="12700" cap="flat" cmpd="sng" algn="ctr">
                      <a:solidFill>
                        <a:srgbClr val="4472C4"/>
                      </a:solidFill>
                      <a:prstDash val="solid"/>
                      <a:round/>
                      <a:headEnd type="none" w="med" len="med"/>
                      <a:tailEnd type="none" w="med" len="med"/>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59F9655E" w14:textId="77777777" w:rsidR="00AB78AD" w:rsidRPr="000B4845" w:rsidRDefault="00AB78AD" w:rsidP="00AB78AD">
      <w:pPr>
        <w:jc w:val="center"/>
        <w:rPr>
          <w:rFonts w:ascii="Arial Narrow" w:eastAsia="Calibri" w:hAnsi="Arial Narrow"/>
          <w:lang w:eastAsia="en-US"/>
        </w:rPr>
      </w:pPr>
    </w:p>
    <w:p w14:paraId="4FB2BE95" w14:textId="77777777" w:rsidR="00AB78AD" w:rsidRPr="00EE2E13" w:rsidRDefault="00AB78AD" w:rsidP="00AB78AD">
      <w:pPr>
        <w:ind w:firstLine="708"/>
        <w:rPr>
          <w:rFonts w:ascii="Arial Narrow" w:hAnsi="Arial Narrow"/>
          <w:sz w:val="18"/>
          <w:szCs w:val="18"/>
          <w:lang w:val="es-CR" w:eastAsia="es-CR"/>
        </w:rPr>
      </w:pPr>
      <w:r w:rsidRPr="00EE2E13">
        <w:rPr>
          <w:rFonts w:ascii="Arial Narrow" w:hAnsi="Arial Narrow"/>
          <w:sz w:val="18"/>
          <w:szCs w:val="18"/>
          <w:lang w:val="es-CR" w:eastAsia="es-CR"/>
        </w:rPr>
        <w:t>Fuente: Sistema PEI al 24 de enero del 2020 (año 2019) y 04 de marzo del 2021 (año 2020).</w:t>
      </w:r>
    </w:p>
    <w:p w14:paraId="2A51BFB7" w14:textId="77777777" w:rsidR="0049673D" w:rsidRDefault="0049673D" w:rsidP="00AB78AD">
      <w:pPr>
        <w:jc w:val="center"/>
        <w:rPr>
          <w:rFonts w:ascii="Arial Narrow" w:eastAsia="Calibri" w:hAnsi="Arial Narrow"/>
          <w:sz w:val="18"/>
          <w:szCs w:val="18"/>
          <w:lang w:eastAsia="en-US"/>
        </w:rPr>
        <w:sectPr w:rsidR="0049673D" w:rsidSect="00375CC7">
          <w:pgSz w:w="15842" w:h="12242" w:orient="landscape" w:code="1"/>
          <w:pgMar w:top="1560" w:right="719" w:bottom="1469" w:left="719" w:header="709" w:footer="709" w:gutter="0"/>
          <w:cols w:space="708"/>
          <w:docGrid w:linePitch="360"/>
        </w:sectPr>
      </w:pPr>
    </w:p>
    <w:p w14:paraId="17464880" w14:textId="7E01E8ED" w:rsidR="00AB78AD" w:rsidRDefault="00AB78AD" w:rsidP="00AB78AD">
      <w:pPr>
        <w:jc w:val="center"/>
        <w:rPr>
          <w:rFonts w:ascii="Arial Narrow" w:eastAsia="Calibri" w:hAnsi="Arial Narrow"/>
          <w:sz w:val="18"/>
          <w:szCs w:val="18"/>
          <w:lang w:eastAsia="en-US"/>
        </w:rPr>
      </w:pPr>
    </w:p>
    <w:p w14:paraId="7E581F54" w14:textId="77777777" w:rsidR="00AB78AD" w:rsidRPr="000B4845" w:rsidRDefault="00AB78AD" w:rsidP="00AB78AD">
      <w:pPr>
        <w:jc w:val="center"/>
        <w:rPr>
          <w:rFonts w:ascii="Arial Narrow" w:eastAsia="Calibri" w:hAnsi="Arial Narrow"/>
          <w:sz w:val="18"/>
          <w:szCs w:val="18"/>
          <w:lang w:eastAsia="en-US"/>
        </w:rPr>
      </w:pPr>
    </w:p>
    <w:p w14:paraId="15B6C8A3" w14:textId="1D348D73" w:rsidR="00AB78AD" w:rsidRDefault="00AB78AD" w:rsidP="00AB78AD">
      <w:pPr>
        <w:spacing w:line="360" w:lineRule="auto"/>
        <w:jc w:val="both"/>
        <w:rPr>
          <w:rFonts w:ascii="Arial Narrow" w:eastAsia="Calibri" w:hAnsi="Arial Narrow"/>
        </w:rPr>
      </w:pPr>
      <w:r w:rsidRPr="000B4845">
        <w:rPr>
          <w:rFonts w:ascii="Arial Narrow" w:eastAsia="Calibri" w:hAnsi="Arial Narrow"/>
        </w:rPr>
        <w:t xml:space="preserve">Se observa cómo se ha logrado un cumplimiento óptimo de las metas estratégicas de la acción del abordaje a la criminalidad, por medio de acciones consistentes </w:t>
      </w:r>
      <w:r w:rsidRPr="00484CC1">
        <w:rPr>
          <w:rFonts w:ascii="Arial Narrow" w:eastAsia="Calibri" w:hAnsi="Arial Narrow"/>
        </w:rPr>
        <w:t>como implementación de la Política de Persecución penal, atención a las poblaciones vulnerables y esfuerzos para realizar un abordaje efectivo a la criminalidad.</w:t>
      </w:r>
      <w:r>
        <w:rPr>
          <w:rFonts w:ascii="Arial Narrow" w:eastAsia="Calibri" w:hAnsi="Arial Narrow"/>
        </w:rPr>
        <w:t xml:space="preserve"> Para la meta estratégica: </w:t>
      </w:r>
      <w:r w:rsidRPr="002E0B96">
        <w:rPr>
          <w:rFonts w:ascii="Arial Narrow" w:eastAsia="Calibri" w:hAnsi="Arial Narrow"/>
          <w:b/>
          <w:bCs/>
          <w:i/>
          <w:iCs/>
        </w:rPr>
        <w:t>Que al finalizar el 2024, se haya revisado, redefinido o implementado las políticas de persecución penal con base en los fenómenos criminales de mayor incidencia en el país, de interés para Fiscalía General</w:t>
      </w:r>
      <w:r>
        <w:rPr>
          <w:rFonts w:ascii="Arial Narrow" w:eastAsia="Calibri" w:hAnsi="Arial Narrow"/>
        </w:rPr>
        <w:t xml:space="preserve"> y la meta: </w:t>
      </w:r>
      <w:r w:rsidRPr="002E0B96">
        <w:rPr>
          <w:rFonts w:ascii="Arial Narrow" w:eastAsia="Calibri" w:hAnsi="Arial Narrow"/>
          <w:b/>
          <w:bCs/>
          <w:i/>
          <w:iCs/>
        </w:rPr>
        <w:t>Que al finalizar el 2024, se haya desarrollado e implementado un modelo de gestión (diagnóstico, diseño, implementación, seguimiento y evaluación) para el abordaje de los casos penales de corrupción</w:t>
      </w:r>
      <w:r w:rsidRPr="00580E51">
        <w:rPr>
          <w:rFonts w:ascii="Arial Narrow" w:eastAsia="Calibri" w:hAnsi="Arial Narrow"/>
        </w:rPr>
        <w:t>.</w:t>
      </w:r>
      <w:r>
        <w:rPr>
          <w:rFonts w:ascii="Arial Narrow" w:eastAsia="Calibri" w:hAnsi="Arial Narrow"/>
        </w:rPr>
        <w:t xml:space="preserve"> Se registra un 100% de cumplimiento para las tareas operativas del 2019 y 2020, donde por medio de un plan anual se plasma un </w:t>
      </w:r>
      <w:r w:rsidRPr="002E0B96">
        <w:rPr>
          <w:rFonts w:ascii="Arial Narrow" w:eastAsia="Calibri" w:hAnsi="Arial Narrow"/>
        </w:rPr>
        <w:t>listado interno que llevan los técnicos de Fiscalía General para controlar las circulares emitidas</w:t>
      </w:r>
      <w:r>
        <w:rPr>
          <w:rFonts w:ascii="Arial Narrow" w:eastAsia="Calibri" w:hAnsi="Arial Narrow"/>
        </w:rPr>
        <w:t xml:space="preserve"> con respecto a la Política de Persecución Penal</w:t>
      </w:r>
      <w:r w:rsidRPr="002E0B96">
        <w:rPr>
          <w:rFonts w:ascii="Arial Narrow" w:eastAsia="Calibri" w:hAnsi="Arial Narrow"/>
        </w:rPr>
        <w:t>.</w:t>
      </w:r>
      <w:r>
        <w:rPr>
          <w:rFonts w:ascii="Arial Narrow" w:eastAsia="Calibri" w:hAnsi="Arial Narrow"/>
        </w:rPr>
        <w:t xml:space="preserve"> Con respecto a la meta estratégica de</w:t>
      </w:r>
      <w:r w:rsidRPr="002E0B96">
        <w:rPr>
          <w:rFonts w:ascii="Arial Narrow" w:eastAsia="Calibri" w:hAnsi="Arial Narrow"/>
        </w:rPr>
        <w:t xml:space="preserve"> abordaje de los casos penales de corrupción</w:t>
      </w:r>
      <w:r>
        <w:rPr>
          <w:rFonts w:ascii="Arial Narrow" w:eastAsia="Calibri" w:hAnsi="Arial Narrow"/>
        </w:rPr>
        <w:t xml:space="preserve">, la Fiscalía Adjunta de Probidad informa que </w:t>
      </w:r>
      <w:r w:rsidRPr="002E0B96">
        <w:rPr>
          <w:rFonts w:ascii="Arial Narrow" w:eastAsia="Calibri" w:hAnsi="Arial Narrow"/>
        </w:rPr>
        <w:t xml:space="preserve">en mayo de 2020 FAPTA presentó el "Análisis de ejes estratégicos de </w:t>
      </w:r>
      <w:r w:rsidRPr="00F504A5">
        <w:rPr>
          <w:rFonts w:ascii="Arial Narrow" w:eastAsia="Calibri" w:hAnsi="Arial Narrow"/>
        </w:rPr>
        <w:t>persecución</w:t>
      </w:r>
      <w:r w:rsidRPr="002E0B96">
        <w:rPr>
          <w:rFonts w:ascii="Arial Narrow" w:eastAsia="Calibri" w:hAnsi="Arial Narrow"/>
        </w:rPr>
        <w:t xml:space="preserve"> penal en el </w:t>
      </w:r>
      <w:r w:rsidRPr="00F504A5">
        <w:rPr>
          <w:rFonts w:ascii="Arial Narrow" w:eastAsia="Calibri" w:hAnsi="Arial Narrow"/>
        </w:rPr>
        <w:t>circulante</w:t>
      </w:r>
      <w:r w:rsidRPr="002E0B96">
        <w:rPr>
          <w:rFonts w:ascii="Arial Narrow" w:eastAsia="Calibri" w:hAnsi="Arial Narrow"/>
        </w:rPr>
        <w:t xml:space="preserve"> de la Fiscalí</w:t>
      </w:r>
      <w:r>
        <w:rPr>
          <w:rFonts w:ascii="Arial Narrow" w:eastAsia="Calibri" w:hAnsi="Arial Narrow"/>
        </w:rPr>
        <w:t>a</w:t>
      </w:r>
      <w:r w:rsidRPr="002E0B96">
        <w:rPr>
          <w:rFonts w:ascii="Arial Narrow" w:eastAsia="Calibri" w:hAnsi="Arial Narrow"/>
        </w:rPr>
        <w:t xml:space="preserve"> Adjunta de Probidad, Transparencia y Anticorrupción en el marco de la Circular 13-ADM-2020 de políticas de persecución penal en delitos de corrupción.</w:t>
      </w:r>
    </w:p>
    <w:p w14:paraId="04233093" w14:textId="550B28EE" w:rsidR="0049673D" w:rsidRDefault="0049673D" w:rsidP="00AB78AD">
      <w:pPr>
        <w:spacing w:line="360" w:lineRule="auto"/>
        <w:jc w:val="both"/>
        <w:rPr>
          <w:rFonts w:ascii="Arial Narrow" w:eastAsia="Calibri" w:hAnsi="Arial Narrow"/>
        </w:rPr>
      </w:pPr>
    </w:p>
    <w:p w14:paraId="187D7FD0" w14:textId="219D0590" w:rsidR="0049673D" w:rsidRDefault="0049673D" w:rsidP="00AB78AD">
      <w:pPr>
        <w:spacing w:line="360" w:lineRule="auto"/>
        <w:jc w:val="both"/>
        <w:rPr>
          <w:rFonts w:ascii="Arial Narrow" w:eastAsia="Calibri" w:hAnsi="Arial Narrow"/>
        </w:rPr>
      </w:pPr>
    </w:p>
    <w:p w14:paraId="084F4D8C" w14:textId="77777777" w:rsidR="0049673D" w:rsidRDefault="0049673D" w:rsidP="00AB78AD">
      <w:pPr>
        <w:spacing w:line="360" w:lineRule="auto"/>
        <w:jc w:val="both"/>
        <w:rPr>
          <w:rFonts w:ascii="Arial Narrow" w:eastAsia="Calibri" w:hAnsi="Arial Narrow"/>
        </w:rPr>
        <w:sectPr w:rsidR="0049673D" w:rsidSect="0049673D">
          <w:pgSz w:w="12242" w:h="15842" w:code="1"/>
          <w:pgMar w:top="719" w:right="1469" w:bottom="719" w:left="1560" w:header="709" w:footer="709" w:gutter="0"/>
          <w:cols w:space="708"/>
          <w:docGrid w:linePitch="360"/>
        </w:sectPr>
      </w:pPr>
    </w:p>
    <w:p w14:paraId="1FEB30BB" w14:textId="1CB935BD" w:rsidR="0049673D" w:rsidRPr="00484CC1" w:rsidRDefault="0049673D" w:rsidP="00AB78AD">
      <w:pPr>
        <w:spacing w:line="360" w:lineRule="auto"/>
        <w:jc w:val="both"/>
        <w:rPr>
          <w:rFonts w:ascii="Arial Narrow" w:eastAsia="Calibri" w:hAnsi="Arial Narrow"/>
        </w:rPr>
      </w:pPr>
    </w:p>
    <w:p w14:paraId="203BD714" w14:textId="77777777" w:rsidR="00AB78AD" w:rsidRDefault="00AB78AD" w:rsidP="00AB78AD">
      <w:pPr>
        <w:spacing w:line="360" w:lineRule="auto"/>
        <w:jc w:val="both"/>
        <w:rPr>
          <w:rFonts w:ascii="Arial Narrow" w:eastAsia="Calibri" w:hAnsi="Arial Narrow"/>
        </w:rPr>
      </w:pPr>
    </w:p>
    <w:p w14:paraId="32B6E725" w14:textId="4345D542" w:rsidR="00AB78AD" w:rsidRDefault="00AB78AD" w:rsidP="00AB78AD">
      <w:pPr>
        <w:jc w:val="center"/>
        <w:rPr>
          <w:rFonts w:ascii="Arial Narrow" w:eastAsia="Calibri" w:hAnsi="Arial Narrow"/>
          <w:b/>
          <w:bCs/>
          <w:sz w:val="22"/>
          <w:szCs w:val="22"/>
          <w:lang w:eastAsia="en-US"/>
        </w:rPr>
      </w:pPr>
      <w:bookmarkStart w:id="22" w:name="_Toc76062225"/>
      <w:r w:rsidRPr="00704B08">
        <w:rPr>
          <w:rFonts w:ascii="Arial Narrow" w:hAnsi="Arial Narrow"/>
          <w:b/>
          <w:bCs/>
          <w:sz w:val="22"/>
          <w:szCs w:val="22"/>
        </w:rPr>
        <w:t xml:space="preserve">Cuadro  </w:t>
      </w:r>
      <w:r w:rsidRPr="00704B08">
        <w:rPr>
          <w:rFonts w:ascii="Arial Narrow" w:hAnsi="Arial Narrow"/>
          <w:b/>
          <w:bCs/>
          <w:sz w:val="22"/>
          <w:szCs w:val="22"/>
        </w:rPr>
        <w:fldChar w:fldCharType="begin"/>
      </w:r>
      <w:r w:rsidRPr="00704B08">
        <w:rPr>
          <w:rFonts w:ascii="Arial Narrow" w:hAnsi="Arial Narrow"/>
          <w:b/>
          <w:bCs/>
          <w:sz w:val="22"/>
          <w:szCs w:val="22"/>
        </w:rPr>
        <w:instrText xml:space="preserve"> SEQ Cuadro_No. \* ARABIC </w:instrText>
      </w:r>
      <w:r w:rsidRPr="00704B08">
        <w:rPr>
          <w:rFonts w:ascii="Arial Narrow" w:hAnsi="Arial Narrow"/>
          <w:b/>
          <w:bCs/>
          <w:sz w:val="22"/>
          <w:szCs w:val="22"/>
        </w:rPr>
        <w:fldChar w:fldCharType="separate"/>
      </w:r>
      <w:r w:rsidR="0049673D" w:rsidRPr="00704B08">
        <w:rPr>
          <w:rFonts w:ascii="Arial Narrow" w:hAnsi="Arial Narrow"/>
          <w:b/>
          <w:bCs/>
          <w:noProof/>
          <w:sz w:val="22"/>
          <w:szCs w:val="22"/>
        </w:rPr>
        <w:t>2</w:t>
      </w:r>
      <w:r w:rsidRPr="00704B08">
        <w:rPr>
          <w:rFonts w:ascii="Arial Narrow" w:hAnsi="Arial Narrow"/>
          <w:b/>
          <w:bCs/>
          <w:sz w:val="22"/>
          <w:szCs w:val="22"/>
        </w:rPr>
        <w:fldChar w:fldCharType="end"/>
      </w:r>
      <w:r w:rsidRPr="009D5823">
        <w:rPr>
          <w:rFonts w:ascii="Arial Narrow" w:eastAsia="Calibri" w:hAnsi="Arial Narrow"/>
          <w:b/>
          <w:bCs/>
          <w:sz w:val="22"/>
          <w:szCs w:val="22"/>
          <w:lang w:eastAsia="en-US"/>
        </w:rPr>
        <w:t xml:space="preserve"> Metas</w:t>
      </w:r>
      <w:r w:rsidRPr="00C847FC">
        <w:rPr>
          <w:rFonts w:ascii="Arial Narrow" w:eastAsia="Calibri" w:hAnsi="Arial Narrow"/>
          <w:b/>
          <w:bCs/>
          <w:sz w:val="22"/>
          <w:szCs w:val="22"/>
          <w:lang w:eastAsia="en-US"/>
        </w:rPr>
        <w:t xml:space="preserve"> estratégicas de Abordaje integral a la Criminalidad y su cumplimiento para el 2019</w:t>
      </w:r>
      <w:r>
        <w:rPr>
          <w:rFonts w:ascii="Arial Narrow" w:eastAsia="Calibri" w:hAnsi="Arial Narrow"/>
          <w:b/>
          <w:bCs/>
          <w:sz w:val="22"/>
          <w:szCs w:val="22"/>
          <w:lang w:eastAsia="en-US"/>
        </w:rPr>
        <w:t>-2020</w:t>
      </w:r>
      <w:bookmarkEnd w:id="22"/>
    </w:p>
    <w:p w14:paraId="2DCE37DB" w14:textId="77777777" w:rsidR="00AB78AD" w:rsidRDefault="00AB78AD" w:rsidP="00AB78AD">
      <w:pPr>
        <w:jc w:val="center"/>
        <w:rPr>
          <w:rFonts w:ascii="Arial Narrow" w:eastAsia="Calibri" w:hAnsi="Arial Narrow"/>
          <w:b/>
          <w:bCs/>
          <w:sz w:val="22"/>
          <w:szCs w:val="22"/>
          <w:lang w:eastAsia="en-US"/>
        </w:rPr>
      </w:pPr>
    </w:p>
    <w:p w14:paraId="5B4195FD" w14:textId="77777777" w:rsidR="00AB78AD" w:rsidRPr="00C847FC" w:rsidRDefault="00AB78AD" w:rsidP="00AB78AD">
      <w:pPr>
        <w:jc w:val="center"/>
        <w:rPr>
          <w:rFonts w:ascii="Arial Narrow" w:eastAsia="Calibri" w:hAnsi="Arial Narrow"/>
          <w:b/>
          <w:bCs/>
          <w:sz w:val="22"/>
          <w:szCs w:val="22"/>
          <w:lang w:eastAsia="en-US"/>
        </w:rPr>
      </w:pPr>
      <w:r>
        <w:rPr>
          <w:noProof/>
          <w:lang w:val="es-CR" w:eastAsia="es-CR"/>
        </w:rPr>
        <w:drawing>
          <wp:inline distT="0" distB="0" distL="0" distR="0" wp14:anchorId="7759DE51" wp14:editId="4DB2BDB7">
            <wp:extent cx="9097790" cy="2861945"/>
            <wp:effectExtent l="19050" t="19050" r="27305" b="14605"/>
            <wp:docPr id="66" name="Imagen 66"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n 64" descr="Tabla&#10;&#10;Descripción generada automáticamente"/>
                    <pic:cNvPicPr/>
                  </pic:nvPicPr>
                  <pic:blipFill rotWithShape="1">
                    <a:blip r:embed="rId55"/>
                    <a:srcRect r="533"/>
                    <a:stretch/>
                  </pic:blipFill>
                  <pic:spPr bwMode="auto">
                    <a:xfrm>
                      <a:off x="0" y="0"/>
                      <a:ext cx="9097790" cy="2861945"/>
                    </a:xfrm>
                    <a:prstGeom prst="rect">
                      <a:avLst/>
                    </a:prstGeom>
                    <a:ln w="12700" cap="flat" cmpd="sng" algn="ctr">
                      <a:solidFill>
                        <a:srgbClr val="4472C4"/>
                      </a:solidFill>
                      <a:prstDash val="solid"/>
                      <a:round/>
                      <a:headEnd type="none" w="med" len="med"/>
                      <a:tailEnd type="none" w="med" len="med"/>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7E23E50C" w14:textId="77777777" w:rsidR="00AB78AD" w:rsidRPr="000B4845" w:rsidRDefault="00AB78AD" w:rsidP="00AB78AD">
      <w:pPr>
        <w:jc w:val="center"/>
        <w:rPr>
          <w:rFonts w:ascii="Arial Narrow" w:eastAsia="Calibri" w:hAnsi="Arial Narrow"/>
          <w:lang w:eastAsia="en-US"/>
        </w:rPr>
      </w:pPr>
    </w:p>
    <w:p w14:paraId="4216EAE8" w14:textId="77777777" w:rsidR="00AB78AD" w:rsidRPr="00EE2E13" w:rsidRDefault="00AB78AD" w:rsidP="00AB78AD">
      <w:pPr>
        <w:ind w:firstLine="708"/>
        <w:rPr>
          <w:rFonts w:ascii="Arial Narrow" w:hAnsi="Arial Narrow"/>
          <w:sz w:val="18"/>
          <w:szCs w:val="18"/>
          <w:lang w:val="es-CR" w:eastAsia="es-CR"/>
        </w:rPr>
      </w:pPr>
      <w:r w:rsidRPr="00EE2E13">
        <w:rPr>
          <w:rFonts w:ascii="Arial Narrow" w:hAnsi="Arial Narrow"/>
          <w:sz w:val="18"/>
          <w:szCs w:val="18"/>
          <w:lang w:val="es-CR" w:eastAsia="es-CR"/>
        </w:rPr>
        <w:t>Fuente: Sistema PEI al 24 de enero del 2020 (año 2019) y 04 de marzo del 2021 (año 2020).</w:t>
      </w:r>
    </w:p>
    <w:p w14:paraId="043E8F57" w14:textId="77777777" w:rsidR="00AB78AD" w:rsidRDefault="00AB78AD" w:rsidP="00AB78AD">
      <w:pPr>
        <w:spacing w:line="360" w:lineRule="auto"/>
        <w:jc w:val="both"/>
        <w:rPr>
          <w:rFonts w:ascii="Arial Narrow" w:eastAsia="Calibri" w:hAnsi="Arial Narrow"/>
        </w:rPr>
      </w:pPr>
    </w:p>
    <w:p w14:paraId="6F0DB3E6" w14:textId="691311DA" w:rsidR="00AB78AD" w:rsidRDefault="00AB78AD" w:rsidP="00AB78AD">
      <w:pPr>
        <w:spacing w:line="360" w:lineRule="auto"/>
        <w:jc w:val="both"/>
        <w:rPr>
          <w:rFonts w:ascii="Arial Narrow" w:eastAsia="Calibri" w:hAnsi="Arial Narrow"/>
        </w:rPr>
      </w:pPr>
    </w:p>
    <w:p w14:paraId="1BA0BFF9" w14:textId="00F17CE4" w:rsidR="0049673D" w:rsidRDefault="0049673D" w:rsidP="00AB78AD">
      <w:pPr>
        <w:spacing w:line="360" w:lineRule="auto"/>
        <w:jc w:val="both"/>
        <w:rPr>
          <w:rFonts w:ascii="Arial Narrow" w:eastAsia="Calibri" w:hAnsi="Arial Narrow"/>
        </w:rPr>
      </w:pPr>
    </w:p>
    <w:p w14:paraId="4B50EA9A" w14:textId="7A45037D" w:rsidR="0049673D" w:rsidRDefault="0049673D" w:rsidP="00AB78AD">
      <w:pPr>
        <w:spacing w:line="360" w:lineRule="auto"/>
        <w:jc w:val="both"/>
        <w:rPr>
          <w:rFonts w:ascii="Arial Narrow" w:eastAsia="Calibri" w:hAnsi="Arial Narrow"/>
        </w:rPr>
      </w:pPr>
    </w:p>
    <w:p w14:paraId="6F0760DD" w14:textId="77777777" w:rsidR="0049673D" w:rsidRDefault="0049673D" w:rsidP="00AB78AD">
      <w:pPr>
        <w:spacing w:line="360" w:lineRule="auto"/>
        <w:jc w:val="both"/>
        <w:rPr>
          <w:rFonts w:ascii="Arial Narrow" w:eastAsia="Calibri" w:hAnsi="Arial Narrow"/>
        </w:rPr>
        <w:sectPr w:rsidR="0049673D" w:rsidSect="0049673D">
          <w:pgSz w:w="15842" w:h="12242" w:orient="landscape" w:code="1"/>
          <w:pgMar w:top="1560" w:right="719" w:bottom="1469" w:left="719" w:header="709" w:footer="709" w:gutter="0"/>
          <w:cols w:space="708"/>
          <w:docGrid w:linePitch="360"/>
        </w:sectPr>
      </w:pPr>
    </w:p>
    <w:p w14:paraId="44A3CD25" w14:textId="5B01CC4C" w:rsidR="0049673D" w:rsidRDefault="0049673D" w:rsidP="00AB78AD">
      <w:pPr>
        <w:spacing w:line="360" w:lineRule="auto"/>
        <w:jc w:val="both"/>
        <w:rPr>
          <w:rFonts w:ascii="Arial Narrow" w:eastAsia="Calibri" w:hAnsi="Arial Narrow"/>
        </w:rPr>
      </w:pPr>
    </w:p>
    <w:p w14:paraId="5B6B0406" w14:textId="77777777" w:rsidR="0063228E" w:rsidRDefault="00AB78AD" w:rsidP="00AB78AD">
      <w:pPr>
        <w:spacing w:line="360" w:lineRule="auto"/>
        <w:jc w:val="both"/>
        <w:rPr>
          <w:rFonts w:ascii="Arial Narrow" w:eastAsia="Calibri" w:hAnsi="Arial Narrow"/>
        </w:rPr>
      </w:pPr>
      <w:r>
        <w:rPr>
          <w:rFonts w:ascii="Arial Narrow" w:eastAsia="Calibri" w:hAnsi="Arial Narrow"/>
        </w:rPr>
        <w:t xml:space="preserve">Con respecto a las metas: </w:t>
      </w:r>
      <w:r w:rsidR="009E502F">
        <w:rPr>
          <w:rFonts w:ascii="Arial Narrow" w:eastAsia="Calibri" w:hAnsi="Arial Narrow"/>
        </w:rPr>
        <w:t>“</w:t>
      </w:r>
      <w:r w:rsidRPr="00704B08">
        <w:rPr>
          <w:rFonts w:ascii="Arial Narrow" w:eastAsia="Calibri" w:hAnsi="Arial Narrow"/>
          <w:b/>
          <w:bCs/>
          <w:i/>
          <w:iCs/>
        </w:rPr>
        <w:t>Que al finalizar el 2024, se haya desarrollado e implementado un modelo de gestión (diagnóstico, diseño, implementación, seguimiento y evaluación) para el abordaje de los casos penales vinculados a poblaciones vulnerables</w:t>
      </w:r>
      <w:r w:rsidR="009E502F">
        <w:rPr>
          <w:rFonts w:ascii="Arial Narrow" w:eastAsia="Calibri" w:hAnsi="Arial Narrow"/>
          <w:b/>
          <w:bCs/>
          <w:i/>
          <w:iCs/>
        </w:rPr>
        <w:t>”</w:t>
      </w:r>
      <w:r>
        <w:rPr>
          <w:rFonts w:ascii="Arial Narrow" w:eastAsia="Calibri" w:hAnsi="Arial Narrow"/>
        </w:rPr>
        <w:t xml:space="preserve"> y </w:t>
      </w:r>
      <w:r w:rsidR="009E502F">
        <w:rPr>
          <w:rFonts w:ascii="Arial Narrow" w:eastAsia="Calibri" w:hAnsi="Arial Narrow"/>
        </w:rPr>
        <w:t>“</w:t>
      </w:r>
      <w:r w:rsidRPr="00704B08">
        <w:rPr>
          <w:rFonts w:ascii="Arial Narrow" w:eastAsia="Calibri" w:hAnsi="Arial Narrow"/>
          <w:b/>
          <w:bCs/>
          <w:i/>
          <w:iCs/>
        </w:rPr>
        <w:t>Que al finalizar el 2024, se haya implementado la estrategia definida para mejorar el abordaje de la criminalidad no convencional, apoyándose en el uso de las tecnologías de la información</w:t>
      </w:r>
      <w:r w:rsidR="009E502F">
        <w:rPr>
          <w:rFonts w:ascii="Arial Narrow" w:eastAsia="Calibri" w:hAnsi="Arial Narrow"/>
          <w:b/>
          <w:bCs/>
          <w:i/>
          <w:iCs/>
        </w:rPr>
        <w:t>”</w:t>
      </w:r>
      <w:r>
        <w:rPr>
          <w:rFonts w:ascii="Arial Narrow" w:eastAsia="Calibri" w:hAnsi="Arial Narrow"/>
        </w:rPr>
        <w:t xml:space="preserve"> </w:t>
      </w:r>
      <w:r w:rsidR="009E502F">
        <w:rPr>
          <w:rFonts w:ascii="Arial Narrow" w:eastAsia="Calibri" w:hAnsi="Arial Narrow"/>
        </w:rPr>
        <w:t>s</w:t>
      </w:r>
      <w:r>
        <w:rPr>
          <w:rFonts w:ascii="Arial Narrow" w:eastAsia="Calibri" w:hAnsi="Arial Narrow"/>
        </w:rPr>
        <w:t xml:space="preserve">e detecta que no se cumplieron las metas para el 2020 al 100% esto debido a que la Fiscalia Adjunta Penal Juvenil registró a un 80% la tarea de </w:t>
      </w:r>
      <w:r w:rsidRPr="002E0B96">
        <w:rPr>
          <w:rFonts w:ascii="Arial Narrow" w:eastAsia="Calibri" w:hAnsi="Arial Narrow"/>
        </w:rPr>
        <w:t>elaborar un diagnóstico de situación de la gestión y abordaje de casos vinculados a poblaciones en condición de vulnerabilidad y vulnerabilizadas</w:t>
      </w:r>
      <w:r w:rsidR="0063228E">
        <w:rPr>
          <w:rFonts w:ascii="Arial Narrow" w:eastAsia="Calibri" w:hAnsi="Arial Narrow"/>
        </w:rPr>
        <w:t>.</w:t>
      </w:r>
    </w:p>
    <w:p w14:paraId="416094A4" w14:textId="77777777" w:rsidR="0063228E" w:rsidRDefault="0063228E" w:rsidP="00AB78AD">
      <w:pPr>
        <w:spacing w:line="360" w:lineRule="auto"/>
        <w:jc w:val="both"/>
        <w:rPr>
          <w:rFonts w:ascii="Arial Narrow" w:eastAsia="Calibri" w:hAnsi="Arial Narrow"/>
        </w:rPr>
      </w:pPr>
    </w:p>
    <w:p w14:paraId="40228A60" w14:textId="7B3FF702" w:rsidR="00B87B9F" w:rsidRDefault="0063228E" w:rsidP="00AB78AD">
      <w:pPr>
        <w:spacing w:line="360" w:lineRule="auto"/>
        <w:jc w:val="both"/>
        <w:rPr>
          <w:rFonts w:ascii="Arial Narrow" w:eastAsia="Calibri" w:hAnsi="Arial Narrow"/>
        </w:rPr>
      </w:pPr>
      <w:r>
        <w:rPr>
          <w:rFonts w:ascii="Arial Narrow" w:eastAsia="Calibri" w:hAnsi="Arial Narrow"/>
        </w:rPr>
        <w:t>E</w:t>
      </w:r>
      <w:r w:rsidR="00AB78AD">
        <w:rPr>
          <w:rFonts w:ascii="Arial Narrow" w:eastAsia="Calibri" w:hAnsi="Arial Narrow"/>
        </w:rPr>
        <w:t>n la segunda meta estratégica, se registra un 99% según manifiesta la Fiscalia Adjunta de Legitimación de Capitales sobre la meta operativa de desarrollar un dia</w:t>
      </w:r>
      <w:r w:rsidR="00AB78AD" w:rsidRPr="002E0B96">
        <w:rPr>
          <w:rFonts w:ascii="Arial Narrow" w:eastAsia="Calibri" w:hAnsi="Arial Narrow"/>
        </w:rPr>
        <w:t>gnóstico de situación de la gestión y de recursos necesarios para implementar estrategias para el abordaje de criminalidad no convencional</w:t>
      </w:r>
      <w:r w:rsidR="00AB78AD">
        <w:rPr>
          <w:rFonts w:ascii="Arial Narrow" w:eastAsia="Calibri" w:hAnsi="Arial Narrow"/>
        </w:rPr>
        <w:t xml:space="preserve">, dado que se llevaron a cabo </w:t>
      </w:r>
      <w:r w:rsidR="00AB78AD" w:rsidRPr="002E0B96">
        <w:rPr>
          <w:rFonts w:ascii="Arial Narrow" w:eastAsia="Calibri" w:hAnsi="Arial Narrow"/>
        </w:rPr>
        <w:t>reuniones para efectuar el diagn</w:t>
      </w:r>
      <w:r w:rsidR="00AB78AD">
        <w:rPr>
          <w:rFonts w:ascii="Arial Narrow" w:eastAsia="Calibri" w:hAnsi="Arial Narrow"/>
        </w:rPr>
        <w:t>ó</w:t>
      </w:r>
      <w:r w:rsidR="00AB78AD" w:rsidRPr="002E0B96">
        <w:rPr>
          <w:rFonts w:ascii="Arial Narrow" w:eastAsia="Calibri" w:hAnsi="Arial Narrow"/>
        </w:rPr>
        <w:t>stico de las necesidades organizacionales, materiales, recursos tecnológicos y de talento humano para la efectiva persecución penal de la legitimación de capitales y persecución penal de patrimonios sin causa lícita aparente</w:t>
      </w:r>
      <w:r w:rsidR="00AB78AD">
        <w:rPr>
          <w:rFonts w:ascii="Arial Narrow" w:eastAsia="Calibri" w:hAnsi="Arial Narrow"/>
        </w:rPr>
        <w:t>.</w:t>
      </w:r>
      <w:r w:rsidR="00A714B2">
        <w:rPr>
          <w:rFonts w:ascii="Arial Narrow" w:eastAsia="Calibri" w:hAnsi="Arial Narrow"/>
        </w:rPr>
        <w:t xml:space="preserve"> </w:t>
      </w:r>
    </w:p>
    <w:p w14:paraId="4F31ECF2" w14:textId="77777777" w:rsidR="00B87B9F" w:rsidRDefault="00B87B9F" w:rsidP="00AB78AD">
      <w:pPr>
        <w:spacing w:line="360" w:lineRule="auto"/>
        <w:jc w:val="both"/>
        <w:rPr>
          <w:rFonts w:ascii="Arial Narrow" w:eastAsia="Calibri" w:hAnsi="Arial Narrow"/>
        </w:rPr>
      </w:pPr>
    </w:p>
    <w:p w14:paraId="7BBB80B4" w14:textId="5FF3FE30" w:rsidR="00AB78AD" w:rsidRDefault="00AB78AD" w:rsidP="00AB78AD">
      <w:pPr>
        <w:spacing w:line="360" w:lineRule="auto"/>
        <w:jc w:val="both"/>
        <w:rPr>
          <w:rFonts w:ascii="Arial Narrow" w:eastAsia="Calibri" w:hAnsi="Arial Narrow"/>
        </w:rPr>
      </w:pPr>
      <w:r>
        <w:rPr>
          <w:rFonts w:ascii="Arial Narrow" w:eastAsia="Calibri" w:hAnsi="Arial Narrow"/>
        </w:rPr>
        <w:t xml:space="preserve">Por su parte la meta estratégica: </w:t>
      </w:r>
      <w:r w:rsidR="009E502F">
        <w:rPr>
          <w:rFonts w:ascii="Arial Narrow" w:eastAsia="Calibri" w:hAnsi="Arial Narrow"/>
        </w:rPr>
        <w:t>“</w:t>
      </w:r>
      <w:r w:rsidRPr="00704B08">
        <w:rPr>
          <w:rFonts w:ascii="Arial Narrow" w:eastAsia="Calibri" w:hAnsi="Arial Narrow"/>
          <w:b/>
          <w:bCs/>
          <w:i/>
          <w:iCs/>
        </w:rPr>
        <w:t>Que al finalizar el 2024, se haya desarrollado e implementado un modelo de gestión (diagnóstico, diseño, implementación, seguimiento y evaluación)</w:t>
      </w:r>
      <w:r w:rsidR="009E502F">
        <w:rPr>
          <w:rFonts w:ascii="Arial Narrow" w:eastAsia="Calibri" w:hAnsi="Arial Narrow"/>
          <w:b/>
          <w:bCs/>
          <w:i/>
          <w:iCs/>
        </w:rPr>
        <w:t>”</w:t>
      </w:r>
      <w:r w:rsidRPr="002E0B96">
        <w:rPr>
          <w:rFonts w:ascii="Arial Narrow" w:eastAsia="Calibri" w:hAnsi="Arial Narrow"/>
          <w:i/>
          <w:iCs/>
        </w:rPr>
        <w:t xml:space="preserve"> en el abordaje de los casos penales de crimen organizado</w:t>
      </w:r>
      <w:r>
        <w:rPr>
          <w:rFonts w:ascii="Arial Narrow" w:eastAsia="Calibri" w:hAnsi="Arial Narrow"/>
          <w:i/>
          <w:iCs/>
        </w:rPr>
        <w:t>, s</w:t>
      </w:r>
      <w:r>
        <w:rPr>
          <w:rFonts w:ascii="Arial Narrow" w:eastAsia="Calibri" w:hAnsi="Arial Narrow"/>
        </w:rPr>
        <w:t>e encuentra al 100% según registro del PAO donde se observa la evidencia del cumplimiento de las actividades planteadas para 2019 y 2020.</w:t>
      </w:r>
    </w:p>
    <w:p w14:paraId="634566DC" w14:textId="77777777" w:rsidR="00AB78AD" w:rsidRDefault="00AB78AD" w:rsidP="00AB78AD">
      <w:pPr>
        <w:spacing w:line="360" w:lineRule="auto"/>
        <w:jc w:val="both"/>
        <w:rPr>
          <w:rFonts w:ascii="Arial Narrow" w:eastAsia="Calibri" w:hAnsi="Arial Narrow"/>
        </w:rPr>
      </w:pPr>
    </w:p>
    <w:p w14:paraId="7887EE4B" w14:textId="781FD5FF" w:rsidR="00AB78AD" w:rsidRDefault="00AB78AD" w:rsidP="00AB78AD">
      <w:pPr>
        <w:spacing w:line="360" w:lineRule="auto"/>
        <w:jc w:val="both"/>
        <w:rPr>
          <w:rFonts w:ascii="Arial Narrow" w:eastAsia="Calibri" w:hAnsi="Arial Narrow"/>
        </w:rPr>
      </w:pPr>
    </w:p>
    <w:p w14:paraId="78619DD5" w14:textId="06561C93" w:rsidR="00AF3A93" w:rsidRDefault="00AF3A93" w:rsidP="00AB78AD">
      <w:pPr>
        <w:spacing w:line="360" w:lineRule="auto"/>
        <w:jc w:val="both"/>
        <w:rPr>
          <w:rFonts w:ascii="Arial Narrow" w:eastAsia="Calibri" w:hAnsi="Arial Narrow"/>
        </w:rPr>
      </w:pPr>
    </w:p>
    <w:p w14:paraId="3092DAAB" w14:textId="21D44BF4" w:rsidR="00AF3A93" w:rsidRDefault="00AF3A93" w:rsidP="00AB78AD">
      <w:pPr>
        <w:spacing w:line="360" w:lineRule="auto"/>
        <w:jc w:val="both"/>
        <w:rPr>
          <w:rFonts w:ascii="Arial Narrow" w:eastAsia="Calibri" w:hAnsi="Arial Narrow"/>
        </w:rPr>
      </w:pPr>
    </w:p>
    <w:p w14:paraId="6872941F" w14:textId="1E212A5A" w:rsidR="00AF3A93" w:rsidRDefault="00AF3A93" w:rsidP="00AB78AD">
      <w:pPr>
        <w:spacing w:line="360" w:lineRule="auto"/>
        <w:jc w:val="both"/>
        <w:rPr>
          <w:rFonts w:ascii="Arial Narrow" w:eastAsia="Calibri" w:hAnsi="Arial Narrow"/>
        </w:rPr>
      </w:pPr>
    </w:p>
    <w:p w14:paraId="79627A8F" w14:textId="13EE69A9" w:rsidR="00AF3A93" w:rsidRDefault="00AF3A93" w:rsidP="00AB78AD">
      <w:pPr>
        <w:spacing w:line="360" w:lineRule="auto"/>
        <w:jc w:val="both"/>
        <w:rPr>
          <w:rFonts w:ascii="Arial Narrow" w:eastAsia="Calibri" w:hAnsi="Arial Narrow"/>
        </w:rPr>
      </w:pPr>
    </w:p>
    <w:p w14:paraId="3C58334A" w14:textId="0B2BE687" w:rsidR="00AF3A93" w:rsidRDefault="00AF3A93" w:rsidP="00AB78AD">
      <w:pPr>
        <w:spacing w:line="360" w:lineRule="auto"/>
        <w:jc w:val="both"/>
        <w:rPr>
          <w:rFonts w:ascii="Arial Narrow" w:eastAsia="Calibri" w:hAnsi="Arial Narrow"/>
        </w:rPr>
      </w:pPr>
    </w:p>
    <w:p w14:paraId="2E378C68" w14:textId="77777777" w:rsidR="00AF3A93" w:rsidRDefault="00AF3A93" w:rsidP="00AB78AD">
      <w:pPr>
        <w:spacing w:line="360" w:lineRule="auto"/>
        <w:jc w:val="both"/>
        <w:rPr>
          <w:rFonts w:ascii="Arial Narrow" w:eastAsia="Calibri" w:hAnsi="Arial Narrow"/>
        </w:rPr>
      </w:pPr>
    </w:p>
    <w:p w14:paraId="11CDB46D" w14:textId="22D3618A" w:rsidR="00AB78AD" w:rsidRPr="002E0B96" w:rsidRDefault="000D7411" w:rsidP="00AB78AD">
      <w:pPr>
        <w:pStyle w:val="Ttulo4"/>
        <w:numPr>
          <w:ilvl w:val="0"/>
          <w:numId w:val="62"/>
        </w:numPr>
        <w:rPr>
          <w:rFonts w:ascii="Arial Narrow" w:eastAsia="Calibri" w:hAnsi="Arial Narrow"/>
        </w:rPr>
      </w:pPr>
      <w:r>
        <w:rPr>
          <w:rFonts w:ascii="Arial Narrow" w:eastAsia="Calibri" w:hAnsi="Arial Narrow"/>
        </w:rPr>
        <w:lastRenderedPageBreak/>
        <w:t xml:space="preserve">5.1.2. </w:t>
      </w:r>
      <w:r w:rsidR="00AB78AD" w:rsidRPr="002E0B96">
        <w:rPr>
          <w:rFonts w:ascii="Arial Narrow" w:eastAsia="Calibri" w:hAnsi="Arial Narrow"/>
        </w:rPr>
        <w:t>Celeridad judicial</w:t>
      </w:r>
    </w:p>
    <w:p w14:paraId="1B8F72C5" w14:textId="77777777" w:rsidR="00AB78AD" w:rsidRPr="000B4845" w:rsidRDefault="00AB78AD" w:rsidP="00AB78AD">
      <w:pPr>
        <w:rPr>
          <w:rFonts w:eastAsia="Calibri"/>
          <w:lang w:eastAsia="en-US"/>
        </w:rPr>
      </w:pPr>
    </w:p>
    <w:p w14:paraId="523C3243" w14:textId="77777777" w:rsidR="00AF3A93" w:rsidRDefault="00AF3A93" w:rsidP="00704B08">
      <w:pPr>
        <w:spacing w:line="360" w:lineRule="auto"/>
        <w:jc w:val="both"/>
        <w:rPr>
          <w:rFonts w:ascii="Arial Narrow" w:hAnsi="Arial Narrow" w:cs="Segoe UI"/>
          <w:lang w:eastAsia="es-CR"/>
        </w:rPr>
      </w:pPr>
    </w:p>
    <w:p w14:paraId="5D520D60" w14:textId="2158442D" w:rsidR="00F0386C" w:rsidRPr="00704B08" w:rsidRDefault="00F0386C" w:rsidP="00704B08">
      <w:pPr>
        <w:spacing w:line="360" w:lineRule="auto"/>
        <w:jc w:val="both"/>
        <w:rPr>
          <w:rFonts w:ascii="Arial Narrow" w:hAnsi="Arial Narrow" w:cs="Segoe UI"/>
          <w:sz w:val="21"/>
          <w:szCs w:val="21"/>
          <w:lang w:val="es-CR" w:eastAsia="es-CR"/>
        </w:rPr>
      </w:pPr>
      <w:r w:rsidRPr="00704B08">
        <w:rPr>
          <w:rFonts w:ascii="Arial Narrow" w:hAnsi="Arial Narrow" w:cs="Segoe UI"/>
          <w:lang w:eastAsia="es-CR"/>
        </w:rPr>
        <w:t>Se observan 46 metas estratégicas de las cuales 33 muestran una ejecución alta en su cumplimiento. Por otro lado, hay 13 metas que registran un cumplimiento medio. Se detalla a continuación las metas estratégicas y su cumplimiento para el 2019 y 2020:</w:t>
      </w:r>
    </w:p>
    <w:p w14:paraId="40EEF041" w14:textId="77777777" w:rsidR="00AB78AD" w:rsidRDefault="00AB78AD" w:rsidP="00AB78AD">
      <w:pPr>
        <w:ind w:left="372" w:firstLine="708"/>
        <w:rPr>
          <w:rFonts w:eastAsia="Calibri"/>
          <w:lang w:eastAsia="en-US"/>
        </w:rPr>
      </w:pPr>
    </w:p>
    <w:p w14:paraId="28D5EB74" w14:textId="77777777" w:rsidR="0049673D" w:rsidRDefault="0049673D" w:rsidP="00AB78AD">
      <w:pPr>
        <w:ind w:left="372" w:firstLine="708"/>
        <w:rPr>
          <w:rFonts w:eastAsia="Calibri"/>
          <w:lang w:eastAsia="en-US"/>
        </w:rPr>
        <w:sectPr w:rsidR="0049673D" w:rsidSect="0049673D">
          <w:pgSz w:w="12242" w:h="15842" w:code="1"/>
          <w:pgMar w:top="719" w:right="1469" w:bottom="719" w:left="1560" w:header="709" w:footer="709" w:gutter="0"/>
          <w:cols w:space="708"/>
          <w:docGrid w:linePitch="360"/>
        </w:sectPr>
      </w:pPr>
    </w:p>
    <w:p w14:paraId="2479F436" w14:textId="77777777" w:rsidR="00AB78AD" w:rsidRPr="000B4845" w:rsidRDefault="00AB78AD" w:rsidP="00AB78AD">
      <w:pPr>
        <w:rPr>
          <w:rFonts w:eastAsia="Calibri"/>
          <w:lang w:eastAsia="en-US"/>
        </w:rPr>
      </w:pPr>
    </w:p>
    <w:p w14:paraId="759A8412" w14:textId="53F6E907" w:rsidR="00AB78AD" w:rsidRDefault="00AB78AD" w:rsidP="00AB78AD">
      <w:pPr>
        <w:pStyle w:val="Descripcin"/>
        <w:jc w:val="center"/>
        <w:rPr>
          <w:rFonts w:ascii="Arial Narrow" w:eastAsia="Calibri" w:hAnsi="Arial Narrow"/>
          <w:sz w:val="24"/>
          <w:szCs w:val="24"/>
          <w:lang w:eastAsia="en-US"/>
        </w:rPr>
      </w:pPr>
      <w:bookmarkStart w:id="23" w:name="_Toc76062226"/>
      <w:r w:rsidRPr="00484CC1">
        <w:rPr>
          <w:rFonts w:ascii="Arial Narrow" w:hAnsi="Arial Narrow"/>
          <w:sz w:val="24"/>
          <w:szCs w:val="24"/>
        </w:rPr>
        <w:t xml:space="preserve">Cuadro </w:t>
      </w:r>
      <w:r w:rsidRPr="00484CC1">
        <w:rPr>
          <w:rFonts w:ascii="Arial Narrow" w:hAnsi="Arial Narrow"/>
          <w:sz w:val="24"/>
          <w:szCs w:val="24"/>
        </w:rPr>
        <w:fldChar w:fldCharType="begin"/>
      </w:r>
      <w:r w:rsidRPr="00484CC1">
        <w:rPr>
          <w:rFonts w:ascii="Arial Narrow" w:hAnsi="Arial Narrow"/>
          <w:sz w:val="24"/>
          <w:szCs w:val="24"/>
        </w:rPr>
        <w:instrText xml:space="preserve"> SEQ Cuadro_No. \* ARABIC </w:instrText>
      </w:r>
      <w:r w:rsidRPr="00484CC1">
        <w:rPr>
          <w:rFonts w:ascii="Arial Narrow" w:hAnsi="Arial Narrow"/>
          <w:sz w:val="24"/>
          <w:szCs w:val="24"/>
        </w:rPr>
        <w:fldChar w:fldCharType="separate"/>
      </w:r>
      <w:r w:rsidR="0049673D">
        <w:rPr>
          <w:rFonts w:ascii="Arial Narrow" w:hAnsi="Arial Narrow"/>
          <w:noProof/>
          <w:sz w:val="24"/>
          <w:szCs w:val="24"/>
        </w:rPr>
        <w:t>3</w:t>
      </w:r>
      <w:r w:rsidRPr="00484CC1">
        <w:rPr>
          <w:rFonts w:ascii="Arial Narrow" w:hAnsi="Arial Narrow"/>
          <w:sz w:val="24"/>
          <w:szCs w:val="24"/>
        </w:rPr>
        <w:fldChar w:fldCharType="end"/>
      </w:r>
      <w:r w:rsidRPr="00484CC1">
        <w:rPr>
          <w:rFonts w:ascii="Arial Narrow" w:hAnsi="Arial Narrow"/>
          <w:sz w:val="24"/>
          <w:szCs w:val="24"/>
        </w:rPr>
        <w:t xml:space="preserve"> </w:t>
      </w:r>
      <w:r w:rsidRPr="00665D61">
        <w:rPr>
          <w:rFonts w:ascii="Arial Narrow" w:eastAsia="Calibri" w:hAnsi="Arial Narrow"/>
          <w:sz w:val="24"/>
          <w:szCs w:val="24"/>
          <w:lang w:eastAsia="en-US"/>
        </w:rPr>
        <w:t>Metas estratégicas de Celeridad Judicial y su cumplimiento para el 2019</w:t>
      </w:r>
      <w:r>
        <w:rPr>
          <w:rFonts w:ascii="Arial Narrow" w:eastAsia="Calibri" w:hAnsi="Arial Narrow"/>
          <w:sz w:val="24"/>
          <w:szCs w:val="24"/>
          <w:lang w:eastAsia="en-US"/>
        </w:rPr>
        <w:t>-2020</w:t>
      </w:r>
      <w:bookmarkEnd w:id="23"/>
    </w:p>
    <w:p w14:paraId="43C9992E" w14:textId="77777777" w:rsidR="00AB78AD" w:rsidRDefault="00AB78AD" w:rsidP="00AB78AD">
      <w:pPr>
        <w:rPr>
          <w:rFonts w:ascii="Arial Narrow" w:eastAsia="Calibri" w:hAnsi="Arial Narrow"/>
          <w:b/>
          <w:bCs/>
          <w:lang w:eastAsia="en-US"/>
        </w:rPr>
      </w:pPr>
    </w:p>
    <w:p w14:paraId="2A73BF0C" w14:textId="268F9D08" w:rsidR="009A27DC" w:rsidRDefault="00AB78AD" w:rsidP="00AB78AD">
      <w:pPr>
        <w:rPr>
          <w:rFonts w:eastAsia="Calibri"/>
          <w:lang w:eastAsia="en-US"/>
        </w:rPr>
      </w:pPr>
      <w:r>
        <w:rPr>
          <w:rFonts w:eastAsia="Calibri"/>
          <w:lang w:eastAsia="en-US"/>
        </w:rPr>
        <w:tab/>
      </w:r>
      <w:r w:rsidR="00113B68">
        <w:rPr>
          <w:noProof/>
          <w:lang w:val="es-CR" w:eastAsia="es-CR"/>
        </w:rPr>
        <w:drawing>
          <wp:inline distT="0" distB="0" distL="0" distR="0" wp14:anchorId="5D1BA686" wp14:editId="3E473710">
            <wp:extent cx="9146540" cy="3808675"/>
            <wp:effectExtent l="76200" t="76200" r="130810" b="13525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9149999" cy="381011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15419F96" w14:textId="5A41D420" w:rsidR="00AB78AD" w:rsidRPr="00EE2E13" w:rsidRDefault="00AB78AD" w:rsidP="00AB78AD">
      <w:pPr>
        <w:rPr>
          <w:rFonts w:ascii="Arial Narrow" w:hAnsi="Arial Narrow"/>
          <w:sz w:val="18"/>
          <w:szCs w:val="18"/>
          <w:lang w:val="es-CR" w:eastAsia="es-CR"/>
        </w:rPr>
      </w:pPr>
      <w:r w:rsidRPr="00EE2E13">
        <w:rPr>
          <w:rFonts w:ascii="Arial Narrow" w:hAnsi="Arial Narrow"/>
          <w:sz w:val="18"/>
          <w:szCs w:val="18"/>
          <w:lang w:val="es-CR" w:eastAsia="es-CR"/>
        </w:rPr>
        <w:t>Fuente: Sistema PEI al 24 de enero del 2020 (año 2019) y 04 de marzo del 2021 (año 2020).</w:t>
      </w:r>
    </w:p>
    <w:p w14:paraId="11940C65" w14:textId="77777777" w:rsidR="00AB78AD" w:rsidRDefault="00AB78AD" w:rsidP="00AB78AD">
      <w:pPr>
        <w:rPr>
          <w:rFonts w:eastAsia="Calibri"/>
          <w:lang w:eastAsia="en-US"/>
        </w:rPr>
      </w:pPr>
      <w:r>
        <w:rPr>
          <w:rFonts w:eastAsia="Calibri"/>
          <w:lang w:eastAsia="en-US"/>
        </w:rPr>
        <w:t xml:space="preserve"> </w:t>
      </w:r>
    </w:p>
    <w:p w14:paraId="77AC3C6E" w14:textId="77777777" w:rsidR="00AB78AD" w:rsidRPr="00C847FC" w:rsidRDefault="00AB78AD" w:rsidP="00AB78AD">
      <w:pPr>
        <w:rPr>
          <w:rFonts w:ascii="Arial Narrow" w:eastAsia="Calibri" w:hAnsi="Arial Narrow"/>
          <w:sz w:val="20"/>
          <w:szCs w:val="20"/>
          <w:lang w:eastAsia="en-US"/>
        </w:rPr>
      </w:pPr>
    </w:p>
    <w:p w14:paraId="7FE4D9AE" w14:textId="77777777" w:rsidR="00113B68" w:rsidRDefault="00113B68" w:rsidP="00AB78AD">
      <w:pPr>
        <w:rPr>
          <w:rFonts w:eastAsia="Calibri"/>
          <w:lang w:eastAsia="en-US"/>
        </w:rPr>
        <w:sectPr w:rsidR="00113B68" w:rsidSect="0049673D">
          <w:pgSz w:w="15842" w:h="12242" w:orient="landscape" w:code="1"/>
          <w:pgMar w:top="1560" w:right="719" w:bottom="1469" w:left="719" w:header="709" w:footer="709" w:gutter="0"/>
          <w:cols w:space="708"/>
          <w:docGrid w:linePitch="360"/>
        </w:sectPr>
      </w:pPr>
    </w:p>
    <w:p w14:paraId="25973B94" w14:textId="42568C95" w:rsidR="00AB78AD" w:rsidRDefault="00AB78AD" w:rsidP="00AB78AD">
      <w:pPr>
        <w:rPr>
          <w:rFonts w:eastAsia="Calibri"/>
          <w:lang w:eastAsia="en-US"/>
        </w:rPr>
      </w:pPr>
    </w:p>
    <w:p w14:paraId="51CC95BC" w14:textId="3BC5582D" w:rsidR="0063228E" w:rsidRDefault="00AB78AD" w:rsidP="00704B08">
      <w:pPr>
        <w:spacing w:line="360" w:lineRule="auto"/>
        <w:jc w:val="both"/>
        <w:rPr>
          <w:rFonts w:ascii="Arial Narrow" w:eastAsia="Calibri" w:hAnsi="Arial Narrow"/>
        </w:rPr>
      </w:pPr>
      <w:r w:rsidRPr="002E0B96">
        <w:rPr>
          <w:rFonts w:ascii="Arial Narrow" w:eastAsia="Calibri" w:hAnsi="Arial Narrow"/>
        </w:rPr>
        <w:t xml:space="preserve">Del cuadro anterior </w:t>
      </w:r>
      <w:r>
        <w:rPr>
          <w:rFonts w:ascii="Arial Narrow" w:eastAsia="Calibri" w:hAnsi="Arial Narrow"/>
        </w:rPr>
        <w:t xml:space="preserve">se tiene la meta correspondiente a </w:t>
      </w:r>
      <w:r w:rsidR="00441D03">
        <w:rPr>
          <w:rFonts w:ascii="Arial Narrow" w:eastAsia="Calibri" w:hAnsi="Arial Narrow"/>
        </w:rPr>
        <w:t>f</w:t>
      </w:r>
      <w:r w:rsidR="00864EC4">
        <w:rPr>
          <w:rFonts w:ascii="Arial Narrow" w:eastAsia="Calibri" w:hAnsi="Arial Narrow"/>
        </w:rPr>
        <w:t>iscalías</w:t>
      </w:r>
      <w:r>
        <w:rPr>
          <w:rFonts w:ascii="Arial Narrow" w:eastAsia="Calibri" w:hAnsi="Arial Narrow"/>
        </w:rPr>
        <w:t xml:space="preserve"> y casos terminados, según las oficinas para el 2019 se registra un avance de 91% de la meta esperada (</w:t>
      </w:r>
      <w:r w:rsidRPr="00505919">
        <w:rPr>
          <w:rFonts w:ascii="Arial Narrow" w:eastAsia="Calibri" w:hAnsi="Arial Narrow"/>
        </w:rPr>
        <w:t>177</w:t>
      </w:r>
      <w:r>
        <w:rPr>
          <w:rFonts w:ascii="Arial Narrow" w:eastAsia="Calibri" w:hAnsi="Arial Narrow"/>
        </w:rPr>
        <w:t>.</w:t>
      </w:r>
      <w:r w:rsidRPr="00505919">
        <w:rPr>
          <w:rFonts w:ascii="Arial Narrow" w:eastAsia="Calibri" w:hAnsi="Arial Narrow"/>
        </w:rPr>
        <w:t>051</w:t>
      </w:r>
      <w:r>
        <w:rPr>
          <w:rFonts w:ascii="Arial Narrow" w:eastAsia="Calibri" w:hAnsi="Arial Narrow"/>
        </w:rPr>
        <w:t xml:space="preserve">) para ese año, sin embargo, al confrontarlo con el dato estadístico de casos terminados para ese año se tienen 217.590 asuntos terminados, lo que representa un cumplimiento real de 100% incluso sobrepasando la meta esperada para ese año. </w:t>
      </w:r>
    </w:p>
    <w:p w14:paraId="7E935A7A" w14:textId="77777777" w:rsidR="0063228E" w:rsidRDefault="0063228E" w:rsidP="00704B08">
      <w:pPr>
        <w:spacing w:line="360" w:lineRule="auto"/>
        <w:jc w:val="both"/>
        <w:rPr>
          <w:rFonts w:ascii="Arial Narrow" w:eastAsia="Calibri" w:hAnsi="Arial Narrow"/>
        </w:rPr>
      </w:pPr>
    </w:p>
    <w:p w14:paraId="6CAD88B3" w14:textId="77777777" w:rsidR="0063228E" w:rsidRDefault="00AB78AD" w:rsidP="00704B08">
      <w:pPr>
        <w:spacing w:line="360" w:lineRule="auto"/>
        <w:jc w:val="both"/>
        <w:rPr>
          <w:rFonts w:ascii="Arial Narrow" w:eastAsia="Calibri" w:hAnsi="Arial Narrow"/>
        </w:rPr>
      </w:pPr>
      <w:r>
        <w:rPr>
          <w:rFonts w:ascii="Arial Narrow" w:eastAsia="Calibri" w:hAnsi="Arial Narrow"/>
        </w:rPr>
        <w:t xml:space="preserve">En el caso del 2020, se presenta un cumplimiento mayor registrado de un 96% de los 178.821 asuntos esperados para ese año, sin embargo, según los datos estadísticos oficiales es de 212.742 casos terminados lo que de igual manera representa un cumplimiento real de más de un 100%, sin embargo, el dato acumulado se consigna con un máximo de 100% dado que no es acumulable el exceso. Para cumplir con estas metas se tienen los esfuerzos de </w:t>
      </w:r>
      <w:r w:rsidR="0049673D">
        <w:rPr>
          <w:rFonts w:ascii="Arial Narrow" w:eastAsia="Calibri" w:hAnsi="Arial Narrow"/>
        </w:rPr>
        <w:t>más</w:t>
      </w:r>
      <w:r>
        <w:rPr>
          <w:rFonts w:ascii="Arial Narrow" w:eastAsia="Calibri" w:hAnsi="Arial Narrow"/>
        </w:rPr>
        <w:t xml:space="preserve"> de 117 metas operativas distribuidas entre 57 Fiscalías del país.</w:t>
      </w:r>
    </w:p>
    <w:p w14:paraId="26695413" w14:textId="2555D293" w:rsidR="00AB78AD" w:rsidRDefault="0049673D" w:rsidP="00704B08">
      <w:pPr>
        <w:spacing w:line="360" w:lineRule="auto"/>
        <w:jc w:val="both"/>
        <w:rPr>
          <w:rFonts w:ascii="Arial Narrow" w:eastAsia="Calibri" w:hAnsi="Arial Narrow"/>
        </w:rPr>
      </w:pPr>
      <w:r>
        <w:rPr>
          <w:rFonts w:ascii="Arial Narrow" w:eastAsia="Calibri" w:hAnsi="Arial Narrow"/>
        </w:rPr>
        <w:t xml:space="preserve"> </w:t>
      </w:r>
    </w:p>
    <w:p w14:paraId="1EF84C7F" w14:textId="1FF766C5" w:rsidR="00F474BE" w:rsidRDefault="00F474BE" w:rsidP="00F474BE">
      <w:pPr>
        <w:spacing w:line="360" w:lineRule="auto"/>
        <w:jc w:val="both"/>
        <w:rPr>
          <w:rFonts w:ascii="Arial Narrow" w:eastAsia="Calibri" w:hAnsi="Arial Narrow"/>
        </w:rPr>
      </w:pPr>
      <w:r w:rsidRPr="00CC279A">
        <w:rPr>
          <w:rFonts w:ascii="Arial Narrow" w:hAnsi="Arial Narrow" w:cs="Segoe UI"/>
          <w:lang w:eastAsia="es-CR"/>
        </w:rPr>
        <w:t>Es importante señalar que</w:t>
      </w:r>
      <w:r w:rsidR="00441D03">
        <w:rPr>
          <w:rFonts w:ascii="Arial Narrow" w:hAnsi="Arial Narrow" w:cs="Segoe UI"/>
          <w:lang w:eastAsia="es-CR"/>
        </w:rPr>
        <w:t>,</w:t>
      </w:r>
      <w:r w:rsidRPr="00CC279A">
        <w:rPr>
          <w:rFonts w:ascii="Arial Narrow" w:hAnsi="Arial Narrow" w:cs="Segoe UI"/>
          <w:lang w:eastAsia="es-CR"/>
        </w:rPr>
        <w:t xml:space="preserve"> en relación con la meta asociada a casos terminados</w:t>
      </w:r>
      <w:r>
        <w:rPr>
          <w:rFonts w:ascii="Arial Narrow" w:hAnsi="Arial Narrow" w:cs="Segoe UI"/>
          <w:lang w:eastAsia="es-CR"/>
        </w:rPr>
        <w:t xml:space="preserve">, se efectuó un análisis del comportamiento </w:t>
      </w:r>
      <w:r w:rsidRPr="00FB7966">
        <w:rPr>
          <w:rFonts w:ascii="Arial Narrow" w:eastAsia="Calibri" w:hAnsi="Arial Narrow"/>
        </w:rPr>
        <w:t xml:space="preserve">durante el 2019, 2020 y el primer semestre de 2021, por el Subproceso de Planeación Estratégica mediante informe 921-PLA-PE-2021, el cual </w:t>
      </w:r>
      <w:r>
        <w:rPr>
          <w:rFonts w:ascii="Arial Narrow" w:eastAsia="Calibri" w:hAnsi="Arial Narrow"/>
        </w:rPr>
        <w:t>será elevado al órgano correspondiente para su aprobación.</w:t>
      </w:r>
      <w:r w:rsidRPr="00FB7966">
        <w:rPr>
          <w:rFonts w:ascii="Arial Narrow" w:eastAsia="Calibri" w:hAnsi="Arial Narrow"/>
        </w:rPr>
        <w:t xml:space="preserve"> Ese informe implicaría un realineamiento de los datos finales esperados</w:t>
      </w:r>
      <w:r>
        <w:rPr>
          <w:rFonts w:ascii="Arial Narrow" w:eastAsia="Calibri" w:hAnsi="Arial Narrow"/>
        </w:rPr>
        <w:t>, s</w:t>
      </w:r>
      <w:r w:rsidRPr="00FB7966">
        <w:rPr>
          <w:rFonts w:ascii="Arial Narrow" w:eastAsia="Calibri" w:hAnsi="Arial Narrow"/>
        </w:rPr>
        <w:t>egún la proyección los casos terminados para 202</w:t>
      </w:r>
      <w:r>
        <w:rPr>
          <w:rFonts w:ascii="Arial Narrow" w:eastAsia="Calibri" w:hAnsi="Arial Narrow"/>
        </w:rPr>
        <w:t>2.</w:t>
      </w:r>
      <w:r w:rsidRPr="00FB7966">
        <w:rPr>
          <w:rFonts w:ascii="Arial Narrow" w:eastAsia="Calibri" w:hAnsi="Arial Narrow"/>
        </w:rPr>
        <w:t xml:space="preserve"> </w:t>
      </w:r>
    </w:p>
    <w:p w14:paraId="4410A5F2" w14:textId="369B5B5C" w:rsidR="00F474BE" w:rsidRDefault="00F474BE" w:rsidP="00F474BE">
      <w:pPr>
        <w:spacing w:line="360" w:lineRule="auto"/>
        <w:jc w:val="both"/>
        <w:rPr>
          <w:rFonts w:ascii="Arial Narrow" w:hAnsi="Arial Narrow" w:cs="Segoe UI"/>
          <w:lang w:eastAsia="es-CR"/>
        </w:rPr>
      </w:pPr>
    </w:p>
    <w:p w14:paraId="687C22EC" w14:textId="77777777" w:rsidR="00F474BE" w:rsidRDefault="00F474BE" w:rsidP="00704B08">
      <w:pPr>
        <w:spacing w:line="360" w:lineRule="auto"/>
        <w:jc w:val="both"/>
        <w:rPr>
          <w:rFonts w:eastAsia="Calibri"/>
          <w:lang w:eastAsia="en-US"/>
        </w:rPr>
      </w:pPr>
    </w:p>
    <w:p w14:paraId="31CB3578" w14:textId="6E87F35A" w:rsidR="00AB78AD" w:rsidRDefault="00AB78AD" w:rsidP="00AB78AD">
      <w:pPr>
        <w:spacing w:line="360" w:lineRule="auto"/>
        <w:jc w:val="both"/>
        <w:rPr>
          <w:rFonts w:ascii="Arial Narrow" w:eastAsia="Calibri" w:hAnsi="Arial Narrow"/>
        </w:rPr>
      </w:pPr>
      <w:r w:rsidRPr="002E0B96">
        <w:rPr>
          <w:rFonts w:ascii="Arial Narrow" w:eastAsia="Calibri" w:hAnsi="Arial Narrow"/>
        </w:rPr>
        <w:t>Co</w:t>
      </w:r>
      <w:r>
        <w:rPr>
          <w:rFonts w:ascii="Arial Narrow" w:eastAsia="Calibri" w:hAnsi="Arial Narrow"/>
        </w:rPr>
        <w:t xml:space="preserve">n respecto a la meta estratégica </w:t>
      </w:r>
      <w:r w:rsidRPr="002E0B96">
        <w:rPr>
          <w:rFonts w:ascii="Arial Narrow" w:eastAsia="Calibri" w:hAnsi="Arial Narrow"/>
          <w:b/>
          <w:bCs/>
          <w:i/>
          <w:iCs/>
        </w:rPr>
        <w:t>Que al finalizar el 2024, se haya incrementado la cantidad de casos terminados en materia de Penal juvenil por año, en primera instancia</w:t>
      </w:r>
      <w:r>
        <w:rPr>
          <w:rFonts w:ascii="Arial Narrow" w:eastAsia="Calibri" w:hAnsi="Arial Narrow"/>
        </w:rPr>
        <w:t>, se tienen datos para el 2020, dado que en el 2019 no se enlazó la meta estratégica con los Juzgados en el área operativa por lo que no se dispone de datos estratégicos, sin embargo, se puede decir que se fenecieron 12.671 asuntos, y la meta esperada para ese año era de 11.814, por lo que fue ampliamente superada, reportándose un 100% de cumplimiento.</w:t>
      </w:r>
      <w:r w:rsidR="00194BB6">
        <w:rPr>
          <w:rFonts w:ascii="Arial Narrow" w:eastAsia="Calibri" w:hAnsi="Arial Narrow"/>
        </w:rPr>
        <w:t xml:space="preserve"> P</w:t>
      </w:r>
      <w:r>
        <w:rPr>
          <w:rFonts w:ascii="Arial Narrow" w:eastAsia="Calibri" w:hAnsi="Arial Narrow"/>
        </w:rPr>
        <w:t>ara el 2020 se registra por parte de los Juzgados penales juveniles</w:t>
      </w:r>
      <w:r w:rsidR="00194BB6">
        <w:rPr>
          <w:rFonts w:ascii="Arial Narrow" w:eastAsia="Calibri" w:hAnsi="Arial Narrow"/>
        </w:rPr>
        <w:t>,</w:t>
      </w:r>
      <w:r>
        <w:rPr>
          <w:rFonts w:ascii="Arial Narrow" w:eastAsia="Calibri" w:hAnsi="Arial Narrow"/>
        </w:rPr>
        <w:t xml:space="preserve"> un cumplimiento </w:t>
      </w:r>
      <w:r w:rsidRPr="00766F1A">
        <w:rPr>
          <w:rFonts w:ascii="Arial Narrow" w:eastAsia="Calibri" w:hAnsi="Arial Narrow"/>
        </w:rPr>
        <w:t>del 7</w:t>
      </w:r>
      <w:r w:rsidR="0025557F" w:rsidRPr="00766F1A">
        <w:rPr>
          <w:rFonts w:ascii="Arial Narrow" w:eastAsia="Calibri" w:hAnsi="Arial Narrow"/>
        </w:rPr>
        <w:t>8</w:t>
      </w:r>
      <w:r w:rsidRPr="00766F1A">
        <w:rPr>
          <w:rFonts w:ascii="Arial Narrow" w:eastAsia="Calibri" w:hAnsi="Arial Narrow"/>
        </w:rPr>
        <w:t>%</w:t>
      </w:r>
      <w:r>
        <w:rPr>
          <w:rFonts w:ascii="Arial Narrow" w:eastAsia="Calibri" w:hAnsi="Arial Narrow"/>
        </w:rPr>
        <w:t xml:space="preserve"> en términos generales, sin embargo, al revisar los casos terminados estadísticos, se tienen 10.559 </w:t>
      </w:r>
      <w:r>
        <w:rPr>
          <w:rFonts w:ascii="Arial Narrow" w:eastAsia="Calibri" w:hAnsi="Arial Narrow"/>
        </w:rPr>
        <w:lastRenderedPageBreak/>
        <w:t>expedientes fenecidos por lo que este dato se encuentra por debajo de la meta esperada para el año pasado que fue de 11.932 asuntos (equivale a 88.4% completado).</w:t>
      </w:r>
    </w:p>
    <w:p w14:paraId="72C38599" w14:textId="77777777" w:rsidR="00194BB6" w:rsidRPr="002E0B96" w:rsidRDefault="00194BB6" w:rsidP="00AB78AD">
      <w:pPr>
        <w:spacing w:line="360" w:lineRule="auto"/>
        <w:jc w:val="both"/>
        <w:rPr>
          <w:rFonts w:ascii="Arial Narrow" w:eastAsia="Calibri" w:hAnsi="Arial Narrow"/>
        </w:rPr>
      </w:pPr>
    </w:p>
    <w:p w14:paraId="4B7B98B3" w14:textId="465A0575" w:rsidR="0049673D" w:rsidRDefault="00AB78AD" w:rsidP="00AB78AD">
      <w:pPr>
        <w:spacing w:line="360" w:lineRule="auto"/>
        <w:jc w:val="both"/>
        <w:rPr>
          <w:rFonts w:ascii="Arial Narrow" w:eastAsia="Calibri" w:hAnsi="Arial Narrow"/>
        </w:rPr>
      </w:pPr>
      <w:r w:rsidRPr="009D27BE">
        <w:rPr>
          <w:rFonts w:ascii="Arial Narrow" w:eastAsia="Calibri" w:hAnsi="Arial Narrow"/>
        </w:rPr>
        <w:t>Co</w:t>
      </w:r>
      <w:r>
        <w:rPr>
          <w:rFonts w:ascii="Arial Narrow" w:eastAsia="Calibri" w:hAnsi="Arial Narrow"/>
        </w:rPr>
        <w:t xml:space="preserve">n respecto a la meta estratégica </w:t>
      </w:r>
      <w:r w:rsidRPr="009F294C">
        <w:rPr>
          <w:rFonts w:ascii="Arial Narrow" w:eastAsia="Calibri" w:hAnsi="Arial Narrow"/>
          <w:b/>
          <w:bCs/>
          <w:i/>
          <w:iCs/>
        </w:rPr>
        <w:t>Que al finalizar el 2024, se haya incrementado la cantidad de casos terminados en materia Contravencional por año, en primera instancia</w:t>
      </w:r>
      <w:r>
        <w:rPr>
          <w:rFonts w:ascii="Arial Narrow" w:eastAsia="Calibri" w:hAnsi="Arial Narrow"/>
        </w:rPr>
        <w:t>, se tiene que en el 2019 se reporta por parte de las oficinas contravencionales un cumplimiento de 95%, sin embargo, al revisar los datos reportados estadísticamente por medio de SIGMA, se tiene que se terminaron 41.547 asuntos, lo que sobrepasa por más de 6 mil casos la meta esperada para ese año, que era de 35.103. Para el 2020, se tiene un reporte de cumplimiento por parte de las oficinas de un 97%, al confrontar este dato contra los terminados oficiales para ese año, se registran 36.151 asuntos terminados, dato que al confrontarlo contra lo esperado para ese año (35.534 asuntos) lo sobrepasa en 600 asuntos, por lo que se concluye que para ambos años se ha logrado alcanzar la meta propuesta con un 100% para cada año y de manera acumulada.</w:t>
      </w:r>
    </w:p>
    <w:p w14:paraId="06902509" w14:textId="77777777" w:rsidR="00605BF0" w:rsidRDefault="00605BF0" w:rsidP="00AB78AD">
      <w:pPr>
        <w:spacing w:line="360" w:lineRule="auto"/>
        <w:jc w:val="both"/>
        <w:rPr>
          <w:rFonts w:ascii="Arial Narrow" w:eastAsia="Calibri" w:hAnsi="Arial Narrow"/>
        </w:rPr>
      </w:pPr>
    </w:p>
    <w:p w14:paraId="44045998" w14:textId="4A5DBF86" w:rsidR="0063228E" w:rsidRDefault="00E35455" w:rsidP="00AB78AD">
      <w:pPr>
        <w:spacing w:line="360" w:lineRule="auto"/>
        <w:jc w:val="both"/>
        <w:rPr>
          <w:rFonts w:ascii="Arial Narrow" w:eastAsia="Calibri" w:hAnsi="Arial Narrow"/>
        </w:rPr>
      </w:pPr>
      <w:r>
        <w:rPr>
          <w:rFonts w:ascii="Arial Narrow" w:eastAsia="Calibri" w:hAnsi="Arial Narrow"/>
        </w:rPr>
        <w:t xml:space="preserve">Al finalizar este apartado de acción </w:t>
      </w:r>
      <w:r w:rsidR="002F3DFE">
        <w:rPr>
          <w:rFonts w:ascii="Arial Narrow" w:eastAsia="Calibri" w:hAnsi="Arial Narrow"/>
        </w:rPr>
        <w:t xml:space="preserve">estratégica Celeridad Judicial, se detallan </w:t>
      </w:r>
      <w:r w:rsidR="000323E7">
        <w:rPr>
          <w:rFonts w:ascii="Arial Narrow" w:eastAsia="Calibri" w:hAnsi="Arial Narrow"/>
        </w:rPr>
        <w:t xml:space="preserve">una serie de </w:t>
      </w:r>
      <w:r w:rsidR="002F3DFE">
        <w:rPr>
          <w:rFonts w:ascii="Arial Narrow" w:eastAsia="Calibri" w:hAnsi="Arial Narrow"/>
        </w:rPr>
        <w:t xml:space="preserve">mejoras realizadas </w:t>
      </w:r>
      <w:r w:rsidR="000323E7">
        <w:rPr>
          <w:rFonts w:ascii="Arial Narrow" w:eastAsia="Calibri" w:hAnsi="Arial Narrow"/>
        </w:rPr>
        <w:t>a</w:t>
      </w:r>
      <w:r w:rsidR="002F3DFE">
        <w:rPr>
          <w:rFonts w:ascii="Arial Narrow" w:eastAsia="Calibri" w:hAnsi="Arial Narrow"/>
        </w:rPr>
        <w:t xml:space="preserve"> los sistemas informáticos</w:t>
      </w:r>
      <w:r w:rsidR="000323E7">
        <w:rPr>
          <w:rFonts w:ascii="Arial Narrow" w:eastAsia="Calibri" w:hAnsi="Arial Narrow"/>
        </w:rPr>
        <w:t xml:space="preserve"> con el propósito de facilitar a las oficinas el seguimiento a sus metas y por ende, la calidad de la información que se genera.</w:t>
      </w:r>
    </w:p>
    <w:p w14:paraId="4345034C" w14:textId="77777777" w:rsidR="0063228E" w:rsidRDefault="0063228E" w:rsidP="00AB78AD">
      <w:pPr>
        <w:spacing w:line="360" w:lineRule="auto"/>
        <w:jc w:val="both"/>
        <w:rPr>
          <w:rFonts w:ascii="Arial Narrow" w:eastAsia="Calibri" w:hAnsi="Arial Narrow"/>
        </w:rPr>
      </w:pPr>
    </w:p>
    <w:p w14:paraId="30E1C5EA" w14:textId="084589C5" w:rsidR="00AB78AD" w:rsidRDefault="00AB78AD" w:rsidP="00AB78AD">
      <w:pPr>
        <w:spacing w:line="360" w:lineRule="auto"/>
        <w:jc w:val="both"/>
        <w:rPr>
          <w:rFonts w:ascii="Arial Narrow" w:eastAsia="Calibri" w:hAnsi="Arial Narrow"/>
        </w:rPr>
      </w:pPr>
    </w:p>
    <w:p w14:paraId="607269DD" w14:textId="77777777" w:rsidR="00AB78AD" w:rsidRDefault="00AB78AD" w:rsidP="00AB78AD">
      <w:pPr>
        <w:pStyle w:val="Descripcin"/>
        <w:jc w:val="center"/>
        <w:rPr>
          <w:rFonts w:ascii="Arial Narrow" w:hAnsi="Arial Narrow"/>
          <w:sz w:val="24"/>
          <w:szCs w:val="24"/>
        </w:rPr>
      </w:pPr>
    </w:p>
    <w:p w14:paraId="355789BF" w14:textId="77777777" w:rsidR="00931C50" w:rsidRDefault="00931C50" w:rsidP="00AB78AD">
      <w:pPr>
        <w:pStyle w:val="Descripcin"/>
        <w:jc w:val="center"/>
        <w:rPr>
          <w:rFonts w:ascii="Arial Narrow" w:hAnsi="Arial Narrow"/>
          <w:sz w:val="24"/>
          <w:szCs w:val="24"/>
        </w:rPr>
      </w:pPr>
      <w:bookmarkStart w:id="24" w:name="_Toc76062227"/>
    </w:p>
    <w:p w14:paraId="1F742E12" w14:textId="77777777" w:rsidR="00931C50" w:rsidRDefault="00931C50" w:rsidP="00AB78AD">
      <w:pPr>
        <w:pStyle w:val="Descripcin"/>
        <w:jc w:val="center"/>
        <w:rPr>
          <w:rFonts w:ascii="Arial Narrow" w:hAnsi="Arial Narrow"/>
          <w:sz w:val="24"/>
          <w:szCs w:val="24"/>
        </w:rPr>
      </w:pPr>
    </w:p>
    <w:p w14:paraId="61AAFFA7" w14:textId="77777777" w:rsidR="00931C50" w:rsidRDefault="00931C50" w:rsidP="00AB78AD">
      <w:pPr>
        <w:pStyle w:val="Descripcin"/>
        <w:jc w:val="center"/>
        <w:rPr>
          <w:rFonts w:ascii="Arial Narrow" w:hAnsi="Arial Narrow"/>
          <w:sz w:val="24"/>
          <w:szCs w:val="24"/>
        </w:rPr>
      </w:pPr>
    </w:p>
    <w:p w14:paraId="17EEF1BB" w14:textId="77777777" w:rsidR="00931C50" w:rsidRDefault="00931C50" w:rsidP="00AB78AD">
      <w:pPr>
        <w:pStyle w:val="Descripcin"/>
        <w:jc w:val="center"/>
        <w:rPr>
          <w:rFonts w:ascii="Arial Narrow" w:hAnsi="Arial Narrow"/>
          <w:sz w:val="24"/>
          <w:szCs w:val="24"/>
        </w:rPr>
      </w:pPr>
    </w:p>
    <w:p w14:paraId="0E7AB594" w14:textId="77777777" w:rsidR="00931C50" w:rsidRDefault="00931C50" w:rsidP="00AB78AD">
      <w:pPr>
        <w:pStyle w:val="Descripcin"/>
        <w:jc w:val="center"/>
        <w:rPr>
          <w:rFonts w:ascii="Arial Narrow" w:hAnsi="Arial Narrow"/>
          <w:sz w:val="24"/>
          <w:szCs w:val="24"/>
        </w:rPr>
      </w:pPr>
    </w:p>
    <w:p w14:paraId="2C717C0B" w14:textId="77777777" w:rsidR="00931C50" w:rsidRDefault="00931C50" w:rsidP="00AB78AD">
      <w:pPr>
        <w:pStyle w:val="Descripcin"/>
        <w:jc w:val="center"/>
        <w:rPr>
          <w:rFonts w:ascii="Arial Narrow" w:hAnsi="Arial Narrow"/>
          <w:sz w:val="24"/>
          <w:szCs w:val="24"/>
        </w:rPr>
      </w:pPr>
    </w:p>
    <w:p w14:paraId="4C5A024C" w14:textId="77777777" w:rsidR="00931C50" w:rsidRDefault="00931C50" w:rsidP="00AB78AD">
      <w:pPr>
        <w:pStyle w:val="Descripcin"/>
        <w:jc w:val="center"/>
        <w:rPr>
          <w:rFonts w:ascii="Arial Narrow" w:hAnsi="Arial Narrow"/>
          <w:sz w:val="24"/>
          <w:szCs w:val="24"/>
        </w:rPr>
      </w:pPr>
    </w:p>
    <w:p w14:paraId="1F8DB08D" w14:textId="59DBADC1" w:rsidR="00931C50" w:rsidRDefault="00931C50" w:rsidP="00AB78AD">
      <w:pPr>
        <w:pStyle w:val="Descripcin"/>
        <w:jc w:val="center"/>
        <w:rPr>
          <w:rFonts w:ascii="Arial Narrow" w:hAnsi="Arial Narrow"/>
          <w:sz w:val="24"/>
          <w:szCs w:val="24"/>
        </w:rPr>
      </w:pPr>
    </w:p>
    <w:p w14:paraId="5BA5B73A" w14:textId="7F731E68" w:rsidR="00113B68" w:rsidRDefault="00113B68" w:rsidP="00113B68"/>
    <w:p w14:paraId="7E628306" w14:textId="24497824" w:rsidR="00113B68" w:rsidRDefault="00113B68" w:rsidP="00113B68"/>
    <w:p w14:paraId="3192B367" w14:textId="63F94457" w:rsidR="00113B68" w:rsidRDefault="00113B68" w:rsidP="00113B68"/>
    <w:p w14:paraId="6CBFBA35" w14:textId="12578615" w:rsidR="00113B68" w:rsidRDefault="00113B68" w:rsidP="00113B68"/>
    <w:p w14:paraId="42BF8CCD" w14:textId="49895EA7" w:rsidR="00113B68" w:rsidRDefault="00113B68" w:rsidP="00113B68"/>
    <w:p w14:paraId="1EAD68C9" w14:textId="77777777" w:rsidR="00113B68" w:rsidRDefault="00113B68" w:rsidP="00113B68">
      <w:pPr>
        <w:sectPr w:rsidR="00113B68" w:rsidSect="00113B68">
          <w:pgSz w:w="12242" w:h="15842" w:code="1"/>
          <w:pgMar w:top="719" w:right="1469" w:bottom="719" w:left="1560" w:header="709" w:footer="709" w:gutter="0"/>
          <w:cols w:space="708"/>
          <w:docGrid w:linePitch="360"/>
        </w:sectPr>
      </w:pPr>
    </w:p>
    <w:p w14:paraId="3600FFC4" w14:textId="5F60C689" w:rsidR="00113B68" w:rsidRPr="00C9711A" w:rsidRDefault="00113B68" w:rsidP="00C9711A"/>
    <w:p w14:paraId="1E45A48C" w14:textId="77777777" w:rsidR="00931C50" w:rsidRDefault="00931C50" w:rsidP="00AB78AD">
      <w:pPr>
        <w:pStyle w:val="Descripcin"/>
        <w:jc w:val="center"/>
        <w:rPr>
          <w:rFonts w:ascii="Arial Narrow" w:hAnsi="Arial Narrow"/>
          <w:sz w:val="24"/>
          <w:szCs w:val="24"/>
        </w:rPr>
      </w:pPr>
    </w:p>
    <w:p w14:paraId="2054248B" w14:textId="55C9155E" w:rsidR="00AB78AD" w:rsidRDefault="00AB78AD" w:rsidP="00AB78AD">
      <w:pPr>
        <w:pStyle w:val="Descripcin"/>
        <w:jc w:val="center"/>
        <w:rPr>
          <w:rFonts w:ascii="Arial Narrow" w:eastAsia="Calibri" w:hAnsi="Arial Narrow"/>
          <w:sz w:val="24"/>
          <w:szCs w:val="24"/>
          <w:lang w:eastAsia="en-US"/>
        </w:rPr>
      </w:pPr>
      <w:r w:rsidRPr="00484CC1">
        <w:rPr>
          <w:rFonts w:ascii="Arial Narrow" w:hAnsi="Arial Narrow"/>
          <w:sz w:val="24"/>
          <w:szCs w:val="24"/>
        </w:rPr>
        <w:t xml:space="preserve">Cuadro </w:t>
      </w:r>
      <w:r w:rsidRPr="00484CC1">
        <w:rPr>
          <w:rFonts w:ascii="Arial Narrow" w:hAnsi="Arial Narrow"/>
          <w:sz w:val="24"/>
          <w:szCs w:val="24"/>
        </w:rPr>
        <w:fldChar w:fldCharType="begin"/>
      </w:r>
      <w:r w:rsidRPr="00484CC1">
        <w:rPr>
          <w:rFonts w:ascii="Arial Narrow" w:hAnsi="Arial Narrow"/>
          <w:sz w:val="24"/>
          <w:szCs w:val="24"/>
        </w:rPr>
        <w:instrText xml:space="preserve"> SEQ Cuadro_No. \* ARABIC </w:instrText>
      </w:r>
      <w:r w:rsidRPr="00484CC1">
        <w:rPr>
          <w:rFonts w:ascii="Arial Narrow" w:hAnsi="Arial Narrow"/>
          <w:sz w:val="24"/>
          <w:szCs w:val="24"/>
        </w:rPr>
        <w:fldChar w:fldCharType="separate"/>
      </w:r>
      <w:r w:rsidR="0049673D">
        <w:rPr>
          <w:rFonts w:ascii="Arial Narrow" w:hAnsi="Arial Narrow"/>
          <w:noProof/>
          <w:sz w:val="24"/>
          <w:szCs w:val="24"/>
        </w:rPr>
        <w:t>4</w:t>
      </w:r>
      <w:r w:rsidRPr="00484CC1">
        <w:rPr>
          <w:rFonts w:ascii="Arial Narrow" w:hAnsi="Arial Narrow"/>
          <w:sz w:val="24"/>
          <w:szCs w:val="24"/>
        </w:rPr>
        <w:fldChar w:fldCharType="end"/>
      </w:r>
      <w:r w:rsidRPr="00484CC1">
        <w:rPr>
          <w:rFonts w:ascii="Arial Narrow" w:hAnsi="Arial Narrow"/>
          <w:sz w:val="24"/>
          <w:szCs w:val="24"/>
        </w:rPr>
        <w:t xml:space="preserve"> </w:t>
      </w:r>
      <w:r w:rsidRPr="00665D61">
        <w:rPr>
          <w:rFonts w:ascii="Arial Narrow" w:eastAsia="Calibri" w:hAnsi="Arial Narrow"/>
          <w:sz w:val="24"/>
          <w:szCs w:val="24"/>
          <w:lang w:eastAsia="en-US"/>
        </w:rPr>
        <w:t>Metas estratégicas de Celeridad Judicial y su cumplimiento para el 2019</w:t>
      </w:r>
      <w:r>
        <w:rPr>
          <w:rFonts w:ascii="Arial Narrow" w:eastAsia="Calibri" w:hAnsi="Arial Narrow"/>
          <w:sz w:val="24"/>
          <w:szCs w:val="24"/>
          <w:lang w:eastAsia="en-US"/>
        </w:rPr>
        <w:t>-2020</w:t>
      </w:r>
      <w:bookmarkEnd w:id="24"/>
    </w:p>
    <w:p w14:paraId="570AB97E" w14:textId="77777777" w:rsidR="00AB78AD" w:rsidRPr="002E0B96" w:rsidRDefault="00AB78AD" w:rsidP="00AB78AD">
      <w:pPr>
        <w:rPr>
          <w:rFonts w:eastAsia="Calibri"/>
          <w:lang w:eastAsia="en-US"/>
        </w:rPr>
      </w:pPr>
    </w:p>
    <w:p w14:paraId="517AFE2C" w14:textId="227E0E53" w:rsidR="00AB78AD" w:rsidRDefault="00113B68" w:rsidP="00AB78AD">
      <w:pPr>
        <w:spacing w:line="360" w:lineRule="auto"/>
        <w:jc w:val="both"/>
        <w:rPr>
          <w:rFonts w:ascii="Arial Narrow" w:eastAsia="Calibri" w:hAnsi="Arial Narrow"/>
        </w:rPr>
      </w:pPr>
      <w:r w:rsidRPr="00113B68">
        <w:rPr>
          <w:noProof/>
        </w:rPr>
        <w:t xml:space="preserve"> </w:t>
      </w:r>
      <w:r>
        <w:rPr>
          <w:noProof/>
          <w:lang w:val="es-CR" w:eastAsia="es-CR"/>
        </w:rPr>
        <w:drawing>
          <wp:inline distT="0" distB="0" distL="0" distR="0" wp14:anchorId="3C800C48" wp14:editId="30121469">
            <wp:extent cx="9146540" cy="3776869"/>
            <wp:effectExtent l="19050" t="19050" r="16510" b="14605"/>
            <wp:docPr id="6" name="Imagen 6" descr="Imagen que contiene gabinete&#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6" descr="Imagen que contiene gabinete&#10;&#10;Descripción generada automáticamente"/>
                    <pic:cNvPicPr/>
                  </pic:nvPicPr>
                  <pic:blipFill>
                    <a:blip r:embed="rId57"/>
                    <a:stretch>
                      <a:fillRect/>
                    </a:stretch>
                  </pic:blipFill>
                  <pic:spPr>
                    <a:xfrm>
                      <a:off x="0" y="0"/>
                      <a:ext cx="9149892" cy="3778253"/>
                    </a:xfrm>
                    <a:prstGeom prst="rect">
                      <a:avLst/>
                    </a:prstGeom>
                    <a:ln>
                      <a:solidFill>
                        <a:schemeClr val="accent1"/>
                      </a:solidFill>
                    </a:ln>
                  </pic:spPr>
                </pic:pic>
              </a:graphicData>
            </a:graphic>
          </wp:inline>
        </w:drawing>
      </w:r>
    </w:p>
    <w:p w14:paraId="20EB3F5B" w14:textId="77777777" w:rsidR="00AB78AD" w:rsidRPr="00EE2E13" w:rsidRDefault="00AB78AD" w:rsidP="00AB78AD">
      <w:pPr>
        <w:rPr>
          <w:rFonts w:ascii="Arial Narrow" w:hAnsi="Arial Narrow"/>
          <w:sz w:val="18"/>
          <w:szCs w:val="18"/>
          <w:lang w:val="es-CR" w:eastAsia="es-CR"/>
        </w:rPr>
      </w:pPr>
      <w:r w:rsidRPr="00EE2E13">
        <w:rPr>
          <w:rFonts w:ascii="Arial Narrow" w:hAnsi="Arial Narrow"/>
          <w:sz w:val="18"/>
          <w:szCs w:val="18"/>
          <w:lang w:val="es-CR" w:eastAsia="es-CR"/>
        </w:rPr>
        <w:t>Fuente: Sistema PEI al 24 de enero del 2020 (año 2019) y 04 de marzo del 2021 (año 2020).</w:t>
      </w:r>
    </w:p>
    <w:p w14:paraId="1BA252D5" w14:textId="77777777" w:rsidR="0049673D" w:rsidRDefault="0049673D" w:rsidP="00AB78AD">
      <w:pPr>
        <w:spacing w:line="360" w:lineRule="auto"/>
        <w:jc w:val="both"/>
        <w:rPr>
          <w:rFonts w:ascii="Arial Narrow" w:eastAsia="Calibri" w:hAnsi="Arial Narrow"/>
        </w:rPr>
        <w:sectPr w:rsidR="0049673D" w:rsidSect="00113B68">
          <w:pgSz w:w="15842" w:h="12242" w:orient="landscape" w:code="1"/>
          <w:pgMar w:top="1560" w:right="719" w:bottom="1469" w:left="719" w:header="709" w:footer="709" w:gutter="0"/>
          <w:cols w:space="708"/>
          <w:docGrid w:linePitch="360"/>
        </w:sectPr>
      </w:pPr>
    </w:p>
    <w:p w14:paraId="7BEA4B84" w14:textId="50F9D662" w:rsidR="00AB78AD" w:rsidRDefault="00AB78AD" w:rsidP="00AB78AD">
      <w:pPr>
        <w:spacing w:line="360" w:lineRule="auto"/>
        <w:jc w:val="both"/>
        <w:rPr>
          <w:rFonts w:ascii="Arial Narrow" w:eastAsia="Calibri" w:hAnsi="Arial Narrow"/>
        </w:rPr>
      </w:pPr>
    </w:p>
    <w:p w14:paraId="4E4691E3" w14:textId="77777777" w:rsidR="0063228E" w:rsidRDefault="00AB78AD" w:rsidP="00AB78AD">
      <w:pPr>
        <w:spacing w:line="360" w:lineRule="auto"/>
        <w:jc w:val="both"/>
        <w:rPr>
          <w:rFonts w:ascii="Arial Narrow" w:eastAsia="Calibri" w:hAnsi="Arial Narrow"/>
        </w:rPr>
      </w:pPr>
      <w:r>
        <w:rPr>
          <w:rFonts w:ascii="Arial Narrow" w:eastAsia="Calibri" w:hAnsi="Arial Narrow"/>
        </w:rPr>
        <w:t xml:space="preserve">Por su parte, la meta estratégica </w:t>
      </w:r>
      <w:r w:rsidRPr="009F294C">
        <w:rPr>
          <w:rFonts w:ascii="Arial Narrow" w:eastAsia="Calibri" w:hAnsi="Arial Narrow"/>
          <w:b/>
          <w:bCs/>
          <w:i/>
          <w:iCs/>
        </w:rPr>
        <w:t xml:space="preserve">Que al finalizar el 2024, se haya incrementado la cantidad de casos terminados en materia </w:t>
      </w:r>
      <w:r>
        <w:rPr>
          <w:rFonts w:ascii="Arial Narrow" w:eastAsia="Calibri" w:hAnsi="Arial Narrow"/>
          <w:b/>
          <w:bCs/>
          <w:i/>
          <w:iCs/>
        </w:rPr>
        <w:t>Tránsito</w:t>
      </w:r>
      <w:r w:rsidRPr="009F294C">
        <w:rPr>
          <w:rFonts w:ascii="Arial Narrow" w:eastAsia="Calibri" w:hAnsi="Arial Narrow"/>
          <w:b/>
          <w:bCs/>
          <w:i/>
          <w:iCs/>
        </w:rPr>
        <w:t xml:space="preserve"> por año, en primera instancia</w:t>
      </w:r>
      <w:r>
        <w:rPr>
          <w:rFonts w:ascii="Arial Narrow" w:eastAsia="Calibri" w:hAnsi="Arial Narrow"/>
        </w:rPr>
        <w:t xml:space="preserve">, se </w:t>
      </w:r>
      <w:bookmarkStart w:id="25" w:name="_Hlk75954180"/>
      <w:r>
        <w:rPr>
          <w:rFonts w:ascii="Arial Narrow" w:eastAsia="Calibri" w:hAnsi="Arial Narrow"/>
        </w:rPr>
        <w:t xml:space="preserve">tiene que en el 2019 se reporta por parte de </w:t>
      </w:r>
      <w:r w:rsidRPr="00447BA9">
        <w:rPr>
          <w:rFonts w:ascii="Arial Narrow" w:eastAsia="Calibri" w:hAnsi="Arial Narrow"/>
        </w:rPr>
        <w:t>las oficinas tránsito un cumplimiento de 92%, sin embargo, al revisar los datos reportados estadísticamente por medio de SIGMA, se tiene que se terminaron 83.595 asuntos, por lo que la meta para ese año no fue alcanzada (faltaron 1.234 expedientes para alcanzarla), dado que la meta esperada era de 84.173 (equivale a un cumplimiento de 99,3%).</w:t>
      </w:r>
      <w:r>
        <w:rPr>
          <w:rFonts w:ascii="Arial Narrow" w:eastAsia="Calibri" w:hAnsi="Arial Narrow"/>
        </w:rPr>
        <w:t xml:space="preserve"> </w:t>
      </w:r>
      <w:r w:rsidRPr="00447BA9">
        <w:rPr>
          <w:rFonts w:ascii="Arial Narrow" w:eastAsia="Calibri" w:hAnsi="Arial Narrow"/>
        </w:rPr>
        <w:t xml:space="preserve"> </w:t>
      </w:r>
    </w:p>
    <w:p w14:paraId="2B8E17C5" w14:textId="77777777" w:rsidR="0063228E" w:rsidRDefault="0063228E" w:rsidP="00AB78AD">
      <w:pPr>
        <w:spacing w:line="360" w:lineRule="auto"/>
        <w:jc w:val="both"/>
        <w:rPr>
          <w:rFonts w:ascii="Arial Narrow" w:eastAsia="Calibri" w:hAnsi="Arial Narrow"/>
        </w:rPr>
      </w:pPr>
    </w:p>
    <w:p w14:paraId="5EE5EBAA" w14:textId="67ADB727" w:rsidR="00F312EA" w:rsidRDefault="00E10947" w:rsidP="00F312EA">
      <w:pPr>
        <w:spacing w:line="360" w:lineRule="auto"/>
        <w:jc w:val="both"/>
        <w:rPr>
          <w:rFonts w:ascii="Arial Narrow" w:eastAsia="Calibri" w:hAnsi="Arial Narrow"/>
        </w:rPr>
      </w:pPr>
      <w:r>
        <w:rPr>
          <w:rFonts w:ascii="Arial Narrow" w:eastAsia="Calibri" w:hAnsi="Arial Narrow"/>
        </w:rPr>
        <w:t>En relación con la variable “Casos Terminados” a nivel institucional, p</w:t>
      </w:r>
      <w:r w:rsidR="00AB78AD" w:rsidRPr="00447BA9">
        <w:rPr>
          <w:rFonts w:ascii="Arial Narrow" w:eastAsia="Calibri" w:hAnsi="Arial Narrow"/>
        </w:rPr>
        <w:t xml:space="preserve">ara el 2020, se tiene un reporte de cumplimiento por parte de las oficinas de un 90%, al confrontar este dato contra los terminados oficiales para ese año, se registran 59.491 asuntos terminados, dato que al confrontarlo contra lo esperado para ese año (85.015 asuntos) no se terminaron 25 mil asuntos que se </w:t>
      </w:r>
      <w:r w:rsidR="00AB78AD">
        <w:rPr>
          <w:rFonts w:ascii="Arial Narrow" w:eastAsia="Calibri" w:hAnsi="Arial Narrow"/>
        </w:rPr>
        <w:t>requerían</w:t>
      </w:r>
      <w:r w:rsidR="00AB78AD" w:rsidRPr="00447BA9">
        <w:rPr>
          <w:rFonts w:ascii="Arial Narrow" w:eastAsia="Calibri" w:hAnsi="Arial Narrow"/>
        </w:rPr>
        <w:t xml:space="preserve"> para completar la meta</w:t>
      </w:r>
      <w:r w:rsidR="00AB78AD">
        <w:rPr>
          <w:rFonts w:ascii="Arial Narrow" w:eastAsia="Calibri" w:hAnsi="Arial Narrow"/>
        </w:rPr>
        <w:t xml:space="preserve">, lo que representa un nivel de cumplimiento real de 69,9% por lo que se concluye que para ambos años no se logró alcanzar la meta propuesta, principalmente en el 2020 que hubo una afectación mayor por motivo de la pandemia y se registra un cumplimiento medio. </w:t>
      </w:r>
    </w:p>
    <w:p w14:paraId="1199CE45" w14:textId="358EBED0" w:rsidR="00766AC6" w:rsidRDefault="00766AC6">
      <w:pPr>
        <w:spacing w:line="360" w:lineRule="auto"/>
        <w:jc w:val="both"/>
        <w:rPr>
          <w:rFonts w:ascii="Arial Narrow" w:eastAsia="Calibri" w:hAnsi="Arial Narrow"/>
        </w:rPr>
      </w:pPr>
    </w:p>
    <w:p w14:paraId="0D72B226" w14:textId="62E98157" w:rsidR="00BE7C90" w:rsidRPr="00BE7C90" w:rsidRDefault="00AB78AD" w:rsidP="00CC279A">
      <w:pPr>
        <w:spacing w:line="360" w:lineRule="auto"/>
        <w:jc w:val="both"/>
        <w:rPr>
          <w:rFonts w:ascii="Segoe UI" w:hAnsi="Segoe UI" w:cs="Segoe UI"/>
          <w:lang w:val="es-CR" w:eastAsia="es-CR"/>
        </w:rPr>
      </w:pPr>
      <w:r w:rsidRPr="00CC279A">
        <w:rPr>
          <w:rFonts w:ascii="Arial Narrow" w:eastAsia="Calibri" w:hAnsi="Arial Narrow"/>
        </w:rPr>
        <w:t>Como un aspecto valioso por destacar es que la entrada de asuntos en el 2019 fue de 79.873 y para el 2020 fue de 51.740 (diferencia de 28.133 expedientes).</w:t>
      </w:r>
      <w:r w:rsidR="002D6149" w:rsidRPr="00CC279A">
        <w:rPr>
          <w:rFonts w:ascii="Arial Narrow" w:eastAsia="Calibri" w:hAnsi="Arial Narrow"/>
        </w:rPr>
        <w:t xml:space="preserve">  </w:t>
      </w:r>
      <w:r w:rsidR="000323E7" w:rsidRPr="00CC279A">
        <w:rPr>
          <w:rFonts w:ascii="Arial Narrow" w:eastAsia="Calibri" w:hAnsi="Arial Narrow"/>
        </w:rPr>
        <w:t>Al respecto, l</w:t>
      </w:r>
      <w:r w:rsidR="002D6149" w:rsidRPr="00CC279A">
        <w:rPr>
          <w:rFonts w:ascii="Arial Narrow" w:eastAsia="Calibri" w:hAnsi="Arial Narrow"/>
        </w:rPr>
        <w:t xml:space="preserve">a Dirección de Planificación está trabajando en un informe de proyecciones de casos terminados para el ajuste de la línea base como parte del realineamiento estratégico (921-PLA-PE-2021) el cual </w:t>
      </w:r>
      <w:r w:rsidR="00BE7C90" w:rsidRPr="00CC279A">
        <w:rPr>
          <w:rFonts w:ascii="Arial Narrow" w:eastAsia="Calibri" w:hAnsi="Arial Narrow"/>
        </w:rPr>
        <w:t>se encuentra</w:t>
      </w:r>
      <w:r w:rsidR="002D6149" w:rsidRPr="00CC279A">
        <w:rPr>
          <w:rFonts w:ascii="Arial Narrow" w:eastAsia="Calibri" w:hAnsi="Arial Narrow"/>
        </w:rPr>
        <w:t xml:space="preserve"> en </w:t>
      </w:r>
      <w:r w:rsidR="00BE7C90" w:rsidRPr="00CC279A">
        <w:rPr>
          <w:rFonts w:ascii="Arial Narrow" w:eastAsia="Calibri" w:hAnsi="Arial Narrow"/>
        </w:rPr>
        <w:t>consulta. Por otra parte,  se presentó el</w:t>
      </w:r>
      <w:r w:rsidR="002D6149" w:rsidRPr="00CC279A">
        <w:rPr>
          <w:rFonts w:ascii="Arial Narrow" w:eastAsia="Calibri" w:hAnsi="Arial Narrow"/>
        </w:rPr>
        <w:t xml:space="preserve"> Informe 301</w:t>
      </w:r>
      <w:r w:rsidR="00BE7C90" w:rsidRPr="00CC279A">
        <w:rPr>
          <w:rFonts w:ascii="Arial Narrow" w:eastAsia="Calibri" w:hAnsi="Arial Narrow"/>
        </w:rPr>
        <w:t>PLA-MI-2021/76-CACMFJ-JEF-2021 relacionado con los resultados del seguimiento mensual de la materia Penal y no Penal durante la atención de la emergencia COVID-19, de octubre 2020 a enero 2021</w:t>
      </w:r>
      <w:r w:rsidR="00E10947" w:rsidRPr="00766AC6">
        <w:rPr>
          <w:rFonts w:ascii="Arial Narrow" w:eastAsia="Calibri" w:hAnsi="Arial Narrow"/>
        </w:rPr>
        <w:t xml:space="preserve"> y dentro de este informe sobresale </w:t>
      </w:r>
      <w:r w:rsidR="00F54A90" w:rsidRPr="00766AC6">
        <w:rPr>
          <w:rFonts w:ascii="Arial Narrow" w:eastAsia="Calibri" w:hAnsi="Arial Narrow"/>
        </w:rPr>
        <w:t>la necesidad de c</w:t>
      </w:r>
      <w:r w:rsidR="00F54A90" w:rsidRPr="00CC279A">
        <w:rPr>
          <w:rFonts w:ascii="Arial Narrow" w:eastAsia="Calibri" w:hAnsi="Arial Narrow"/>
        </w:rPr>
        <w:t>ontinuar con el cumplimiento de los parámetros de producción, siempre y cuando se cuenten con las condiciones de salud e infraestructura para poder hacer las diferentes diligencias, caso contrario se deben establecer las respectivas justificaciones</w:t>
      </w:r>
      <w:r w:rsidR="00F54A90">
        <w:rPr>
          <w:rFonts w:ascii="Arial Narrow" w:eastAsia="Calibri" w:hAnsi="Arial Narrow"/>
        </w:rPr>
        <w:t xml:space="preserve">, </w:t>
      </w:r>
      <w:r w:rsidR="005F679B">
        <w:rPr>
          <w:rFonts w:ascii="Arial Narrow" w:eastAsia="Calibri" w:hAnsi="Arial Narrow"/>
        </w:rPr>
        <w:t xml:space="preserve">y por su parte, la </w:t>
      </w:r>
      <w:r w:rsidR="005F679B" w:rsidRPr="008D3D13">
        <w:rPr>
          <w:rFonts w:ascii="Arial Narrow" w:eastAsia="Calibri" w:hAnsi="Arial Narrow"/>
        </w:rPr>
        <w:t xml:space="preserve">Dirección de Planificación </w:t>
      </w:r>
      <w:r w:rsidR="005F679B">
        <w:rPr>
          <w:rFonts w:ascii="Arial Narrow" w:eastAsia="Calibri" w:hAnsi="Arial Narrow"/>
        </w:rPr>
        <w:t xml:space="preserve"> c</w:t>
      </w:r>
      <w:r w:rsidR="005F679B" w:rsidRPr="00CC279A">
        <w:rPr>
          <w:rFonts w:ascii="Arial Narrow" w:eastAsia="Calibri" w:hAnsi="Arial Narrow"/>
        </w:rPr>
        <w:t xml:space="preserve">ontinuará con los seguimientos mensuales de las labores realizadas por las diferentes oficinas, los cuales serán presentados </w:t>
      </w:r>
      <w:r w:rsidR="005F679B">
        <w:rPr>
          <w:rFonts w:ascii="Arial Narrow" w:eastAsia="Calibri" w:hAnsi="Arial Narrow"/>
        </w:rPr>
        <w:t>ante e</w:t>
      </w:r>
      <w:r w:rsidR="005F679B" w:rsidRPr="00CC279A">
        <w:rPr>
          <w:rFonts w:ascii="Arial Narrow" w:eastAsia="Calibri" w:hAnsi="Arial Narrow"/>
        </w:rPr>
        <w:t>l Consejo Superior</w:t>
      </w:r>
      <w:r w:rsidR="005F679B" w:rsidRPr="005F679B" w:rsidDel="00F54A90">
        <w:rPr>
          <w:rFonts w:ascii="Arial Narrow" w:eastAsia="Calibri" w:hAnsi="Arial Narrow"/>
        </w:rPr>
        <w:t xml:space="preserve"> </w:t>
      </w:r>
      <w:r w:rsidR="00BE7C90" w:rsidRPr="00CC279A">
        <w:rPr>
          <w:rFonts w:ascii="Arial Narrow" w:eastAsia="Calibri" w:hAnsi="Arial Narrow"/>
        </w:rPr>
        <w:t>. Este informe contiene la información recopilada por la Dirección de Planificación y por el Centro de Apoyo, Coordinación y Mejoramiento de la Función Jurisdiccional</w:t>
      </w:r>
      <w:r w:rsidR="006F5F0C">
        <w:rPr>
          <w:rFonts w:ascii="Arial Narrow" w:eastAsia="Calibri" w:hAnsi="Arial Narrow"/>
        </w:rPr>
        <w:t>.</w:t>
      </w:r>
    </w:p>
    <w:bookmarkEnd w:id="25"/>
    <w:p w14:paraId="2E2F53AF" w14:textId="52288D46" w:rsidR="00AB78AD" w:rsidRDefault="00E10947" w:rsidP="00125E7D">
      <w:pPr>
        <w:spacing w:line="360" w:lineRule="auto"/>
        <w:jc w:val="both"/>
        <w:rPr>
          <w:rFonts w:ascii="Arial Narrow" w:eastAsia="Calibri" w:hAnsi="Arial Narrow"/>
        </w:rPr>
      </w:pPr>
      <w:r>
        <w:rPr>
          <w:rFonts w:ascii="Arial Narrow" w:eastAsia="Calibri" w:hAnsi="Arial Narrow"/>
        </w:rPr>
        <w:br w:type="page"/>
      </w:r>
      <w:r w:rsidR="00AB78AD" w:rsidRPr="009D27BE">
        <w:rPr>
          <w:rFonts w:ascii="Arial Narrow" w:eastAsia="Calibri" w:hAnsi="Arial Narrow"/>
        </w:rPr>
        <w:lastRenderedPageBreak/>
        <w:t>Co</w:t>
      </w:r>
      <w:r w:rsidR="00AB78AD">
        <w:rPr>
          <w:rFonts w:ascii="Arial Narrow" w:eastAsia="Calibri" w:hAnsi="Arial Narrow"/>
        </w:rPr>
        <w:t xml:space="preserve">n respecto a la meta estratégica </w:t>
      </w:r>
      <w:r w:rsidR="00AB78AD" w:rsidRPr="00CC279A">
        <w:rPr>
          <w:rFonts w:ascii="Arial Narrow" w:eastAsia="Calibri" w:hAnsi="Arial Narrow"/>
        </w:rPr>
        <w:t>Que al finalizar el 2024, se haya incrementado la cantidad de casos terminados en materia Constitucional por año, en primera instancia</w:t>
      </w:r>
      <w:r w:rsidR="00AB78AD">
        <w:rPr>
          <w:rFonts w:ascii="Arial Narrow" w:eastAsia="Calibri" w:hAnsi="Arial Narrow"/>
        </w:rPr>
        <w:t>, se tiene que en el 2019 y 2020 se reporta por parte de la Sala Constitucional un cumplimiento de 100%, sin embargo, al revisar los datos reportados estadísticamente por medio de SIGMA, se tiene que se terminaron 23.424 asuntos en el 2019 y 23.174 asuntos en el 2020, lo que sobrepasa las metas esperadas para cada año en más de 6 mil casos (la meta esperada para 2019 era de 19.878 y para el 2020 fue de 20.076 expedientes), por lo que el cumplimiento acumulado es de 100% con un cumplimiento total.</w:t>
      </w:r>
    </w:p>
    <w:p w14:paraId="68AA22E2" w14:textId="77777777" w:rsidR="00AB78AD" w:rsidRDefault="00AB78AD" w:rsidP="00AB78AD">
      <w:pPr>
        <w:spacing w:line="360" w:lineRule="auto"/>
        <w:jc w:val="both"/>
        <w:rPr>
          <w:rFonts w:ascii="Arial Narrow" w:eastAsia="Calibri" w:hAnsi="Arial Narrow"/>
        </w:rPr>
      </w:pPr>
    </w:p>
    <w:p w14:paraId="531AF0FA" w14:textId="7B6778CF" w:rsidR="0049673D" w:rsidRDefault="00AB78AD" w:rsidP="00AB78AD">
      <w:pPr>
        <w:spacing w:line="360" w:lineRule="auto"/>
        <w:jc w:val="both"/>
        <w:rPr>
          <w:rFonts w:ascii="Arial Narrow" w:eastAsia="Calibri" w:hAnsi="Arial Narrow"/>
        </w:rPr>
        <w:sectPr w:rsidR="0049673D" w:rsidSect="0049673D">
          <w:pgSz w:w="12242" w:h="15842" w:code="1"/>
          <w:pgMar w:top="719" w:right="1469" w:bottom="719" w:left="1560" w:header="709" w:footer="709" w:gutter="0"/>
          <w:cols w:space="708"/>
          <w:docGrid w:linePitch="360"/>
        </w:sectPr>
      </w:pPr>
      <w:r>
        <w:rPr>
          <w:rFonts w:ascii="Arial Narrow" w:eastAsia="Calibri" w:hAnsi="Arial Narrow"/>
        </w:rPr>
        <w:t xml:space="preserve">Por otro lado, la meta estratégica </w:t>
      </w:r>
      <w:r w:rsidRPr="00211882">
        <w:rPr>
          <w:rFonts w:ascii="Arial Narrow" w:eastAsia="Calibri" w:hAnsi="Arial Narrow"/>
          <w:b/>
          <w:bCs/>
          <w:i/>
          <w:iCs/>
        </w:rPr>
        <w:t>Que al finalizar el 2024, se haya incrementado la cantidad de casos terminados en materia Notarial anualmente</w:t>
      </w:r>
      <w:r>
        <w:rPr>
          <w:rFonts w:ascii="Arial Narrow" w:eastAsia="Calibri" w:hAnsi="Arial Narrow"/>
        </w:rPr>
        <w:t>, se tiene que en el 2019 y 2020 se reporta por parte del Juzgado Notarial un cumplimiento de 89% y 82% respectivamente, sin embargo, al revisar los datos reportados estadísticamente por medio de SIGMA, se tiene que se terminaron 822 asuntos en el 2019 y 717 asuntos en el 2020, lo que representa en términos de cumplimiento de las metas esperadas en un 92.8% para el 2019 y de un 80.2% para el 2020, por lo que el cumplimiento es alto para el primer año del PEI, pero para el segundo el cumplimiento es medio</w:t>
      </w:r>
    </w:p>
    <w:p w14:paraId="62092EC9" w14:textId="3D507811" w:rsidR="00AB78AD" w:rsidRDefault="00AB78AD" w:rsidP="00AB78AD">
      <w:pPr>
        <w:spacing w:line="360" w:lineRule="auto"/>
        <w:jc w:val="both"/>
        <w:rPr>
          <w:rFonts w:ascii="Arial Narrow" w:eastAsia="Calibri" w:hAnsi="Arial Narrow"/>
        </w:rPr>
      </w:pPr>
    </w:p>
    <w:p w14:paraId="1554CA6F" w14:textId="77777777" w:rsidR="00AB78AD" w:rsidRDefault="00AB78AD" w:rsidP="00AB78AD">
      <w:pPr>
        <w:spacing w:line="360" w:lineRule="auto"/>
        <w:jc w:val="both"/>
        <w:rPr>
          <w:rFonts w:ascii="Arial Narrow" w:eastAsia="Calibri" w:hAnsi="Arial Narrow"/>
        </w:rPr>
      </w:pPr>
    </w:p>
    <w:p w14:paraId="70E6D000" w14:textId="76BEE9C1" w:rsidR="00AB78AD" w:rsidRDefault="00AB78AD" w:rsidP="00AB78AD">
      <w:pPr>
        <w:pStyle w:val="Descripcin"/>
        <w:jc w:val="center"/>
        <w:rPr>
          <w:rFonts w:ascii="Arial Narrow" w:eastAsia="Calibri" w:hAnsi="Arial Narrow"/>
          <w:sz w:val="24"/>
          <w:szCs w:val="24"/>
          <w:lang w:eastAsia="en-US"/>
        </w:rPr>
      </w:pPr>
      <w:bookmarkStart w:id="26" w:name="_Toc76062228"/>
      <w:r w:rsidRPr="00484CC1">
        <w:rPr>
          <w:rFonts w:ascii="Arial Narrow" w:hAnsi="Arial Narrow"/>
          <w:sz w:val="24"/>
          <w:szCs w:val="24"/>
        </w:rPr>
        <w:t xml:space="preserve">Cuadro </w:t>
      </w:r>
      <w:r w:rsidRPr="00484CC1">
        <w:rPr>
          <w:rFonts w:ascii="Arial Narrow" w:hAnsi="Arial Narrow"/>
          <w:sz w:val="24"/>
          <w:szCs w:val="24"/>
        </w:rPr>
        <w:fldChar w:fldCharType="begin"/>
      </w:r>
      <w:r w:rsidRPr="00484CC1">
        <w:rPr>
          <w:rFonts w:ascii="Arial Narrow" w:hAnsi="Arial Narrow"/>
          <w:sz w:val="24"/>
          <w:szCs w:val="24"/>
        </w:rPr>
        <w:instrText xml:space="preserve"> SEQ Cuadro_No. \* ARABIC </w:instrText>
      </w:r>
      <w:r w:rsidRPr="00484CC1">
        <w:rPr>
          <w:rFonts w:ascii="Arial Narrow" w:hAnsi="Arial Narrow"/>
          <w:sz w:val="24"/>
          <w:szCs w:val="24"/>
        </w:rPr>
        <w:fldChar w:fldCharType="separate"/>
      </w:r>
      <w:r w:rsidR="0049673D">
        <w:rPr>
          <w:rFonts w:ascii="Arial Narrow" w:hAnsi="Arial Narrow"/>
          <w:noProof/>
          <w:sz w:val="24"/>
          <w:szCs w:val="24"/>
        </w:rPr>
        <w:t>5</w:t>
      </w:r>
      <w:r w:rsidRPr="00484CC1">
        <w:rPr>
          <w:rFonts w:ascii="Arial Narrow" w:hAnsi="Arial Narrow"/>
          <w:sz w:val="24"/>
          <w:szCs w:val="24"/>
        </w:rPr>
        <w:fldChar w:fldCharType="end"/>
      </w:r>
      <w:r w:rsidRPr="00484CC1">
        <w:rPr>
          <w:rFonts w:ascii="Arial Narrow" w:hAnsi="Arial Narrow"/>
          <w:sz w:val="24"/>
          <w:szCs w:val="24"/>
        </w:rPr>
        <w:t xml:space="preserve"> </w:t>
      </w:r>
      <w:r>
        <w:rPr>
          <w:rFonts w:ascii="Arial Narrow" w:hAnsi="Arial Narrow"/>
          <w:sz w:val="24"/>
          <w:szCs w:val="24"/>
        </w:rPr>
        <w:t xml:space="preserve">Continuación de </w:t>
      </w:r>
      <w:r w:rsidRPr="00665D61">
        <w:rPr>
          <w:rFonts w:ascii="Arial Narrow" w:eastAsia="Calibri" w:hAnsi="Arial Narrow"/>
          <w:sz w:val="24"/>
          <w:szCs w:val="24"/>
          <w:lang w:eastAsia="en-US"/>
        </w:rPr>
        <w:t>Metas estratégicas de Celeridad Judicial y su cumplimiento para el 2019</w:t>
      </w:r>
      <w:r>
        <w:rPr>
          <w:rFonts w:ascii="Arial Narrow" w:eastAsia="Calibri" w:hAnsi="Arial Narrow"/>
          <w:sz w:val="24"/>
          <w:szCs w:val="24"/>
          <w:lang w:eastAsia="en-US"/>
        </w:rPr>
        <w:t>-2020</w:t>
      </w:r>
      <w:bookmarkEnd w:id="26"/>
    </w:p>
    <w:p w14:paraId="61C67B5F" w14:textId="77777777" w:rsidR="00AB78AD" w:rsidRDefault="00AB78AD" w:rsidP="00AB78AD">
      <w:pPr>
        <w:spacing w:line="360" w:lineRule="auto"/>
        <w:jc w:val="both"/>
        <w:rPr>
          <w:rFonts w:ascii="Arial Narrow" w:eastAsia="Calibri" w:hAnsi="Arial Narrow"/>
        </w:rPr>
      </w:pPr>
    </w:p>
    <w:p w14:paraId="1677D098" w14:textId="77777777" w:rsidR="00AB78AD" w:rsidRDefault="00AB78AD" w:rsidP="00AB78AD">
      <w:pPr>
        <w:spacing w:line="360" w:lineRule="auto"/>
        <w:jc w:val="both"/>
        <w:rPr>
          <w:rFonts w:ascii="Arial Narrow" w:eastAsia="Calibri" w:hAnsi="Arial Narrow"/>
        </w:rPr>
      </w:pPr>
      <w:r>
        <w:rPr>
          <w:noProof/>
          <w:lang w:val="es-CR" w:eastAsia="es-CR"/>
        </w:rPr>
        <w:drawing>
          <wp:inline distT="0" distB="0" distL="0" distR="0" wp14:anchorId="0CE02CCE" wp14:editId="2CB6BBE8">
            <wp:extent cx="9146540" cy="3407890"/>
            <wp:effectExtent l="19050" t="19050" r="16510" b="21590"/>
            <wp:docPr id="70" name="Imagen 70" descr="Imagen que contiene gabinete, reloj, computador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n 70" descr="Imagen que contiene gabinete, reloj, computadora&#10;&#10;Descripción generada automáticamente"/>
                    <pic:cNvPicPr/>
                  </pic:nvPicPr>
                  <pic:blipFill>
                    <a:blip r:embed="rId58"/>
                    <a:stretch>
                      <a:fillRect/>
                    </a:stretch>
                  </pic:blipFill>
                  <pic:spPr>
                    <a:xfrm>
                      <a:off x="0" y="0"/>
                      <a:ext cx="9151103" cy="3409590"/>
                    </a:xfrm>
                    <a:prstGeom prst="rect">
                      <a:avLst/>
                    </a:prstGeom>
                    <a:ln w="19050">
                      <a:solidFill>
                        <a:schemeClr val="accent1"/>
                      </a:solidFill>
                    </a:ln>
                  </pic:spPr>
                </pic:pic>
              </a:graphicData>
            </a:graphic>
          </wp:inline>
        </w:drawing>
      </w:r>
    </w:p>
    <w:p w14:paraId="0D8A0BF9" w14:textId="77777777" w:rsidR="00AB78AD" w:rsidRDefault="00AB78AD" w:rsidP="00AB78AD">
      <w:pPr>
        <w:spacing w:line="360" w:lineRule="auto"/>
        <w:jc w:val="both"/>
        <w:rPr>
          <w:rFonts w:ascii="Arial Narrow" w:eastAsia="Calibri" w:hAnsi="Arial Narrow"/>
        </w:rPr>
      </w:pPr>
      <w:r w:rsidRPr="00EE2E13">
        <w:rPr>
          <w:rFonts w:ascii="Arial Narrow" w:hAnsi="Arial Narrow"/>
          <w:sz w:val="18"/>
          <w:szCs w:val="18"/>
          <w:lang w:val="es-CR" w:eastAsia="es-CR"/>
        </w:rPr>
        <w:t>Fuente: Sistema PEI al 24 de enero del 2020 (año 2019) y 04 de marzo del 2021 (año 2020).</w:t>
      </w:r>
    </w:p>
    <w:p w14:paraId="37D27BC3" w14:textId="77777777" w:rsidR="0049673D" w:rsidRDefault="0049673D" w:rsidP="00AB78AD">
      <w:pPr>
        <w:spacing w:line="360" w:lineRule="auto"/>
        <w:jc w:val="both"/>
        <w:rPr>
          <w:rFonts w:ascii="Arial Narrow" w:eastAsia="Calibri" w:hAnsi="Arial Narrow"/>
        </w:rPr>
        <w:sectPr w:rsidR="0049673D" w:rsidSect="0049673D">
          <w:pgSz w:w="15842" w:h="12242" w:orient="landscape" w:code="1"/>
          <w:pgMar w:top="1560" w:right="719" w:bottom="1469" w:left="719" w:header="709" w:footer="709" w:gutter="0"/>
          <w:cols w:space="708"/>
          <w:docGrid w:linePitch="360"/>
        </w:sectPr>
      </w:pPr>
    </w:p>
    <w:p w14:paraId="03F9FE24" w14:textId="151A94FD" w:rsidR="00AB78AD" w:rsidRDefault="00AB78AD" w:rsidP="00AB78AD">
      <w:pPr>
        <w:spacing w:line="360" w:lineRule="auto"/>
        <w:jc w:val="both"/>
        <w:rPr>
          <w:rFonts w:ascii="Arial Narrow" w:eastAsia="Calibri" w:hAnsi="Arial Narrow"/>
        </w:rPr>
      </w:pPr>
    </w:p>
    <w:p w14:paraId="289764C6" w14:textId="63654864" w:rsidR="00AB78AD" w:rsidRDefault="00AB78AD" w:rsidP="00AB78AD">
      <w:pPr>
        <w:spacing w:line="360" w:lineRule="auto"/>
        <w:jc w:val="both"/>
        <w:rPr>
          <w:rFonts w:ascii="Arial Narrow" w:eastAsia="Calibri" w:hAnsi="Arial Narrow"/>
        </w:rPr>
      </w:pPr>
      <w:r>
        <w:rPr>
          <w:rFonts w:ascii="Arial Narrow" w:eastAsia="Calibri" w:hAnsi="Arial Narrow"/>
        </w:rPr>
        <w:t xml:space="preserve">Por otro lado, la meta estratégica </w:t>
      </w:r>
      <w:r w:rsidRPr="00007995">
        <w:rPr>
          <w:rFonts w:ascii="Arial Narrow" w:eastAsia="Calibri" w:hAnsi="Arial Narrow"/>
          <w:b/>
          <w:bCs/>
          <w:i/>
          <w:iCs/>
        </w:rPr>
        <w:t>Que al finalizar el 2024, se haya incrementado la cantidad de casos terminados en la jurisdicción Contenciosa Administrativa por año, en segunda instancia</w:t>
      </w:r>
      <w:r>
        <w:rPr>
          <w:rFonts w:ascii="Arial Narrow" w:eastAsia="Calibri" w:hAnsi="Arial Narrow"/>
        </w:rPr>
        <w:t>, se tiene que en el 2019 los despachos de segunda instancia en Contencioso registraron un cumplimiento del 50%</w:t>
      </w:r>
      <w:r w:rsidR="00AE3F2A">
        <w:rPr>
          <w:rFonts w:ascii="Arial Narrow" w:eastAsia="Calibri" w:hAnsi="Arial Narrow"/>
        </w:rPr>
        <w:t xml:space="preserve">, </w:t>
      </w:r>
      <w:r>
        <w:rPr>
          <w:rFonts w:ascii="Arial Narrow" w:eastAsia="Calibri" w:hAnsi="Arial Narrow"/>
        </w:rPr>
        <w:t xml:space="preserve"> sin embargo</w:t>
      </w:r>
      <w:r w:rsidR="00AE3F2A">
        <w:rPr>
          <w:rFonts w:ascii="Arial Narrow" w:eastAsia="Calibri" w:hAnsi="Arial Narrow"/>
        </w:rPr>
        <w:t>,</w:t>
      </w:r>
      <w:r>
        <w:rPr>
          <w:rFonts w:ascii="Arial Narrow" w:eastAsia="Calibri" w:hAnsi="Arial Narrow"/>
        </w:rPr>
        <w:t xml:space="preserve"> al revisar los casos terminados estadísticamente, se tienen 14.460 casos para el Tribunal Contencioso Administrativo y 1445 asuntos para el Tribunal de Apelación Contencioso Administrativo y Civil de Hacienda,  lo que representa un cumplimiento de 100%. Mientras que para el 2020 se reporta un cumplimiento de 100% por parte de las oficinas, y al confrontar el dato con la estadística oficial, se tienen 12.791 casos para el Tribunal Contencioso Administrativo y 1108 asuntos para el Tribunal de Apelaci</w:t>
      </w:r>
      <w:r w:rsidR="00AE3F2A">
        <w:rPr>
          <w:rFonts w:ascii="Arial Narrow" w:eastAsia="Calibri" w:hAnsi="Arial Narrow"/>
        </w:rPr>
        <w:t>ó</w:t>
      </w:r>
      <w:r>
        <w:rPr>
          <w:rFonts w:ascii="Arial Narrow" w:eastAsia="Calibri" w:hAnsi="Arial Narrow"/>
        </w:rPr>
        <w:t xml:space="preserve">n Contencioso Administrativo y Civil de Hacienda, lo que representa un cumplimiento de 100%. </w:t>
      </w:r>
    </w:p>
    <w:p w14:paraId="22619E1A" w14:textId="3313D3DA" w:rsidR="00145CF2" w:rsidRPr="00624C11" w:rsidRDefault="00145CF2" w:rsidP="00145CF2">
      <w:pPr>
        <w:spacing w:line="360" w:lineRule="auto"/>
        <w:jc w:val="both"/>
        <w:rPr>
          <w:rFonts w:ascii="Arial Narrow" w:eastAsia="Calibri" w:hAnsi="Arial Narrow"/>
        </w:rPr>
        <w:sectPr w:rsidR="00145CF2" w:rsidRPr="00624C11" w:rsidSect="0049673D">
          <w:pgSz w:w="12242" w:h="15842" w:code="1"/>
          <w:pgMar w:top="719" w:right="1469" w:bottom="719" w:left="1560" w:header="709" w:footer="709" w:gutter="0"/>
          <w:cols w:space="708"/>
          <w:docGrid w:linePitch="360"/>
        </w:sectPr>
      </w:pPr>
      <w:r w:rsidRPr="00624C11">
        <w:rPr>
          <w:rFonts w:ascii="Arial Narrow" w:eastAsia="Calibri" w:hAnsi="Arial Narrow"/>
        </w:rPr>
        <w:t>Es importante aclarar que el Tribunal Contencioso</w:t>
      </w:r>
      <w:r>
        <w:rPr>
          <w:rFonts w:ascii="Arial Narrow" w:eastAsia="Calibri" w:hAnsi="Arial Narrow"/>
        </w:rPr>
        <w:t xml:space="preserve"> Administrativo</w:t>
      </w:r>
      <w:r w:rsidRPr="00624C11">
        <w:rPr>
          <w:rFonts w:ascii="Arial Narrow" w:eastAsia="Calibri" w:hAnsi="Arial Narrow"/>
        </w:rPr>
        <w:t xml:space="preserve"> si es responsable de </w:t>
      </w:r>
      <w:r>
        <w:rPr>
          <w:rFonts w:ascii="Arial Narrow" w:eastAsia="Calibri" w:hAnsi="Arial Narrow"/>
        </w:rPr>
        <w:t xml:space="preserve">los </w:t>
      </w:r>
      <w:r w:rsidRPr="00624C11">
        <w:rPr>
          <w:rFonts w:ascii="Arial Narrow" w:eastAsia="Calibri" w:hAnsi="Arial Narrow"/>
        </w:rPr>
        <w:t xml:space="preserve">asuntos de </w:t>
      </w:r>
      <w:r>
        <w:rPr>
          <w:rFonts w:ascii="Arial Narrow" w:eastAsia="Calibri" w:hAnsi="Arial Narrow"/>
        </w:rPr>
        <w:t>primera</w:t>
      </w:r>
      <w:r w:rsidRPr="00624C11">
        <w:rPr>
          <w:rFonts w:ascii="Arial Narrow" w:eastAsia="Calibri" w:hAnsi="Arial Narrow"/>
        </w:rPr>
        <w:t xml:space="preserve"> instancia </w:t>
      </w:r>
      <w:r>
        <w:rPr>
          <w:rFonts w:ascii="Arial Narrow" w:eastAsia="Calibri" w:hAnsi="Arial Narrow"/>
        </w:rPr>
        <w:t xml:space="preserve">que corresponden al Código Procesal Contencioso (contexto 1027) y además es responsable de los asuntos de Primera y Segunda Instancia que corresponde a Ley Reguladora de la Jurisdicción Contenciosa (contexto 0161). </w:t>
      </w:r>
      <w:r w:rsidRPr="00624C11">
        <w:rPr>
          <w:rFonts w:ascii="Arial Narrow" w:eastAsia="Calibri" w:hAnsi="Arial Narrow"/>
        </w:rPr>
        <w:t xml:space="preserve"> En el caso del Juzgado funge únicamente como primera instancia tanto en asuntos como del </w:t>
      </w:r>
      <w:r>
        <w:rPr>
          <w:rFonts w:ascii="Arial Narrow" w:eastAsia="Calibri" w:hAnsi="Arial Narrow"/>
        </w:rPr>
        <w:t>Código Procesal Contencioso (contexto 1028) y como de la Ley Reguladora de la Jurisdicción Contenciosa (contexto 0163)</w:t>
      </w:r>
      <w:r w:rsidR="00605BF0">
        <w:rPr>
          <w:rFonts w:ascii="Arial Narrow" w:eastAsia="Calibri" w:hAnsi="Arial Narrow"/>
        </w:rPr>
        <w:t>.</w:t>
      </w:r>
      <w:r>
        <w:rPr>
          <w:rFonts w:ascii="Arial Narrow" w:eastAsia="Calibri" w:hAnsi="Arial Narrow"/>
        </w:rPr>
        <w:t xml:space="preserve">  </w:t>
      </w:r>
    </w:p>
    <w:p w14:paraId="3F971732" w14:textId="77777777" w:rsidR="00145CF2" w:rsidRDefault="00145CF2" w:rsidP="00AB78AD">
      <w:pPr>
        <w:spacing w:line="360" w:lineRule="auto"/>
        <w:jc w:val="both"/>
        <w:rPr>
          <w:rFonts w:ascii="Arial Narrow" w:eastAsia="Calibri" w:hAnsi="Arial Narrow"/>
        </w:rPr>
      </w:pPr>
    </w:p>
    <w:p w14:paraId="5301D486" w14:textId="77777777" w:rsidR="00AB78AD" w:rsidRDefault="00AB78AD" w:rsidP="00AB78AD">
      <w:pPr>
        <w:spacing w:line="360" w:lineRule="auto"/>
        <w:jc w:val="both"/>
        <w:rPr>
          <w:rFonts w:ascii="Arial Narrow" w:eastAsia="Calibri" w:hAnsi="Arial Narrow"/>
        </w:rPr>
      </w:pPr>
      <w:r>
        <w:rPr>
          <w:rFonts w:ascii="Arial Narrow" w:eastAsia="Calibri" w:hAnsi="Arial Narrow"/>
        </w:rPr>
        <w:t xml:space="preserve"> </w:t>
      </w:r>
    </w:p>
    <w:p w14:paraId="0842F54B" w14:textId="77777777" w:rsidR="00AB78AD" w:rsidRDefault="00AB78AD" w:rsidP="00AB78AD">
      <w:pPr>
        <w:spacing w:line="360" w:lineRule="auto"/>
        <w:jc w:val="both"/>
        <w:rPr>
          <w:rFonts w:ascii="Arial Narrow" w:eastAsia="Calibri" w:hAnsi="Arial Narrow"/>
        </w:rPr>
      </w:pPr>
      <w:r>
        <w:rPr>
          <w:rFonts w:ascii="Arial Narrow" w:eastAsia="Calibri" w:hAnsi="Arial Narrow"/>
        </w:rPr>
        <w:t xml:space="preserve">Por su parte, la meta estratégica </w:t>
      </w:r>
      <w:r w:rsidRPr="00007995">
        <w:rPr>
          <w:rFonts w:ascii="Arial Narrow" w:eastAsia="Calibri" w:hAnsi="Arial Narrow"/>
          <w:b/>
          <w:bCs/>
          <w:i/>
          <w:iCs/>
        </w:rPr>
        <w:t>Que al finalizar el 2024, se haya incrementado la cantidad de casos terminados en materia Penal por año, en segunda instancia por los Tribunales de Apelación</w:t>
      </w:r>
      <w:r>
        <w:rPr>
          <w:rFonts w:ascii="Arial Narrow" w:eastAsia="Calibri" w:hAnsi="Arial Narrow"/>
        </w:rPr>
        <w:t>, se tiene que en el 2019 se reporta por parte de las 4 oficinas competentes el reporte de un cumplimiento de 76%, sin embargo, al revisar los datos reportados estadísticamente por medio de SIGMA, se tiene que se terminaron 4.318 asuntos, por lo que la meta para ese año fue superada en 1.169 asuntos, logrando un cumplimiento alto. Para el 2020, se tiene un reporte de cumplimiento por parte de las oficinas de un 100%, al confrontar este dato contra los terminados oficiales para ese año, se registran 4.291 asuntos terminados, dato que al confrontarlo contra lo esperado para ese año (3.180 asuntos) se observa un exceso de 1.111 expedientes, lo que ocasiona un cumplimiento total de los dos años.</w:t>
      </w:r>
    </w:p>
    <w:p w14:paraId="0BC90535" w14:textId="77777777" w:rsidR="00AB78AD" w:rsidRDefault="00AB78AD" w:rsidP="00AB78AD">
      <w:pPr>
        <w:spacing w:line="360" w:lineRule="auto"/>
        <w:jc w:val="both"/>
        <w:rPr>
          <w:rFonts w:ascii="Arial Narrow" w:eastAsia="Calibri" w:hAnsi="Arial Narrow"/>
        </w:rPr>
      </w:pPr>
    </w:p>
    <w:p w14:paraId="39D97641" w14:textId="1AB32598" w:rsidR="00AB78AD" w:rsidRDefault="00AB78AD" w:rsidP="00AB78AD">
      <w:pPr>
        <w:spacing w:line="360" w:lineRule="auto"/>
        <w:jc w:val="both"/>
        <w:rPr>
          <w:rFonts w:ascii="Arial Narrow" w:eastAsia="Calibri" w:hAnsi="Arial Narrow"/>
        </w:rPr>
      </w:pPr>
      <w:r>
        <w:rPr>
          <w:rFonts w:ascii="Arial Narrow" w:eastAsia="Calibri" w:hAnsi="Arial Narrow"/>
        </w:rPr>
        <w:t xml:space="preserve">Por otro lado, la meta estratégica </w:t>
      </w:r>
      <w:r w:rsidRPr="008D3394">
        <w:rPr>
          <w:rFonts w:ascii="Arial Narrow" w:eastAsia="Calibri" w:hAnsi="Arial Narrow"/>
          <w:b/>
          <w:bCs/>
          <w:i/>
          <w:iCs/>
        </w:rPr>
        <w:t>Que al finalizar el 2024, se haya incrementado la cantidad de casos terminados en materia Penal Juvenil por año, en segunda instancia</w:t>
      </w:r>
      <w:r>
        <w:rPr>
          <w:rFonts w:ascii="Arial Narrow" w:eastAsia="Calibri" w:hAnsi="Arial Narrow"/>
        </w:rPr>
        <w:t xml:space="preserve">, se tiene que en el 2019 y 2020 se reporta por parte del Tribunal de Apelación de la Sentencia Penal Juvenil un cumplimiento de 100% y 99% respectivamente, sin embargo, al revisar los datos reportados estadísticamente por medio de SIGMA, se tiene que se terminaron 372 asuntos en </w:t>
      </w:r>
      <w:r w:rsidR="00E94E77">
        <w:rPr>
          <w:rFonts w:ascii="Arial Narrow" w:eastAsia="Calibri" w:hAnsi="Arial Narrow"/>
        </w:rPr>
        <w:t>el 2019</w:t>
      </w:r>
      <w:r w:rsidR="00605BF0">
        <w:rPr>
          <w:rFonts w:ascii="Arial Narrow" w:eastAsia="Calibri" w:hAnsi="Arial Narrow"/>
        </w:rPr>
        <w:t>,</w:t>
      </w:r>
      <w:r w:rsidR="00E94E77">
        <w:rPr>
          <w:rFonts w:ascii="Arial Narrow" w:eastAsia="Calibri" w:hAnsi="Arial Narrow"/>
        </w:rPr>
        <w:t xml:space="preserve"> y 319 asunto</w:t>
      </w:r>
      <w:r w:rsidR="00B939A7">
        <w:rPr>
          <w:rFonts w:ascii="Arial Narrow" w:eastAsia="Calibri" w:hAnsi="Arial Narrow"/>
        </w:rPr>
        <w:t>s</w:t>
      </w:r>
      <w:r>
        <w:rPr>
          <w:rFonts w:ascii="Arial Narrow" w:eastAsia="Calibri" w:hAnsi="Arial Narrow"/>
        </w:rPr>
        <w:t xml:space="preserve"> en el 2020. Al confrontar estos últimos datos con las metas propuestas, se observa que en el 2019 se requería terminar 47 expedientes adicionales (meta de 419 asuntos) y para el 2020 la meta era de 423 y faltaron 104 asuntos por fenecer, lo que representa en términos acumulados un 88,8% para el año 2019 y un 75,4% de cumplimiento medio para el año 2020. </w:t>
      </w:r>
    </w:p>
    <w:p w14:paraId="0D6FB898" w14:textId="65B5F210" w:rsidR="00AB78AD" w:rsidRDefault="00AB78AD" w:rsidP="00AB78AD">
      <w:pPr>
        <w:spacing w:line="360" w:lineRule="auto"/>
        <w:jc w:val="both"/>
        <w:rPr>
          <w:rFonts w:ascii="Arial Narrow" w:eastAsia="Calibri" w:hAnsi="Arial Narrow"/>
        </w:rPr>
      </w:pPr>
    </w:p>
    <w:p w14:paraId="10143259" w14:textId="71DC2E56" w:rsidR="00605BF0" w:rsidRDefault="00605BF0" w:rsidP="00AB78AD">
      <w:pPr>
        <w:spacing w:line="360" w:lineRule="auto"/>
        <w:jc w:val="both"/>
        <w:rPr>
          <w:rFonts w:ascii="Arial Narrow" w:eastAsia="Calibri" w:hAnsi="Arial Narrow"/>
        </w:rPr>
      </w:pPr>
    </w:p>
    <w:p w14:paraId="26EA8750" w14:textId="0E55DB76" w:rsidR="00605BF0" w:rsidRDefault="00605BF0" w:rsidP="00AB78AD">
      <w:pPr>
        <w:spacing w:line="360" w:lineRule="auto"/>
        <w:jc w:val="both"/>
        <w:rPr>
          <w:rFonts w:ascii="Arial Narrow" w:eastAsia="Calibri" w:hAnsi="Arial Narrow"/>
        </w:rPr>
      </w:pPr>
    </w:p>
    <w:p w14:paraId="0ED0F7B7" w14:textId="01BBE3A7" w:rsidR="00605BF0" w:rsidRDefault="00605BF0" w:rsidP="00AB78AD">
      <w:pPr>
        <w:spacing w:line="360" w:lineRule="auto"/>
        <w:jc w:val="both"/>
        <w:rPr>
          <w:rFonts w:ascii="Arial Narrow" w:eastAsia="Calibri" w:hAnsi="Arial Narrow"/>
        </w:rPr>
      </w:pPr>
    </w:p>
    <w:p w14:paraId="20192BAD" w14:textId="77777777" w:rsidR="00605BF0" w:rsidRDefault="00605BF0" w:rsidP="00AB78AD">
      <w:pPr>
        <w:spacing w:line="360" w:lineRule="auto"/>
        <w:jc w:val="both"/>
        <w:rPr>
          <w:rFonts w:ascii="Arial Narrow" w:eastAsia="Calibri" w:hAnsi="Arial Narrow"/>
        </w:rPr>
      </w:pPr>
    </w:p>
    <w:p w14:paraId="12094536" w14:textId="47763148" w:rsidR="00AB78AD" w:rsidRDefault="00AB78AD" w:rsidP="00AB78AD">
      <w:pPr>
        <w:pStyle w:val="Descripcin"/>
        <w:jc w:val="center"/>
        <w:rPr>
          <w:rFonts w:ascii="Arial Narrow" w:eastAsia="Calibri" w:hAnsi="Arial Narrow"/>
          <w:sz w:val="24"/>
          <w:szCs w:val="24"/>
          <w:lang w:eastAsia="en-US"/>
        </w:rPr>
      </w:pPr>
      <w:r>
        <w:rPr>
          <w:rFonts w:ascii="Arial Narrow" w:eastAsia="Calibri" w:hAnsi="Arial Narrow"/>
        </w:rPr>
        <w:lastRenderedPageBreak/>
        <w:tab/>
      </w:r>
      <w:bookmarkStart w:id="27" w:name="_Toc76062229"/>
      <w:r w:rsidRPr="00484CC1">
        <w:rPr>
          <w:rFonts w:ascii="Arial Narrow" w:hAnsi="Arial Narrow"/>
          <w:sz w:val="24"/>
          <w:szCs w:val="24"/>
        </w:rPr>
        <w:t xml:space="preserve">Cuadro </w:t>
      </w:r>
      <w:r w:rsidRPr="00484CC1">
        <w:rPr>
          <w:rFonts w:ascii="Arial Narrow" w:hAnsi="Arial Narrow"/>
          <w:sz w:val="24"/>
          <w:szCs w:val="24"/>
        </w:rPr>
        <w:fldChar w:fldCharType="begin"/>
      </w:r>
      <w:r w:rsidRPr="00484CC1">
        <w:rPr>
          <w:rFonts w:ascii="Arial Narrow" w:hAnsi="Arial Narrow"/>
          <w:sz w:val="24"/>
          <w:szCs w:val="24"/>
        </w:rPr>
        <w:instrText xml:space="preserve"> SEQ Cuadro_No. \* ARABIC </w:instrText>
      </w:r>
      <w:r w:rsidRPr="00484CC1">
        <w:rPr>
          <w:rFonts w:ascii="Arial Narrow" w:hAnsi="Arial Narrow"/>
          <w:sz w:val="24"/>
          <w:szCs w:val="24"/>
        </w:rPr>
        <w:fldChar w:fldCharType="separate"/>
      </w:r>
      <w:r w:rsidR="0049673D">
        <w:rPr>
          <w:rFonts w:ascii="Arial Narrow" w:hAnsi="Arial Narrow"/>
          <w:noProof/>
          <w:sz w:val="24"/>
          <w:szCs w:val="24"/>
        </w:rPr>
        <w:t>6</w:t>
      </w:r>
      <w:r w:rsidRPr="00484CC1">
        <w:rPr>
          <w:rFonts w:ascii="Arial Narrow" w:hAnsi="Arial Narrow"/>
          <w:sz w:val="24"/>
          <w:szCs w:val="24"/>
        </w:rPr>
        <w:fldChar w:fldCharType="end"/>
      </w:r>
      <w:r w:rsidRPr="00484CC1">
        <w:rPr>
          <w:rFonts w:ascii="Arial Narrow" w:hAnsi="Arial Narrow"/>
          <w:sz w:val="24"/>
          <w:szCs w:val="24"/>
        </w:rPr>
        <w:t xml:space="preserve"> </w:t>
      </w:r>
      <w:r>
        <w:rPr>
          <w:rFonts w:ascii="Arial Narrow" w:hAnsi="Arial Narrow"/>
          <w:sz w:val="24"/>
          <w:szCs w:val="24"/>
        </w:rPr>
        <w:t xml:space="preserve">Continuación de </w:t>
      </w:r>
      <w:r w:rsidRPr="00665D61">
        <w:rPr>
          <w:rFonts w:ascii="Arial Narrow" w:eastAsia="Calibri" w:hAnsi="Arial Narrow"/>
          <w:sz w:val="24"/>
          <w:szCs w:val="24"/>
          <w:lang w:eastAsia="en-US"/>
        </w:rPr>
        <w:t>Metas estratégicas de Celeridad Judicial y su cumplimiento para el 2019</w:t>
      </w:r>
      <w:r>
        <w:rPr>
          <w:rFonts w:ascii="Arial Narrow" w:eastAsia="Calibri" w:hAnsi="Arial Narrow"/>
          <w:sz w:val="24"/>
          <w:szCs w:val="24"/>
          <w:lang w:eastAsia="en-US"/>
        </w:rPr>
        <w:t>-2020</w:t>
      </w:r>
      <w:bookmarkEnd w:id="27"/>
    </w:p>
    <w:p w14:paraId="08B0DF9E" w14:textId="77777777" w:rsidR="00AB78AD" w:rsidRPr="002E0B96" w:rsidRDefault="00AB78AD" w:rsidP="00AB78AD">
      <w:pPr>
        <w:rPr>
          <w:rFonts w:eastAsia="Calibri"/>
          <w:lang w:eastAsia="en-US"/>
        </w:rPr>
      </w:pPr>
    </w:p>
    <w:p w14:paraId="047F7051" w14:textId="77777777" w:rsidR="00AB78AD" w:rsidRDefault="00AB78AD" w:rsidP="00AB78AD">
      <w:pPr>
        <w:tabs>
          <w:tab w:val="left" w:pos="4696"/>
        </w:tabs>
        <w:spacing w:line="360" w:lineRule="auto"/>
        <w:jc w:val="both"/>
        <w:rPr>
          <w:rFonts w:ascii="Arial Narrow" w:eastAsia="Calibri" w:hAnsi="Arial Narrow"/>
        </w:rPr>
      </w:pPr>
      <w:r>
        <w:rPr>
          <w:noProof/>
          <w:lang w:val="es-CR" w:eastAsia="es-CR"/>
        </w:rPr>
        <w:drawing>
          <wp:inline distT="0" distB="0" distL="0" distR="0" wp14:anchorId="63E3500A" wp14:editId="1C1AC227">
            <wp:extent cx="9146540" cy="3333750"/>
            <wp:effectExtent l="19050" t="19050" r="16510" b="19050"/>
            <wp:docPr id="74" name="Imagen 74" descr="Tabl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n 74" descr="Tabla&#10;&#10;Descripción generada automáticamente con confianza media"/>
                    <pic:cNvPicPr/>
                  </pic:nvPicPr>
                  <pic:blipFill>
                    <a:blip r:embed="rId59"/>
                    <a:stretch>
                      <a:fillRect/>
                    </a:stretch>
                  </pic:blipFill>
                  <pic:spPr>
                    <a:xfrm>
                      <a:off x="0" y="0"/>
                      <a:ext cx="9148779" cy="3334566"/>
                    </a:xfrm>
                    <a:prstGeom prst="rect">
                      <a:avLst/>
                    </a:prstGeom>
                    <a:ln w="19050">
                      <a:solidFill>
                        <a:schemeClr val="accent1"/>
                      </a:solidFill>
                    </a:ln>
                  </pic:spPr>
                </pic:pic>
              </a:graphicData>
            </a:graphic>
          </wp:inline>
        </w:drawing>
      </w:r>
    </w:p>
    <w:p w14:paraId="28048495" w14:textId="77777777" w:rsidR="00AB78AD" w:rsidRDefault="00AB78AD" w:rsidP="00AB78AD">
      <w:pPr>
        <w:spacing w:line="360" w:lineRule="auto"/>
        <w:jc w:val="both"/>
        <w:rPr>
          <w:rFonts w:ascii="Arial Narrow" w:eastAsia="Calibri" w:hAnsi="Arial Narrow"/>
        </w:rPr>
      </w:pPr>
      <w:r>
        <w:rPr>
          <w:rFonts w:ascii="Arial Narrow" w:eastAsia="Calibri" w:hAnsi="Arial Narrow"/>
        </w:rPr>
        <w:tab/>
      </w:r>
      <w:r w:rsidRPr="00EE2E13">
        <w:rPr>
          <w:rFonts w:ascii="Arial Narrow" w:hAnsi="Arial Narrow"/>
          <w:sz w:val="18"/>
          <w:szCs w:val="18"/>
          <w:lang w:val="es-CR" w:eastAsia="es-CR"/>
        </w:rPr>
        <w:t>Fuente: Sistema PEI al 24 de enero del 2020 (año 2019) y 04 de marzo del 2021 (año 2020).</w:t>
      </w:r>
    </w:p>
    <w:p w14:paraId="63AF6464" w14:textId="77777777" w:rsidR="0049673D" w:rsidRDefault="0049673D" w:rsidP="00AB78AD">
      <w:pPr>
        <w:tabs>
          <w:tab w:val="left" w:pos="2776"/>
        </w:tabs>
        <w:spacing w:line="360" w:lineRule="auto"/>
        <w:jc w:val="both"/>
        <w:rPr>
          <w:rFonts w:ascii="Arial Narrow" w:eastAsia="Calibri" w:hAnsi="Arial Narrow"/>
        </w:rPr>
        <w:sectPr w:rsidR="0049673D" w:rsidSect="0049673D">
          <w:pgSz w:w="15842" w:h="12242" w:orient="landscape" w:code="1"/>
          <w:pgMar w:top="1560" w:right="719" w:bottom="1469" w:left="719" w:header="709" w:footer="709" w:gutter="0"/>
          <w:cols w:space="708"/>
          <w:docGrid w:linePitch="360"/>
        </w:sectPr>
      </w:pPr>
    </w:p>
    <w:p w14:paraId="505F0199" w14:textId="146B58EA" w:rsidR="00AB78AD" w:rsidRDefault="00AB78AD" w:rsidP="00AB78AD">
      <w:pPr>
        <w:tabs>
          <w:tab w:val="left" w:pos="2776"/>
        </w:tabs>
        <w:spacing w:line="360" w:lineRule="auto"/>
        <w:jc w:val="both"/>
        <w:rPr>
          <w:rFonts w:ascii="Arial Narrow" w:eastAsia="Calibri" w:hAnsi="Arial Narrow"/>
        </w:rPr>
      </w:pPr>
    </w:p>
    <w:p w14:paraId="753EB2D1" w14:textId="015EEEE8" w:rsidR="00605BF0" w:rsidRDefault="00605BF0" w:rsidP="00AB78AD">
      <w:pPr>
        <w:tabs>
          <w:tab w:val="left" w:pos="2776"/>
        </w:tabs>
        <w:spacing w:line="360" w:lineRule="auto"/>
        <w:jc w:val="both"/>
        <w:rPr>
          <w:rFonts w:ascii="Arial Narrow" w:eastAsia="Calibri" w:hAnsi="Arial Narrow"/>
        </w:rPr>
      </w:pPr>
    </w:p>
    <w:p w14:paraId="31FFF69A" w14:textId="43A42DE4" w:rsidR="00605BF0" w:rsidRDefault="00605BF0" w:rsidP="00AB78AD">
      <w:pPr>
        <w:tabs>
          <w:tab w:val="left" w:pos="2776"/>
        </w:tabs>
        <w:spacing w:line="360" w:lineRule="auto"/>
        <w:jc w:val="both"/>
        <w:rPr>
          <w:rFonts w:ascii="Arial Narrow" w:eastAsia="Calibri" w:hAnsi="Arial Narrow"/>
        </w:rPr>
      </w:pPr>
    </w:p>
    <w:p w14:paraId="0C814ECC" w14:textId="57B8A480" w:rsidR="00605BF0" w:rsidRDefault="00605BF0" w:rsidP="00AB78AD">
      <w:pPr>
        <w:tabs>
          <w:tab w:val="left" w:pos="2776"/>
        </w:tabs>
        <w:spacing w:line="360" w:lineRule="auto"/>
        <w:jc w:val="both"/>
        <w:rPr>
          <w:rFonts w:ascii="Arial Narrow" w:eastAsia="Calibri" w:hAnsi="Arial Narrow"/>
        </w:rPr>
      </w:pPr>
    </w:p>
    <w:p w14:paraId="618BABC6" w14:textId="77777777" w:rsidR="00605BF0" w:rsidRDefault="00605BF0" w:rsidP="00AB78AD">
      <w:pPr>
        <w:tabs>
          <w:tab w:val="left" w:pos="2776"/>
        </w:tabs>
        <w:spacing w:line="360" w:lineRule="auto"/>
        <w:jc w:val="both"/>
        <w:rPr>
          <w:rFonts w:ascii="Arial Narrow" w:eastAsia="Calibri" w:hAnsi="Arial Narrow"/>
        </w:rPr>
      </w:pPr>
    </w:p>
    <w:p w14:paraId="45CF9FD3" w14:textId="00AD5390" w:rsidR="00AB78AD" w:rsidRDefault="00AB78AD">
      <w:pPr>
        <w:spacing w:line="360" w:lineRule="auto"/>
        <w:jc w:val="both"/>
        <w:rPr>
          <w:rFonts w:ascii="Arial Narrow" w:eastAsia="Calibri" w:hAnsi="Arial Narrow"/>
        </w:rPr>
      </w:pPr>
      <w:r>
        <w:rPr>
          <w:rFonts w:ascii="Arial Narrow" w:eastAsia="Calibri" w:hAnsi="Arial Narrow"/>
        </w:rPr>
        <w:t xml:space="preserve">La meta estratégica </w:t>
      </w:r>
      <w:r w:rsidRPr="009209B3">
        <w:rPr>
          <w:rFonts w:ascii="Arial Narrow" w:eastAsia="Calibri" w:hAnsi="Arial Narrow"/>
          <w:b/>
          <w:bCs/>
          <w:i/>
          <w:iCs/>
        </w:rPr>
        <w:t>Que al finalizar el 2024, se haya incrementado la cantidad de casos terminados en materia Agraria por año, en segunda instancia</w:t>
      </w:r>
      <w:r>
        <w:rPr>
          <w:rFonts w:ascii="Arial Narrow" w:eastAsia="Calibri" w:hAnsi="Arial Narrow"/>
        </w:rPr>
        <w:t>, se analiza y se tiene que en el 2019 y 2020 se reporta por parte del Tribunal Agrario un cumplimiento de 93% y 100% respectivamente, sin embargo, al revisar los datos reportados estadísticamente por medio de SIGMA, se tiene que se terminaron 1015 asuntos en el 2019</w:t>
      </w:r>
      <w:r w:rsidR="00605BF0">
        <w:rPr>
          <w:rFonts w:ascii="Arial Narrow" w:eastAsia="Calibri" w:hAnsi="Arial Narrow"/>
        </w:rPr>
        <w:t>,</w:t>
      </w:r>
      <w:r>
        <w:rPr>
          <w:rFonts w:ascii="Arial Narrow" w:eastAsia="Calibri" w:hAnsi="Arial Narrow"/>
        </w:rPr>
        <w:t xml:space="preserve"> y 1241 asuntos en el 2020. Al confrontar estos últimos datos con las metas planeadas, se observa que en el 2019 se requería terminar 606 expedientes adicionales (meta de 1621 asuntos) y para el 2020 la meta era de 1.637 y faltaron 396 asuntos más </w:t>
      </w:r>
      <w:r w:rsidRPr="000B22DF">
        <w:rPr>
          <w:rFonts w:ascii="Arial Narrow" w:eastAsia="Calibri" w:hAnsi="Arial Narrow"/>
        </w:rPr>
        <w:t>por fenecer, lo que representa en términos acumulados un 62.6% para el año 2019 y un 75,8% para el año 2020. En conclusión, esta meta requiere ser analizada y determinar los ajustes que se requieren dado que se registra con un cumplimiento medio.</w:t>
      </w:r>
      <w:r w:rsidR="001C10B4" w:rsidRPr="00CC279A">
        <w:rPr>
          <w:rFonts w:ascii="Arial Narrow" w:eastAsia="Calibri" w:hAnsi="Arial Narrow"/>
        </w:rPr>
        <w:t xml:space="preserve"> </w:t>
      </w:r>
    </w:p>
    <w:p w14:paraId="3077D107" w14:textId="5F9BDD50" w:rsidR="000D3F86" w:rsidRDefault="000D3F86" w:rsidP="00CC279A">
      <w:pPr>
        <w:spacing w:line="360" w:lineRule="auto"/>
        <w:jc w:val="both"/>
        <w:rPr>
          <w:rFonts w:ascii="Arial Narrow" w:eastAsia="Calibri" w:hAnsi="Arial Narrow"/>
        </w:rPr>
      </w:pPr>
    </w:p>
    <w:p w14:paraId="49334DD9" w14:textId="77777777" w:rsidR="00AB78AD" w:rsidRDefault="00AB78AD" w:rsidP="00AB78AD">
      <w:pPr>
        <w:spacing w:line="360" w:lineRule="auto"/>
        <w:jc w:val="both"/>
        <w:rPr>
          <w:rFonts w:ascii="Arial Narrow" w:eastAsia="Calibri" w:hAnsi="Arial Narrow"/>
        </w:rPr>
      </w:pPr>
      <w:r>
        <w:rPr>
          <w:rFonts w:ascii="Arial Narrow" w:eastAsia="Calibri" w:hAnsi="Arial Narrow"/>
        </w:rPr>
        <w:t xml:space="preserve">Por su parte, la meta estratégica </w:t>
      </w:r>
      <w:r w:rsidRPr="009209B3">
        <w:rPr>
          <w:rFonts w:ascii="Arial Narrow" w:eastAsia="Calibri" w:hAnsi="Arial Narrow"/>
          <w:b/>
          <w:bCs/>
          <w:i/>
          <w:iCs/>
        </w:rPr>
        <w:t>Que al finalizar el 2024, se haya incrementado la cantidad de casos terminados en materia de Cobro Judicial por año, en primera instancia</w:t>
      </w:r>
      <w:r>
        <w:rPr>
          <w:rFonts w:ascii="Arial Narrow" w:eastAsia="Calibri" w:hAnsi="Arial Narrow"/>
        </w:rPr>
        <w:t>, se tiene que en el 2019 se reporta por parte de las 17 oficinas competentes en materia Cobratoria el reporte de un cumplimiento de 97%, sin embargo, al revisar los datos reportados estadísticamente por medio de SIGMA, se tiene que se terminaron 131.048 asuntos, por lo que la meta para ese año fue superada en 59 mil asuntos, logrando un cumplimiento alto.  Para el 2020, se tiene un reporte de cumplimiento por parte de las oficinas de un 100%, al confrontar este dato contra los terminados oficiales para ese año, se registran 98.231 asuntos terminados, dato que al confrontarlo contra lo esperado para ese año (72.722 asuntos) se observa un exceso de aproximadamente 25 mil expedientes, lo que ocasiona un cumplimiento total de los dos años.</w:t>
      </w:r>
    </w:p>
    <w:p w14:paraId="503E62C3" w14:textId="77777777" w:rsidR="00AB78AD" w:rsidRDefault="00AB78AD" w:rsidP="00AB78AD">
      <w:pPr>
        <w:tabs>
          <w:tab w:val="left" w:pos="2776"/>
        </w:tabs>
        <w:spacing w:line="360" w:lineRule="auto"/>
        <w:jc w:val="both"/>
        <w:rPr>
          <w:rFonts w:ascii="Arial Narrow" w:eastAsia="Calibri" w:hAnsi="Arial Narrow"/>
        </w:rPr>
      </w:pPr>
    </w:p>
    <w:p w14:paraId="1370BDA9" w14:textId="77777777" w:rsidR="00605BF0" w:rsidRDefault="00605BF0">
      <w:pPr>
        <w:rPr>
          <w:rFonts w:ascii="Arial Narrow" w:eastAsia="Calibri" w:hAnsi="Arial Narrow"/>
        </w:rPr>
      </w:pPr>
      <w:r>
        <w:rPr>
          <w:rFonts w:ascii="Arial Narrow" w:eastAsia="Calibri" w:hAnsi="Arial Narrow"/>
        </w:rPr>
        <w:br w:type="page"/>
      </w:r>
    </w:p>
    <w:p w14:paraId="230340BE" w14:textId="77777777" w:rsidR="00605BF0" w:rsidRDefault="00605BF0" w:rsidP="00AB78AD">
      <w:pPr>
        <w:spacing w:line="360" w:lineRule="auto"/>
        <w:jc w:val="both"/>
        <w:rPr>
          <w:rFonts w:ascii="Arial Narrow" w:eastAsia="Calibri" w:hAnsi="Arial Narrow"/>
        </w:rPr>
      </w:pPr>
    </w:p>
    <w:p w14:paraId="39619C8F" w14:textId="77777777" w:rsidR="00605BF0" w:rsidRDefault="00605BF0" w:rsidP="00AB78AD">
      <w:pPr>
        <w:spacing w:line="360" w:lineRule="auto"/>
        <w:jc w:val="both"/>
        <w:rPr>
          <w:rFonts w:ascii="Arial Narrow" w:eastAsia="Calibri" w:hAnsi="Arial Narrow"/>
        </w:rPr>
      </w:pPr>
    </w:p>
    <w:p w14:paraId="10C1697F" w14:textId="77777777" w:rsidR="00605BF0" w:rsidRDefault="00605BF0" w:rsidP="00AB78AD">
      <w:pPr>
        <w:spacing w:line="360" w:lineRule="auto"/>
        <w:jc w:val="both"/>
        <w:rPr>
          <w:rFonts w:ascii="Arial Narrow" w:eastAsia="Calibri" w:hAnsi="Arial Narrow"/>
        </w:rPr>
      </w:pPr>
    </w:p>
    <w:p w14:paraId="045FA005" w14:textId="70BFFFB3" w:rsidR="00AB78AD" w:rsidRDefault="00AB78AD" w:rsidP="00AB78AD">
      <w:pPr>
        <w:spacing w:line="360" w:lineRule="auto"/>
        <w:jc w:val="both"/>
        <w:rPr>
          <w:rFonts w:ascii="Arial Narrow" w:eastAsia="Calibri" w:hAnsi="Arial Narrow"/>
        </w:rPr>
      </w:pPr>
      <w:r>
        <w:rPr>
          <w:rFonts w:ascii="Arial Narrow" w:eastAsia="Calibri" w:hAnsi="Arial Narrow"/>
        </w:rPr>
        <w:t xml:space="preserve">La meta estratégica </w:t>
      </w:r>
      <w:r w:rsidRPr="00777FD7">
        <w:rPr>
          <w:rFonts w:ascii="Arial Narrow" w:eastAsia="Calibri" w:hAnsi="Arial Narrow"/>
          <w:b/>
          <w:bCs/>
          <w:i/>
          <w:iCs/>
        </w:rPr>
        <w:t>Que al finalizar el 2024, se haya incrementado la cantidad de casos terminados en materia de Familia por año, en segunda instancia por el Tribunal de Familia</w:t>
      </w:r>
      <w:r>
        <w:rPr>
          <w:rFonts w:ascii="Arial Narrow" w:eastAsia="Calibri" w:hAnsi="Arial Narrow"/>
        </w:rPr>
        <w:t xml:space="preserve">, se analiza y se tiene que en el 2019 y 2020 se reporta por parte del Tribunal de Familia un cumplimiento de 100% y 97% respectivamente, sin embargo, al revisar los datos reportados estadísticamente por medio de SIGMA, se tiene que se terminaron 1110 asuntos en </w:t>
      </w:r>
      <w:r w:rsidR="00B41FDE">
        <w:rPr>
          <w:rFonts w:ascii="Arial Narrow" w:eastAsia="Calibri" w:hAnsi="Arial Narrow"/>
        </w:rPr>
        <w:t>el 2019 y 1115 asunto</w:t>
      </w:r>
      <w:r>
        <w:rPr>
          <w:rFonts w:ascii="Arial Narrow" w:eastAsia="Calibri" w:hAnsi="Arial Narrow"/>
        </w:rPr>
        <w:t xml:space="preserve"> en el 2020. Al confrontar estos últimos datos con las metas planeadas, se observa que en el 2019 se requería terminar 32 expedientes adicionales (meta de 1.142 asuntos) y para el 2020 la meta era de 1153 y faltaron 38 asuntos más por fenecer, lo que representa en términos acumulados un 97,1% para el año 2019 y un 96,7% para el año 2020, por lo que se obtiene un cumplimiento alto de la meta para esos dos años.</w:t>
      </w:r>
    </w:p>
    <w:p w14:paraId="760CE7CE" w14:textId="77777777" w:rsidR="0049673D" w:rsidRDefault="0049673D" w:rsidP="00AB78AD">
      <w:pPr>
        <w:tabs>
          <w:tab w:val="left" w:pos="2776"/>
        </w:tabs>
        <w:spacing w:line="360" w:lineRule="auto"/>
        <w:jc w:val="both"/>
        <w:rPr>
          <w:rFonts w:ascii="Arial Narrow" w:eastAsia="Calibri" w:hAnsi="Arial Narrow"/>
        </w:rPr>
        <w:sectPr w:rsidR="0049673D" w:rsidSect="0049673D">
          <w:pgSz w:w="12242" w:h="15842" w:code="1"/>
          <w:pgMar w:top="719" w:right="1469" w:bottom="719" w:left="1560" w:header="709" w:footer="709" w:gutter="0"/>
          <w:cols w:space="708"/>
          <w:docGrid w:linePitch="360"/>
        </w:sectPr>
      </w:pPr>
    </w:p>
    <w:p w14:paraId="6D806F0D" w14:textId="77777777" w:rsidR="00AB78AD" w:rsidRDefault="00AB78AD" w:rsidP="00AB78AD">
      <w:pPr>
        <w:tabs>
          <w:tab w:val="left" w:pos="2776"/>
        </w:tabs>
        <w:spacing w:line="360" w:lineRule="auto"/>
        <w:jc w:val="both"/>
        <w:rPr>
          <w:rFonts w:ascii="Arial Narrow" w:eastAsia="Calibri" w:hAnsi="Arial Narrow"/>
        </w:rPr>
      </w:pPr>
    </w:p>
    <w:p w14:paraId="73312AE0" w14:textId="7E5D935E" w:rsidR="00AB78AD" w:rsidRPr="002E0B96" w:rsidRDefault="00AB78AD" w:rsidP="00AB78AD">
      <w:pPr>
        <w:tabs>
          <w:tab w:val="left" w:pos="2776"/>
        </w:tabs>
        <w:spacing w:line="360" w:lineRule="auto"/>
        <w:jc w:val="center"/>
        <w:rPr>
          <w:rFonts w:ascii="Arial Narrow" w:eastAsia="Calibri" w:hAnsi="Arial Narrow"/>
          <w:b/>
          <w:bCs/>
        </w:rPr>
      </w:pPr>
      <w:bookmarkStart w:id="28" w:name="_Toc76062230"/>
      <w:r w:rsidRPr="002E0B96">
        <w:rPr>
          <w:rFonts w:ascii="Arial Narrow" w:hAnsi="Arial Narrow"/>
          <w:b/>
          <w:bCs/>
        </w:rPr>
        <w:t xml:space="preserve">Cuadro </w:t>
      </w:r>
      <w:r w:rsidRPr="002E0B96">
        <w:rPr>
          <w:rFonts w:ascii="Arial Narrow" w:hAnsi="Arial Narrow"/>
          <w:b/>
          <w:bCs/>
        </w:rPr>
        <w:fldChar w:fldCharType="begin"/>
      </w:r>
      <w:r w:rsidRPr="002E0B96">
        <w:rPr>
          <w:rFonts w:ascii="Arial Narrow" w:hAnsi="Arial Narrow"/>
          <w:b/>
          <w:bCs/>
        </w:rPr>
        <w:instrText xml:space="preserve"> SEQ Cuadro_No. \* ARABIC </w:instrText>
      </w:r>
      <w:r w:rsidRPr="002E0B96">
        <w:rPr>
          <w:rFonts w:ascii="Arial Narrow" w:hAnsi="Arial Narrow"/>
          <w:b/>
          <w:bCs/>
        </w:rPr>
        <w:fldChar w:fldCharType="separate"/>
      </w:r>
      <w:r w:rsidR="0049673D">
        <w:rPr>
          <w:rFonts w:ascii="Arial Narrow" w:hAnsi="Arial Narrow"/>
          <w:b/>
          <w:bCs/>
          <w:noProof/>
        </w:rPr>
        <w:t>7</w:t>
      </w:r>
      <w:r w:rsidRPr="002E0B96">
        <w:rPr>
          <w:rFonts w:ascii="Arial Narrow" w:hAnsi="Arial Narrow"/>
          <w:b/>
          <w:bCs/>
        </w:rPr>
        <w:fldChar w:fldCharType="end"/>
      </w:r>
      <w:r w:rsidRPr="002E0B96">
        <w:rPr>
          <w:rFonts w:ascii="Arial Narrow" w:hAnsi="Arial Narrow"/>
          <w:b/>
          <w:bCs/>
        </w:rPr>
        <w:t xml:space="preserve"> Continuación de </w:t>
      </w:r>
      <w:r w:rsidRPr="002E0B96">
        <w:rPr>
          <w:rFonts w:ascii="Arial Narrow" w:eastAsia="Calibri" w:hAnsi="Arial Narrow"/>
          <w:b/>
          <w:bCs/>
          <w:lang w:eastAsia="en-US"/>
        </w:rPr>
        <w:t>Metas estratégicas de Celeridad Judicial y su cumplimiento para el 2019-2020</w:t>
      </w:r>
      <w:bookmarkEnd w:id="28"/>
    </w:p>
    <w:p w14:paraId="4046B59B" w14:textId="77777777" w:rsidR="00AB78AD" w:rsidRDefault="00AB78AD" w:rsidP="00AB78AD">
      <w:pPr>
        <w:rPr>
          <w:rFonts w:eastAsia="Calibri"/>
          <w:lang w:eastAsia="en-US"/>
        </w:rPr>
      </w:pPr>
      <w:r>
        <w:rPr>
          <w:noProof/>
          <w:lang w:val="es-CR" w:eastAsia="es-CR"/>
        </w:rPr>
        <w:drawing>
          <wp:inline distT="0" distB="0" distL="0" distR="0" wp14:anchorId="04AFA39C" wp14:editId="6124490C">
            <wp:extent cx="9100237" cy="3409950"/>
            <wp:effectExtent l="19050" t="19050" r="24765" b="19050"/>
            <wp:docPr id="90" name="Imagen 90" descr="Una captura de pantalla de un celular&#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n 90" descr="Una captura de pantalla de un celular&#10;&#10;Descripción generada automáticamente con confianza baja"/>
                    <pic:cNvPicPr/>
                  </pic:nvPicPr>
                  <pic:blipFill rotWithShape="1">
                    <a:blip r:embed="rId60"/>
                    <a:srcRect r="492"/>
                    <a:stretch/>
                  </pic:blipFill>
                  <pic:spPr bwMode="auto">
                    <a:xfrm>
                      <a:off x="0" y="0"/>
                      <a:ext cx="9106375" cy="3412250"/>
                    </a:xfrm>
                    <a:prstGeom prst="rect">
                      <a:avLst/>
                    </a:prstGeom>
                    <a:ln w="19050" cap="flat" cmpd="sng" algn="ctr">
                      <a:solidFill>
                        <a:srgbClr val="4472C4"/>
                      </a:solidFill>
                      <a:prstDash val="solid"/>
                      <a:round/>
                      <a:headEnd type="none" w="med" len="med"/>
                      <a:tailEnd type="none" w="med" len="med"/>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73B1DA3D" w14:textId="77777777" w:rsidR="00AB78AD" w:rsidRDefault="00AB78AD" w:rsidP="00AB78AD">
      <w:pPr>
        <w:rPr>
          <w:rFonts w:eastAsia="Calibri"/>
          <w:lang w:eastAsia="en-US"/>
        </w:rPr>
      </w:pPr>
    </w:p>
    <w:p w14:paraId="090E5BB0" w14:textId="77777777" w:rsidR="00AB78AD" w:rsidRDefault="00AB78AD" w:rsidP="00AB78AD">
      <w:pPr>
        <w:rPr>
          <w:rFonts w:eastAsia="Calibri"/>
          <w:lang w:eastAsia="en-US"/>
        </w:rPr>
      </w:pPr>
    </w:p>
    <w:p w14:paraId="06E0166E" w14:textId="77777777" w:rsidR="00AB78AD" w:rsidRDefault="00AB78AD" w:rsidP="00AB78AD">
      <w:pPr>
        <w:rPr>
          <w:rFonts w:eastAsia="Calibri"/>
          <w:lang w:eastAsia="en-US"/>
        </w:rPr>
      </w:pPr>
      <w:r w:rsidRPr="00EE2E13">
        <w:rPr>
          <w:rFonts w:ascii="Arial Narrow" w:hAnsi="Arial Narrow"/>
          <w:sz w:val="18"/>
          <w:szCs w:val="18"/>
          <w:lang w:val="es-CR" w:eastAsia="es-CR"/>
        </w:rPr>
        <w:t>Fuente: Sistema PEI al 24 de enero del 2020 (año 2019) y 04 de marzo del 2021 (año 2020).</w:t>
      </w:r>
    </w:p>
    <w:p w14:paraId="5DC922DF" w14:textId="77777777" w:rsidR="00AB78AD" w:rsidRDefault="00AB78AD" w:rsidP="00AB78AD">
      <w:pPr>
        <w:rPr>
          <w:rFonts w:eastAsia="Calibri"/>
          <w:lang w:eastAsia="en-US"/>
        </w:rPr>
      </w:pPr>
    </w:p>
    <w:p w14:paraId="084BA599" w14:textId="77777777" w:rsidR="00AB78AD" w:rsidRDefault="00AB78AD" w:rsidP="00AB78AD">
      <w:pPr>
        <w:rPr>
          <w:rFonts w:eastAsia="Calibri"/>
          <w:lang w:eastAsia="en-US"/>
        </w:rPr>
      </w:pPr>
    </w:p>
    <w:p w14:paraId="7514C1EB" w14:textId="77777777" w:rsidR="0049673D" w:rsidRDefault="0049673D" w:rsidP="00AB78AD">
      <w:pPr>
        <w:rPr>
          <w:rFonts w:eastAsia="Calibri"/>
          <w:lang w:eastAsia="en-US"/>
        </w:rPr>
        <w:sectPr w:rsidR="0049673D" w:rsidSect="0049673D">
          <w:pgSz w:w="15842" w:h="12242" w:orient="landscape" w:code="1"/>
          <w:pgMar w:top="1560" w:right="719" w:bottom="1469" w:left="719" w:header="709" w:footer="709" w:gutter="0"/>
          <w:cols w:space="708"/>
          <w:docGrid w:linePitch="360"/>
        </w:sectPr>
      </w:pPr>
    </w:p>
    <w:p w14:paraId="591C973A" w14:textId="66EB89DD" w:rsidR="00AB78AD" w:rsidRDefault="00AB78AD" w:rsidP="00AB78AD">
      <w:pPr>
        <w:rPr>
          <w:rFonts w:eastAsia="Calibri"/>
          <w:lang w:eastAsia="en-US"/>
        </w:rPr>
      </w:pPr>
    </w:p>
    <w:p w14:paraId="74497EA7" w14:textId="77777777" w:rsidR="00605BF0" w:rsidRDefault="00605BF0" w:rsidP="00AB78AD">
      <w:pPr>
        <w:spacing w:line="360" w:lineRule="auto"/>
        <w:jc w:val="both"/>
        <w:rPr>
          <w:rFonts w:ascii="Arial Narrow" w:eastAsia="Calibri" w:hAnsi="Arial Narrow"/>
        </w:rPr>
      </w:pPr>
    </w:p>
    <w:p w14:paraId="2E34DD6A" w14:textId="77777777" w:rsidR="00605BF0" w:rsidRDefault="00605BF0" w:rsidP="00AB78AD">
      <w:pPr>
        <w:spacing w:line="360" w:lineRule="auto"/>
        <w:jc w:val="both"/>
        <w:rPr>
          <w:rFonts w:ascii="Arial Narrow" w:eastAsia="Calibri" w:hAnsi="Arial Narrow"/>
        </w:rPr>
      </w:pPr>
    </w:p>
    <w:p w14:paraId="6A53968B" w14:textId="77777777" w:rsidR="00605BF0" w:rsidRDefault="00605BF0" w:rsidP="00AB78AD">
      <w:pPr>
        <w:spacing w:line="360" w:lineRule="auto"/>
        <w:jc w:val="both"/>
        <w:rPr>
          <w:rFonts w:ascii="Arial Narrow" w:eastAsia="Calibri" w:hAnsi="Arial Narrow"/>
        </w:rPr>
      </w:pPr>
    </w:p>
    <w:p w14:paraId="16FAD232" w14:textId="77777777" w:rsidR="00605BF0" w:rsidRDefault="00605BF0" w:rsidP="00AB78AD">
      <w:pPr>
        <w:spacing w:line="360" w:lineRule="auto"/>
        <w:jc w:val="both"/>
        <w:rPr>
          <w:rFonts w:ascii="Arial Narrow" w:eastAsia="Calibri" w:hAnsi="Arial Narrow"/>
        </w:rPr>
      </w:pPr>
    </w:p>
    <w:p w14:paraId="49895E08" w14:textId="23C350AD" w:rsidR="001C10B4" w:rsidRDefault="00AB78AD" w:rsidP="00AB78AD">
      <w:pPr>
        <w:spacing w:line="360" w:lineRule="auto"/>
        <w:jc w:val="both"/>
        <w:rPr>
          <w:rFonts w:ascii="Arial Narrow" w:eastAsia="Calibri" w:hAnsi="Arial Narrow"/>
        </w:rPr>
      </w:pPr>
      <w:r>
        <w:rPr>
          <w:rFonts w:ascii="Arial Narrow" w:eastAsia="Calibri" w:hAnsi="Arial Narrow"/>
        </w:rPr>
        <w:t xml:space="preserve">La meta estratégica </w:t>
      </w:r>
      <w:r w:rsidRPr="00A47378">
        <w:rPr>
          <w:rFonts w:ascii="Arial Narrow" w:eastAsia="Calibri" w:hAnsi="Arial Narrow"/>
          <w:b/>
          <w:bCs/>
          <w:i/>
          <w:iCs/>
        </w:rPr>
        <w:t>Que al finalizar el 2024, se haya incrementado la cantidad de casos terminados en materia Laboral por año, en segunda instancia</w:t>
      </w:r>
      <w:r>
        <w:rPr>
          <w:rFonts w:ascii="Arial Narrow" w:eastAsia="Calibri" w:hAnsi="Arial Narrow"/>
        </w:rPr>
        <w:t xml:space="preserve">, se tiene que en el 2019 se reporta por parte de los 13 Tribunales competentes en materia Laboral de segunda instancia el reporte de un cumplimiento de 71%, sin embargo, al revisar los datos reportados estadísticamente por medio de SIGMA, se tiene que se terminaron 5.917 asuntos, por lo que la meta para ese año registro un cumplimiento medio de 77%, debido a que faltaron 1.799 expedientes para lograr la meta planteada de 7.716 asuntos.  </w:t>
      </w:r>
    </w:p>
    <w:p w14:paraId="4EFED30A" w14:textId="77777777" w:rsidR="001C10B4" w:rsidRDefault="001C10B4" w:rsidP="00AB78AD">
      <w:pPr>
        <w:spacing w:line="360" w:lineRule="auto"/>
        <w:jc w:val="both"/>
        <w:rPr>
          <w:rFonts w:ascii="Arial Narrow" w:eastAsia="Calibri" w:hAnsi="Arial Narrow"/>
        </w:rPr>
      </w:pPr>
    </w:p>
    <w:p w14:paraId="38E27233" w14:textId="2AC1CCC1" w:rsidR="00AB78AD" w:rsidRDefault="00AB78AD" w:rsidP="00AB78AD">
      <w:pPr>
        <w:spacing w:line="360" w:lineRule="auto"/>
        <w:jc w:val="both"/>
        <w:rPr>
          <w:rFonts w:eastAsia="Calibri"/>
          <w:lang w:eastAsia="en-US"/>
        </w:rPr>
      </w:pPr>
      <w:r>
        <w:rPr>
          <w:rFonts w:ascii="Arial Narrow" w:eastAsia="Calibri" w:hAnsi="Arial Narrow"/>
        </w:rPr>
        <w:t xml:space="preserve">Para el 2020, se tiene un reporte de cumplimiento por parte de las oficinas de un 94%, al confrontar este dato contra los terminados oficiales para ese año, se registran 5.016 asuntos terminados, dato que al confrontarlo contra lo esperado para ese año (7.793 asuntos) se observa un faltante de 2.777 expedientes para lograr alcanzar la meta, lo que representa un cumplimiento de 64%. </w:t>
      </w:r>
    </w:p>
    <w:p w14:paraId="6243D81B" w14:textId="5E48318A" w:rsidR="00AB78AD" w:rsidRDefault="00AB78AD" w:rsidP="00AB78AD">
      <w:pPr>
        <w:rPr>
          <w:rFonts w:eastAsia="Calibri"/>
          <w:lang w:eastAsia="en-US"/>
        </w:rPr>
      </w:pPr>
    </w:p>
    <w:p w14:paraId="12A1574C" w14:textId="2F5E775F" w:rsidR="00605BF0" w:rsidRDefault="00605BF0">
      <w:pPr>
        <w:rPr>
          <w:rFonts w:eastAsia="Calibri"/>
          <w:lang w:eastAsia="en-US"/>
        </w:rPr>
      </w:pPr>
      <w:r>
        <w:rPr>
          <w:rFonts w:eastAsia="Calibri"/>
          <w:lang w:eastAsia="en-US"/>
        </w:rPr>
        <w:br w:type="page"/>
      </w:r>
    </w:p>
    <w:p w14:paraId="56163B9F" w14:textId="2DFA20E0" w:rsidR="00A63E1C" w:rsidRDefault="00A63E1C" w:rsidP="00AB78AD">
      <w:pPr>
        <w:rPr>
          <w:rFonts w:eastAsia="Calibri"/>
          <w:lang w:eastAsia="en-US"/>
        </w:rPr>
      </w:pPr>
    </w:p>
    <w:p w14:paraId="6FCBEA3E" w14:textId="7CE6478D" w:rsidR="00605BF0" w:rsidRDefault="00605BF0" w:rsidP="00AB78AD">
      <w:pPr>
        <w:rPr>
          <w:rFonts w:eastAsia="Calibri"/>
          <w:lang w:eastAsia="en-US"/>
        </w:rPr>
      </w:pPr>
    </w:p>
    <w:p w14:paraId="2953F651" w14:textId="151D5247" w:rsidR="00605BF0" w:rsidRDefault="00605BF0" w:rsidP="00AB78AD">
      <w:pPr>
        <w:rPr>
          <w:rFonts w:eastAsia="Calibri"/>
          <w:lang w:eastAsia="en-US"/>
        </w:rPr>
      </w:pPr>
    </w:p>
    <w:p w14:paraId="20EA20E5" w14:textId="77777777" w:rsidR="00605BF0" w:rsidRDefault="00605BF0" w:rsidP="00AB78AD">
      <w:pPr>
        <w:rPr>
          <w:rFonts w:eastAsia="Calibri"/>
          <w:lang w:eastAsia="en-US"/>
        </w:rPr>
      </w:pPr>
    </w:p>
    <w:p w14:paraId="5FC66BE2" w14:textId="77777777" w:rsidR="00AB78AD" w:rsidRDefault="00AB78AD" w:rsidP="00AB78AD">
      <w:pPr>
        <w:spacing w:line="360" w:lineRule="auto"/>
        <w:jc w:val="both"/>
        <w:rPr>
          <w:rFonts w:ascii="Arial Narrow" w:eastAsia="Calibri" w:hAnsi="Arial Narrow"/>
        </w:rPr>
      </w:pPr>
      <w:r>
        <w:rPr>
          <w:rFonts w:ascii="Arial Narrow" w:eastAsia="Calibri" w:hAnsi="Arial Narrow"/>
        </w:rPr>
        <w:t xml:space="preserve">Por su parte, la meta estratégica </w:t>
      </w:r>
      <w:r w:rsidRPr="00BB2D13">
        <w:rPr>
          <w:rFonts w:ascii="Arial Narrow" w:eastAsia="Calibri" w:hAnsi="Arial Narrow"/>
          <w:b/>
          <w:bCs/>
          <w:i/>
          <w:iCs/>
        </w:rPr>
        <w:t>Que al finalizar el 2024, se haya incrementado la cantidad de casos terminados en materia Contravencional por año, en segunda instancia</w:t>
      </w:r>
      <w:r>
        <w:rPr>
          <w:rFonts w:ascii="Arial Narrow" w:eastAsia="Calibri" w:hAnsi="Arial Narrow"/>
        </w:rPr>
        <w:t xml:space="preserve">, se tiene que en el 2019 se reporta por parte de los 38 Juzgados penales competentes en materia contravencional de segunda instancia un cumplimiento </w:t>
      </w:r>
      <w:r w:rsidRPr="007815FC">
        <w:rPr>
          <w:rFonts w:ascii="Arial Narrow" w:eastAsia="Calibri" w:hAnsi="Arial Narrow"/>
        </w:rPr>
        <w:t>de 95%, sin embargo, al revisar los datos reportados estadísticamente por medio de SIGMA, se tiene que se terminaron 258 asuntos, por lo que la meta para ese año registro un cumplimiento alto de 100%, debido a que la meta esperada era de 190  asuntos.  Para el 2020, se tiene un reporte de cumplimiento por parte de las oficinas de un 86%, al confrontar</w:t>
      </w:r>
      <w:r>
        <w:rPr>
          <w:rFonts w:ascii="Arial Narrow" w:eastAsia="Calibri" w:hAnsi="Arial Narrow"/>
        </w:rPr>
        <w:t xml:space="preserve"> este dato contra los terminados oficiales para ese año, se registran 205 asuntos terminados, dato que al confrontarlo contra lo esperado para ese año (192 asuntos) se observa que más bien sobrepasa la meta, lo que representa un cumplimiento de 100%. </w:t>
      </w:r>
    </w:p>
    <w:p w14:paraId="5A25A267" w14:textId="77777777" w:rsidR="00AB78AD" w:rsidRDefault="00AB78AD" w:rsidP="00AB78AD">
      <w:pPr>
        <w:spacing w:line="360" w:lineRule="auto"/>
        <w:jc w:val="both"/>
        <w:rPr>
          <w:rFonts w:ascii="Arial Narrow" w:eastAsia="Calibri" w:hAnsi="Arial Narrow"/>
        </w:rPr>
      </w:pPr>
    </w:p>
    <w:p w14:paraId="70D4396F" w14:textId="77777777" w:rsidR="00AB78AD" w:rsidRDefault="00AB78AD" w:rsidP="00AB78AD">
      <w:pPr>
        <w:spacing w:line="360" w:lineRule="auto"/>
        <w:jc w:val="both"/>
        <w:rPr>
          <w:rFonts w:eastAsia="Calibri"/>
          <w:lang w:eastAsia="en-US"/>
        </w:rPr>
      </w:pPr>
      <w:r>
        <w:rPr>
          <w:rFonts w:ascii="Arial Narrow" w:eastAsia="Calibri" w:hAnsi="Arial Narrow"/>
        </w:rPr>
        <w:t xml:space="preserve">La meta estratégica </w:t>
      </w:r>
      <w:r w:rsidRPr="007815FC">
        <w:rPr>
          <w:rFonts w:ascii="Arial Narrow" w:eastAsia="Calibri" w:hAnsi="Arial Narrow"/>
          <w:b/>
          <w:bCs/>
          <w:i/>
          <w:iCs/>
        </w:rPr>
        <w:t>Que al finalizar el 2024, se haya incrementado la cantidad de casos terminados en materia de Tránsito por año, en segunda instancia.</w:t>
      </w:r>
      <w:r>
        <w:rPr>
          <w:rFonts w:ascii="Arial Narrow" w:eastAsia="Calibri" w:hAnsi="Arial Narrow"/>
        </w:rPr>
        <w:t xml:space="preserve">, se tiene que en el 2019 se reporta por parte de los 29 Juzgados penales competentes en materia tránsito </w:t>
      </w:r>
      <w:r w:rsidRPr="00D537F4">
        <w:rPr>
          <w:rFonts w:ascii="Arial Narrow" w:eastAsia="Calibri" w:hAnsi="Arial Narrow"/>
        </w:rPr>
        <w:t>de segunda instancia un cumplimiento de 90%, sin embargo, al revisar los datos reportados estadísticamente por medio de SIGMA, se tiene que se terminaron 1779 asuntos, por lo que la meta para ese año registro un cumplimiento alto de 100%. Para el 2020, se tiene un reporte de cumplimiento por parte de las oficinas de un 87%, al confrontar este dato contra los terminados oficiales para ese año, se registran 1327 expedientes fenecidos, por lo que se origina un cumplimiento medio, debido a que faltaron 166 expedientes para lograr la meta planteada de 1493 asuntos.</w:t>
      </w:r>
    </w:p>
    <w:p w14:paraId="5F382426" w14:textId="77777777" w:rsidR="0049673D" w:rsidRDefault="0049673D" w:rsidP="00AB78AD">
      <w:pPr>
        <w:spacing w:line="360" w:lineRule="auto"/>
        <w:jc w:val="both"/>
        <w:rPr>
          <w:rFonts w:eastAsia="Calibri"/>
          <w:lang w:eastAsia="en-US"/>
        </w:rPr>
        <w:sectPr w:rsidR="0049673D" w:rsidSect="0049673D">
          <w:pgSz w:w="12242" w:h="15842" w:code="1"/>
          <w:pgMar w:top="719" w:right="1469" w:bottom="719" w:left="1560" w:header="709" w:footer="709" w:gutter="0"/>
          <w:cols w:space="708"/>
          <w:docGrid w:linePitch="360"/>
        </w:sectPr>
      </w:pPr>
    </w:p>
    <w:p w14:paraId="18AC465F" w14:textId="38603E05" w:rsidR="00AB78AD" w:rsidRDefault="00AB78AD" w:rsidP="00AB78AD">
      <w:pPr>
        <w:spacing w:line="360" w:lineRule="auto"/>
        <w:jc w:val="both"/>
        <w:rPr>
          <w:rFonts w:eastAsia="Calibri"/>
          <w:lang w:eastAsia="en-US"/>
        </w:rPr>
      </w:pPr>
    </w:p>
    <w:p w14:paraId="2414657B" w14:textId="089538FF" w:rsidR="00AB78AD" w:rsidRPr="009D27BE" w:rsidRDefault="00AB78AD" w:rsidP="00AB78AD">
      <w:pPr>
        <w:tabs>
          <w:tab w:val="left" w:pos="2776"/>
        </w:tabs>
        <w:spacing w:line="360" w:lineRule="auto"/>
        <w:jc w:val="center"/>
        <w:rPr>
          <w:rFonts w:ascii="Arial Narrow" w:eastAsia="Calibri" w:hAnsi="Arial Narrow"/>
          <w:b/>
          <w:bCs/>
        </w:rPr>
      </w:pPr>
      <w:bookmarkStart w:id="29" w:name="_Toc76062231"/>
      <w:r w:rsidRPr="009D27BE">
        <w:rPr>
          <w:rFonts w:ascii="Arial Narrow" w:hAnsi="Arial Narrow"/>
          <w:b/>
          <w:bCs/>
        </w:rPr>
        <w:t xml:space="preserve">Cuadro </w:t>
      </w:r>
      <w:r w:rsidRPr="009D27BE">
        <w:rPr>
          <w:rFonts w:ascii="Arial Narrow" w:hAnsi="Arial Narrow"/>
          <w:b/>
          <w:bCs/>
        </w:rPr>
        <w:fldChar w:fldCharType="begin"/>
      </w:r>
      <w:r w:rsidRPr="009D27BE">
        <w:rPr>
          <w:rFonts w:ascii="Arial Narrow" w:hAnsi="Arial Narrow"/>
          <w:b/>
          <w:bCs/>
        </w:rPr>
        <w:instrText xml:space="preserve"> SEQ Cuadro_No. \* ARABIC </w:instrText>
      </w:r>
      <w:r w:rsidRPr="009D27BE">
        <w:rPr>
          <w:rFonts w:ascii="Arial Narrow" w:hAnsi="Arial Narrow"/>
          <w:b/>
          <w:bCs/>
        </w:rPr>
        <w:fldChar w:fldCharType="separate"/>
      </w:r>
      <w:r w:rsidR="0049673D">
        <w:rPr>
          <w:rFonts w:ascii="Arial Narrow" w:hAnsi="Arial Narrow"/>
          <w:b/>
          <w:bCs/>
          <w:noProof/>
        </w:rPr>
        <w:t>8</w:t>
      </w:r>
      <w:r w:rsidRPr="009D27BE">
        <w:rPr>
          <w:rFonts w:ascii="Arial Narrow" w:hAnsi="Arial Narrow"/>
          <w:b/>
          <w:bCs/>
        </w:rPr>
        <w:fldChar w:fldCharType="end"/>
      </w:r>
      <w:r w:rsidRPr="009D27BE">
        <w:rPr>
          <w:rFonts w:ascii="Arial Narrow" w:hAnsi="Arial Narrow"/>
          <w:b/>
          <w:bCs/>
        </w:rPr>
        <w:t xml:space="preserve"> Continuación de </w:t>
      </w:r>
      <w:r w:rsidRPr="009D27BE">
        <w:rPr>
          <w:rFonts w:ascii="Arial Narrow" w:eastAsia="Calibri" w:hAnsi="Arial Narrow"/>
          <w:b/>
          <w:bCs/>
          <w:lang w:eastAsia="en-US"/>
        </w:rPr>
        <w:t>Metas estratégicas de Celeridad Judicial y su cumplimiento para el 2019-2020</w:t>
      </w:r>
      <w:bookmarkEnd w:id="29"/>
    </w:p>
    <w:p w14:paraId="3D85F7A6" w14:textId="77777777" w:rsidR="00AB78AD" w:rsidRDefault="00AB78AD" w:rsidP="00AB78AD">
      <w:pPr>
        <w:rPr>
          <w:rFonts w:eastAsia="Calibri"/>
          <w:lang w:eastAsia="en-US"/>
        </w:rPr>
      </w:pPr>
      <w:r>
        <w:rPr>
          <w:noProof/>
          <w:lang w:val="es-CR" w:eastAsia="es-CR"/>
        </w:rPr>
        <w:drawing>
          <wp:inline distT="0" distB="0" distL="0" distR="0" wp14:anchorId="48134619" wp14:editId="43CA2741">
            <wp:extent cx="9083270" cy="2986700"/>
            <wp:effectExtent l="19050" t="19050" r="22860" b="23495"/>
            <wp:docPr id="91" name="Imagen 91" descr="Calendari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Imagen 91" descr="Calendario&#10;&#10;Descripción generada automáticamente"/>
                    <pic:cNvPicPr/>
                  </pic:nvPicPr>
                  <pic:blipFill rotWithShape="1">
                    <a:blip r:embed="rId61"/>
                    <a:srcRect t="1781" r="675" b="2064"/>
                    <a:stretch/>
                  </pic:blipFill>
                  <pic:spPr bwMode="auto">
                    <a:xfrm>
                      <a:off x="0" y="0"/>
                      <a:ext cx="9087577" cy="2988116"/>
                    </a:xfrm>
                    <a:prstGeom prst="rect">
                      <a:avLst/>
                    </a:prstGeom>
                    <a:ln w="19050" cap="flat" cmpd="sng" algn="ctr">
                      <a:solidFill>
                        <a:srgbClr val="4472C4"/>
                      </a:solidFill>
                      <a:prstDash val="solid"/>
                      <a:round/>
                      <a:headEnd type="none" w="med" len="med"/>
                      <a:tailEnd type="none" w="med" len="med"/>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577A7E95" w14:textId="77777777" w:rsidR="00AB78AD" w:rsidRDefault="00AB78AD" w:rsidP="00AB78AD">
      <w:pPr>
        <w:rPr>
          <w:rFonts w:eastAsia="Calibri"/>
          <w:lang w:eastAsia="en-US"/>
        </w:rPr>
      </w:pPr>
    </w:p>
    <w:p w14:paraId="11570DD2" w14:textId="77777777" w:rsidR="00AB78AD" w:rsidRDefault="00AB78AD" w:rsidP="00AB78AD">
      <w:pPr>
        <w:rPr>
          <w:rFonts w:eastAsia="Calibri"/>
          <w:lang w:eastAsia="en-US"/>
        </w:rPr>
      </w:pPr>
      <w:r w:rsidRPr="00EE2E13">
        <w:rPr>
          <w:rFonts w:ascii="Arial Narrow" w:hAnsi="Arial Narrow"/>
          <w:sz w:val="18"/>
          <w:szCs w:val="18"/>
          <w:lang w:val="es-CR" w:eastAsia="es-CR"/>
        </w:rPr>
        <w:t>Fuente: Sistema PEI al 24 de enero del 2020 (año 2019) y 04 de marzo del 2021 (año 2020).</w:t>
      </w:r>
    </w:p>
    <w:p w14:paraId="3D2BA8EB" w14:textId="77777777" w:rsidR="0049673D" w:rsidRDefault="0049673D" w:rsidP="00AB78AD">
      <w:pPr>
        <w:rPr>
          <w:rFonts w:eastAsia="Calibri"/>
          <w:lang w:eastAsia="en-US"/>
        </w:rPr>
        <w:sectPr w:rsidR="0049673D" w:rsidSect="0049673D">
          <w:pgSz w:w="15842" w:h="12242" w:orient="landscape" w:code="1"/>
          <w:pgMar w:top="1560" w:right="719" w:bottom="1469" w:left="719" w:header="709" w:footer="709" w:gutter="0"/>
          <w:cols w:space="708"/>
          <w:docGrid w:linePitch="360"/>
        </w:sectPr>
      </w:pPr>
    </w:p>
    <w:p w14:paraId="2024E6E0" w14:textId="77777777" w:rsidR="00AB78AD" w:rsidRDefault="00AB78AD" w:rsidP="00AB78AD">
      <w:pPr>
        <w:rPr>
          <w:rFonts w:eastAsia="Calibri"/>
          <w:lang w:eastAsia="en-US"/>
        </w:rPr>
      </w:pPr>
    </w:p>
    <w:p w14:paraId="42B9D566" w14:textId="0C538B9A" w:rsidR="00AB78AD" w:rsidRDefault="00AB78AD" w:rsidP="00AB78AD">
      <w:pPr>
        <w:spacing w:line="360" w:lineRule="auto"/>
        <w:jc w:val="both"/>
        <w:rPr>
          <w:rFonts w:ascii="Arial Narrow" w:eastAsia="Calibri" w:hAnsi="Arial Narrow"/>
        </w:rPr>
      </w:pPr>
      <w:r>
        <w:rPr>
          <w:rFonts w:ascii="Arial Narrow" w:eastAsia="Calibri" w:hAnsi="Arial Narrow"/>
        </w:rPr>
        <w:t xml:space="preserve">La meta estratégica </w:t>
      </w:r>
      <w:r w:rsidRPr="00D537F4">
        <w:rPr>
          <w:rFonts w:ascii="Arial Narrow" w:eastAsia="Calibri" w:hAnsi="Arial Narrow"/>
          <w:b/>
          <w:bCs/>
          <w:i/>
          <w:iCs/>
        </w:rPr>
        <w:t>Que al finalizar el 2024, se haya incrementado la cantidad de casos terminados en la Sala Primera</w:t>
      </w:r>
      <w:r>
        <w:rPr>
          <w:rFonts w:ascii="Arial Narrow" w:eastAsia="Calibri" w:hAnsi="Arial Narrow"/>
        </w:rPr>
        <w:t>, se analiza y se tiene que en el 2019 y 2020 se reporta por parte de la Sala Primera un cumplimiento de 100% para ambos años, al revisar los datos reportados estadísticamente por medio de SIGMA, se tiene que se terminaron 4586 asuntos en el 2019</w:t>
      </w:r>
      <w:r w:rsidR="00605BF0">
        <w:rPr>
          <w:rFonts w:ascii="Arial Narrow" w:eastAsia="Calibri" w:hAnsi="Arial Narrow"/>
        </w:rPr>
        <w:t>,</w:t>
      </w:r>
      <w:r>
        <w:rPr>
          <w:rFonts w:ascii="Arial Narrow" w:eastAsia="Calibri" w:hAnsi="Arial Narrow"/>
        </w:rPr>
        <w:t xml:space="preserve"> y 2877 asuntos en el 2020. Al confrontar estos últimos datos con las metas planeadas, se observa que en el 2019 se requería terminar 1413 y para el 2020 la meta era de 1441, por lo que el cumplimiento sobrepasa las metas esperadas en un 100%.</w:t>
      </w:r>
    </w:p>
    <w:p w14:paraId="6E3C8278" w14:textId="77777777" w:rsidR="00AB78AD" w:rsidRDefault="00AB78AD" w:rsidP="00AB78AD">
      <w:pPr>
        <w:rPr>
          <w:rFonts w:eastAsia="Calibri"/>
          <w:lang w:eastAsia="en-US"/>
        </w:rPr>
      </w:pPr>
    </w:p>
    <w:p w14:paraId="22661C53" w14:textId="54D8062F" w:rsidR="00AB78AD" w:rsidRDefault="00AB78AD" w:rsidP="00AB78AD">
      <w:pPr>
        <w:spacing w:line="360" w:lineRule="auto"/>
        <w:jc w:val="both"/>
        <w:rPr>
          <w:rFonts w:ascii="Arial Narrow" w:eastAsia="Calibri" w:hAnsi="Arial Narrow"/>
        </w:rPr>
      </w:pPr>
      <w:r>
        <w:rPr>
          <w:rFonts w:ascii="Arial Narrow" w:eastAsia="Calibri" w:hAnsi="Arial Narrow"/>
        </w:rPr>
        <w:t xml:space="preserve">La meta estratégica </w:t>
      </w:r>
      <w:r w:rsidRPr="00B33DA3">
        <w:rPr>
          <w:rFonts w:ascii="Arial Narrow" w:eastAsia="Calibri" w:hAnsi="Arial Narrow"/>
          <w:b/>
          <w:bCs/>
          <w:i/>
          <w:iCs/>
        </w:rPr>
        <w:t>Que al finalizar el 2024, se haya incrementado la cantidad de casos terminados en la Sala Segunda</w:t>
      </w:r>
      <w:r>
        <w:rPr>
          <w:rFonts w:ascii="Arial Narrow" w:eastAsia="Calibri" w:hAnsi="Arial Narrow"/>
        </w:rPr>
        <w:t>, se analiza y se tiene que en el 2019 y 2020 se reporta por parte de la Sala Segunda un cumplimiento de 100% para ambos años, al revisar los datos reportados estadísticamente por medio de SIGMA, se tiene que se terminaron 2.249 asuntos en el 2019</w:t>
      </w:r>
      <w:r w:rsidR="00605BF0">
        <w:rPr>
          <w:rFonts w:ascii="Arial Narrow" w:eastAsia="Calibri" w:hAnsi="Arial Narrow"/>
        </w:rPr>
        <w:t>,</w:t>
      </w:r>
      <w:r>
        <w:rPr>
          <w:rFonts w:ascii="Arial Narrow" w:eastAsia="Calibri" w:hAnsi="Arial Narrow"/>
        </w:rPr>
        <w:t xml:space="preserve"> y 2194 asuntos en el 2020. Al confrontar estos últimos datos con las metas planeadas, se observa que en el 2019 se requería terminar 2010 y para el 2020 la meta era de 2031, por lo que el cumplimiento sobrepasa las metas esperadas en un 100%.</w:t>
      </w:r>
    </w:p>
    <w:p w14:paraId="425950D4" w14:textId="77777777" w:rsidR="00AB78AD" w:rsidRDefault="00AB78AD" w:rsidP="00AB78AD">
      <w:pPr>
        <w:rPr>
          <w:rFonts w:eastAsia="Calibri"/>
          <w:lang w:eastAsia="en-US"/>
        </w:rPr>
      </w:pPr>
    </w:p>
    <w:p w14:paraId="777EA316" w14:textId="7B2F56F3" w:rsidR="00AB78AD" w:rsidRDefault="00AB78AD" w:rsidP="00AB78AD">
      <w:pPr>
        <w:spacing w:line="360" w:lineRule="auto"/>
        <w:jc w:val="both"/>
        <w:rPr>
          <w:rFonts w:ascii="Arial Narrow" w:eastAsia="Calibri" w:hAnsi="Arial Narrow"/>
        </w:rPr>
      </w:pPr>
      <w:r>
        <w:rPr>
          <w:rFonts w:ascii="Arial Narrow" w:eastAsia="Calibri" w:hAnsi="Arial Narrow"/>
        </w:rPr>
        <w:t xml:space="preserve">La meta estratégica </w:t>
      </w:r>
      <w:r w:rsidRPr="00B33DA3">
        <w:rPr>
          <w:rFonts w:ascii="Arial Narrow" w:eastAsia="Calibri" w:hAnsi="Arial Narrow"/>
          <w:b/>
          <w:bCs/>
          <w:i/>
          <w:iCs/>
        </w:rPr>
        <w:t>Que al finalizar el 2024, se haya incrementado la cantidad de casos terminados en la Sala Tercera</w:t>
      </w:r>
      <w:r>
        <w:rPr>
          <w:rFonts w:ascii="Arial Narrow" w:eastAsia="Calibri" w:hAnsi="Arial Narrow"/>
        </w:rPr>
        <w:t>, se analiza y se tiene que en el 2019 y 2020 se reporta por parte de la Sala Tercera un cumplimiento de 100% para ambos años, al revisar los datos reportados estadísticamente por medio de SIGMA, se tiene que se terminaron 1.296 asuntos en el 2019</w:t>
      </w:r>
      <w:r w:rsidR="00605BF0">
        <w:rPr>
          <w:rFonts w:ascii="Arial Narrow" w:eastAsia="Calibri" w:hAnsi="Arial Narrow"/>
        </w:rPr>
        <w:t>,</w:t>
      </w:r>
      <w:r>
        <w:rPr>
          <w:rFonts w:ascii="Arial Narrow" w:eastAsia="Calibri" w:hAnsi="Arial Narrow"/>
        </w:rPr>
        <w:t xml:space="preserve"> y 1449 asuntos en el 2020. Al confrontar estos últimos datos con las metas planeadas, se observa que en el 2019 se requería terminar 957 y para el 2020 la meta era de 967, por lo que el cumplimiento sobrepasa las metas esperadas en un 100%.</w:t>
      </w:r>
    </w:p>
    <w:p w14:paraId="3A3A48F3" w14:textId="690D763B" w:rsidR="0049673D" w:rsidRDefault="0049673D" w:rsidP="00AB78AD">
      <w:pPr>
        <w:spacing w:line="360" w:lineRule="auto"/>
        <w:jc w:val="both"/>
        <w:rPr>
          <w:rFonts w:ascii="Arial Narrow" w:eastAsia="Calibri" w:hAnsi="Arial Narrow"/>
        </w:rPr>
      </w:pPr>
    </w:p>
    <w:p w14:paraId="447D9B1D" w14:textId="21B46DAC" w:rsidR="0049673D" w:rsidRDefault="0049673D" w:rsidP="00AB78AD">
      <w:pPr>
        <w:spacing w:line="360" w:lineRule="auto"/>
        <w:jc w:val="both"/>
        <w:rPr>
          <w:rFonts w:ascii="Arial Narrow" w:eastAsia="Calibri" w:hAnsi="Arial Narrow"/>
        </w:rPr>
      </w:pPr>
    </w:p>
    <w:p w14:paraId="21E01390" w14:textId="2C5B3802" w:rsidR="0049673D" w:rsidRDefault="0049673D" w:rsidP="00AB78AD">
      <w:pPr>
        <w:spacing w:line="360" w:lineRule="auto"/>
        <w:jc w:val="both"/>
        <w:rPr>
          <w:rFonts w:ascii="Arial Narrow" w:eastAsia="Calibri" w:hAnsi="Arial Narrow"/>
        </w:rPr>
      </w:pPr>
    </w:p>
    <w:p w14:paraId="42805D26" w14:textId="51824C07" w:rsidR="0049673D" w:rsidRDefault="0049673D" w:rsidP="00AB78AD">
      <w:pPr>
        <w:spacing w:line="360" w:lineRule="auto"/>
        <w:jc w:val="both"/>
        <w:rPr>
          <w:rFonts w:ascii="Arial Narrow" w:eastAsia="Calibri" w:hAnsi="Arial Narrow"/>
        </w:rPr>
      </w:pPr>
    </w:p>
    <w:p w14:paraId="0EAB7E7D" w14:textId="642041FF" w:rsidR="0049673D" w:rsidRDefault="0049673D" w:rsidP="00AB78AD">
      <w:pPr>
        <w:spacing w:line="360" w:lineRule="auto"/>
        <w:jc w:val="both"/>
        <w:rPr>
          <w:rFonts w:ascii="Arial Narrow" w:eastAsia="Calibri" w:hAnsi="Arial Narrow"/>
        </w:rPr>
      </w:pPr>
    </w:p>
    <w:p w14:paraId="4490C381" w14:textId="00A90CF9" w:rsidR="0049673D" w:rsidRDefault="0049673D" w:rsidP="00AB78AD">
      <w:pPr>
        <w:spacing w:line="360" w:lineRule="auto"/>
        <w:jc w:val="both"/>
        <w:rPr>
          <w:rFonts w:ascii="Arial Narrow" w:eastAsia="Calibri" w:hAnsi="Arial Narrow"/>
        </w:rPr>
      </w:pPr>
    </w:p>
    <w:p w14:paraId="49356753" w14:textId="77777777" w:rsidR="0049673D" w:rsidRDefault="0049673D" w:rsidP="00AB78AD">
      <w:pPr>
        <w:spacing w:line="360" w:lineRule="auto"/>
        <w:jc w:val="both"/>
        <w:rPr>
          <w:rFonts w:ascii="Arial Narrow" w:eastAsia="Calibri" w:hAnsi="Arial Narrow"/>
        </w:rPr>
        <w:sectPr w:rsidR="0049673D" w:rsidSect="0049673D">
          <w:pgSz w:w="12242" w:h="15842" w:code="1"/>
          <w:pgMar w:top="719" w:right="1469" w:bottom="719" w:left="1560" w:header="709" w:footer="709" w:gutter="0"/>
          <w:cols w:space="708"/>
          <w:docGrid w:linePitch="360"/>
        </w:sectPr>
      </w:pPr>
    </w:p>
    <w:p w14:paraId="50438D89" w14:textId="77777777" w:rsidR="00AB78AD" w:rsidRDefault="00AB78AD" w:rsidP="00AB78AD">
      <w:pPr>
        <w:rPr>
          <w:rFonts w:eastAsia="Calibri"/>
          <w:lang w:eastAsia="en-US"/>
        </w:rPr>
      </w:pPr>
    </w:p>
    <w:p w14:paraId="4A999510" w14:textId="25F11C85" w:rsidR="00AB78AD" w:rsidRPr="009D27BE" w:rsidRDefault="00AB78AD" w:rsidP="00AB78AD">
      <w:pPr>
        <w:tabs>
          <w:tab w:val="left" w:pos="2776"/>
        </w:tabs>
        <w:spacing w:line="360" w:lineRule="auto"/>
        <w:jc w:val="center"/>
        <w:rPr>
          <w:rFonts w:ascii="Arial Narrow" w:eastAsia="Calibri" w:hAnsi="Arial Narrow"/>
          <w:b/>
          <w:bCs/>
        </w:rPr>
      </w:pPr>
      <w:bookmarkStart w:id="30" w:name="_Toc76062232"/>
      <w:r w:rsidRPr="009D27BE">
        <w:rPr>
          <w:rFonts w:ascii="Arial Narrow" w:hAnsi="Arial Narrow"/>
          <w:b/>
          <w:bCs/>
        </w:rPr>
        <w:t xml:space="preserve">Cuadro </w:t>
      </w:r>
      <w:r w:rsidRPr="009D27BE">
        <w:rPr>
          <w:rFonts w:ascii="Arial Narrow" w:hAnsi="Arial Narrow"/>
          <w:b/>
          <w:bCs/>
        </w:rPr>
        <w:fldChar w:fldCharType="begin"/>
      </w:r>
      <w:r w:rsidRPr="009D27BE">
        <w:rPr>
          <w:rFonts w:ascii="Arial Narrow" w:hAnsi="Arial Narrow"/>
          <w:b/>
          <w:bCs/>
        </w:rPr>
        <w:instrText xml:space="preserve"> SEQ Cuadro_No. \* ARABIC </w:instrText>
      </w:r>
      <w:r w:rsidRPr="009D27BE">
        <w:rPr>
          <w:rFonts w:ascii="Arial Narrow" w:hAnsi="Arial Narrow"/>
          <w:b/>
          <w:bCs/>
        </w:rPr>
        <w:fldChar w:fldCharType="separate"/>
      </w:r>
      <w:r w:rsidR="0049673D">
        <w:rPr>
          <w:rFonts w:ascii="Arial Narrow" w:hAnsi="Arial Narrow"/>
          <w:b/>
          <w:bCs/>
          <w:noProof/>
        </w:rPr>
        <w:t>9</w:t>
      </w:r>
      <w:r w:rsidRPr="009D27BE">
        <w:rPr>
          <w:rFonts w:ascii="Arial Narrow" w:hAnsi="Arial Narrow"/>
          <w:b/>
          <w:bCs/>
        </w:rPr>
        <w:fldChar w:fldCharType="end"/>
      </w:r>
      <w:r w:rsidRPr="009D27BE">
        <w:rPr>
          <w:rFonts w:ascii="Arial Narrow" w:hAnsi="Arial Narrow"/>
          <w:b/>
          <w:bCs/>
        </w:rPr>
        <w:t xml:space="preserve"> Continuación de </w:t>
      </w:r>
      <w:r w:rsidRPr="009D27BE">
        <w:rPr>
          <w:rFonts w:ascii="Arial Narrow" w:eastAsia="Calibri" w:hAnsi="Arial Narrow"/>
          <w:b/>
          <w:bCs/>
          <w:lang w:eastAsia="en-US"/>
        </w:rPr>
        <w:t>Metas estratégicas de Celeridad Judicial y su cumplimiento para el 2019-2020</w:t>
      </w:r>
      <w:bookmarkEnd w:id="30"/>
    </w:p>
    <w:p w14:paraId="00F86DEB" w14:textId="334B9F8F" w:rsidR="00AB78AD" w:rsidRDefault="00113B68" w:rsidP="00AB78AD">
      <w:pPr>
        <w:rPr>
          <w:rFonts w:eastAsia="Calibri"/>
          <w:lang w:eastAsia="en-US"/>
        </w:rPr>
      </w:pPr>
      <w:r>
        <w:rPr>
          <w:noProof/>
          <w:lang w:val="es-CR" w:eastAsia="es-CR"/>
        </w:rPr>
        <w:drawing>
          <wp:inline distT="0" distB="0" distL="0" distR="0" wp14:anchorId="77350A1C" wp14:editId="213611B1">
            <wp:extent cx="9146540" cy="3514476"/>
            <wp:effectExtent l="19050" t="19050" r="16510" b="10160"/>
            <wp:docPr id="7" name="Imagen 7" descr="Imagen que contiene Escala de tiemp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7" descr="Imagen que contiene Escala de tiempo&#10;&#10;Descripción generada automáticamente"/>
                    <pic:cNvPicPr/>
                  </pic:nvPicPr>
                  <pic:blipFill>
                    <a:blip r:embed="rId62"/>
                    <a:stretch>
                      <a:fillRect/>
                    </a:stretch>
                  </pic:blipFill>
                  <pic:spPr>
                    <a:xfrm>
                      <a:off x="0" y="0"/>
                      <a:ext cx="9148297" cy="3515151"/>
                    </a:xfrm>
                    <a:prstGeom prst="rect">
                      <a:avLst/>
                    </a:prstGeom>
                    <a:ln>
                      <a:solidFill>
                        <a:schemeClr val="accent1"/>
                      </a:solidFill>
                    </a:ln>
                  </pic:spPr>
                </pic:pic>
              </a:graphicData>
            </a:graphic>
          </wp:inline>
        </w:drawing>
      </w:r>
    </w:p>
    <w:p w14:paraId="559D8173" w14:textId="3761C406" w:rsidR="00AB78AD" w:rsidRDefault="00AB78AD" w:rsidP="00AB78AD">
      <w:pPr>
        <w:rPr>
          <w:rFonts w:eastAsia="Calibri"/>
          <w:lang w:eastAsia="en-US"/>
        </w:rPr>
      </w:pPr>
    </w:p>
    <w:p w14:paraId="167BF1A5" w14:textId="77777777" w:rsidR="00AB78AD" w:rsidRDefault="00AB78AD" w:rsidP="00AB78AD">
      <w:pPr>
        <w:rPr>
          <w:rFonts w:eastAsia="Calibri"/>
          <w:lang w:eastAsia="en-US"/>
        </w:rPr>
      </w:pPr>
    </w:p>
    <w:p w14:paraId="2BF21638" w14:textId="77777777" w:rsidR="00AB78AD" w:rsidRDefault="00AB78AD" w:rsidP="00AB78AD">
      <w:pPr>
        <w:rPr>
          <w:rFonts w:eastAsia="Calibri"/>
          <w:lang w:eastAsia="en-US"/>
        </w:rPr>
      </w:pPr>
      <w:r w:rsidRPr="00EE2E13">
        <w:rPr>
          <w:rFonts w:ascii="Arial Narrow" w:hAnsi="Arial Narrow"/>
          <w:sz w:val="18"/>
          <w:szCs w:val="18"/>
          <w:lang w:val="es-CR" w:eastAsia="es-CR"/>
        </w:rPr>
        <w:t>Fuente: Sistema PEI al 24 de enero del 2020 (año 2019) y 04 de marzo del 2021 (año 2020).</w:t>
      </w:r>
    </w:p>
    <w:p w14:paraId="737979BB" w14:textId="77777777" w:rsidR="0049673D" w:rsidRDefault="0049673D" w:rsidP="00AB78AD">
      <w:pPr>
        <w:rPr>
          <w:rFonts w:eastAsia="Calibri"/>
          <w:lang w:eastAsia="en-US"/>
        </w:rPr>
        <w:sectPr w:rsidR="0049673D" w:rsidSect="0049673D">
          <w:pgSz w:w="15842" w:h="12242" w:orient="landscape" w:code="1"/>
          <w:pgMar w:top="1560" w:right="719" w:bottom="1469" w:left="719" w:header="709" w:footer="709" w:gutter="0"/>
          <w:cols w:space="708"/>
          <w:docGrid w:linePitch="360"/>
        </w:sectPr>
      </w:pPr>
    </w:p>
    <w:p w14:paraId="014B1C91" w14:textId="20C9A988" w:rsidR="00AB78AD" w:rsidRDefault="00AB78AD" w:rsidP="00AB78AD">
      <w:pPr>
        <w:rPr>
          <w:rFonts w:eastAsia="Calibri"/>
          <w:lang w:eastAsia="en-US"/>
        </w:rPr>
      </w:pPr>
    </w:p>
    <w:p w14:paraId="39939F53" w14:textId="263B60D3" w:rsidR="00AB78AD" w:rsidRDefault="00AB78AD" w:rsidP="00AB78AD">
      <w:pPr>
        <w:spacing w:line="360" w:lineRule="auto"/>
        <w:jc w:val="both"/>
        <w:rPr>
          <w:rFonts w:ascii="Arial Narrow" w:eastAsia="Calibri" w:hAnsi="Arial Narrow"/>
        </w:rPr>
      </w:pPr>
      <w:r>
        <w:rPr>
          <w:rFonts w:ascii="Arial Narrow" w:eastAsia="Calibri" w:hAnsi="Arial Narrow"/>
        </w:rPr>
        <w:t xml:space="preserve">La meta estratégica </w:t>
      </w:r>
      <w:r w:rsidR="005F204C">
        <w:rPr>
          <w:rFonts w:ascii="Arial Narrow" w:eastAsia="Calibri" w:hAnsi="Arial Narrow"/>
          <w:b/>
          <w:bCs/>
          <w:i/>
          <w:iCs/>
        </w:rPr>
        <w:t>“Q</w:t>
      </w:r>
      <w:r w:rsidRPr="00B33DA3">
        <w:rPr>
          <w:rFonts w:ascii="Arial Narrow" w:eastAsia="Calibri" w:hAnsi="Arial Narrow"/>
          <w:b/>
          <w:bCs/>
          <w:i/>
          <w:iCs/>
        </w:rPr>
        <w:t>ue al finalizar el 2024, se haya incrementado la cantidad de casos terminados en materia Agraria por año, en primera instancia</w:t>
      </w:r>
      <w:r w:rsidR="00605BF0">
        <w:rPr>
          <w:rFonts w:ascii="Arial Narrow" w:eastAsia="Calibri" w:hAnsi="Arial Narrow"/>
          <w:b/>
          <w:bCs/>
          <w:i/>
          <w:iCs/>
        </w:rPr>
        <w:t>”</w:t>
      </w:r>
      <w:r>
        <w:rPr>
          <w:rFonts w:ascii="Arial Narrow" w:eastAsia="Calibri" w:hAnsi="Arial Narrow"/>
        </w:rPr>
        <w:t>, se tiene que en el 2019 se reporta por parte de los 1</w:t>
      </w:r>
      <w:r w:rsidR="00113B68">
        <w:rPr>
          <w:rFonts w:ascii="Arial Narrow" w:eastAsia="Calibri" w:hAnsi="Arial Narrow"/>
        </w:rPr>
        <w:t>4</w:t>
      </w:r>
      <w:r>
        <w:rPr>
          <w:rFonts w:ascii="Arial Narrow" w:eastAsia="Calibri" w:hAnsi="Arial Narrow"/>
        </w:rPr>
        <w:t xml:space="preserve"> Juzgados competentes en materia Agraria de primera instancia un cumplimiento </w:t>
      </w:r>
      <w:r w:rsidRPr="009D27BE">
        <w:rPr>
          <w:rFonts w:ascii="Arial Narrow" w:eastAsia="Calibri" w:hAnsi="Arial Narrow"/>
        </w:rPr>
        <w:t xml:space="preserve">de </w:t>
      </w:r>
      <w:r>
        <w:rPr>
          <w:rFonts w:ascii="Arial Narrow" w:eastAsia="Calibri" w:hAnsi="Arial Narrow"/>
        </w:rPr>
        <w:t>94</w:t>
      </w:r>
      <w:r w:rsidRPr="009D27BE">
        <w:rPr>
          <w:rFonts w:ascii="Arial Narrow" w:eastAsia="Calibri" w:hAnsi="Arial Narrow"/>
        </w:rPr>
        <w:t xml:space="preserve">%, sin embargo, al revisar los datos reportados estadísticamente por medio de SIGMA, se tiene que se terminaron </w:t>
      </w:r>
      <w:r>
        <w:rPr>
          <w:rFonts w:ascii="Arial Narrow" w:eastAsia="Calibri" w:hAnsi="Arial Narrow"/>
        </w:rPr>
        <w:t>3645</w:t>
      </w:r>
      <w:r w:rsidRPr="009D27BE">
        <w:rPr>
          <w:rFonts w:ascii="Arial Narrow" w:eastAsia="Calibri" w:hAnsi="Arial Narrow"/>
        </w:rPr>
        <w:t xml:space="preserve"> asuntos, por lo que la meta para ese año registro un cumplimiento alto de 100%, debido a que la meta esperada era de </w:t>
      </w:r>
      <w:r>
        <w:rPr>
          <w:rFonts w:ascii="Arial Narrow" w:eastAsia="Calibri" w:hAnsi="Arial Narrow"/>
        </w:rPr>
        <w:t>3002</w:t>
      </w:r>
      <w:r w:rsidRPr="009D27BE">
        <w:rPr>
          <w:rFonts w:ascii="Arial Narrow" w:eastAsia="Calibri" w:hAnsi="Arial Narrow"/>
        </w:rPr>
        <w:t xml:space="preserve"> asuntos</w:t>
      </w:r>
      <w:r>
        <w:rPr>
          <w:rFonts w:ascii="Arial Narrow" w:eastAsia="Calibri" w:hAnsi="Arial Narrow"/>
        </w:rPr>
        <w:t xml:space="preserve"> y la sobrepasaron en 643 casos</w:t>
      </w:r>
      <w:r w:rsidRPr="009D27BE">
        <w:rPr>
          <w:rFonts w:ascii="Arial Narrow" w:eastAsia="Calibri" w:hAnsi="Arial Narrow"/>
        </w:rPr>
        <w:t xml:space="preserve">. Para el 2020, se tiene un reporte de cumplimiento por parte de las oficinas de un </w:t>
      </w:r>
      <w:r>
        <w:rPr>
          <w:rFonts w:ascii="Arial Narrow" w:eastAsia="Calibri" w:hAnsi="Arial Narrow"/>
        </w:rPr>
        <w:t>89</w:t>
      </w:r>
      <w:r w:rsidRPr="009D27BE">
        <w:rPr>
          <w:rFonts w:ascii="Arial Narrow" w:eastAsia="Calibri" w:hAnsi="Arial Narrow"/>
        </w:rPr>
        <w:t>%, al confrontar</w:t>
      </w:r>
      <w:r>
        <w:rPr>
          <w:rFonts w:ascii="Arial Narrow" w:eastAsia="Calibri" w:hAnsi="Arial Narrow"/>
        </w:rPr>
        <w:t xml:space="preserve"> este dato contra los terminados oficiales para ese año, se registran 3.107 asuntos terminados, dato que al confrontarlo contra lo esperado para ese año (3.031 asuntos) se observa que más bien sobrepasa la meta en 70 expedientes, lo que representa un cumplimiento alto de 100%. </w:t>
      </w:r>
    </w:p>
    <w:p w14:paraId="6F53F2EA" w14:textId="77777777" w:rsidR="00AB78AD" w:rsidRDefault="00AB78AD" w:rsidP="00AB78AD">
      <w:pPr>
        <w:rPr>
          <w:rFonts w:eastAsia="Calibri"/>
          <w:lang w:eastAsia="en-US"/>
        </w:rPr>
      </w:pPr>
    </w:p>
    <w:p w14:paraId="029AF66B" w14:textId="77777777" w:rsidR="00AB78AD" w:rsidRDefault="00AB78AD" w:rsidP="00AB78AD">
      <w:pPr>
        <w:rPr>
          <w:rFonts w:eastAsia="Calibri"/>
          <w:lang w:eastAsia="en-US"/>
        </w:rPr>
      </w:pPr>
    </w:p>
    <w:p w14:paraId="0DEC20A5" w14:textId="51F8E4D8" w:rsidR="00AB78AD" w:rsidRDefault="00AB78AD" w:rsidP="00AB78AD">
      <w:pPr>
        <w:spacing w:line="360" w:lineRule="auto"/>
        <w:jc w:val="both"/>
        <w:rPr>
          <w:rFonts w:ascii="Arial Narrow" w:eastAsia="Calibri" w:hAnsi="Arial Narrow"/>
        </w:rPr>
      </w:pPr>
      <w:r>
        <w:rPr>
          <w:rFonts w:ascii="Arial Narrow" w:eastAsia="Calibri" w:hAnsi="Arial Narrow"/>
        </w:rPr>
        <w:t xml:space="preserve">Por otro lado, la meta estratégica </w:t>
      </w:r>
      <w:r w:rsidR="005F204C">
        <w:rPr>
          <w:rFonts w:ascii="Arial Narrow" w:eastAsia="Calibri" w:hAnsi="Arial Narrow"/>
          <w:b/>
          <w:bCs/>
          <w:i/>
          <w:iCs/>
        </w:rPr>
        <w:t>“Q</w:t>
      </w:r>
      <w:r w:rsidRPr="008E5A25">
        <w:rPr>
          <w:rFonts w:ascii="Arial Narrow" w:eastAsia="Calibri" w:hAnsi="Arial Narrow"/>
          <w:b/>
          <w:bCs/>
          <w:i/>
          <w:iCs/>
        </w:rPr>
        <w:t>ue al finalizar el 2024, se haya incrementado la cantidad de casos terminados en materia Familia por año, en primera instancia</w:t>
      </w:r>
      <w:r w:rsidR="005F204C">
        <w:rPr>
          <w:rFonts w:ascii="Arial Narrow" w:eastAsia="Calibri" w:hAnsi="Arial Narrow"/>
          <w:b/>
          <w:bCs/>
          <w:i/>
          <w:iCs/>
        </w:rPr>
        <w:t>”</w:t>
      </w:r>
      <w:r>
        <w:rPr>
          <w:rFonts w:ascii="Arial Narrow" w:eastAsia="Calibri" w:hAnsi="Arial Narrow"/>
        </w:rPr>
        <w:t>, se tiene que en el 2019 y 2020 se reporta por parte de los 28 despachos competentes en materia de Familia en primera instancia los datos registrados de 94% y 86% respectivamente, sin embargo, al revisar los datos reportados estadísticamente por medio de SIGMA, se tiene que se terminaron 30.076 asuntos en el 2019 y 26.168 asuntos en el 2020. Al confrontar estos últimos datos estadísticos con las metas propuestas, se observa que en el 2019 se requería terminar 28.836 expedientes por lo que la meta fue ampliamente superada y para el 2020 la meta era de 29.123 asuntos y por lo tanto, faltaron 2955 asuntos por fenecer para alcanzar la meta, lo que representa en términos acumulados un 100% para el año 2019 y un 89,9% de cumplimiento medio para el año 2020.</w:t>
      </w:r>
    </w:p>
    <w:p w14:paraId="36AD0F25" w14:textId="77777777" w:rsidR="00AB78AD" w:rsidRDefault="00AB78AD" w:rsidP="00AB78AD">
      <w:pPr>
        <w:rPr>
          <w:rFonts w:eastAsia="Calibri"/>
          <w:lang w:eastAsia="en-US"/>
        </w:rPr>
      </w:pPr>
    </w:p>
    <w:p w14:paraId="55BDDDA8" w14:textId="77777777" w:rsidR="007775F7" w:rsidRDefault="007775F7">
      <w:pPr>
        <w:rPr>
          <w:rFonts w:ascii="Arial Narrow" w:eastAsia="Calibri" w:hAnsi="Arial Narrow"/>
        </w:rPr>
      </w:pPr>
      <w:r>
        <w:rPr>
          <w:rFonts w:ascii="Arial Narrow" w:eastAsia="Calibri" w:hAnsi="Arial Narrow"/>
        </w:rPr>
        <w:br w:type="page"/>
      </w:r>
    </w:p>
    <w:p w14:paraId="17E0C6C9" w14:textId="77777777" w:rsidR="007775F7" w:rsidRDefault="007775F7" w:rsidP="00AB78AD">
      <w:pPr>
        <w:spacing w:line="360" w:lineRule="auto"/>
        <w:jc w:val="both"/>
        <w:rPr>
          <w:rFonts w:ascii="Arial Narrow" w:eastAsia="Calibri" w:hAnsi="Arial Narrow"/>
        </w:rPr>
      </w:pPr>
    </w:p>
    <w:p w14:paraId="0EF5D97C" w14:textId="451BA54E" w:rsidR="00145CF2" w:rsidRDefault="00AB78AD" w:rsidP="00AB78AD">
      <w:pPr>
        <w:spacing w:line="360" w:lineRule="auto"/>
        <w:jc w:val="both"/>
        <w:rPr>
          <w:rFonts w:ascii="Arial Narrow" w:eastAsia="Calibri" w:hAnsi="Arial Narrow"/>
        </w:rPr>
      </w:pPr>
      <w:r w:rsidRPr="00145CF2">
        <w:rPr>
          <w:rFonts w:ascii="Arial Narrow" w:eastAsia="Calibri" w:hAnsi="Arial Narrow"/>
        </w:rPr>
        <w:t xml:space="preserve">La meta estratégica </w:t>
      </w:r>
      <w:r w:rsidR="005F204C">
        <w:rPr>
          <w:rFonts w:ascii="Arial Narrow" w:eastAsia="Calibri" w:hAnsi="Arial Narrow"/>
          <w:b/>
          <w:bCs/>
          <w:i/>
          <w:iCs/>
        </w:rPr>
        <w:t>“Q</w:t>
      </w:r>
      <w:r w:rsidRPr="00145CF2">
        <w:rPr>
          <w:rFonts w:ascii="Arial Narrow" w:eastAsia="Calibri" w:hAnsi="Arial Narrow"/>
          <w:b/>
          <w:bCs/>
          <w:i/>
          <w:iCs/>
        </w:rPr>
        <w:t>ue al finalizar el 2024, se haya incrementado la cantidad de casos terminados en materia Contenciosa por año, en primera instancia</w:t>
      </w:r>
      <w:r w:rsidR="005F204C">
        <w:rPr>
          <w:rFonts w:ascii="Arial Narrow" w:eastAsia="Calibri" w:hAnsi="Arial Narrow"/>
          <w:b/>
          <w:bCs/>
          <w:i/>
          <w:iCs/>
        </w:rPr>
        <w:t>”</w:t>
      </w:r>
      <w:r w:rsidRPr="00145CF2">
        <w:rPr>
          <w:rFonts w:ascii="Arial Narrow" w:eastAsia="Calibri" w:hAnsi="Arial Narrow"/>
        </w:rPr>
        <w:t>, se reporta por parte del Juzgado Contencioso Administrativo (códigos 163 y 1028) y el Tribunal Contencioso Administrativo (códigos 161 y 1027) un cumplimiento para el 2019 de 57% y para el  2020 se reporta un 59%, sin embargo, al revisar los datos reportados estadísticamente por medio de SIGMA, se tiene que se terminaron 17.566 asuntos en el 2019 y 16.344 asuntos en el 2020. Al confrontar estos últimos datos estadísticos con las metas propuestas, se observa que en el 2019 se requería ter</w:t>
      </w:r>
      <w:r w:rsidRPr="00113B68">
        <w:rPr>
          <w:rFonts w:ascii="Arial Narrow" w:eastAsia="Calibri" w:hAnsi="Arial Narrow"/>
        </w:rPr>
        <w:t xml:space="preserve">minar 20.372 expedientes por lo que la meta no </w:t>
      </w:r>
      <w:r w:rsidR="001A4915" w:rsidRPr="00145CF2">
        <w:rPr>
          <w:rFonts w:ascii="Arial Narrow" w:eastAsia="Calibri" w:hAnsi="Arial Narrow"/>
        </w:rPr>
        <w:t xml:space="preserve">logró </w:t>
      </w:r>
      <w:r w:rsidRPr="00145CF2">
        <w:rPr>
          <w:rFonts w:ascii="Arial Narrow" w:eastAsia="Calibri" w:hAnsi="Arial Narrow"/>
        </w:rPr>
        <w:t xml:space="preserve">ser alcanzada en su totalidad (86,2% de cumplimiento medio) y para el 2020 la meta era de 20.575 asuntos y por lo tanto, faltaron 4231 asuntos por fenecer para alcanzar la meta, lo que representa en términos acumulados un 79,4% de cumplimiento medio para el año 2020. </w:t>
      </w:r>
    </w:p>
    <w:p w14:paraId="3825A898" w14:textId="77777777" w:rsidR="00145CF2" w:rsidRDefault="00145CF2" w:rsidP="00AB78AD">
      <w:pPr>
        <w:spacing w:line="360" w:lineRule="auto"/>
        <w:jc w:val="both"/>
        <w:rPr>
          <w:rFonts w:ascii="Arial Narrow" w:eastAsia="Calibri" w:hAnsi="Arial Narrow"/>
        </w:rPr>
      </w:pPr>
    </w:p>
    <w:p w14:paraId="2C42458A" w14:textId="61A838F3" w:rsidR="0049673D" w:rsidRDefault="00145CF2" w:rsidP="00C9711A">
      <w:pPr>
        <w:spacing w:line="360" w:lineRule="auto"/>
        <w:jc w:val="both"/>
        <w:rPr>
          <w:rFonts w:eastAsia="Calibri"/>
          <w:lang w:eastAsia="en-US"/>
        </w:rPr>
        <w:sectPr w:rsidR="0049673D" w:rsidSect="0049673D">
          <w:pgSz w:w="12242" w:h="15842" w:code="1"/>
          <w:pgMar w:top="719" w:right="1469" w:bottom="719" w:left="1560" w:header="709" w:footer="709" w:gutter="0"/>
          <w:cols w:space="708"/>
          <w:docGrid w:linePitch="360"/>
        </w:sectPr>
      </w:pPr>
      <w:r w:rsidRPr="00624C11">
        <w:rPr>
          <w:rFonts w:ascii="Arial Narrow" w:eastAsia="Calibri" w:hAnsi="Arial Narrow"/>
        </w:rPr>
        <w:t>Es importante aclarar que el Tribunal Contencioso</w:t>
      </w:r>
      <w:r>
        <w:rPr>
          <w:rFonts w:ascii="Arial Narrow" w:eastAsia="Calibri" w:hAnsi="Arial Narrow"/>
        </w:rPr>
        <w:t xml:space="preserve"> Administrativo</w:t>
      </w:r>
      <w:r w:rsidRPr="00624C11">
        <w:rPr>
          <w:rFonts w:ascii="Arial Narrow" w:eastAsia="Calibri" w:hAnsi="Arial Narrow"/>
        </w:rPr>
        <w:t xml:space="preserve"> si es responsable de </w:t>
      </w:r>
      <w:r>
        <w:rPr>
          <w:rFonts w:ascii="Arial Narrow" w:eastAsia="Calibri" w:hAnsi="Arial Narrow"/>
        </w:rPr>
        <w:t xml:space="preserve">los </w:t>
      </w:r>
      <w:r w:rsidRPr="00624C11">
        <w:rPr>
          <w:rFonts w:ascii="Arial Narrow" w:eastAsia="Calibri" w:hAnsi="Arial Narrow"/>
        </w:rPr>
        <w:t xml:space="preserve">asuntos de </w:t>
      </w:r>
      <w:r>
        <w:rPr>
          <w:rFonts w:ascii="Arial Narrow" w:eastAsia="Calibri" w:hAnsi="Arial Narrow"/>
        </w:rPr>
        <w:t>primera</w:t>
      </w:r>
      <w:r w:rsidRPr="00624C11">
        <w:rPr>
          <w:rFonts w:ascii="Arial Narrow" w:eastAsia="Calibri" w:hAnsi="Arial Narrow"/>
        </w:rPr>
        <w:t xml:space="preserve"> instancia </w:t>
      </w:r>
      <w:r>
        <w:rPr>
          <w:rFonts w:ascii="Arial Narrow" w:eastAsia="Calibri" w:hAnsi="Arial Narrow"/>
        </w:rPr>
        <w:t xml:space="preserve">que corresponden al Código Procesal Contencioso (contexto 1027) y además es responsable de los asuntos de Primera y Segunda Instancia que corresponde a Ley Reguladora de la Jurisdicción Contenciosa (contexto 0161). </w:t>
      </w:r>
      <w:r w:rsidRPr="00624C11">
        <w:rPr>
          <w:rFonts w:ascii="Arial Narrow" w:eastAsia="Calibri" w:hAnsi="Arial Narrow"/>
        </w:rPr>
        <w:t xml:space="preserve"> En el caso del Juzgado funge únicamente como primera instancia tanto en asuntos como del </w:t>
      </w:r>
      <w:r>
        <w:rPr>
          <w:rFonts w:ascii="Arial Narrow" w:eastAsia="Calibri" w:hAnsi="Arial Narrow"/>
        </w:rPr>
        <w:t>Código Procesal Contencioso (contexto 1028) y como de la Ley Reguladora de la Jurisdicción Contenciosa (contexto 0163).</w:t>
      </w:r>
    </w:p>
    <w:p w14:paraId="0C3710AC" w14:textId="163FE509" w:rsidR="00AB78AD" w:rsidRDefault="00AB78AD" w:rsidP="00AB78AD">
      <w:pPr>
        <w:rPr>
          <w:rFonts w:eastAsia="Calibri"/>
          <w:lang w:eastAsia="en-US"/>
        </w:rPr>
      </w:pPr>
    </w:p>
    <w:p w14:paraId="278A8176" w14:textId="77777777" w:rsidR="00AB78AD" w:rsidRDefault="00AB78AD" w:rsidP="00AB78AD">
      <w:pPr>
        <w:rPr>
          <w:rFonts w:eastAsia="Calibri"/>
          <w:lang w:eastAsia="en-US"/>
        </w:rPr>
      </w:pPr>
    </w:p>
    <w:p w14:paraId="07955CDE" w14:textId="19F80F02" w:rsidR="00AB78AD" w:rsidRPr="009D27BE" w:rsidRDefault="00AB78AD" w:rsidP="00AB78AD">
      <w:pPr>
        <w:tabs>
          <w:tab w:val="left" w:pos="2776"/>
        </w:tabs>
        <w:spacing w:line="360" w:lineRule="auto"/>
        <w:jc w:val="center"/>
        <w:rPr>
          <w:rFonts w:ascii="Arial Narrow" w:eastAsia="Calibri" w:hAnsi="Arial Narrow"/>
          <w:b/>
          <w:bCs/>
        </w:rPr>
      </w:pPr>
      <w:bookmarkStart w:id="31" w:name="_Toc76062233"/>
      <w:r w:rsidRPr="009D27BE">
        <w:rPr>
          <w:rFonts w:ascii="Arial Narrow" w:hAnsi="Arial Narrow"/>
          <w:b/>
          <w:bCs/>
        </w:rPr>
        <w:t xml:space="preserve">Cuadro </w:t>
      </w:r>
      <w:r w:rsidRPr="009D27BE">
        <w:rPr>
          <w:rFonts w:ascii="Arial Narrow" w:hAnsi="Arial Narrow"/>
          <w:b/>
          <w:bCs/>
        </w:rPr>
        <w:fldChar w:fldCharType="begin"/>
      </w:r>
      <w:r w:rsidRPr="009D27BE">
        <w:rPr>
          <w:rFonts w:ascii="Arial Narrow" w:hAnsi="Arial Narrow"/>
          <w:b/>
          <w:bCs/>
        </w:rPr>
        <w:instrText xml:space="preserve"> SEQ Cuadro_No. \* ARABIC </w:instrText>
      </w:r>
      <w:r w:rsidRPr="009D27BE">
        <w:rPr>
          <w:rFonts w:ascii="Arial Narrow" w:hAnsi="Arial Narrow"/>
          <w:b/>
          <w:bCs/>
        </w:rPr>
        <w:fldChar w:fldCharType="separate"/>
      </w:r>
      <w:r w:rsidR="0049673D">
        <w:rPr>
          <w:rFonts w:ascii="Arial Narrow" w:hAnsi="Arial Narrow"/>
          <w:b/>
          <w:bCs/>
          <w:noProof/>
        </w:rPr>
        <w:t>10</w:t>
      </w:r>
      <w:r w:rsidRPr="009D27BE">
        <w:rPr>
          <w:rFonts w:ascii="Arial Narrow" w:hAnsi="Arial Narrow"/>
          <w:b/>
          <w:bCs/>
        </w:rPr>
        <w:fldChar w:fldCharType="end"/>
      </w:r>
      <w:r w:rsidRPr="009D27BE">
        <w:rPr>
          <w:rFonts w:ascii="Arial Narrow" w:hAnsi="Arial Narrow"/>
          <w:b/>
          <w:bCs/>
        </w:rPr>
        <w:t xml:space="preserve"> Continuación de </w:t>
      </w:r>
      <w:r w:rsidRPr="009D27BE">
        <w:rPr>
          <w:rFonts w:ascii="Arial Narrow" w:eastAsia="Calibri" w:hAnsi="Arial Narrow"/>
          <w:b/>
          <w:bCs/>
          <w:lang w:eastAsia="en-US"/>
        </w:rPr>
        <w:t>Metas estratégicas de Celeridad Judicial y su cumplimiento para el 2019-2020</w:t>
      </w:r>
      <w:bookmarkEnd w:id="31"/>
    </w:p>
    <w:p w14:paraId="081871B1" w14:textId="77777777" w:rsidR="00AB78AD" w:rsidRDefault="00AB78AD" w:rsidP="00AB78AD">
      <w:pPr>
        <w:rPr>
          <w:rFonts w:eastAsia="Calibri"/>
          <w:lang w:eastAsia="en-US"/>
        </w:rPr>
      </w:pPr>
      <w:r>
        <w:rPr>
          <w:noProof/>
          <w:lang w:val="es-CR" w:eastAsia="es-CR"/>
        </w:rPr>
        <w:drawing>
          <wp:inline distT="0" distB="0" distL="0" distR="0" wp14:anchorId="41CA1DE1" wp14:editId="01E91A82">
            <wp:extent cx="9100237" cy="3673475"/>
            <wp:effectExtent l="19050" t="19050" r="24765" b="22225"/>
            <wp:docPr id="93" name="Imagen 93"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Imagen 93" descr="Tabla&#10;&#10;Descripción generada automáticamente"/>
                    <pic:cNvPicPr/>
                  </pic:nvPicPr>
                  <pic:blipFill rotWithShape="1">
                    <a:blip r:embed="rId63"/>
                    <a:srcRect r="490"/>
                    <a:stretch/>
                  </pic:blipFill>
                  <pic:spPr bwMode="auto">
                    <a:xfrm>
                      <a:off x="0" y="0"/>
                      <a:ext cx="9107275" cy="3676316"/>
                    </a:xfrm>
                    <a:prstGeom prst="rect">
                      <a:avLst/>
                    </a:prstGeom>
                    <a:ln w="19050" cap="flat" cmpd="sng" algn="ctr">
                      <a:solidFill>
                        <a:srgbClr val="4472C4"/>
                      </a:solidFill>
                      <a:prstDash val="solid"/>
                      <a:round/>
                      <a:headEnd type="none" w="med" len="med"/>
                      <a:tailEnd type="none" w="med" len="med"/>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2CCE39E4" w14:textId="77777777" w:rsidR="00AB78AD" w:rsidRPr="002E0B96" w:rsidRDefault="00AB78AD" w:rsidP="00AB78AD">
      <w:pPr>
        <w:spacing w:line="360" w:lineRule="auto"/>
        <w:jc w:val="both"/>
        <w:rPr>
          <w:rFonts w:ascii="Arial Narrow" w:eastAsia="Calibri" w:hAnsi="Arial Narrow"/>
          <w:sz w:val="22"/>
          <w:szCs w:val="22"/>
        </w:rPr>
      </w:pPr>
      <w:r w:rsidRPr="002E0B96">
        <w:rPr>
          <w:rFonts w:ascii="Arial Narrow" w:eastAsia="Calibri" w:hAnsi="Arial Narrow"/>
          <w:sz w:val="18"/>
          <w:szCs w:val="18"/>
          <w:lang w:eastAsia="en-US"/>
        </w:rPr>
        <w:t>Nota: La línea base de laboral para el 2017 se vio afectada por planes de trabajo adicionales que se implementaron producto de la entrada en vigencia de la nueva ley.</w:t>
      </w:r>
    </w:p>
    <w:p w14:paraId="503F32AF" w14:textId="77777777" w:rsidR="00AB78AD" w:rsidRDefault="00AB78AD" w:rsidP="00AB78AD">
      <w:pPr>
        <w:rPr>
          <w:rFonts w:eastAsia="Calibri"/>
          <w:lang w:eastAsia="en-US"/>
        </w:rPr>
      </w:pPr>
      <w:r w:rsidRPr="00EE2E13">
        <w:rPr>
          <w:rFonts w:ascii="Arial Narrow" w:hAnsi="Arial Narrow"/>
          <w:sz w:val="18"/>
          <w:szCs w:val="18"/>
          <w:lang w:val="es-CR" w:eastAsia="es-CR"/>
        </w:rPr>
        <w:t>Fuente: Sistema PEI al 24 de enero del 2020 (año 2019) y 04 de marzo del 2021 (año 2020).</w:t>
      </w:r>
    </w:p>
    <w:p w14:paraId="23885491" w14:textId="77777777" w:rsidR="00AB78AD" w:rsidRDefault="00AB78AD" w:rsidP="00AB78AD">
      <w:pPr>
        <w:rPr>
          <w:rFonts w:eastAsia="Calibri"/>
          <w:lang w:eastAsia="en-US"/>
        </w:rPr>
      </w:pPr>
    </w:p>
    <w:p w14:paraId="03AF13D2" w14:textId="77777777" w:rsidR="0049673D" w:rsidRDefault="0049673D" w:rsidP="00AB78AD">
      <w:pPr>
        <w:rPr>
          <w:rFonts w:eastAsia="Calibri"/>
          <w:lang w:eastAsia="en-US"/>
        </w:rPr>
        <w:sectPr w:rsidR="0049673D" w:rsidSect="0049673D">
          <w:pgSz w:w="15842" w:h="12242" w:orient="landscape" w:code="1"/>
          <w:pgMar w:top="1560" w:right="719" w:bottom="1469" w:left="719" w:header="709" w:footer="709" w:gutter="0"/>
          <w:cols w:space="708"/>
          <w:docGrid w:linePitch="360"/>
        </w:sectPr>
      </w:pPr>
    </w:p>
    <w:p w14:paraId="5037D751" w14:textId="0487A115" w:rsidR="00AB78AD" w:rsidRDefault="00AB78AD" w:rsidP="00AB78AD">
      <w:pPr>
        <w:spacing w:line="360" w:lineRule="auto"/>
        <w:jc w:val="both"/>
        <w:rPr>
          <w:rFonts w:ascii="Arial Narrow" w:eastAsia="Calibri" w:hAnsi="Arial Narrow"/>
        </w:rPr>
      </w:pPr>
      <w:r>
        <w:rPr>
          <w:rFonts w:ascii="Arial Narrow" w:eastAsia="Calibri" w:hAnsi="Arial Narrow"/>
        </w:rPr>
        <w:lastRenderedPageBreak/>
        <w:t xml:space="preserve">La meta estratégica </w:t>
      </w:r>
      <w:r w:rsidR="005F204C">
        <w:rPr>
          <w:rFonts w:ascii="Arial Narrow" w:eastAsia="Calibri" w:hAnsi="Arial Narrow"/>
          <w:b/>
          <w:bCs/>
          <w:i/>
          <w:iCs/>
        </w:rPr>
        <w:t>“Q</w:t>
      </w:r>
      <w:r w:rsidRPr="00A84B34">
        <w:rPr>
          <w:rFonts w:ascii="Arial Narrow" w:eastAsia="Calibri" w:hAnsi="Arial Narrow"/>
          <w:b/>
          <w:bCs/>
          <w:i/>
          <w:iCs/>
        </w:rPr>
        <w:t>ue al finalizar el 2024, se haya incrementado la cantidad de casos terminados en materia de Pensiones Alimentarias por año, en primera instancia</w:t>
      </w:r>
      <w:r w:rsidR="005F204C">
        <w:rPr>
          <w:rFonts w:ascii="Arial Narrow" w:eastAsia="Calibri" w:hAnsi="Arial Narrow"/>
          <w:b/>
          <w:bCs/>
          <w:i/>
          <w:iCs/>
        </w:rPr>
        <w:t>”</w:t>
      </w:r>
      <w:r>
        <w:rPr>
          <w:rFonts w:ascii="Arial Narrow" w:eastAsia="Calibri" w:hAnsi="Arial Narrow"/>
          <w:b/>
          <w:bCs/>
          <w:i/>
          <w:iCs/>
        </w:rPr>
        <w:t xml:space="preserve">, </w:t>
      </w:r>
      <w:r>
        <w:rPr>
          <w:rFonts w:ascii="Arial Narrow" w:eastAsia="Calibri" w:hAnsi="Arial Narrow"/>
        </w:rPr>
        <w:t>se tiene que en el 2019 y 2020 se reporta por parte de los 73 despachos competentes en materia de Pensiones Alimentarias en primera instancia los datos registrados de 96% y 95% respectivamente, sin embargo, al revisar los datos reportados estadísticamente por medio de SIGMA, se tiene que se terminaron 26.939 asuntos en el 2019 y 24.814 asuntos en el 2020. Al confrontar estos últimos datos estadísticos con las metas propuestas, se observa que en el 2019 se requería terminar 26.554 expedientes por lo que la meta fue superada y para el 2020 la meta era de 26.819 asuntos</w:t>
      </w:r>
      <w:r w:rsidR="005F204C">
        <w:rPr>
          <w:rFonts w:ascii="Arial Narrow" w:eastAsia="Calibri" w:hAnsi="Arial Narrow"/>
        </w:rPr>
        <w:t xml:space="preserve">, </w:t>
      </w:r>
      <w:r>
        <w:rPr>
          <w:rFonts w:ascii="Arial Narrow" w:eastAsia="Calibri" w:hAnsi="Arial Narrow"/>
        </w:rPr>
        <w:t xml:space="preserve">por lo tanto, faltaron 2005 asuntos por fenecer para alcanzar la meta, lo que representa en términos acumulados un 100% para el año 2019 y un 92,5% de cumplimiento medio para el año 2020. </w:t>
      </w:r>
    </w:p>
    <w:p w14:paraId="094C0D54" w14:textId="77777777" w:rsidR="00AB78AD" w:rsidRDefault="00AB78AD" w:rsidP="00AB78AD">
      <w:pPr>
        <w:spacing w:line="360" w:lineRule="auto"/>
        <w:jc w:val="both"/>
        <w:rPr>
          <w:rFonts w:ascii="Arial Narrow" w:eastAsia="Calibri" w:hAnsi="Arial Narrow"/>
        </w:rPr>
      </w:pPr>
    </w:p>
    <w:p w14:paraId="45A80D42" w14:textId="2449E090" w:rsidR="00AB78AD" w:rsidRDefault="00AB78AD" w:rsidP="00AB78AD">
      <w:pPr>
        <w:spacing w:line="360" w:lineRule="auto"/>
        <w:jc w:val="both"/>
        <w:rPr>
          <w:rFonts w:ascii="Arial Narrow" w:eastAsia="Calibri" w:hAnsi="Arial Narrow"/>
        </w:rPr>
      </w:pPr>
      <w:r>
        <w:rPr>
          <w:rFonts w:ascii="Arial Narrow" w:eastAsia="Calibri" w:hAnsi="Arial Narrow"/>
        </w:rPr>
        <w:t xml:space="preserve">Por su parte, la meta estratégica </w:t>
      </w:r>
      <w:r w:rsidR="005F204C">
        <w:rPr>
          <w:rFonts w:ascii="Arial Narrow" w:eastAsia="Calibri" w:hAnsi="Arial Narrow"/>
          <w:b/>
          <w:bCs/>
          <w:i/>
          <w:iCs/>
        </w:rPr>
        <w:t>“Q</w:t>
      </w:r>
      <w:r w:rsidRPr="00A84B34">
        <w:rPr>
          <w:rFonts w:ascii="Arial Narrow" w:eastAsia="Calibri" w:hAnsi="Arial Narrow"/>
          <w:b/>
          <w:bCs/>
          <w:i/>
          <w:iCs/>
        </w:rPr>
        <w:t>ue al finalizar el 2024, se haya incrementado la cantidad de casos terminados en materia Laboral por año, en primera instancia</w:t>
      </w:r>
      <w:r w:rsidR="005F204C">
        <w:rPr>
          <w:rFonts w:ascii="Arial Narrow" w:eastAsia="Calibri" w:hAnsi="Arial Narrow"/>
          <w:b/>
          <w:bCs/>
          <w:i/>
          <w:iCs/>
        </w:rPr>
        <w:t>”</w:t>
      </w:r>
      <w:r>
        <w:rPr>
          <w:rFonts w:ascii="Arial Narrow" w:eastAsia="Calibri" w:hAnsi="Arial Narrow"/>
        </w:rPr>
        <w:t xml:space="preserve">, se tiene que en el 2019 se reporta por parte de los 48 Juzgados competentes en materia laboral de primera instancia registran un cumplimiento </w:t>
      </w:r>
      <w:r w:rsidRPr="009D27BE">
        <w:rPr>
          <w:rFonts w:ascii="Arial Narrow" w:eastAsia="Calibri" w:hAnsi="Arial Narrow"/>
        </w:rPr>
        <w:t xml:space="preserve">de </w:t>
      </w:r>
      <w:r>
        <w:rPr>
          <w:rFonts w:ascii="Arial Narrow" w:eastAsia="Calibri" w:hAnsi="Arial Narrow"/>
        </w:rPr>
        <w:t>91</w:t>
      </w:r>
      <w:r w:rsidRPr="009D27BE">
        <w:rPr>
          <w:rFonts w:ascii="Arial Narrow" w:eastAsia="Calibri" w:hAnsi="Arial Narrow"/>
        </w:rPr>
        <w:t xml:space="preserve">%, sin embargo, al revisar los datos reportados estadísticamente por medio de SIGMA, se tiene que se terminaron </w:t>
      </w:r>
      <w:r>
        <w:rPr>
          <w:rFonts w:ascii="Arial Narrow" w:eastAsia="Calibri" w:hAnsi="Arial Narrow"/>
        </w:rPr>
        <w:t>35.527</w:t>
      </w:r>
      <w:r w:rsidRPr="009D27BE">
        <w:rPr>
          <w:rFonts w:ascii="Arial Narrow" w:eastAsia="Calibri" w:hAnsi="Arial Narrow"/>
        </w:rPr>
        <w:t xml:space="preserve"> asuntos, por lo que la meta para ese año registro un cumplimiento </w:t>
      </w:r>
      <w:r>
        <w:rPr>
          <w:rFonts w:ascii="Arial Narrow" w:eastAsia="Calibri" w:hAnsi="Arial Narrow"/>
        </w:rPr>
        <w:t>medio</w:t>
      </w:r>
      <w:r w:rsidRPr="009D27BE">
        <w:rPr>
          <w:rFonts w:ascii="Arial Narrow" w:eastAsia="Calibri" w:hAnsi="Arial Narrow"/>
        </w:rPr>
        <w:t xml:space="preserve"> de </w:t>
      </w:r>
      <w:r>
        <w:rPr>
          <w:rFonts w:ascii="Arial Narrow" w:eastAsia="Calibri" w:hAnsi="Arial Narrow"/>
        </w:rPr>
        <w:t>80,1</w:t>
      </w:r>
      <w:r w:rsidRPr="009D27BE">
        <w:rPr>
          <w:rFonts w:ascii="Arial Narrow" w:eastAsia="Calibri" w:hAnsi="Arial Narrow"/>
        </w:rPr>
        <w:t xml:space="preserve">%, debido a que la meta esperada era de </w:t>
      </w:r>
      <w:r>
        <w:rPr>
          <w:rFonts w:ascii="Arial Narrow" w:eastAsia="Calibri" w:hAnsi="Arial Narrow"/>
        </w:rPr>
        <w:t>44.346</w:t>
      </w:r>
      <w:r w:rsidRPr="009D27BE">
        <w:rPr>
          <w:rFonts w:ascii="Arial Narrow" w:eastAsia="Calibri" w:hAnsi="Arial Narrow"/>
        </w:rPr>
        <w:t xml:space="preserve">  asuntos.  Para el 2020, se tiene un reporte de cumplimiento por parte de las oficinas de un 86%, al confrontar</w:t>
      </w:r>
      <w:r>
        <w:rPr>
          <w:rFonts w:ascii="Arial Narrow" w:eastAsia="Calibri" w:hAnsi="Arial Narrow"/>
        </w:rPr>
        <w:t xml:space="preserve"> este dato contra los terminados oficiales para ese año, se registran 32.410 asuntos terminados, dato que al confrontarlo contra lo esperado para ese año (44.789 asuntos) se observa que no se logra alcanzar la meta, lo que representa un cumplimiento medio de 72,4% (faltaron 12.379 expedientes). </w:t>
      </w:r>
    </w:p>
    <w:p w14:paraId="5B116A3A" w14:textId="77777777" w:rsidR="00AB78AD" w:rsidRDefault="00AB78AD" w:rsidP="00AB78AD">
      <w:pPr>
        <w:rPr>
          <w:rFonts w:eastAsia="Calibri"/>
          <w:lang w:eastAsia="en-US"/>
        </w:rPr>
      </w:pPr>
    </w:p>
    <w:p w14:paraId="46251753" w14:textId="77777777" w:rsidR="00AB78AD" w:rsidRDefault="00AB78AD" w:rsidP="00AB78AD">
      <w:pPr>
        <w:rPr>
          <w:rFonts w:eastAsia="Calibri"/>
          <w:lang w:eastAsia="en-US"/>
        </w:rPr>
      </w:pPr>
    </w:p>
    <w:p w14:paraId="17FCA658" w14:textId="4FA07AAA" w:rsidR="00AB78AD" w:rsidRDefault="00AB78AD" w:rsidP="00AB78AD">
      <w:pPr>
        <w:spacing w:line="360" w:lineRule="auto"/>
        <w:jc w:val="both"/>
        <w:rPr>
          <w:rFonts w:ascii="Arial Narrow" w:eastAsia="Calibri" w:hAnsi="Arial Narrow"/>
        </w:rPr>
      </w:pPr>
      <w:r>
        <w:rPr>
          <w:rFonts w:ascii="Arial Narrow" w:eastAsia="Calibri" w:hAnsi="Arial Narrow"/>
        </w:rPr>
        <w:t xml:space="preserve">La meta estratégica </w:t>
      </w:r>
      <w:r w:rsidR="005F204C">
        <w:rPr>
          <w:rFonts w:ascii="Arial Narrow" w:eastAsia="Calibri" w:hAnsi="Arial Narrow"/>
          <w:b/>
          <w:bCs/>
          <w:i/>
          <w:iCs/>
        </w:rPr>
        <w:t>“Q</w:t>
      </w:r>
      <w:r w:rsidRPr="00BD08A3">
        <w:rPr>
          <w:rFonts w:ascii="Arial Narrow" w:eastAsia="Calibri" w:hAnsi="Arial Narrow"/>
          <w:b/>
          <w:bCs/>
          <w:i/>
          <w:iCs/>
        </w:rPr>
        <w:t>ue al finalizar el 2024, se haya incrementado la cantidad de casos terminados en materia Penal por año, en primera instancia por los juzgados penales</w:t>
      </w:r>
      <w:r w:rsidR="005F204C">
        <w:rPr>
          <w:rFonts w:ascii="Arial Narrow" w:eastAsia="Calibri" w:hAnsi="Arial Narrow"/>
          <w:b/>
          <w:bCs/>
          <w:i/>
          <w:iCs/>
        </w:rPr>
        <w:t>”</w:t>
      </w:r>
      <w:r>
        <w:rPr>
          <w:rFonts w:ascii="Arial Narrow" w:eastAsia="Calibri" w:hAnsi="Arial Narrow"/>
          <w:b/>
          <w:bCs/>
          <w:i/>
          <w:iCs/>
        </w:rPr>
        <w:t xml:space="preserve">, </w:t>
      </w:r>
      <w:r>
        <w:rPr>
          <w:rFonts w:ascii="Arial Narrow" w:eastAsia="Calibri" w:hAnsi="Arial Narrow"/>
        </w:rPr>
        <w:t>se tiene que en el 2019 y 2020 se reporta por parte de los 39 juzgados penales los datos registrados de cumplimiento PEI de 96% y 82% respectivamente, sin embargo, al revisar los datos reportados estadísticamente por medio de SIGMA, se tiene que se terminaron 130.122 asuntos en el 2019</w:t>
      </w:r>
      <w:r w:rsidR="005F204C">
        <w:rPr>
          <w:rFonts w:ascii="Arial Narrow" w:eastAsia="Calibri" w:hAnsi="Arial Narrow"/>
        </w:rPr>
        <w:t>,</w:t>
      </w:r>
      <w:r>
        <w:rPr>
          <w:rFonts w:ascii="Arial Narrow" w:eastAsia="Calibri" w:hAnsi="Arial Narrow"/>
        </w:rPr>
        <w:t xml:space="preserve"> y 118.830 asuntos en el 2020. Al confrontar estos últimos datos estadísticos con las metas propuestas, se observa que en el 2019 se requería terminar 166.277 expedientes por lo que la meta no fue superada y se registra como cumplimiento </w:t>
      </w:r>
      <w:r>
        <w:rPr>
          <w:rFonts w:ascii="Arial Narrow" w:eastAsia="Calibri" w:hAnsi="Arial Narrow"/>
        </w:rPr>
        <w:lastRenderedPageBreak/>
        <w:t xml:space="preserve">medio con un 78,3% y para el 2020 la meta era de 167.940 asuntos y por lo tanto, faltaron 49.110 asuntos por fenecer para alcanzar la meta, lo que representa en términos acumulados un 70,8% para el año 2020. </w:t>
      </w:r>
    </w:p>
    <w:p w14:paraId="5286339E" w14:textId="77777777" w:rsidR="00AB78AD" w:rsidRDefault="00AB78AD" w:rsidP="00AB78AD">
      <w:pPr>
        <w:spacing w:line="360" w:lineRule="auto"/>
        <w:jc w:val="both"/>
        <w:rPr>
          <w:rFonts w:ascii="Arial Narrow" w:eastAsia="Calibri" w:hAnsi="Arial Narrow"/>
        </w:rPr>
      </w:pPr>
    </w:p>
    <w:p w14:paraId="01771057" w14:textId="4F2E4D08" w:rsidR="00AB78AD" w:rsidRDefault="00AB78AD" w:rsidP="00AB78AD">
      <w:pPr>
        <w:spacing w:line="360" w:lineRule="auto"/>
        <w:jc w:val="both"/>
        <w:rPr>
          <w:rFonts w:ascii="Arial Narrow" w:eastAsia="Calibri" w:hAnsi="Arial Narrow"/>
        </w:rPr>
      </w:pPr>
      <w:r>
        <w:rPr>
          <w:rFonts w:ascii="Arial Narrow" w:eastAsia="Calibri" w:hAnsi="Arial Narrow"/>
        </w:rPr>
        <w:t xml:space="preserve">Por su parte, la meta estratégica </w:t>
      </w:r>
      <w:r w:rsidR="005F204C">
        <w:rPr>
          <w:rFonts w:ascii="Arial Narrow" w:eastAsia="Calibri" w:hAnsi="Arial Narrow"/>
          <w:b/>
          <w:bCs/>
          <w:i/>
          <w:iCs/>
        </w:rPr>
        <w:t>“Q</w:t>
      </w:r>
      <w:r w:rsidRPr="00BD08A3">
        <w:rPr>
          <w:rFonts w:ascii="Arial Narrow" w:eastAsia="Calibri" w:hAnsi="Arial Narrow"/>
          <w:b/>
          <w:bCs/>
          <w:i/>
          <w:iCs/>
        </w:rPr>
        <w:t>ue al finalizar el 2024, se haya incrementado la cantidad de casos terminados en materia Penal por año, en primera instancia por los tribunales de juicio penales</w:t>
      </w:r>
      <w:r w:rsidR="005F204C">
        <w:rPr>
          <w:rFonts w:ascii="Arial Narrow" w:eastAsia="Calibri" w:hAnsi="Arial Narrow"/>
          <w:b/>
          <w:bCs/>
          <w:i/>
          <w:iCs/>
        </w:rPr>
        <w:t>”</w:t>
      </w:r>
      <w:r>
        <w:rPr>
          <w:rFonts w:ascii="Arial Narrow" w:eastAsia="Calibri" w:hAnsi="Arial Narrow"/>
        </w:rPr>
        <w:t xml:space="preserve">, se tiene que en el 2019 se reporta por parte de los 26 Tribunales Penales registran un cumplimiento </w:t>
      </w:r>
      <w:r w:rsidRPr="009D27BE">
        <w:rPr>
          <w:rFonts w:ascii="Arial Narrow" w:eastAsia="Calibri" w:hAnsi="Arial Narrow"/>
        </w:rPr>
        <w:t xml:space="preserve">de </w:t>
      </w:r>
      <w:r>
        <w:rPr>
          <w:rFonts w:ascii="Arial Narrow" w:eastAsia="Calibri" w:hAnsi="Arial Narrow"/>
        </w:rPr>
        <w:t>96</w:t>
      </w:r>
      <w:r w:rsidRPr="009D27BE">
        <w:rPr>
          <w:rFonts w:ascii="Arial Narrow" w:eastAsia="Calibri" w:hAnsi="Arial Narrow"/>
        </w:rPr>
        <w:t xml:space="preserve">%, sin embargo, al revisar los datos reportados estadísticamente por medio de SIGMA, se tiene que se terminaron </w:t>
      </w:r>
      <w:r>
        <w:rPr>
          <w:rFonts w:ascii="Arial Narrow" w:eastAsia="Calibri" w:hAnsi="Arial Narrow"/>
        </w:rPr>
        <w:t xml:space="preserve">25.373 </w:t>
      </w:r>
      <w:r w:rsidRPr="009D27BE">
        <w:rPr>
          <w:rFonts w:ascii="Arial Narrow" w:eastAsia="Calibri" w:hAnsi="Arial Narrow"/>
        </w:rPr>
        <w:t xml:space="preserve">asuntos, por lo que la meta para ese año registro un cumplimiento </w:t>
      </w:r>
      <w:r>
        <w:rPr>
          <w:rFonts w:ascii="Arial Narrow" w:eastAsia="Calibri" w:hAnsi="Arial Narrow"/>
        </w:rPr>
        <w:t>alto</w:t>
      </w:r>
      <w:r w:rsidRPr="009D27BE">
        <w:rPr>
          <w:rFonts w:ascii="Arial Narrow" w:eastAsia="Calibri" w:hAnsi="Arial Narrow"/>
        </w:rPr>
        <w:t xml:space="preserve"> de </w:t>
      </w:r>
      <w:r>
        <w:rPr>
          <w:rFonts w:ascii="Arial Narrow" w:eastAsia="Calibri" w:hAnsi="Arial Narrow"/>
        </w:rPr>
        <w:t>100</w:t>
      </w:r>
      <w:r w:rsidRPr="009D27BE">
        <w:rPr>
          <w:rFonts w:ascii="Arial Narrow" w:eastAsia="Calibri" w:hAnsi="Arial Narrow"/>
        </w:rPr>
        <w:t xml:space="preserve">%, debido a que </w:t>
      </w:r>
      <w:r>
        <w:rPr>
          <w:rFonts w:ascii="Arial Narrow" w:eastAsia="Calibri" w:hAnsi="Arial Narrow"/>
        </w:rPr>
        <w:t>sobrepaso la</w:t>
      </w:r>
      <w:r w:rsidRPr="009D27BE">
        <w:rPr>
          <w:rFonts w:ascii="Arial Narrow" w:eastAsia="Calibri" w:hAnsi="Arial Narrow"/>
        </w:rPr>
        <w:t xml:space="preserve"> meta esperada </w:t>
      </w:r>
      <w:r>
        <w:rPr>
          <w:rFonts w:ascii="Arial Narrow" w:eastAsia="Calibri" w:hAnsi="Arial Narrow"/>
        </w:rPr>
        <w:t xml:space="preserve">de 21.648 </w:t>
      </w:r>
      <w:r w:rsidRPr="009D27BE">
        <w:rPr>
          <w:rFonts w:ascii="Arial Narrow" w:eastAsia="Calibri" w:hAnsi="Arial Narrow"/>
        </w:rPr>
        <w:t xml:space="preserve">asuntos.  Para el 2020, se tiene un reporte de cumplimiento por parte de las oficinas de un </w:t>
      </w:r>
      <w:r>
        <w:rPr>
          <w:rFonts w:ascii="Arial Narrow" w:eastAsia="Calibri" w:hAnsi="Arial Narrow"/>
        </w:rPr>
        <w:t>83</w:t>
      </w:r>
      <w:r w:rsidRPr="009D27BE">
        <w:rPr>
          <w:rFonts w:ascii="Arial Narrow" w:eastAsia="Calibri" w:hAnsi="Arial Narrow"/>
        </w:rPr>
        <w:t>%, al confrontar</w:t>
      </w:r>
      <w:r>
        <w:rPr>
          <w:rFonts w:ascii="Arial Narrow" w:eastAsia="Calibri" w:hAnsi="Arial Narrow"/>
        </w:rPr>
        <w:t xml:space="preserve"> este dato contra los terminados oficiales para ese año, se registran 19.431 asuntos terminados, dato que al verificar contra lo esperado para ese año (21.862 asuntos) se observa que no se logra alcanzar la meta, lo que representa un cumplimiento medio de 88,9% (faltaron 2.431 expedientes). </w:t>
      </w:r>
    </w:p>
    <w:p w14:paraId="4FBA8836" w14:textId="77777777" w:rsidR="00AB78AD" w:rsidRDefault="00AB78AD" w:rsidP="00AB78AD">
      <w:pPr>
        <w:rPr>
          <w:rFonts w:eastAsia="Calibri"/>
          <w:lang w:eastAsia="en-US"/>
        </w:rPr>
      </w:pPr>
    </w:p>
    <w:p w14:paraId="420858B5" w14:textId="77777777" w:rsidR="00AB78AD" w:rsidRDefault="00AB78AD" w:rsidP="00AB78AD">
      <w:pPr>
        <w:rPr>
          <w:rFonts w:eastAsia="Calibri"/>
          <w:lang w:eastAsia="en-US"/>
        </w:rPr>
      </w:pPr>
    </w:p>
    <w:p w14:paraId="553FFBEF" w14:textId="1747568B" w:rsidR="00AB78AD" w:rsidRPr="00704B08" w:rsidRDefault="00AB78AD" w:rsidP="00AB78AD">
      <w:pPr>
        <w:spacing w:line="360" w:lineRule="auto"/>
        <w:jc w:val="both"/>
        <w:rPr>
          <w:rFonts w:ascii="Arial Narrow" w:eastAsia="Calibri" w:hAnsi="Arial Narrow"/>
        </w:rPr>
      </w:pPr>
      <w:r w:rsidRPr="00704B08">
        <w:rPr>
          <w:rFonts w:ascii="Arial Narrow" w:eastAsia="Calibri" w:hAnsi="Arial Narrow"/>
        </w:rPr>
        <w:t>Resulta conveniente destacar que además de las metas estratégicas enfocadas en incrementar los casos terminados, también están las metas con un enfoque de planes de trabajo, en el sentido que el despacho jurisdiccional haya implementado propuestas de mejora, acorde con el modelo de sostenibilidad, para disminuir la cantidad de casos en el circulante activo (que no incluye los casos en fase de Ejecución) de mayor antigüedad. Esto tiene como propósito, que la oficina genere análisis de su misma carga de trabajo y determine que pueden concluir que sea de más vieja data y que por falta de trámite se puede quedar varios años en el circulante. Ese análisis constante permite implementar propuestas de mejora donde los despachos generan los avances con base en el cumplimiento de esos planes de trabajo.</w:t>
      </w:r>
      <w:r w:rsidR="00C601E2">
        <w:rPr>
          <w:rFonts w:ascii="Arial Narrow" w:eastAsia="Calibri" w:hAnsi="Arial Narrow"/>
        </w:rPr>
        <w:t xml:space="preserve"> </w:t>
      </w:r>
      <w:r w:rsidR="00C601E2" w:rsidRPr="00CC279A">
        <w:rPr>
          <w:rFonts w:ascii="Arial Narrow" w:eastAsia="Calibri" w:hAnsi="Arial Narrow"/>
        </w:rPr>
        <w:t>Las metas estratégicas correspondientes fueron formuladas con el fin de reducir el circulante de mayor antigüedad, por lo tanto, estas metas estratégicas tienen valores iniciales de 0% y valores finales de 100%, y se cumplen con base en todos los avances operativos que las oficinas judiciales registren por medio del PAO.</w:t>
      </w:r>
    </w:p>
    <w:p w14:paraId="12B0D40C" w14:textId="77777777" w:rsidR="00AB78AD" w:rsidRDefault="00AB78AD" w:rsidP="00AB78AD">
      <w:pPr>
        <w:ind w:firstLine="708"/>
        <w:rPr>
          <w:rFonts w:eastAsia="Calibri"/>
          <w:lang w:eastAsia="en-US"/>
        </w:rPr>
      </w:pPr>
    </w:p>
    <w:p w14:paraId="1A22E3A9" w14:textId="77777777" w:rsidR="0049673D" w:rsidRDefault="0049673D" w:rsidP="00AB78AD">
      <w:pPr>
        <w:rPr>
          <w:rFonts w:eastAsia="Calibri"/>
          <w:lang w:eastAsia="en-US"/>
        </w:rPr>
        <w:sectPr w:rsidR="0049673D" w:rsidSect="0049673D">
          <w:pgSz w:w="12242" w:h="15842" w:code="1"/>
          <w:pgMar w:top="719" w:right="1469" w:bottom="719" w:left="1560" w:header="709" w:footer="709" w:gutter="0"/>
          <w:cols w:space="708"/>
          <w:docGrid w:linePitch="360"/>
        </w:sectPr>
      </w:pPr>
    </w:p>
    <w:p w14:paraId="24C38A22" w14:textId="355F0A82" w:rsidR="00AB78AD" w:rsidRDefault="00AB78AD" w:rsidP="00AB78AD">
      <w:pPr>
        <w:rPr>
          <w:rFonts w:eastAsia="Calibri"/>
          <w:lang w:eastAsia="en-US"/>
        </w:rPr>
      </w:pPr>
    </w:p>
    <w:p w14:paraId="1C768828" w14:textId="562DF601" w:rsidR="00AB78AD" w:rsidRPr="009D27BE" w:rsidRDefault="00AB78AD" w:rsidP="00AB78AD">
      <w:pPr>
        <w:tabs>
          <w:tab w:val="left" w:pos="2776"/>
        </w:tabs>
        <w:spacing w:line="360" w:lineRule="auto"/>
        <w:jc w:val="center"/>
        <w:rPr>
          <w:rFonts w:ascii="Arial Narrow" w:eastAsia="Calibri" w:hAnsi="Arial Narrow"/>
          <w:b/>
          <w:bCs/>
        </w:rPr>
      </w:pPr>
      <w:bookmarkStart w:id="32" w:name="_Toc76062234"/>
      <w:r w:rsidRPr="009D27BE">
        <w:rPr>
          <w:rFonts w:ascii="Arial Narrow" w:hAnsi="Arial Narrow"/>
          <w:b/>
          <w:bCs/>
        </w:rPr>
        <w:t xml:space="preserve">Cuadro </w:t>
      </w:r>
      <w:r w:rsidRPr="009D27BE">
        <w:rPr>
          <w:rFonts w:ascii="Arial Narrow" w:hAnsi="Arial Narrow"/>
          <w:b/>
          <w:bCs/>
        </w:rPr>
        <w:fldChar w:fldCharType="begin"/>
      </w:r>
      <w:r w:rsidRPr="009D27BE">
        <w:rPr>
          <w:rFonts w:ascii="Arial Narrow" w:hAnsi="Arial Narrow"/>
          <w:b/>
          <w:bCs/>
        </w:rPr>
        <w:instrText xml:space="preserve"> SEQ Cuadro_No. \* ARABIC </w:instrText>
      </w:r>
      <w:r w:rsidRPr="009D27BE">
        <w:rPr>
          <w:rFonts w:ascii="Arial Narrow" w:hAnsi="Arial Narrow"/>
          <w:b/>
          <w:bCs/>
        </w:rPr>
        <w:fldChar w:fldCharType="separate"/>
      </w:r>
      <w:r w:rsidR="0049673D">
        <w:rPr>
          <w:rFonts w:ascii="Arial Narrow" w:hAnsi="Arial Narrow"/>
          <w:b/>
          <w:bCs/>
          <w:noProof/>
        </w:rPr>
        <w:t>11</w:t>
      </w:r>
      <w:r w:rsidRPr="009D27BE">
        <w:rPr>
          <w:rFonts w:ascii="Arial Narrow" w:hAnsi="Arial Narrow"/>
          <w:b/>
          <w:bCs/>
        </w:rPr>
        <w:fldChar w:fldCharType="end"/>
      </w:r>
      <w:r w:rsidRPr="009D27BE">
        <w:rPr>
          <w:rFonts w:ascii="Arial Narrow" w:hAnsi="Arial Narrow"/>
          <w:b/>
          <w:bCs/>
        </w:rPr>
        <w:t xml:space="preserve"> Continuación de </w:t>
      </w:r>
      <w:r w:rsidRPr="009D27BE">
        <w:rPr>
          <w:rFonts w:ascii="Arial Narrow" w:eastAsia="Calibri" w:hAnsi="Arial Narrow"/>
          <w:b/>
          <w:bCs/>
          <w:lang w:eastAsia="en-US"/>
        </w:rPr>
        <w:t>Metas estratégicas de Celeridad Judicial y su cumplimiento para el 2019-2020</w:t>
      </w:r>
      <w:bookmarkEnd w:id="32"/>
    </w:p>
    <w:p w14:paraId="0A522566" w14:textId="77777777" w:rsidR="00AB78AD" w:rsidRDefault="00AB78AD" w:rsidP="00AB78AD">
      <w:pPr>
        <w:rPr>
          <w:rFonts w:eastAsia="Calibri"/>
          <w:lang w:eastAsia="en-US"/>
        </w:rPr>
      </w:pPr>
      <w:r>
        <w:rPr>
          <w:noProof/>
          <w:lang w:val="es-CR" w:eastAsia="es-CR"/>
        </w:rPr>
        <w:drawing>
          <wp:inline distT="0" distB="0" distL="0" distR="0" wp14:anchorId="66AA9191" wp14:editId="389F4530">
            <wp:extent cx="9146540" cy="3256915"/>
            <wp:effectExtent l="19050" t="19050" r="16510" b="19685"/>
            <wp:docPr id="115" name="Imagen 115" descr="Imagen que contiene 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Imagen 115" descr="Imagen que contiene Tabla&#10;&#10;Descripción generada automáticamente"/>
                    <pic:cNvPicPr/>
                  </pic:nvPicPr>
                  <pic:blipFill>
                    <a:blip r:embed="rId64"/>
                    <a:stretch>
                      <a:fillRect/>
                    </a:stretch>
                  </pic:blipFill>
                  <pic:spPr>
                    <a:xfrm>
                      <a:off x="0" y="0"/>
                      <a:ext cx="9146540" cy="3256915"/>
                    </a:xfrm>
                    <a:prstGeom prst="rect">
                      <a:avLst/>
                    </a:prstGeom>
                    <a:ln w="19050">
                      <a:solidFill>
                        <a:schemeClr val="accent1"/>
                      </a:solidFill>
                    </a:ln>
                  </pic:spPr>
                </pic:pic>
              </a:graphicData>
            </a:graphic>
          </wp:inline>
        </w:drawing>
      </w:r>
    </w:p>
    <w:p w14:paraId="0C717CBF" w14:textId="33634D67" w:rsidR="00AB78AD" w:rsidRDefault="00AB78AD" w:rsidP="00AB78AD">
      <w:pPr>
        <w:rPr>
          <w:rFonts w:eastAsia="Calibri"/>
          <w:lang w:eastAsia="en-US"/>
        </w:rPr>
      </w:pPr>
    </w:p>
    <w:p w14:paraId="039D48A1" w14:textId="43F804A8" w:rsidR="001672CC" w:rsidRDefault="001672CC" w:rsidP="00AB78AD">
      <w:pPr>
        <w:rPr>
          <w:rFonts w:eastAsia="Calibri"/>
          <w:lang w:eastAsia="en-US"/>
        </w:rPr>
      </w:pPr>
    </w:p>
    <w:p w14:paraId="1CD77567" w14:textId="10BFB821" w:rsidR="001672CC" w:rsidRDefault="001672CC" w:rsidP="00AB78AD">
      <w:pPr>
        <w:rPr>
          <w:rFonts w:eastAsia="Calibri"/>
          <w:lang w:eastAsia="en-US"/>
        </w:rPr>
      </w:pPr>
    </w:p>
    <w:p w14:paraId="260776F2" w14:textId="2602F00A" w:rsidR="001672CC" w:rsidRDefault="001672CC" w:rsidP="00AB78AD">
      <w:pPr>
        <w:rPr>
          <w:rFonts w:eastAsia="Calibri"/>
          <w:lang w:eastAsia="en-US"/>
        </w:rPr>
      </w:pPr>
    </w:p>
    <w:p w14:paraId="78CB51D2" w14:textId="77777777" w:rsidR="00AB78AD" w:rsidRDefault="00AB78AD" w:rsidP="00AB78AD">
      <w:pPr>
        <w:rPr>
          <w:rFonts w:eastAsia="Calibri"/>
          <w:lang w:eastAsia="en-US"/>
        </w:rPr>
      </w:pPr>
      <w:r w:rsidRPr="00EE2E13">
        <w:rPr>
          <w:rFonts w:ascii="Arial Narrow" w:hAnsi="Arial Narrow"/>
          <w:sz w:val="18"/>
          <w:szCs w:val="18"/>
          <w:lang w:val="es-CR" w:eastAsia="es-CR"/>
        </w:rPr>
        <w:t>Fuente: Sistema PEI al 24 de enero del 2020 (año 2019) y 04 de marzo del 2021 (año 2020).</w:t>
      </w:r>
    </w:p>
    <w:p w14:paraId="03D190E8" w14:textId="77777777" w:rsidR="0049673D" w:rsidRDefault="0049673D" w:rsidP="00AB78AD">
      <w:pPr>
        <w:rPr>
          <w:rFonts w:eastAsia="Calibri"/>
          <w:lang w:eastAsia="en-US"/>
        </w:rPr>
        <w:sectPr w:rsidR="0049673D" w:rsidSect="0049673D">
          <w:pgSz w:w="15842" w:h="12242" w:orient="landscape" w:code="1"/>
          <w:pgMar w:top="1560" w:right="719" w:bottom="1469" w:left="719" w:header="709" w:footer="709" w:gutter="0"/>
          <w:cols w:space="708"/>
          <w:docGrid w:linePitch="360"/>
        </w:sectPr>
      </w:pPr>
    </w:p>
    <w:p w14:paraId="2B0EEC76" w14:textId="3C437AFA" w:rsidR="00AB78AD" w:rsidRDefault="00AB78AD" w:rsidP="00AB78AD">
      <w:pPr>
        <w:rPr>
          <w:rFonts w:eastAsia="Calibri"/>
          <w:lang w:eastAsia="en-US"/>
        </w:rPr>
      </w:pPr>
    </w:p>
    <w:p w14:paraId="47D7E4BE" w14:textId="713F957B" w:rsidR="0063468C" w:rsidRDefault="00AB78AD" w:rsidP="00AB78AD">
      <w:pPr>
        <w:spacing w:line="360" w:lineRule="auto"/>
        <w:jc w:val="both"/>
        <w:rPr>
          <w:rFonts w:ascii="Arial Narrow" w:eastAsia="Calibri" w:hAnsi="Arial Narrow"/>
        </w:rPr>
      </w:pPr>
      <w:r>
        <w:rPr>
          <w:rFonts w:ascii="Arial Narrow" w:eastAsia="Calibri" w:hAnsi="Arial Narrow"/>
        </w:rPr>
        <w:t xml:space="preserve">La meta estratégica </w:t>
      </w:r>
      <w:r w:rsidR="005F204C">
        <w:rPr>
          <w:rFonts w:ascii="Arial Narrow" w:eastAsia="Calibri" w:hAnsi="Arial Narrow"/>
          <w:b/>
          <w:bCs/>
          <w:i/>
          <w:iCs/>
        </w:rPr>
        <w:t>“Q</w:t>
      </w:r>
      <w:r w:rsidRPr="00A50370">
        <w:rPr>
          <w:rFonts w:ascii="Arial Narrow" w:eastAsia="Calibri" w:hAnsi="Arial Narrow"/>
          <w:b/>
          <w:bCs/>
          <w:i/>
          <w:iCs/>
        </w:rPr>
        <w:t>ue al finalizar el 2024, cada despacho jurisdiccional haya implementado una propuesta de mejora, acorde con el modelo de sostenibilidad, para disminuir la cantidad de casos en el circulante activo (que no incluye los casos en fase de Ejecución) de mayor antigüedad en la materia Civil</w:t>
      </w:r>
      <w:r w:rsidR="005F204C">
        <w:rPr>
          <w:rFonts w:ascii="Arial Narrow" w:eastAsia="Calibri" w:hAnsi="Arial Narrow"/>
          <w:b/>
          <w:bCs/>
          <w:i/>
          <w:iCs/>
        </w:rPr>
        <w:t>”</w:t>
      </w:r>
      <w:r>
        <w:rPr>
          <w:rFonts w:ascii="Arial Narrow" w:eastAsia="Calibri" w:hAnsi="Arial Narrow"/>
        </w:rPr>
        <w:t xml:space="preserve">, se tiene que en el 2019 se reporta por parte de los 37 despachos civiles un cumplimiento </w:t>
      </w:r>
      <w:r w:rsidRPr="009D27BE">
        <w:rPr>
          <w:rFonts w:ascii="Arial Narrow" w:eastAsia="Calibri" w:hAnsi="Arial Narrow"/>
        </w:rPr>
        <w:t xml:space="preserve">de </w:t>
      </w:r>
      <w:r>
        <w:rPr>
          <w:rFonts w:ascii="Arial Narrow" w:eastAsia="Calibri" w:hAnsi="Arial Narrow"/>
        </w:rPr>
        <w:t>99</w:t>
      </w:r>
      <w:r w:rsidRPr="009D27BE">
        <w:rPr>
          <w:rFonts w:ascii="Arial Narrow" w:eastAsia="Calibri" w:hAnsi="Arial Narrow"/>
        </w:rPr>
        <w:t xml:space="preserve">%, </w:t>
      </w:r>
      <w:r>
        <w:rPr>
          <w:rFonts w:ascii="Arial Narrow" w:eastAsia="Calibri" w:hAnsi="Arial Narrow"/>
        </w:rPr>
        <w:t xml:space="preserve">para el 2020 </w:t>
      </w:r>
      <w:r w:rsidRPr="002B2187">
        <w:rPr>
          <w:rFonts w:ascii="Arial Narrow" w:eastAsia="Calibri" w:hAnsi="Arial Narrow"/>
        </w:rPr>
        <w:t>el reporte es de 94%</w:t>
      </w:r>
      <w:r w:rsidR="0063468C">
        <w:rPr>
          <w:rFonts w:ascii="Arial Narrow" w:eastAsia="Calibri" w:hAnsi="Arial Narrow"/>
        </w:rPr>
        <w:t>.</w:t>
      </w:r>
      <w:r w:rsidR="00036F94">
        <w:rPr>
          <w:rFonts w:ascii="Arial Narrow" w:eastAsia="Calibri" w:hAnsi="Arial Narrow"/>
        </w:rPr>
        <w:t xml:space="preserve">  La meta anterior, se refiere al cumplimiento de las diversas acciones que los propios despachos se impusieron a nivel operativo en su PAO.</w:t>
      </w:r>
    </w:p>
    <w:p w14:paraId="6ED7DA3D" w14:textId="77777777" w:rsidR="0063468C" w:rsidRDefault="0063468C" w:rsidP="00AB78AD">
      <w:pPr>
        <w:spacing w:line="360" w:lineRule="auto"/>
        <w:jc w:val="both"/>
        <w:rPr>
          <w:rFonts w:ascii="Arial Narrow" w:eastAsia="Calibri" w:hAnsi="Arial Narrow"/>
        </w:rPr>
      </w:pPr>
    </w:p>
    <w:p w14:paraId="628B3AA2" w14:textId="687D864B" w:rsidR="00AB78AD" w:rsidRDefault="00036F94" w:rsidP="00AB78AD">
      <w:pPr>
        <w:spacing w:line="360" w:lineRule="auto"/>
        <w:jc w:val="both"/>
        <w:rPr>
          <w:rFonts w:ascii="Arial Narrow" w:eastAsia="Calibri" w:hAnsi="Arial Narrow"/>
        </w:rPr>
      </w:pPr>
      <w:r>
        <w:rPr>
          <w:rFonts w:ascii="Arial Narrow" w:eastAsia="Calibri" w:hAnsi="Arial Narrow"/>
        </w:rPr>
        <w:t xml:space="preserve">Como complemento de lo anterior, </w:t>
      </w:r>
      <w:r w:rsidR="00AB78AD" w:rsidRPr="002B2187">
        <w:rPr>
          <w:rFonts w:ascii="Arial Narrow" w:eastAsia="Calibri" w:hAnsi="Arial Narrow"/>
        </w:rPr>
        <w:t>se tiene que para materia civil en el 2019 se terminó con un circulante de 55.355 expedientes de los cuales 44.623 estaban</w:t>
      </w:r>
      <w:r w:rsidR="00AB78AD">
        <w:rPr>
          <w:rFonts w:ascii="Arial Narrow" w:eastAsia="Calibri" w:hAnsi="Arial Narrow"/>
        </w:rPr>
        <w:t xml:space="preserve"> en trámite, para el 2020 se cierra con 54.790 expedientes, lo que resulta en una disminución del circulante de 1%, aspecto positivo que se ve impactado por otras variables como la entrada de asuntos, sin embargo, resulta oportuno estar en una revisión periódica de la antigüedad del circulante por parte de los despachos judiciales.</w:t>
      </w:r>
    </w:p>
    <w:p w14:paraId="12554A12" w14:textId="77777777" w:rsidR="00AB78AD" w:rsidRDefault="00AB78AD" w:rsidP="00AB78AD">
      <w:pPr>
        <w:spacing w:line="360" w:lineRule="auto"/>
        <w:jc w:val="both"/>
        <w:rPr>
          <w:rFonts w:ascii="Arial Narrow" w:eastAsia="Calibri" w:hAnsi="Arial Narrow"/>
        </w:rPr>
      </w:pPr>
    </w:p>
    <w:p w14:paraId="51A783F2" w14:textId="088819DF" w:rsidR="00524C75" w:rsidRDefault="00AB78AD" w:rsidP="00524C75">
      <w:pPr>
        <w:spacing w:line="360" w:lineRule="auto"/>
        <w:jc w:val="both"/>
        <w:rPr>
          <w:rFonts w:ascii="Arial Narrow" w:eastAsia="Calibri" w:hAnsi="Arial Narrow"/>
        </w:rPr>
      </w:pPr>
      <w:r>
        <w:rPr>
          <w:rFonts w:ascii="Arial Narrow" w:eastAsia="Calibri" w:hAnsi="Arial Narrow"/>
        </w:rPr>
        <w:t xml:space="preserve">La meta estratégica </w:t>
      </w:r>
      <w:r w:rsidR="005F204C">
        <w:rPr>
          <w:rFonts w:ascii="Arial Narrow" w:eastAsia="Calibri" w:hAnsi="Arial Narrow"/>
          <w:b/>
          <w:bCs/>
          <w:i/>
          <w:iCs/>
        </w:rPr>
        <w:t>“Q</w:t>
      </w:r>
      <w:r w:rsidRPr="00CB2344">
        <w:rPr>
          <w:rFonts w:ascii="Arial Narrow" w:eastAsia="Calibri" w:hAnsi="Arial Narrow"/>
          <w:b/>
          <w:bCs/>
          <w:i/>
          <w:iCs/>
        </w:rPr>
        <w:t>ue al finalizar el 2024, cada despacho jurisdiccional haya implementado una propuesta de mejora, acorde con el modelo de sostenibilidad, para disminuir la cantidad de casos en el circulante activo (que no incluye los casos en fase de Ejecución ni aquellos que tengan resolución provisional o intermedia) de mayor antigüedad en materia Penal Juvenil</w:t>
      </w:r>
      <w:r w:rsidR="005F204C">
        <w:rPr>
          <w:rFonts w:ascii="Arial Narrow" w:eastAsia="Calibri" w:hAnsi="Arial Narrow"/>
          <w:b/>
          <w:bCs/>
          <w:i/>
          <w:iCs/>
        </w:rPr>
        <w:t>”</w:t>
      </w:r>
      <w:r>
        <w:rPr>
          <w:rFonts w:ascii="Arial Narrow" w:eastAsia="Calibri" w:hAnsi="Arial Narrow"/>
        </w:rPr>
        <w:t xml:space="preserve">, se tiene que en el 2019 se reporta por parte de los 21 despachos penales juveniles un cumplimiento </w:t>
      </w:r>
      <w:r w:rsidRPr="009D27BE">
        <w:rPr>
          <w:rFonts w:ascii="Arial Narrow" w:eastAsia="Calibri" w:hAnsi="Arial Narrow"/>
        </w:rPr>
        <w:t xml:space="preserve">de </w:t>
      </w:r>
      <w:r>
        <w:rPr>
          <w:rFonts w:ascii="Arial Narrow" w:eastAsia="Calibri" w:hAnsi="Arial Narrow"/>
        </w:rPr>
        <w:t>95</w:t>
      </w:r>
      <w:r w:rsidRPr="009D27BE">
        <w:rPr>
          <w:rFonts w:ascii="Arial Narrow" w:eastAsia="Calibri" w:hAnsi="Arial Narrow"/>
        </w:rPr>
        <w:t xml:space="preserve">%, </w:t>
      </w:r>
      <w:r>
        <w:rPr>
          <w:rFonts w:ascii="Arial Narrow" w:eastAsia="Calibri" w:hAnsi="Arial Narrow"/>
        </w:rPr>
        <w:t>para el 2020 el reporte es de 94%</w:t>
      </w:r>
      <w:r w:rsidR="00524C75">
        <w:rPr>
          <w:rFonts w:ascii="Arial Narrow" w:eastAsia="Calibri" w:hAnsi="Arial Narrow"/>
        </w:rPr>
        <w:t>.</w:t>
      </w:r>
      <w:r>
        <w:rPr>
          <w:rFonts w:ascii="Arial Narrow" w:eastAsia="Calibri" w:hAnsi="Arial Narrow"/>
        </w:rPr>
        <w:t xml:space="preserve"> </w:t>
      </w:r>
      <w:r w:rsidR="00524C75">
        <w:rPr>
          <w:rFonts w:ascii="Arial Narrow" w:eastAsia="Calibri" w:hAnsi="Arial Narrow"/>
        </w:rPr>
        <w:t>La meta anterior, se refiere al cumplimiento de las diversas acciones que los propios despachos se impusieron a nivel operativo en su PAO.</w:t>
      </w:r>
    </w:p>
    <w:p w14:paraId="71FF82B1" w14:textId="227DB701" w:rsidR="00524C75" w:rsidRDefault="00524C75" w:rsidP="00AB78AD">
      <w:pPr>
        <w:spacing w:line="360" w:lineRule="auto"/>
        <w:jc w:val="both"/>
        <w:rPr>
          <w:rFonts w:ascii="Arial Narrow" w:eastAsia="Calibri" w:hAnsi="Arial Narrow"/>
        </w:rPr>
      </w:pPr>
    </w:p>
    <w:p w14:paraId="0EC4E3A1" w14:textId="77777777" w:rsidR="00524C75" w:rsidRDefault="00524C75" w:rsidP="00AB78AD">
      <w:pPr>
        <w:spacing w:line="360" w:lineRule="auto"/>
        <w:jc w:val="both"/>
        <w:rPr>
          <w:rFonts w:ascii="Arial Narrow" w:eastAsia="Calibri" w:hAnsi="Arial Narrow"/>
        </w:rPr>
      </w:pPr>
    </w:p>
    <w:p w14:paraId="6D07599F" w14:textId="0ADA0D7E" w:rsidR="00AB78AD" w:rsidRDefault="00524C75" w:rsidP="00AB78AD">
      <w:pPr>
        <w:spacing w:line="360" w:lineRule="auto"/>
        <w:jc w:val="both"/>
        <w:rPr>
          <w:rFonts w:ascii="Arial Narrow" w:eastAsia="Calibri" w:hAnsi="Arial Narrow"/>
        </w:rPr>
      </w:pPr>
      <w:r>
        <w:rPr>
          <w:rFonts w:ascii="Arial Narrow" w:eastAsia="Calibri" w:hAnsi="Arial Narrow"/>
        </w:rPr>
        <w:t xml:space="preserve">Como complemento de lo anterior, </w:t>
      </w:r>
      <w:r w:rsidR="00AB78AD" w:rsidRPr="002B2187">
        <w:rPr>
          <w:rFonts w:ascii="Arial Narrow" w:eastAsia="Calibri" w:hAnsi="Arial Narrow"/>
        </w:rPr>
        <w:t xml:space="preserve">se tiene que </w:t>
      </w:r>
      <w:r>
        <w:rPr>
          <w:rFonts w:ascii="Arial Narrow" w:eastAsia="Calibri" w:hAnsi="Arial Narrow"/>
        </w:rPr>
        <w:t>en</w:t>
      </w:r>
      <w:r w:rsidR="00AB78AD" w:rsidRPr="002B2187">
        <w:rPr>
          <w:rFonts w:ascii="Arial Narrow" w:eastAsia="Calibri" w:hAnsi="Arial Narrow"/>
        </w:rPr>
        <w:t xml:space="preserve"> materia penal juvenil en el 2019 se concluyó el año con un circulante de 6203 expedientes de los cuales el 50% estaban en trámite, para el 2020 se finaliza con 5659 expedientes, lo que representa una disminución del circulante de 8,8%. De igual manera, se considera necesario revisar por parte de las oficinas que los expedientes más antiguos estén con una resolución intermedia o definitiva, o estén próximos a algún tipo de resolución.</w:t>
      </w:r>
      <w:r w:rsidR="001A4915" w:rsidRPr="002B2187">
        <w:rPr>
          <w:rFonts w:ascii="Arial Narrow" w:eastAsia="Calibri" w:hAnsi="Arial Narrow"/>
        </w:rPr>
        <w:t xml:space="preserve"> </w:t>
      </w:r>
    </w:p>
    <w:p w14:paraId="4E0614BC" w14:textId="51541DAA" w:rsidR="00AB78AD" w:rsidRDefault="00AB78AD" w:rsidP="00AB78AD">
      <w:pPr>
        <w:rPr>
          <w:rFonts w:eastAsia="Calibri"/>
          <w:lang w:eastAsia="en-US"/>
        </w:rPr>
      </w:pPr>
    </w:p>
    <w:p w14:paraId="2302DB8D" w14:textId="3FAD6D11" w:rsidR="001A4915" w:rsidRDefault="001A4915" w:rsidP="00AB78AD">
      <w:pPr>
        <w:rPr>
          <w:rFonts w:eastAsia="Calibri"/>
          <w:lang w:eastAsia="en-US"/>
        </w:rPr>
      </w:pPr>
    </w:p>
    <w:p w14:paraId="7B3DEB88" w14:textId="77777777" w:rsidR="001A4915" w:rsidRDefault="001A4915" w:rsidP="00AB78AD">
      <w:pPr>
        <w:rPr>
          <w:rFonts w:eastAsia="Calibri"/>
          <w:lang w:eastAsia="en-US"/>
        </w:rPr>
      </w:pPr>
    </w:p>
    <w:p w14:paraId="5A564065" w14:textId="77777777" w:rsidR="00AB78AD" w:rsidRDefault="00AB78AD" w:rsidP="00AB78AD">
      <w:pPr>
        <w:rPr>
          <w:rFonts w:eastAsia="Calibri"/>
          <w:lang w:eastAsia="en-US"/>
        </w:rPr>
      </w:pPr>
    </w:p>
    <w:p w14:paraId="26823D06" w14:textId="426DADDC" w:rsidR="00524C75" w:rsidRDefault="00AB78AD" w:rsidP="00524C75">
      <w:pPr>
        <w:spacing w:line="360" w:lineRule="auto"/>
        <w:jc w:val="both"/>
        <w:rPr>
          <w:rFonts w:ascii="Arial Narrow" w:eastAsia="Calibri" w:hAnsi="Arial Narrow"/>
        </w:rPr>
      </w:pPr>
      <w:r>
        <w:rPr>
          <w:rFonts w:ascii="Arial Narrow" w:eastAsia="Calibri" w:hAnsi="Arial Narrow"/>
        </w:rPr>
        <w:t xml:space="preserve">La meta estratégica </w:t>
      </w:r>
      <w:r w:rsidR="005F204C">
        <w:rPr>
          <w:rFonts w:ascii="Arial Narrow" w:eastAsia="Calibri" w:hAnsi="Arial Narrow"/>
          <w:b/>
          <w:bCs/>
          <w:i/>
          <w:iCs/>
        </w:rPr>
        <w:t>“Q</w:t>
      </w:r>
      <w:r w:rsidRPr="009A5B54">
        <w:rPr>
          <w:rFonts w:ascii="Arial Narrow" w:eastAsia="Calibri" w:hAnsi="Arial Narrow"/>
          <w:b/>
          <w:bCs/>
          <w:i/>
          <w:iCs/>
        </w:rPr>
        <w:t>ue al finalizar el 2024, cada despacho jurisdiccional haya implementado una propuesta de mejora, acorde con el modelo de sostenibilidad, para disminuir la cantidad de casos en el circulante activo (que no incluye los casos en fase de Ejecución ni aquellos que tengan resolución provisional o intermedia) de mayor antigüedad en materia de contravencional</w:t>
      </w:r>
      <w:r w:rsidR="005F204C">
        <w:rPr>
          <w:rFonts w:ascii="Arial Narrow" w:eastAsia="Calibri" w:hAnsi="Arial Narrow"/>
          <w:b/>
          <w:bCs/>
          <w:i/>
          <w:iCs/>
        </w:rPr>
        <w:t>”</w:t>
      </w:r>
      <w:r>
        <w:rPr>
          <w:rFonts w:ascii="Arial Narrow" w:eastAsia="Calibri" w:hAnsi="Arial Narrow"/>
        </w:rPr>
        <w:t xml:space="preserve">, se tiene que en el 2019 se reporta por parte de los 72 juzgados contravencionales un cumplimiento </w:t>
      </w:r>
      <w:r w:rsidRPr="009D27BE">
        <w:rPr>
          <w:rFonts w:ascii="Arial Narrow" w:eastAsia="Calibri" w:hAnsi="Arial Narrow"/>
        </w:rPr>
        <w:t xml:space="preserve">de </w:t>
      </w:r>
      <w:r>
        <w:rPr>
          <w:rFonts w:ascii="Arial Narrow" w:eastAsia="Calibri" w:hAnsi="Arial Narrow"/>
        </w:rPr>
        <w:t>96</w:t>
      </w:r>
      <w:r w:rsidRPr="009D27BE">
        <w:rPr>
          <w:rFonts w:ascii="Arial Narrow" w:eastAsia="Calibri" w:hAnsi="Arial Narrow"/>
        </w:rPr>
        <w:t xml:space="preserve">%, </w:t>
      </w:r>
      <w:r>
        <w:rPr>
          <w:rFonts w:ascii="Arial Narrow" w:eastAsia="Calibri" w:hAnsi="Arial Narrow"/>
        </w:rPr>
        <w:t>para el 2020 el reporte es de 92%</w:t>
      </w:r>
      <w:r w:rsidR="00524C75">
        <w:rPr>
          <w:rFonts w:ascii="Arial Narrow" w:eastAsia="Calibri" w:hAnsi="Arial Narrow"/>
        </w:rPr>
        <w:t>.  La meta anterior, se refiere al cumplimiento de las diversas acciones que los propios despachos se impusieron a nivel operativo en su PAO.</w:t>
      </w:r>
      <w:r w:rsidR="00F312EA">
        <w:rPr>
          <w:rFonts w:ascii="Arial Narrow" w:eastAsia="Calibri" w:hAnsi="Arial Narrow"/>
        </w:rPr>
        <w:t xml:space="preserve"> </w:t>
      </w:r>
    </w:p>
    <w:p w14:paraId="6C7CA34E" w14:textId="6D6BCFEA" w:rsidR="00524C75" w:rsidRDefault="00524C75" w:rsidP="001A4915">
      <w:pPr>
        <w:spacing w:line="360" w:lineRule="auto"/>
        <w:jc w:val="both"/>
        <w:rPr>
          <w:rFonts w:ascii="Arial Narrow" w:eastAsia="Calibri" w:hAnsi="Arial Narrow"/>
        </w:rPr>
      </w:pPr>
    </w:p>
    <w:p w14:paraId="133E34CF" w14:textId="04B3A585" w:rsidR="001A4915" w:rsidRDefault="00524C75" w:rsidP="00524C75">
      <w:pPr>
        <w:spacing w:line="360" w:lineRule="auto"/>
        <w:jc w:val="both"/>
        <w:rPr>
          <w:rFonts w:ascii="Arial Narrow" w:eastAsia="Calibri" w:hAnsi="Arial Narrow"/>
        </w:rPr>
      </w:pPr>
      <w:r>
        <w:rPr>
          <w:rFonts w:ascii="Arial Narrow" w:eastAsia="Calibri" w:hAnsi="Arial Narrow"/>
        </w:rPr>
        <w:t xml:space="preserve">Como complemento de lo anterior, </w:t>
      </w:r>
      <w:r w:rsidR="00AB78AD" w:rsidRPr="002B2187">
        <w:rPr>
          <w:rFonts w:ascii="Arial Narrow" w:eastAsia="Calibri" w:hAnsi="Arial Narrow"/>
        </w:rPr>
        <w:t>se tiene que para materia contravencional en el 2019 se concluyó el año con un circulante de 23.185 expedientes de los cuales el 95% estaban en trámite (el restante 5% estaba en fase Juicio), para el 2020 se finaliza con 22.936 expedientes, lo que representa una disminución del circulante de 1,1%. De igual manera, se considera necesario revisar por parte de las oficinas que los expedientes más antiguos estén con una fase como juicio, o estén próximos a algún tipo de sentencia.</w:t>
      </w:r>
      <w:r w:rsidR="001A4915" w:rsidRPr="00CC279A">
        <w:rPr>
          <w:rFonts w:ascii="Arial Narrow" w:eastAsia="Calibri" w:hAnsi="Arial Narrow"/>
        </w:rPr>
        <w:t xml:space="preserve"> </w:t>
      </w:r>
    </w:p>
    <w:p w14:paraId="547CA870" w14:textId="77777777" w:rsidR="001A4915" w:rsidRDefault="001A4915" w:rsidP="001A4915">
      <w:pPr>
        <w:rPr>
          <w:rFonts w:eastAsia="Calibri"/>
          <w:lang w:eastAsia="en-US"/>
        </w:rPr>
      </w:pPr>
    </w:p>
    <w:p w14:paraId="39F14333" w14:textId="4D56B637" w:rsidR="00AB78AD" w:rsidRDefault="00AB78AD" w:rsidP="00AB78AD">
      <w:pPr>
        <w:spacing w:line="360" w:lineRule="auto"/>
        <w:jc w:val="both"/>
        <w:rPr>
          <w:rFonts w:ascii="Arial Narrow" w:eastAsia="Calibri" w:hAnsi="Arial Narrow"/>
        </w:rPr>
      </w:pPr>
    </w:p>
    <w:p w14:paraId="77ABD391" w14:textId="77777777" w:rsidR="00AB78AD" w:rsidRDefault="00AB78AD" w:rsidP="00AB78AD">
      <w:pPr>
        <w:rPr>
          <w:rFonts w:eastAsia="Calibri"/>
          <w:lang w:eastAsia="en-US"/>
        </w:rPr>
      </w:pPr>
    </w:p>
    <w:p w14:paraId="2C6B007B" w14:textId="77777777" w:rsidR="0049673D" w:rsidRDefault="0049673D" w:rsidP="00AB78AD">
      <w:pPr>
        <w:rPr>
          <w:rFonts w:eastAsia="Calibri"/>
          <w:lang w:eastAsia="en-US"/>
        </w:rPr>
        <w:sectPr w:rsidR="0049673D" w:rsidSect="0049673D">
          <w:pgSz w:w="12242" w:h="15842" w:code="1"/>
          <w:pgMar w:top="719" w:right="1469" w:bottom="719" w:left="1560" w:header="709" w:footer="709" w:gutter="0"/>
          <w:cols w:space="708"/>
          <w:docGrid w:linePitch="360"/>
        </w:sectPr>
      </w:pPr>
    </w:p>
    <w:p w14:paraId="15E04BED" w14:textId="19B0BDB8" w:rsidR="00AB78AD" w:rsidRDefault="00AB78AD" w:rsidP="00AB78AD">
      <w:pPr>
        <w:rPr>
          <w:rFonts w:eastAsia="Calibri"/>
          <w:lang w:eastAsia="en-US"/>
        </w:rPr>
      </w:pPr>
    </w:p>
    <w:p w14:paraId="58CD8C74" w14:textId="2C5CE666" w:rsidR="00AB78AD" w:rsidRPr="009D27BE" w:rsidRDefault="00AB78AD" w:rsidP="00AB78AD">
      <w:pPr>
        <w:tabs>
          <w:tab w:val="left" w:pos="2776"/>
        </w:tabs>
        <w:spacing w:line="360" w:lineRule="auto"/>
        <w:jc w:val="center"/>
        <w:rPr>
          <w:rFonts w:ascii="Arial Narrow" w:eastAsia="Calibri" w:hAnsi="Arial Narrow"/>
          <w:b/>
          <w:bCs/>
        </w:rPr>
      </w:pPr>
      <w:bookmarkStart w:id="33" w:name="_Toc76062235"/>
      <w:r w:rsidRPr="009D27BE">
        <w:rPr>
          <w:rFonts w:ascii="Arial Narrow" w:hAnsi="Arial Narrow"/>
          <w:b/>
          <w:bCs/>
        </w:rPr>
        <w:t xml:space="preserve">Cuadro </w:t>
      </w:r>
      <w:r w:rsidRPr="009D27BE">
        <w:rPr>
          <w:rFonts w:ascii="Arial Narrow" w:hAnsi="Arial Narrow"/>
          <w:b/>
          <w:bCs/>
        </w:rPr>
        <w:fldChar w:fldCharType="begin"/>
      </w:r>
      <w:r w:rsidRPr="009D27BE">
        <w:rPr>
          <w:rFonts w:ascii="Arial Narrow" w:hAnsi="Arial Narrow"/>
          <w:b/>
          <w:bCs/>
        </w:rPr>
        <w:instrText xml:space="preserve"> SEQ Cuadro_No. \* ARABIC </w:instrText>
      </w:r>
      <w:r w:rsidRPr="009D27BE">
        <w:rPr>
          <w:rFonts w:ascii="Arial Narrow" w:hAnsi="Arial Narrow"/>
          <w:b/>
          <w:bCs/>
        </w:rPr>
        <w:fldChar w:fldCharType="separate"/>
      </w:r>
      <w:r w:rsidR="0049673D">
        <w:rPr>
          <w:rFonts w:ascii="Arial Narrow" w:hAnsi="Arial Narrow"/>
          <w:b/>
          <w:bCs/>
          <w:noProof/>
        </w:rPr>
        <w:t>12</w:t>
      </w:r>
      <w:r w:rsidRPr="009D27BE">
        <w:rPr>
          <w:rFonts w:ascii="Arial Narrow" w:hAnsi="Arial Narrow"/>
          <w:b/>
          <w:bCs/>
        </w:rPr>
        <w:fldChar w:fldCharType="end"/>
      </w:r>
      <w:r w:rsidRPr="009D27BE">
        <w:rPr>
          <w:rFonts w:ascii="Arial Narrow" w:hAnsi="Arial Narrow"/>
          <w:b/>
          <w:bCs/>
        </w:rPr>
        <w:t xml:space="preserve"> Continuación de </w:t>
      </w:r>
      <w:r w:rsidRPr="009D27BE">
        <w:rPr>
          <w:rFonts w:ascii="Arial Narrow" w:eastAsia="Calibri" w:hAnsi="Arial Narrow"/>
          <w:b/>
          <w:bCs/>
          <w:lang w:eastAsia="en-US"/>
        </w:rPr>
        <w:t>Metas estratégicas de Celeridad Judicial y su cumplimiento para el 2019-2020</w:t>
      </w:r>
      <w:bookmarkEnd w:id="33"/>
    </w:p>
    <w:p w14:paraId="6092114F" w14:textId="77777777" w:rsidR="00AB78AD" w:rsidRDefault="00AB78AD" w:rsidP="00AB78AD">
      <w:pPr>
        <w:spacing w:line="360" w:lineRule="auto"/>
        <w:jc w:val="both"/>
        <w:rPr>
          <w:rFonts w:eastAsia="Calibri"/>
          <w:highlight w:val="yellow"/>
          <w:lang w:eastAsia="en-US"/>
        </w:rPr>
      </w:pPr>
      <w:r>
        <w:rPr>
          <w:noProof/>
          <w:lang w:val="es-CR" w:eastAsia="es-CR"/>
        </w:rPr>
        <w:drawing>
          <wp:inline distT="0" distB="0" distL="0" distR="0" wp14:anchorId="512E274A" wp14:editId="5473EE70">
            <wp:extent cx="9146540" cy="3424061"/>
            <wp:effectExtent l="19050" t="19050" r="16510" b="24130"/>
            <wp:docPr id="97" name="Imagen 97" descr="Tabl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Imagen 116" descr="Tabla&#10;&#10;Descripción generada automáticamente con confianza media"/>
                    <pic:cNvPicPr/>
                  </pic:nvPicPr>
                  <pic:blipFill>
                    <a:blip r:embed="rId65"/>
                    <a:stretch>
                      <a:fillRect/>
                    </a:stretch>
                  </pic:blipFill>
                  <pic:spPr>
                    <a:xfrm>
                      <a:off x="0" y="0"/>
                      <a:ext cx="9151047" cy="3425748"/>
                    </a:xfrm>
                    <a:prstGeom prst="rect">
                      <a:avLst/>
                    </a:prstGeom>
                    <a:ln w="19050">
                      <a:solidFill>
                        <a:schemeClr val="accent1"/>
                      </a:solidFill>
                    </a:ln>
                  </pic:spPr>
                </pic:pic>
              </a:graphicData>
            </a:graphic>
          </wp:inline>
        </w:drawing>
      </w:r>
    </w:p>
    <w:p w14:paraId="5EAEF55D" w14:textId="3A8D8B9A" w:rsidR="00AB78AD" w:rsidRDefault="00AB78AD" w:rsidP="00AB78AD">
      <w:pPr>
        <w:rPr>
          <w:rFonts w:ascii="Arial Narrow" w:hAnsi="Arial Narrow"/>
          <w:sz w:val="18"/>
          <w:szCs w:val="18"/>
          <w:lang w:val="es-CR" w:eastAsia="es-CR"/>
        </w:rPr>
      </w:pPr>
    </w:p>
    <w:p w14:paraId="633178D9" w14:textId="24415A92" w:rsidR="000A4B3D" w:rsidRDefault="000A4B3D" w:rsidP="00AB78AD">
      <w:pPr>
        <w:rPr>
          <w:rFonts w:ascii="Arial Narrow" w:hAnsi="Arial Narrow"/>
          <w:sz w:val="18"/>
          <w:szCs w:val="18"/>
          <w:lang w:val="es-CR" w:eastAsia="es-CR"/>
        </w:rPr>
      </w:pPr>
    </w:p>
    <w:p w14:paraId="2632F417" w14:textId="77777777" w:rsidR="000A4B3D" w:rsidRDefault="000A4B3D" w:rsidP="00AB78AD">
      <w:pPr>
        <w:rPr>
          <w:rFonts w:ascii="Arial Narrow" w:hAnsi="Arial Narrow"/>
          <w:sz w:val="18"/>
          <w:szCs w:val="18"/>
          <w:lang w:val="es-CR" w:eastAsia="es-CR"/>
        </w:rPr>
      </w:pPr>
    </w:p>
    <w:p w14:paraId="7907DFAD" w14:textId="77777777" w:rsidR="00AB78AD" w:rsidRDefault="00AB78AD" w:rsidP="00AB78AD">
      <w:pPr>
        <w:rPr>
          <w:rFonts w:eastAsia="Calibri"/>
          <w:lang w:eastAsia="en-US"/>
        </w:rPr>
      </w:pPr>
      <w:r w:rsidRPr="00EE2E13">
        <w:rPr>
          <w:rFonts w:ascii="Arial Narrow" w:hAnsi="Arial Narrow"/>
          <w:sz w:val="18"/>
          <w:szCs w:val="18"/>
          <w:lang w:val="es-CR" w:eastAsia="es-CR"/>
        </w:rPr>
        <w:t>Fuente: Sistema PEI al 24 de enero del 2020 (año 2019) y 04 de marzo del 2021 (año 2020).</w:t>
      </w:r>
    </w:p>
    <w:p w14:paraId="3E1CE975" w14:textId="77777777" w:rsidR="00AB78AD" w:rsidRDefault="00AB78AD" w:rsidP="00AB78AD">
      <w:pPr>
        <w:rPr>
          <w:rFonts w:eastAsia="Calibri"/>
          <w:lang w:eastAsia="en-US"/>
        </w:rPr>
      </w:pPr>
    </w:p>
    <w:p w14:paraId="7634FFD9" w14:textId="77777777" w:rsidR="00AB78AD" w:rsidRDefault="00AB78AD" w:rsidP="00AB78AD">
      <w:pPr>
        <w:rPr>
          <w:rFonts w:eastAsia="Calibri"/>
          <w:lang w:eastAsia="en-US"/>
        </w:rPr>
      </w:pPr>
    </w:p>
    <w:p w14:paraId="75A4B737" w14:textId="77777777" w:rsidR="0049673D" w:rsidRDefault="0049673D" w:rsidP="00AB78AD">
      <w:pPr>
        <w:rPr>
          <w:rFonts w:eastAsia="Calibri"/>
          <w:lang w:eastAsia="en-US"/>
        </w:rPr>
        <w:sectPr w:rsidR="0049673D" w:rsidSect="0049673D">
          <w:pgSz w:w="15842" w:h="12242" w:orient="landscape" w:code="1"/>
          <w:pgMar w:top="1560" w:right="719" w:bottom="1469" w:left="719" w:header="709" w:footer="709" w:gutter="0"/>
          <w:cols w:space="708"/>
          <w:docGrid w:linePitch="360"/>
        </w:sectPr>
      </w:pPr>
    </w:p>
    <w:p w14:paraId="4B9ED94F" w14:textId="032E8804" w:rsidR="00524C75" w:rsidRPr="00833DF5" w:rsidRDefault="00AB78AD" w:rsidP="00524C75">
      <w:pPr>
        <w:spacing w:line="360" w:lineRule="auto"/>
        <w:jc w:val="both"/>
        <w:rPr>
          <w:rFonts w:ascii="Arial Narrow" w:eastAsia="Calibri" w:hAnsi="Arial Narrow"/>
        </w:rPr>
      </w:pPr>
      <w:r>
        <w:rPr>
          <w:rFonts w:ascii="Arial Narrow" w:eastAsia="Calibri" w:hAnsi="Arial Narrow"/>
        </w:rPr>
        <w:lastRenderedPageBreak/>
        <w:t xml:space="preserve">La meta estratégica </w:t>
      </w:r>
      <w:r w:rsidR="005F204C">
        <w:rPr>
          <w:rFonts w:ascii="Arial Narrow" w:eastAsia="Calibri" w:hAnsi="Arial Narrow"/>
          <w:b/>
          <w:bCs/>
          <w:i/>
          <w:iCs/>
        </w:rPr>
        <w:t>“Q</w:t>
      </w:r>
      <w:r w:rsidRPr="009A5B54">
        <w:rPr>
          <w:rFonts w:ascii="Arial Narrow" w:eastAsia="Calibri" w:hAnsi="Arial Narrow"/>
          <w:b/>
          <w:bCs/>
          <w:i/>
          <w:iCs/>
        </w:rPr>
        <w:t>ue al finalizar el 2024, cada despacho jurisdiccional haya implementado una propuesta de mejora, acorde con el modelo de sostenibilidad, para disminuir la cantidad de casos en el circulante activo (que no incluye los casos en fase de Ejecución ni aquellos que tengan resolución provisional o intermedia) de mayor antigüedad en materia de Tránsito</w:t>
      </w:r>
      <w:r w:rsidR="005F204C">
        <w:rPr>
          <w:rFonts w:ascii="Arial Narrow" w:eastAsia="Calibri" w:hAnsi="Arial Narrow"/>
          <w:b/>
          <w:bCs/>
          <w:i/>
          <w:iCs/>
        </w:rPr>
        <w:t>”</w:t>
      </w:r>
      <w:r>
        <w:rPr>
          <w:rFonts w:ascii="Arial Narrow" w:eastAsia="Calibri" w:hAnsi="Arial Narrow"/>
        </w:rPr>
        <w:t xml:space="preserve">, se tiene que en el 2019 se reporta por parte de los 56 despachos competentes en tránsito, un cumplimiento </w:t>
      </w:r>
      <w:r w:rsidRPr="009D27BE">
        <w:rPr>
          <w:rFonts w:ascii="Arial Narrow" w:eastAsia="Calibri" w:hAnsi="Arial Narrow"/>
        </w:rPr>
        <w:t xml:space="preserve">de </w:t>
      </w:r>
      <w:r>
        <w:rPr>
          <w:rFonts w:ascii="Arial Narrow" w:eastAsia="Calibri" w:hAnsi="Arial Narrow"/>
        </w:rPr>
        <w:t>94</w:t>
      </w:r>
      <w:r w:rsidRPr="009D27BE">
        <w:rPr>
          <w:rFonts w:ascii="Arial Narrow" w:eastAsia="Calibri" w:hAnsi="Arial Narrow"/>
        </w:rPr>
        <w:t xml:space="preserve">%, </w:t>
      </w:r>
      <w:r>
        <w:rPr>
          <w:rFonts w:ascii="Arial Narrow" w:eastAsia="Calibri" w:hAnsi="Arial Narrow"/>
        </w:rPr>
        <w:t xml:space="preserve">para el 2020 el reporte es </w:t>
      </w:r>
      <w:r w:rsidRPr="00833DF5">
        <w:rPr>
          <w:rFonts w:ascii="Arial Narrow" w:eastAsia="Calibri" w:hAnsi="Arial Narrow"/>
        </w:rPr>
        <w:t>de 96%</w:t>
      </w:r>
      <w:r w:rsidR="00524C75" w:rsidRPr="00CC279A">
        <w:rPr>
          <w:rFonts w:ascii="Arial Narrow" w:eastAsia="Calibri" w:hAnsi="Arial Narrow"/>
        </w:rPr>
        <w:t xml:space="preserve">.  </w:t>
      </w:r>
      <w:r w:rsidR="00524C75" w:rsidRPr="00833DF5">
        <w:rPr>
          <w:rFonts w:ascii="Arial Narrow" w:eastAsia="Calibri" w:hAnsi="Arial Narrow"/>
        </w:rPr>
        <w:t>La meta anterior, se refiere al cumplimiento de las diversas acciones que los propios despachos se impusieron a nivel operativo en su PAO.</w:t>
      </w:r>
      <w:r w:rsidR="00F312EA">
        <w:rPr>
          <w:rFonts w:ascii="Arial Narrow" w:eastAsia="Calibri" w:hAnsi="Arial Narrow"/>
        </w:rPr>
        <w:t xml:space="preserve"> </w:t>
      </w:r>
    </w:p>
    <w:p w14:paraId="35C1DD9D" w14:textId="77777777" w:rsidR="00524C75" w:rsidRPr="00CC279A" w:rsidRDefault="00524C75" w:rsidP="00AB78AD">
      <w:pPr>
        <w:spacing w:line="360" w:lineRule="auto"/>
        <w:jc w:val="both"/>
        <w:rPr>
          <w:rFonts w:ascii="Arial Narrow" w:eastAsia="Calibri" w:hAnsi="Arial Narrow"/>
        </w:rPr>
      </w:pPr>
    </w:p>
    <w:p w14:paraId="77DF02AD" w14:textId="77777777" w:rsidR="00524C75" w:rsidRPr="00CC279A" w:rsidRDefault="00524C75" w:rsidP="00AB78AD">
      <w:pPr>
        <w:spacing w:line="360" w:lineRule="auto"/>
        <w:jc w:val="both"/>
        <w:rPr>
          <w:rFonts w:ascii="Arial Narrow" w:eastAsia="Calibri" w:hAnsi="Arial Narrow"/>
        </w:rPr>
      </w:pPr>
    </w:p>
    <w:p w14:paraId="144C6894" w14:textId="53FCC498" w:rsidR="00AB78AD" w:rsidRDefault="00524C75" w:rsidP="00AB78AD">
      <w:pPr>
        <w:spacing w:line="360" w:lineRule="auto"/>
        <w:jc w:val="both"/>
        <w:rPr>
          <w:rFonts w:ascii="Arial Narrow" w:eastAsia="Calibri" w:hAnsi="Arial Narrow"/>
        </w:rPr>
      </w:pPr>
      <w:r w:rsidRPr="00CC279A">
        <w:rPr>
          <w:rFonts w:ascii="Arial Narrow" w:eastAsia="Calibri" w:hAnsi="Arial Narrow"/>
        </w:rPr>
        <w:t xml:space="preserve">Como complemento de lo anterior, </w:t>
      </w:r>
      <w:r w:rsidR="00AB78AD" w:rsidRPr="00833DF5">
        <w:rPr>
          <w:rFonts w:ascii="Arial Narrow" w:eastAsia="Calibri" w:hAnsi="Arial Narrow"/>
        </w:rPr>
        <w:t>se tiene que para materia tránsito en el 2019 se terminó con un circulante de 25.437 expedientes, para el 2020 se finaliza con 18.580 expedientes según el Sistema SIGMA, lo que resulta en una disminución del circulante de 38</w:t>
      </w:r>
      <w:r w:rsidR="00AB78AD" w:rsidRPr="0022053E">
        <w:rPr>
          <w:rFonts w:ascii="Arial Narrow" w:eastAsia="Calibri" w:hAnsi="Arial Narrow"/>
        </w:rPr>
        <w:t>%, aspecto positivo que s</w:t>
      </w:r>
      <w:r w:rsidR="00AB78AD" w:rsidRPr="002E0B96">
        <w:rPr>
          <w:rFonts w:ascii="Arial Narrow" w:eastAsia="Calibri" w:hAnsi="Arial Narrow"/>
        </w:rPr>
        <w:t>i bien es cierto se ve</w:t>
      </w:r>
      <w:r w:rsidR="00AB78AD" w:rsidRPr="0022053E">
        <w:rPr>
          <w:rFonts w:ascii="Arial Narrow" w:eastAsia="Calibri" w:hAnsi="Arial Narrow"/>
        </w:rPr>
        <w:t xml:space="preserve"> impactado por otras variables como la entrada de asuntos, es conveniente verificar por parte de los despachos que la antigüedad se reduzca de igual manera que el circulante.</w:t>
      </w:r>
    </w:p>
    <w:p w14:paraId="52549F0D" w14:textId="77777777" w:rsidR="00AB78AD" w:rsidRDefault="00AB78AD" w:rsidP="00AB78AD">
      <w:pPr>
        <w:spacing w:line="360" w:lineRule="auto"/>
        <w:jc w:val="both"/>
        <w:rPr>
          <w:rFonts w:ascii="Arial Narrow" w:eastAsia="Calibri" w:hAnsi="Arial Narrow"/>
        </w:rPr>
      </w:pPr>
    </w:p>
    <w:p w14:paraId="074A4CD6" w14:textId="2B5FD296" w:rsidR="00852B39" w:rsidRDefault="00AB78AD" w:rsidP="00852B39">
      <w:pPr>
        <w:spacing w:line="360" w:lineRule="auto"/>
        <w:jc w:val="both"/>
        <w:rPr>
          <w:rFonts w:ascii="Arial Narrow" w:eastAsia="Calibri" w:hAnsi="Arial Narrow"/>
        </w:rPr>
      </w:pPr>
      <w:r>
        <w:rPr>
          <w:rFonts w:ascii="Arial Narrow" w:eastAsia="Calibri" w:hAnsi="Arial Narrow"/>
        </w:rPr>
        <w:t xml:space="preserve">Por otra parte, la meta estratégica </w:t>
      </w:r>
      <w:r w:rsidR="005F204C">
        <w:rPr>
          <w:rFonts w:ascii="Arial Narrow" w:eastAsia="Calibri" w:hAnsi="Arial Narrow"/>
          <w:b/>
          <w:bCs/>
          <w:i/>
          <w:iCs/>
        </w:rPr>
        <w:t>“Q</w:t>
      </w:r>
      <w:r w:rsidRPr="009A5B54">
        <w:rPr>
          <w:rFonts w:ascii="Arial Narrow" w:eastAsia="Calibri" w:hAnsi="Arial Narrow"/>
          <w:b/>
          <w:bCs/>
          <w:i/>
          <w:iCs/>
        </w:rPr>
        <w:t>ue al finalizar el 2024, cada despacho jurisdiccional haya implementado una propuesta de mejora, acorde con el modelo de sostenibilidad, para disminuir la cantidad de casos en el circulante activo de mayor antigüedad en materia Constitucional</w:t>
      </w:r>
      <w:r w:rsidR="005F204C">
        <w:rPr>
          <w:rFonts w:ascii="Arial Narrow" w:eastAsia="Calibri" w:hAnsi="Arial Narrow"/>
          <w:b/>
          <w:bCs/>
          <w:i/>
          <w:iCs/>
        </w:rPr>
        <w:t>”</w:t>
      </w:r>
      <w:r>
        <w:rPr>
          <w:rFonts w:ascii="Arial Narrow" w:eastAsia="Calibri" w:hAnsi="Arial Narrow"/>
        </w:rPr>
        <w:t xml:space="preserve">, se tiene que en el 2019 se reporta por parte de la Sala Constitucional un cumplimiento </w:t>
      </w:r>
      <w:r w:rsidRPr="009D27BE">
        <w:rPr>
          <w:rFonts w:ascii="Arial Narrow" w:eastAsia="Calibri" w:hAnsi="Arial Narrow"/>
        </w:rPr>
        <w:t xml:space="preserve">de </w:t>
      </w:r>
      <w:r>
        <w:rPr>
          <w:rFonts w:ascii="Arial Narrow" w:eastAsia="Calibri" w:hAnsi="Arial Narrow"/>
        </w:rPr>
        <w:t>100</w:t>
      </w:r>
      <w:r w:rsidRPr="009D27BE">
        <w:rPr>
          <w:rFonts w:ascii="Arial Narrow" w:eastAsia="Calibri" w:hAnsi="Arial Narrow"/>
        </w:rPr>
        <w:t>%</w:t>
      </w:r>
      <w:r>
        <w:rPr>
          <w:rFonts w:ascii="Arial Narrow" w:eastAsia="Calibri" w:hAnsi="Arial Narrow"/>
        </w:rPr>
        <w:t xml:space="preserve"> igual dato reportado para el 2020. </w:t>
      </w:r>
      <w:r w:rsidR="00852B39">
        <w:rPr>
          <w:rFonts w:ascii="Arial Narrow" w:eastAsia="Calibri" w:hAnsi="Arial Narrow"/>
        </w:rPr>
        <w:t>La meta anterior, se refiere al cumplimiento de las diversas acciones que los propios despachos se impusieron a nivel operativo en su PAO.</w:t>
      </w:r>
    </w:p>
    <w:p w14:paraId="68C6CD10" w14:textId="48726869" w:rsidR="00852B39" w:rsidRDefault="00852B39" w:rsidP="00AB78AD">
      <w:pPr>
        <w:spacing w:line="360" w:lineRule="auto"/>
        <w:jc w:val="both"/>
        <w:rPr>
          <w:rFonts w:ascii="Arial Narrow" w:eastAsia="Calibri" w:hAnsi="Arial Narrow"/>
        </w:rPr>
      </w:pPr>
    </w:p>
    <w:p w14:paraId="136692C9" w14:textId="3D370486" w:rsidR="00AB78AD" w:rsidRDefault="00852B39" w:rsidP="00AB78AD">
      <w:pPr>
        <w:spacing w:line="360" w:lineRule="auto"/>
        <w:jc w:val="both"/>
        <w:rPr>
          <w:rFonts w:ascii="Arial Narrow" w:eastAsia="Calibri" w:hAnsi="Arial Narrow"/>
        </w:rPr>
      </w:pPr>
      <w:r>
        <w:rPr>
          <w:rFonts w:ascii="Arial Narrow" w:eastAsia="Calibri" w:hAnsi="Arial Narrow"/>
        </w:rPr>
        <w:t>Como complemento de lo anterior,</w:t>
      </w:r>
      <w:r w:rsidR="00AB78AD" w:rsidRPr="002B2187">
        <w:rPr>
          <w:rFonts w:ascii="Arial Narrow" w:eastAsia="Calibri" w:hAnsi="Arial Narrow"/>
        </w:rPr>
        <w:t xml:space="preserve"> se tiene que para materia constitucional en el 2019 se concluyó el año con un circulante</w:t>
      </w:r>
      <w:r w:rsidR="00AB78AD" w:rsidRPr="0022053E">
        <w:rPr>
          <w:rFonts w:ascii="Arial Narrow" w:eastAsia="Calibri" w:hAnsi="Arial Narrow"/>
        </w:rPr>
        <w:t xml:space="preserve"> de </w:t>
      </w:r>
      <w:r w:rsidR="00AB78AD" w:rsidRPr="002E0B96">
        <w:rPr>
          <w:rFonts w:ascii="Arial Narrow" w:eastAsia="Calibri" w:hAnsi="Arial Narrow"/>
        </w:rPr>
        <w:t>3011</w:t>
      </w:r>
      <w:r w:rsidR="00AB78AD" w:rsidRPr="0022053E">
        <w:rPr>
          <w:rFonts w:ascii="Arial Narrow" w:eastAsia="Calibri" w:hAnsi="Arial Narrow"/>
        </w:rPr>
        <w:t xml:space="preserve"> expedientes, para el 2020 se finaliza con </w:t>
      </w:r>
      <w:r w:rsidR="00AB78AD" w:rsidRPr="002E0B96">
        <w:rPr>
          <w:rFonts w:ascii="Arial Narrow" w:eastAsia="Calibri" w:hAnsi="Arial Narrow"/>
        </w:rPr>
        <w:t>3068</w:t>
      </w:r>
      <w:r w:rsidR="00AB78AD" w:rsidRPr="0022053E">
        <w:rPr>
          <w:rFonts w:ascii="Arial Narrow" w:eastAsia="Calibri" w:hAnsi="Arial Narrow"/>
        </w:rPr>
        <w:t xml:space="preserve"> expedientes, </w:t>
      </w:r>
      <w:r w:rsidR="00AB78AD" w:rsidRPr="002E0B96">
        <w:rPr>
          <w:rFonts w:ascii="Arial Narrow" w:eastAsia="Calibri" w:hAnsi="Arial Narrow"/>
        </w:rPr>
        <w:t xml:space="preserve">según sistema SIGMA, </w:t>
      </w:r>
      <w:r w:rsidR="00AB78AD" w:rsidRPr="0022053E">
        <w:rPr>
          <w:rFonts w:ascii="Arial Narrow" w:eastAsia="Calibri" w:hAnsi="Arial Narrow"/>
        </w:rPr>
        <w:t>lo que representa un</w:t>
      </w:r>
      <w:r w:rsidR="00AB78AD" w:rsidRPr="002E0B96">
        <w:rPr>
          <w:rFonts w:ascii="Arial Narrow" w:eastAsia="Calibri" w:hAnsi="Arial Narrow"/>
        </w:rPr>
        <w:t xml:space="preserve"> incremento </w:t>
      </w:r>
      <w:r w:rsidR="00AB78AD" w:rsidRPr="0022053E">
        <w:rPr>
          <w:rFonts w:ascii="Arial Narrow" w:eastAsia="Calibri" w:hAnsi="Arial Narrow"/>
        </w:rPr>
        <w:t xml:space="preserve">del circulante de </w:t>
      </w:r>
      <w:r w:rsidR="00AB78AD" w:rsidRPr="002E0B96">
        <w:rPr>
          <w:rFonts w:ascii="Arial Narrow" w:eastAsia="Calibri" w:hAnsi="Arial Narrow"/>
        </w:rPr>
        <w:t>1,9</w:t>
      </w:r>
      <w:r w:rsidR="00AB78AD" w:rsidRPr="0022053E">
        <w:rPr>
          <w:rFonts w:ascii="Arial Narrow" w:eastAsia="Calibri" w:hAnsi="Arial Narrow"/>
        </w:rPr>
        <w:t>%. De igual manera, se considera necesario realizar constantes revisiones de las causas que ingresaron con mayor antelación y realizarles el tr</w:t>
      </w:r>
      <w:r w:rsidR="001468E4">
        <w:rPr>
          <w:rFonts w:ascii="Arial Narrow" w:eastAsia="Calibri" w:hAnsi="Arial Narrow"/>
        </w:rPr>
        <w:t>á</w:t>
      </w:r>
      <w:r w:rsidR="00AB78AD" w:rsidRPr="0022053E">
        <w:rPr>
          <w:rFonts w:ascii="Arial Narrow" w:eastAsia="Calibri" w:hAnsi="Arial Narrow"/>
        </w:rPr>
        <w:t>mite respectivo con el fin de disminuir la antigüedad.</w:t>
      </w:r>
    </w:p>
    <w:p w14:paraId="6119F36C" w14:textId="77777777" w:rsidR="00AB78AD" w:rsidRDefault="00AB78AD" w:rsidP="00AB78AD">
      <w:pPr>
        <w:rPr>
          <w:rFonts w:eastAsia="Calibri"/>
          <w:lang w:eastAsia="en-US"/>
        </w:rPr>
      </w:pPr>
    </w:p>
    <w:p w14:paraId="3B9C5E3C" w14:textId="7D69DB91" w:rsidR="00AB78AD" w:rsidRDefault="00AB78AD" w:rsidP="00AB78AD">
      <w:pPr>
        <w:spacing w:line="360" w:lineRule="auto"/>
        <w:jc w:val="both"/>
        <w:rPr>
          <w:rFonts w:eastAsia="Calibri"/>
          <w:lang w:eastAsia="en-US"/>
        </w:rPr>
      </w:pPr>
      <w:r>
        <w:rPr>
          <w:rFonts w:ascii="Arial Narrow" w:eastAsia="Calibri" w:hAnsi="Arial Narrow"/>
        </w:rPr>
        <w:lastRenderedPageBreak/>
        <w:t xml:space="preserve">La meta estratégica </w:t>
      </w:r>
      <w:r w:rsidR="005F204C">
        <w:rPr>
          <w:rFonts w:ascii="Arial Narrow" w:eastAsia="Calibri" w:hAnsi="Arial Narrow"/>
          <w:b/>
          <w:bCs/>
          <w:i/>
          <w:iCs/>
        </w:rPr>
        <w:t>“Q</w:t>
      </w:r>
      <w:r w:rsidRPr="009A5B54">
        <w:rPr>
          <w:rFonts w:ascii="Arial Narrow" w:eastAsia="Calibri" w:hAnsi="Arial Narrow"/>
          <w:b/>
          <w:bCs/>
          <w:i/>
          <w:iCs/>
        </w:rPr>
        <w:t>ue al finalizar el 2024, cada despacho jurisdiccional haya implementado una propuesta de mejora, acorde con el modelo de sostenibilidad, para disminuir la cantidad de casos en el circulante activo de mayor antigüedad en materia Notarial</w:t>
      </w:r>
      <w:r w:rsidR="005F204C">
        <w:rPr>
          <w:rFonts w:ascii="Arial Narrow" w:eastAsia="Calibri" w:hAnsi="Arial Narrow"/>
          <w:b/>
          <w:bCs/>
          <w:i/>
          <w:iCs/>
        </w:rPr>
        <w:t>”</w:t>
      </w:r>
      <w:r>
        <w:rPr>
          <w:rFonts w:ascii="Arial Narrow" w:eastAsia="Calibri" w:hAnsi="Arial Narrow"/>
        </w:rPr>
        <w:t xml:space="preserve">, se tiene que en el 2019 y 2020 se reporta por parte del Juzgado Notarial un cumplimiento </w:t>
      </w:r>
      <w:r w:rsidRPr="009D27BE">
        <w:rPr>
          <w:rFonts w:ascii="Arial Narrow" w:eastAsia="Calibri" w:hAnsi="Arial Narrow"/>
        </w:rPr>
        <w:t xml:space="preserve">de </w:t>
      </w:r>
      <w:r>
        <w:rPr>
          <w:rFonts w:ascii="Arial Narrow" w:eastAsia="Calibri" w:hAnsi="Arial Narrow"/>
        </w:rPr>
        <w:t>100</w:t>
      </w:r>
      <w:r w:rsidRPr="009D27BE">
        <w:rPr>
          <w:rFonts w:ascii="Arial Narrow" w:eastAsia="Calibri" w:hAnsi="Arial Narrow"/>
        </w:rPr>
        <w:t xml:space="preserve">%, </w:t>
      </w:r>
      <w:r>
        <w:rPr>
          <w:rFonts w:ascii="Arial Narrow" w:eastAsia="Calibri" w:hAnsi="Arial Narrow"/>
        </w:rPr>
        <w:t>por medio de la meta se busca l</w:t>
      </w:r>
      <w:r w:rsidRPr="00980813">
        <w:rPr>
          <w:rFonts w:ascii="Arial Narrow" w:eastAsia="Calibri" w:hAnsi="Arial Narrow"/>
        </w:rPr>
        <w:t xml:space="preserve">ograr una reducción de la antigüedad del circulante mediante diversas propuestas, se tiene que para materia notarial en el 2019 se finalizó con un circulante de 4857 expedientes de los cuales </w:t>
      </w:r>
      <w:r w:rsidRPr="002E0B96">
        <w:rPr>
          <w:rFonts w:ascii="Arial Narrow" w:eastAsia="Calibri" w:hAnsi="Arial Narrow"/>
        </w:rPr>
        <w:t>el 74%</w:t>
      </w:r>
      <w:r w:rsidRPr="00980813">
        <w:rPr>
          <w:rFonts w:ascii="Arial Narrow" w:eastAsia="Calibri" w:hAnsi="Arial Narrow"/>
        </w:rPr>
        <w:t xml:space="preserve"> estaban en trámite, para el 2020 se cierra con </w:t>
      </w:r>
      <w:r w:rsidRPr="002E0B96">
        <w:rPr>
          <w:rFonts w:ascii="Arial Narrow" w:eastAsia="Calibri" w:hAnsi="Arial Narrow"/>
        </w:rPr>
        <w:t>5103</w:t>
      </w:r>
      <w:r w:rsidRPr="00980813">
        <w:rPr>
          <w:rFonts w:ascii="Arial Narrow" w:eastAsia="Calibri" w:hAnsi="Arial Narrow"/>
        </w:rPr>
        <w:t xml:space="preserve"> expedientes, lo que resulta en un</w:t>
      </w:r>
      <w:r w:rsidRPr="002E0B96">
        <w:rPr>
          <w:rFonts w:ascii="Arial Narrow" w:eastAsia="Calibri" w:hAnsi="Arial Narrow"/>
        </w:rPr>
        <w:t xml:space="preserve"> aumento </w:t>
      </w:r>
      <w:r w:rsidRPr="00980813">
        <w:rPr>
          <w:rFonts w:ascii="Arial Narrow" w:eastAsia="Calibri" w:hAnsi="Arial Narrow"/>
        </w:rPr>
        <w:t xml:space="preserve">del circulante de </w:t>
      </w:r>
      <w:r w:rsidRPr="002E0B96">
        <w:rPr>
          <w:rFonts w:ascii="Arial Narrow" w:eastAsia="Calibri" w:hAnsi="Arial Narrow"/>
        </w:rPr>
        <w:t>5,</w:t>
      </w:r>
      <w:r w:rsidRPr="00980813">
        <w:rPr>
          <w:rFonts w:ascii="Arial Narrow" w:eastAsia="Calibri" w:hAnsi="Arial Narrow"/>
        </w:rPr>
        <w:t>1%,  por lo que se considera</w:t>
      </w:r>
      <w:r w:rsidRPr="007A4EFB">
        <w:rPr>
          <w:rFonts w:ascii="Arial Narrow" w:eastAsia="Calibri" w:hAnsi="Arial Narrow"/>
        </w:rPr>
        <w:t xml:space="preserve"> necesario realizar </w:t>
      </w:r>
      <w:r>
        <w:rPr>
          <w:rFonts w:ascii="Arial Narrow" w:eastAsia="Calibri" w:hAnsi="Arial Narrow"/>
        </w:rPr>
        <w:t>una</w:t>
      </w:r>
      <w:r w:rsidRPr="007A4EFB">
        <w:rPr>
          <w:rFonts w:ascii="Arial Narrow" w:eastAsia="Calibri" w:hAnsi="Arial Narrow"/>
        </w:rPr>
        <w:t xml:space="preserve"> revisi</w:t>
      </w:r>
      <w:r>
        <w:rPr>
          <w:rFonts w:ascii="Arial Narrow" w:eastAsia="Calibri" w:hAnsi="Arial Narrow"/>
        </w:rPr>
        <w:t>ón</w:t>
      </w:r>
      <w:r w:rsidRPr="007A4EFB">
        <w:rPr>
          <w:rFonts w:ascii="Arial Narrow" w:eastAsia="Calibri" w:hAnsi="Arial Narrow"/>
        </w:rPr>
        <w:t xml:space="preserve"> de las causas </w:t>
      </w:r>
      <w:r>
        <w:rPr>
          <w:rFonts w:ascii="Arial Narrow" w:eastAsia="Calibri" w:hAnsi="Arial Narrow"/>
        </w:rPr>
        <w:t>y determinar si se está atendiendo el circulante en trámite (74%) con el fin de disminuir los asuntos con mayor antigüedad.</w:t>
      </w:r>
    </w:p>
    <w:p w14:paraId="56CBB540" w14:textId="77777777" w:rsidR="0049673D" w:rsidRDefault="0049673D" w:rsidP="00AB78AD">
      <w:pPr>
        <w:rPr>
          <w:rFonts w:eastAsia="Calibri"/>
          <w:lang w:eastAsia="en-US"/>
        </w:rPr>
        <w:sectPr w:rsidR="0049673D" w:rsidSect="0049673D">
          <w:pgSz w:w="12242" w:h="15842" w:code="1"/>
          <w:pgMar w:top="719" w:right="1469" w:bottom="719" w:left="1560" w:header="709" w:footer="709" w:gutter="0"/>
          <w:cols w:space="708"/>
          <w:docGrid w:linePitch="360"/>
        </w:sectPr>
      </w:pPr>
    </w:p>
    <w:p w14:paraId="78D80221" w14:textId="7E8F3406" w:rsidR="00AB78AD" w:rsidRDefault="00AB78AD" w:rsidP="00AB78AD">
      <w:pPr>
        <w:rPr>
          <w:rFonts w:eastAsia="Calibri"/>
          <w:lang w:eastAsia="en-US"/>
        </w:rPr>
      </w:pPr>
    </w:p>
    <w:p w14:paraId="11D6A021" w14:textId="77777777" w:rsidR="00AB78AD" w:rsidRDefault="00AB78AD" w:rsidP="00AB78AD">
      <w:pPr>
        <w:rPr>
          <w:rFonts w:eastAsia="Calibri"/>
          <w:lang w:eastAsia="en-US"/>
        </w:rPr>
      </w:pPr>
    </w:p>
    <w:p w14:paraId="71C9DA71" w14:textId="5E8108DA" w:rsidR="00AB78AD" w:rsidRPr="009D27BE" w:rsidRDefault="00AB78AD" w:rsidP="00AB78AD">
      <w:pPr>
        <w:tabs>
          <w:tab w:val="left" w:pos="2776"/>
        </w:tabs>
        <w:spacing w:line="360" w:lineRule="auto"/>
        <w:jc w:val="center"/>
        <w:rPr>
          <w:rFonts w:ascii="Arial Narrow" w:eastAsia="Calibri" w:hAnsi="Arial Narrow"/>
          <w:b/>
          <w:bCs/>
        </w:rPr>
      </w:pPr>
      <w:bookmarkStart w:id="34" w:name="_Toc76062236"/>
      <w:r w:rsidRPr="009D27BE">
        <w:rPr>
          <w:rFonts w:ascii="Arial Narrow" w:hAnsi="Arial Narrow"/>
          <w:b/>
          <w:bCs/>
        </w:rPr>
        <w:t xml:space="preserve">Cuadro </w:t>
      </w:r>
      <w:r w:rsidRPr="009D27BE">
        <w:rPr>
          <w:rFonts w:ascii="Arial Narrow" w:hAnsi="Arial Narrow"/>
          <w:b/>
          <w:bCs/>
        </w:rPr>
        <w:fldChar w:fldCharType="begin"/>
      </w:r>
      <w:r w:rsidRPr="009D27BE">
        <w:rPr>
          <w:rFonts w:ascii="Arial Narrow" w:hAnsi="Arial Narrow"/>
          <w:b/>
          <w:bCs/>
        </w:rPr>
        <w:instrText xml:space="preserve"> SEQ Cuadro_No. \* ARABIC </w:instrText>
      </w:r>
      <w:r w:rsidRPr="009D27BE">
        <w:rPr>
          <w:rFonts w:ascii="Arial Narrow" w:hAnsi="Arial Narrow"/>
          <w:b/>
          <w:bCs/>
        </w:rPr>
        <w:fldChar w:fldCharType="separate"/>
      </w:r>
      <w:r w:rsidR="0049673D">
        <w:rPr>
          <w:rFonts w:ascii="Arial Narrow" w:hAnsi="Arial Narrow"/>
          <w:b/>
          <w:bCs/>
          <w:noProof/>
        </w:rPr>
        <w:t>13</w:t>
      </w:r>
      <w:r w:rsidRPr="009D27BE">
        <w:rPr>
          <w:rFonts w:ascii="Arial Narrow" w:hAnsi="Arial Narrow"/>
          <w:b/>
          <w:bCs/>
        </w:rPr>
        <w:fldChar w:fldCharType="end"/>
      </w:r>
      <w:r w:rsidRPr="009D27BE">
        <w:rPr>
          <w:rFonts w:ascii="Arial Narrow" w:hAnsi="Arial Narrow"/>
          <w:b/>
          <w:bCs/>
        </w:rPr>
        <w:t xml:space="preserve"> Continuación de </w:t>
      </w:r>
      <w:r w:rsidRPr="009D27BE">
        <w:rPr>
          <w:rFonts w:ascii="Arial Narrow" w:eastAsia="Calibri" w:hAnsi="Arial Narrow"/>
          <w:b/>
          <w:bCs/>
          <w:lang w:eastAsia="en-US"/>
        </w:rPr>
        <w:t>Metas estratégicas de Celeridad Judicial y su cumplimiento para el 2019-2020</w:t>
      </w:r>
      <w:bookmarkEnd w:id="34"/>
    </w:p>
    <w:p w14:paraId="67CE13B0" w14:textId="77777777" w:rsidR="00AB78AD" w:rsidRDefault="00AB78AD" w:rsidP="00AB78AD">
      <w:pPr>
        <w:spacing w:line="360" w:lineRule="auto"/>
        <w:jc w:val="both"/>
        <w:rPr>
          <w:rFonts w:eastAsia="Calibri"/>
          <w:highlight w:val="yellow"/>
          <w:lang w:eastAsia="en-US"/>
        </w:rPr>
      </w:pPr>
      <w:r>
        <w:rPr>
          <w:noProof/>
          <w:lang w:val="es-CR" w:eastAsia="es-CR"/>
        </w:rPr>
        <w:drawing>
          <wp:inline distT="0" distB="0" distL="0" distR="0" wp14:anchorId="6C50F98C" wp14:editId="09D39331">
            <wp:extent cx="9102090" cy="3491794"/>
            <wp:effectExtent l="19050" t="19050" r="22860" b="13970"/>
            <wp:docPr id="98" name="Imagen 98" descr="Tabla&#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Imagen 117" descr="Tabla&#10;&#10;Descripción generada automáticamente con confianza baja"/>
                    <pic:cNvPicPr/>
                  </pic:nvPicPr>
                  <pic:blipFill rotWithShape="1">
                    <a:blip r:embed="rId66"/>
                    <a:srcRect r="484"/>
                    <a:stretch/>
                  </pic:blipFill>
                  <pic:spPr bwMode="auto">
                    <a:xfrm>
                      <a:off x="0" y="0"/>
                      <a:ext cx="9106929" cy="3493650"/>
                    </a:xfrm>
                    <a:prstGeom prst="rect">
                      <a:avLst/>
                    </a:prstGeom>
                    <a:ln w="19050" cap="flat" cmpd="sng" algn="ctr">
                      <a:solidFill>
                        <a:srgbClr val="4472C4"/>
                      </a:solidFill>
                      <a:prstDash val="solid"/>
                      <a:round/>
                      <a:headEnd type="none" w="med" len="med"/>
                      <a:tailEnd type="none" w="med" len="med"/>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67D643D7" w14:textId="77777777" w:rsidR="00AB78AD" w:rsidRDefault="00AB78AD" w:rsidP="00AB78AD">
      <w:pPr>
        <w:rPr>
          <w:rFonts w:ascii="Arial Narrow" w:hAnsi="Arial Narrow"/>
          <w:sz w:val="18"/>
          <w:szCs w:val="18"/>
          <w:lang w:val="es-CR" w:eastAsia="es-CR"/>
        </w:rPr>
      </w:pPr>
    </w:p>
    <w:p w14:paraId="21F58771" w14:textId="77777777" w:rsidR="00AB78AD" w:rsidRDefault="00AB78AD" w:rsidP="00AB78AD">
      <w:pPr>
        <w:rPr>
          <w:rFonts w:eastAsia="Calibri"/>
          <w:lang w:eastAsia="en-US"/>
        </w:rPr>
      </w:pPr>
      <w:r w:rsidRPr="00EE2E13">
        <w:rPr>
          <w:rFonts w:ascii="Arial Narrow" w:hAnsi="Arial Narrow"/>
          <w:sz w:val="18"/>
          <w:szCs w:val="18"/>
          <w:lang w:val="es-CR" w:eastAsia="es-CR"/>
        </w:rPr>
        <w:t>Fuente: Sistema PEI al 24 de enero del 2020 (año 2019) y 04 de marzo del 2021 (año 2020).</w:t>
      </w:r>
    </w:p>
    <w:p w14:paraId="6359C8F3" w14:textId="77777777" w:rsidR="00AB78AD" w:rsidRDefault="00AB78AD" w:rsidP="00AB78AD">
      <w:pPr>
        <w:rPr>
          <w:rFonts w:eastAsia="Calibri"/>
          <w:lang w:eastAsia="en-US"/>
        </w:rPr>
      </w:pPr>
    </w:p>
    <w:p w14:paraId="052222E3" w14:textId="77777777" w:rsidR="0049673D" w:rsidRDefault="0049673D" w:rsidP="00AB78AD">
      <w:pPr>
        <w:rPr>
          <w:rFonts w:eastAsia="Calibri"/>
          <w:lang w:eastAsia="en-US"/>
        </w:rPr>
        <w:sectPr w:rsidR="0049673D" w:rsidSect="0049673D">
          <w:pgSz w:w="15842" w:h="12242" w:orient="landscape" w:code="1"/>
          <w:pgMar w:top="1560" w:right="719" w:bottom="1469" w:left="719" w:header="709" w:footer="709" w:gutter="0"/>
          <w:cols w:space="708"/>
          <w:docGrid w:linePitch="360"/>
        </w:sectPr>
      </w:pPr>
    </w:p>
    <w:p w14:paraId="67DEC172" w14:textId="77777777" w:rsidR="00AB78AD" w:rsidRDefault="00AB78AD" w:rsidP="00AB78AD">
      <w:pPr>
        <w:rPr>
          <w:rFonts w:eastAsia="Calibri"/>
          <w:lang w:eastAsia="en-US"/>
        </w:rPr>
      </w:pPr>
    </w:p>
    <w:p w14:paraId="64B8C876" w14:textId="6C0AF850" w:rsidR="00852B39" w:rsidRDefault="00AB78AD" w:rsidP="00852B39">
      <w:pPr>
        <w:spacing w:line="360" w:lineRule="auto"/>
        <w:jc w:val="both"/>
        <w:rPr>
          <w:rFonts w:ascii="Arial Narrow" w:eastAsia="Calibri" w:hAnsi="Arial Narrow"/>
        </w:rPr>
      </w:pPr>
      <w:r>
        <w:rPr>
          <w:rFonts w:ascii="Arial Narrow" w:eastAsia="Calibri" w:hAnsi="Arial Narrow"/>
        </w:rPr>
        <w:t xml:space="preserve">La meta estratégica </w:t>
      </w:r>
      <w:r w:rsidR="005F204C">
        <w:rPr>
          <w:rFonts w:ascii="Arial Narrow" w:eastAsia="Calibri" w:hAnsi="Arial Narrow"/>
          <w:b/>
          <w:bCs/>
          <w:i/>
          <w:iCs/>
        </w:rPr>
        <w:t>“Q</w:t>
      </w:r>
      <w:r w:rsidRPr="00980813">
        <w:rPr>
          <w:rFonts w:ascii="Arial Narrow" w:eastAsia="Calibri" w:hAnsi="Arial Narrow"/>
          <w:b/>
          <w:bCs/>
          <w:i/>
          <w:iCs/>
        </w:rPr>
        <w:t>ue al finalizar el 2024, cada despacho jurisdiccional haya implementado una propuesta de mejora, acorde con el modelo de sostenibilidad, para disminuir la cantidad de casos en el circulante activo (que no incluye los casos en fase de Ejecución) de mayor antigüedad en la materia de Cobro</w:t>
      </w:r>
      <w:r w:rsidR="005F204C">
        <w:rPr>
          <w:rFonts w:ascii="Arial Narrow" w:eastAsia="Calibri" w:hAnsi="Arial Narrow"/>
          <w:b/>
          <w:bCs/>
          <w:i/>
          <w:iCs/>
        </w:rPr>
        <w:t>”</w:t>
      </w:r>
      <w:r>
        <w:rPr>
          <w:rFonts w:ascii="Arial Narrow" w:eastAsia="Calibri" w:hAnsi="Arial Narrow"/>
        </w:rPr>
        <w:t xml:space="preserve">, se tiene que en el 2019 y 2020 se reporta por parte de los 16 despachos competentes en Cobro, un cumplimiento </w:t>
      </w:r>
      <w:r w:rsidRPr="009D27BE">
        <w:rPr>
          <w:rFonts w:ascii="Arial Narrow" w:eastAsia="Calibri" w:hAnsi="Arial Narrow"/>
        </w:rPr>
        <w:t xml:space="preserve">de </w:t>
      </w:r>
      <w:r>
        <w:rPr>
          <w:rFonts w:ascii="Arial Narrow" w:eastAsia="Calibri" w:hAnsi="Arial Narrow"/>
        </w:rPr>
        <w:t>91</w:t>
      </w:r>
      <w:r w:rsidRPr="009D27BE">
        <w:rPr>
          <w:rFonts w:ascii="Arial Narrow" w:eastAsia="Calibri" w:hAnsi="Arial Narrow"/>
        </w:rPr>
        <w:t>%</w:t>
      </w:r>
      <w:r w:rsidR="00852B39">
        <w:rPr>
          <w:rFonts w:ascii="Arial Narrow" w:eastAsia="Calibri" w:hAnsi="Arial Narrow"/>
        </w:rPr>
        <w:t>.  La meta anterior, se refiere al cumplimiento de las diversas acciones que los propios despachos se impusieron a nivel operativo en su PAO.</w:t>
      </w:r>
    </w:p>
    <w:p w14:paraId="53807EEC" w14:textId="77777777" w:rsidR="00852B39" w:rsidRDefault="00852B39" w:rsidP="00852B39">
      <w:pPr>
        <w:spacing w:line="360" w:lineRule="auto"/>
        <w:jc w:val="both"/>
        <w:rPr>
          <w:rFonts w:ascii="Arial Narrow" w:eastAsia="Calibri" w:hAnsi="Arial Narrow"/>
        </w:rPr>
      </w:pPr>
    </w:p>
    <w:p w14:paraId="67B033F7" w14:textId="0F260891" w:rsidR="00AB78AD" w:rsidRDefault="00852B39" w:rsidP="00AB78AD">
      <w:pPr>
        <w:spacing w:line="360" w:lineRule="auto"/>
        <w:jc w:val="both"/>
        <w:rPr>
          <w:rFonts w:ascii="Arial Narrow" w:eastAsia="Calibri" w:hAnsi="Arial Narrow"/>
        </w:rPr>
      </w:pPr>
      <w:r>
        <w:rPr>
          <w:rFonts w:ascii="Arial Narrow" w:eastAsia="Calibri" w:hAnsi="Arial Narrow"/>
        </w:rPr>
        <w:t xml:space="preserve">Como complemento de lo anterior, </w:t>
      </w:r>
      <w:r w:rsidR="00AB78AD" w:rsidRPr="002B2187">
        <w:rPr>
          <w:rFonts w:ascii="Arial Narrow" w:eastAsia="Calibri" w:hAnsi="Arial Narrow"/>
        </w:rPr>
        <w:t>se tiene que para materia Cobro en el 2019</w:t>
      </w:r>
      <w:r w:rsidR="00AB78AD" w:rsidRPr="007A4EFB">
        <w:rPr>
          <w:rFonts w:ascii="Arial Narrow" w:eastAsia="Calibri" w:hAnsi="Arial Narrow"/>
        </w:rPr>
        <w:t xml:space="preserve"> se terminó con un </w:t>
      </w:r>
      <w:r w:rsidR="00AB78AD" w:rsidRPr="00E96CBC">
        <w:rPr>
          <w:rFonts w:ascii="Arial Narrow" w:eastAsia="Calibri" w:hAnsi="Arial Narrow"/>
        </w:rPr>
        <w:t xml:space="preserve">circulante de 748.156 expedientes, de los cuales 81% se encontraban en trámite, para el 2020 se finaliza con </w:t>
      </w:r>
      <w:r w:rsidR="00AB78AD" w:rsidRPr="002E0B96">
        <w:rPr>
          <w:rFonts w:ascii="Arial Narrow" w:eastAsia="Calibri" w:hAnsi="Arial Narrow"/>
        </w:rPr>
        <w:t>832.683</w:t>
      </w:r>
      <w:r w:rsidR="00AB78AD" w:rsidRPr="00E96CBC">
        <w:rPr>
          <w:rFonts w:ascii="Arial Narrow" w:eastAsia="Calibri" w:hAnsi="Arial Narrow"/>
        </w:rPr>
        <w:t xml:space="preserve"> expedientes según el Sistema SIGMA, lo que resulta en un </w:t>
      </w:r>
      <w:r w:rsidR="00AB78AD" w:rsidRPr="002E0B96">
        <w:rPr>
          <w:rFonts w:ascii="Arial Narrow" w:eastAsia="Calibri" w:hAnsi="Arial Narrow"/>
        </w:rPr>
        <w:t>aumento</w:t>
      </w:r>
      <w:r w:rsidR="00AB78AD" w:rsidRPr="00E96CBC">
        <w:rPr>
          <w:rFonts w:ascii="Arial Narrow" w:eastAsia="Calibri" w:hAnsi="Arial Narrow"/>
        </w:rPr>
        <w:t xml:space="preserve"> del circulante de </w:t>
      </w:r>
      <w:r w:rsidR="00AB78AD" w:rsidRPr="002E0B96">
        <w:rPr>
          <w:rFonts w:ascii="Arial Narrow" w:eastAsia="Calibri" w:hAnsi="Arial Narrow"/>
        </w:rPr>
        <w:t>11.3</w:t>
      </w:r>
      <w:r w:rsidR="00AB78AD" w:rsidRPr="00E96CBC">
        <w:rPr>
          <w:rFonts w:ascii="Arial Narrow" w:eastAsia="Calibri" w:hAnsi="Arial Narrow"/>
        </w:rPr>
        <w:t xml:space="preserve">%, </w:t>
      </w:r>
      <w:r w:rsidR="00AB78AD" w:rsidRPr="002E0B96">
        <w:rPr>
          <w:rFonts w:ascii="Arial Narrow" w:eastAsia="Calibri" w:hAnsi="Arial Narrow"/>
        </w:rPr>
        <w:t xml:space="preserve">por lo tanto, </w:t>
      </w:r>
      <w:r w:rsidR="00AB78AD" w:rsidRPr="00E96CBC">
        <w:rPr>
          <w:rFonts w:ascii="Arial Narrow" w:eastAsia="Calibri" w:hAnsi="Arial Narrow"/>
        </w:rPr>
        <w:t xml:space="preserve">es conveniente verificar por parte de los despachos la antigüedad </w:t>
      </w:r>
      <w:r w:rsidR="00AB78AD" w:rsidRPr="002E0B96">
        <w:rPr>
          <w:rFonts w:ascii="Arial Narrow" w:eastAsia="Calibri" w:hAnsi="Arial Narrow"/>
        </w:rPr>
        <w:t>de los expedientes en trámite</w:t>
      </w:r>
      <w:r w:rsidR="00AB78AD" w:rsidRPr="00E96CBC">
        <w:rPr>
          <w:rFonts w:ascii="Arial Narrow" w:eastAsia="Calibri" w:hAnsi="Arial Narrow"/>
        </w:rPr>
        <w:t>.</w:t>
      </w:r>
    </w:p>
    <w:p w14:paraId="6DC666BD" w14:textId="77777777" w:rsidR="00AB78AD" w:rsidRDefault="00AB78AD" w:rsidP="00AB78AD">
      <w:pPr>
        <w:spacing w:line="360" w:lineRule="auto"/>
        <w:jc w:val="both"/>
        <w:rPr>
          <w:rFonts w:ascii="Arial Narrow" w:eastAsia="Calibri" w:hAnsi="Arial Narrow"/>
        </w:rPr>
      </w:pPr>
    </w:p>
    <w:p w14:paraId="6F6062F5" w14:textId="1CEB1F7E" w:rsidR="00AB78AD" w:rsidRDefault="00AB78AD" w:rsidP="00AB78AD">
      <w:pPr>
        <w:spacing w:line="360" w:lineRule="auto"/>
        <w:jc w:val="both"/>
        <w:rPr>
          <w:rFonts w:eastAsia="Calibri"/>
          <w:lang w:eastAsia="en-US"/>
        </w:rPr>
      </w:pPr>
      <w:r>
        <w:rPr>
          <w:rFonts w:ascii="Arial Narrow" w:eastAsia="Calibri" w:hAnsi="Arial Narrow"/>
        </w:rPr>
        <w:t xml:space="preserve">Por otra parte, la meta estratégica </w:t>
      </w:r>
      <w:r w:rsidR="005F204C">
        <w:rPr>
          <w:rFonts w:ascii="Arial Narrow" w:eastAsia="Calibri" w:hAnsi="Arial Narrow"/>
          <w:b/>
          <w:bCs/>
          <w:i/>
          <w:iCs/>
        </w:rPr>
        <w:t>“Q</w:t>
      </w:r>
      <w:r w:rsidRPr="00980813">
        <w:rPr>
          <w:rFonts w:ascii="Arial Narrow" w:eastAsia="Calibri" w:hAnsi="Arial Narrow"/>
          <w:b/>
          <w:bCs/>
          <w:i/>
          <w:iCs/>
        </w:rPr>
        <w:t>ue al finalizar el 2024, cada despacho jurisdiccional haya implementado una propuesta de mejora, acorde con el modelo de sostenibilidad, para disminuir la cantidad de casos en el circulante activo (que no incluye los casos en fase de Ejecución) de mayor antigüedad en la materia Agraria</w:t>
      </w:r>
      <w:r w:rsidR="005F204C">
        <w:rPr>
          <w:rFonts w:ascii="Arial Narrow" w:eastAsia="Calibri" w:hAnsi="Arial Narrow"/>
          <w:b/>
          <w:bCs/>
          <w:i/>
          <w:iCs/>
        </w:rPr>
        <w:t>”</w:t>
      </w:r>
      <w:r>
        <w:rPr>
          <w:rFonts w:ascii="Arial Narrow" w:eastAsia="Calibri" w:hAnsi="Arial Narrow"/>
        </w:rPr>
        <w:t xml:space="preserve">, se tiene que en el 2019 se reporta por parte de los despachos agrarios un cumplimiento </w:t>
      </w:r>
      <w:r w:rsidRPr="009D27BE">
        <w:rPr>
          <w:rFonts w:ascii="Arial Narrow" w:eastAsia="Calibri" w:hAnsi="Arial Narrow"/>
        </w:rPr>
        <w:t xml:space="preserve">de </w:t>
      </w:r>
      <w:r>
        <w:rPr>
          <w:rFonts w:ascii="Arial Narrow" w:eastAsia="Calibri" w:hAnsi="Arial Narrow"/>
        </w:rPr>
        <w:t>96</w:t>
      </w:r>
      <w:r w:rsidRPr="009D27BE">
        <w:rPr>
          <w:rFonts w:ascii="Arial Narrow" w:eastAsia="Calibri" w:hAnsi="Arial Narrow"/>
        </w:rPr>
        <w:t>%</w:t>
      </w:r>
      <w:r>
        <w:rPr>
          <w:rFonts w:ascii="Arial Narrow" w:eastAsia="Calibri" w:hAnsi="Arial Narrow"/>
        </w:rPr>
        <w:t xml:space="preserve"> mientras que para el 2020 el dato reportado es de 87%. Se tiene que para materia agraria en el 2019 se concluyó el año con un circulante de 7034 expedientes de los cuales el 94% estaban en trámite, </w:t>
      </w:r>
      <w:r w:rsidRPr="00000C80">
        <w:rPr>
          <w:rFonts w:ascii="Arial Narrow" w:eastAsia="Calibri" w:hAnsi="Arial Narrow"/>
        </w:rPr>
        <w:t>para el 2020 se finaliza con 7094 expedientes, lo que representa un aumento del circulante de menos de 1%. De igual manera, se considera necesario revisar por parte de las oficinas que los expedientes más antiguos estén con una fase acorde al proceso judicial, o estén próximos a algún tipo de resolución.</w:t>
      </w:r>
    </w:p>
    <w:p w14:paraId="5FC14C69" w14:textId="77777777" w:rsidR="00AB78AD" w:rsidRDefault="00AB78AD" w:rsidP="00AB78AD">
      <w:pPr>
        <w:rPr>
          <w:rFonts w:eastAsia="Calibri"/>
          <w:lang w:eastAsia="en-US"/>
        </w:rPr>
      </w:pPr>
    </w:p>
    <w:p w14:paraId="159D3848" w14:textId="7696D1FA" w:rsidR="00AB78AD" w:rsidRDefault="00AB78AD" w:rsidP="00AB78AD">
      <w:pPr>
        <w:spacing w:line="360" w:lineRule="auto"/>
        <w:jc w:val="both"/>
        <w:rPr>
          <w:rFonts w:eastAsia="Calibri"/>
          <w:lang w:eastAsia="en-US"/>
        </w:rPr>
      </w:pPr>
      <w:r>
        <w:rPr>
          <w:rFonts w:ascii="Arial Narrow" w:eastAsia="Calibri" w:hAnsi="Arial Narrow"/>
        </w:rPr>
        <w:t xml:space="preserve">A su vez, la meta estratégica </w:t>
      </w:r>
      <w:r w:rsidR="005F204C">
        <w:rPr>
          <w:rFonts w:ascii="Arial Narrow" w:eastAsia="Calibri" w:hAnsi="Arial Narrow"/>
          <w:b/>
          <w:bCs/>
          <w:i/>
          <w:iCs/>
        </w:rPr>
        <w:t>“Q</w:t>
      </w:r>
      <w:r w:rsidRPr="00980813">
        <w:rPr>
          <w:rFonts w:ascii="Arial Narrow" w:eastAsia="Calibri" w:hAnsi="Arial Narrow"/>
          <w:b/>
          <w:bCs/>
          <w:i/>
          <w:iCs/>
        </w:rPr>
        <w:t>ue al finalizar el 2024, cada despacho jurisdiccional haya implementado una propuesta de mejora, acorde con el modelo de sostenibilidad, para disminuir la cantidad de casos en el circulante activo (que no incluye los casos en fase de Ejecución) de mayor antigüedad en la materia Contenciosa</w:t>
      </w:r>
      <w:r w:rsidR="005F204C">
        <w:rPr>
          <w:rFonts w:ascii="Arial Narrow" w:eastAsia="Calibri" w:hAnsi="Arial Narrow"/>
          <w:b/>
          <w:bCs/>
          <w:i/>
          <w:iCs/>
        </w:rPr>
        <w:t>”</w:t>
      </w:r>
      <w:r>
        <w:rPr>
          <w:rFonts w:ascii="Arial Narrow" w:eastAsia="Calibri" w:hAnsi="Arial Narrow"/>
        </w:rPr>
        <w:t xml:space="preserve">, se tiene que en el 2019 se reporta por parte de los despachos contenciosos un cumplimiento </w:t>
      </w:r>
      <w:r w:rsidRPr="009D27BE">
        <w:rPr>
          <w:rFonts w:ascii="Arial Narrow" w:eastAsia="Calibri" w:hAnsi="Arial Narrow"/>
        </w:rPr>
        <w:t xml:space="preserve">de </w:t>
      </w:r>
      <w:r>
        <w:rPr>
          <w:rFonts w:ascii="Arial Narrow" w:eastAsia="Calibri" w:hAnsi="Arial Narrow"/>
        </w:rPr>
        <w:t>90</w:t>
      </w:r>
      <w:r w:rsidRPr="009D27BE">
        <w:rPr>
          <w:rFonts w:ascii="Arial Narrow" w:eastAsia="Calibri" w:hAnsi="Arial Narrow"/>
        </w:rPr>
        <w:t>%</w:t>
      </w:r>
      <w:r>
        <w:rPr>
          <w:rFonts w:ascii="Arial Narrow" w:eastAsia="Calibri" w:hAnsi="Arial Narrow"/>
        </w:rPr>
        <w:t xml:space="preserve"> mientras que para el 2020 el dato reportado es de 100%. Se tiene que para materia contenciosa en el 2019 se concluyó el año con un circulante de 17.840 expedientes, para </w:t>
      </w:r>
      <w:r>
        <w:rPr>
          <w:rFonts w:ascii="Arial Narrow" w:eastAsia="Calibri" w:hAnsi="Arial Narrow"/>
        </w:rPr>
        <w:lastRenderedPageBreak/>
        <w:t>el 2020 se finaliza con 14.006 expedientes, lo que representa una disminución del circulante de 21,5%. A pesar del buen resultado en la disminución de circulante</w:t>
      </w:r>
      <w:r w:rsidRPr="007A4EFB">
        <w:rPr>
          <w:rFonts w:ascii="Arial Narrow" w:eastAsia="Calibri" w:hAnsi="Arial Narrow"/>
        </w:rPr>
        <w:t>, es conveniente verificar por parte de los despachos la antigüedad de los expedientes en trámite.</w:t>
      </w:r>
    </w:p>
    <w:p w14:paraId="04A72BCD" w14:textId="77777777" w:rsidR="0049673D" w:rsidRDefault="0049673D" w:rsidP="00AB78AD">
      <w:pPr>
        <w:rPr>
          <w:rFonts w:eastAsia="Calibri"/>
          <w:lang w:eastAsia="en-US"/>
        </w:rPr>
        <w:sectPr w:rsidR="0049673D" w:rsidSect="0049673D">
          <w:pgSz w:w="12242" w:h="15842" w:code="1"/>
          <w:pgMar w:top="719" w:right="1469" w:bottom="719" w:left="1560" w:header="709" w:footer="709" w:gutter="0"/>
          <w:cols w:space="708"/>
          <w:docGrid w:linePitch="360"/>
        </w:sectPr>
      </w:pPr>
    </w:p>
    <w:p w14:paraId="4B84D75B" w14:textId="09A11B76" w:rsidR="00AB78AD" w:rsidRDefault="00AB78AD" w:rsidP="00AB78AD">
      <w:pPr>
        <w:rPr>
          <w:rFonts w:eastAsia="Calibri"/>
          <w:lang w:eastAsia="en-US"/>
        </w:rPr>
      </w:pPr>
    </w:p>
    <w:p w14:paraId="0F0D2C6E" w14:textId="5E2FBE3C" w:rsidR="00AB78AD" w:rsidRPr="009D27BE" w:rsidRDefault="00AB78AD" w:rsidP="00AB78AD">
      <w:pPr>
        <w:tabs>
          <w:tab w:val="left" w:pos="2776"/>
        </w:tabs>
        <w:spacing w:line="360" w:lineRule="auto"/>
        <w:jc w:val="center"/>
        <w:rPr>
          <w:rFonts w:ascii="Arial Narrow" w:eastAsia="Calibri" w:hAnsi="Arial Narrow"/>
          <w:b/>
          <w:bCs/>
        </w:rPr>
      </w:pPr>
      <w:bookmarkStart w:id="35" w:name="_Toc76062237"/>
      <w:r w:rsidRPr="009D27BE">
        <w:rPr>
          <w:rFonts w:ascii="Arial Narrow" w:hAnsi="Arial Narrow"/>
          <w:b/>
          <w:bCs/>
        </w:rPr>
        <w:t xml:space="preserve">Cuadro </w:t>
      </w:r>
      <w:r w:rsidRPr="009D27BE">
        <w:rPr>
          <w:rFonts w:ascii="Arial Narrow" w:hAnsi="Arial Narrow"/>
          <w:b/>
          <w:bCs/>
        </w:rPr>
        <w:fldChar w:fldCharType="begin"/>
      </w:r>
      <w:r w:rsidRPr="009D27BE">
        <w:rPr>
          <w:rFonts w:ascii="Arial Narrow" w:hAnsi="Arial Narrow"/>
          <w:b/>
          <w:bCs/>
        </w:rPr>
        <w:instrText xml:space="preserve"> SEQ Cuadro_No. \* ARABIC </w:instrText>
      </w:r>
      <w:r w:rsidRPr="009D27BE">
        <w:rPr>
          <w:rFonts w:ascii="Arial Narrow" w:hAnsi="Arial Narrow"/>
          <w:b/>
          <w:bCs/>
        </w:rPr>
        <w:fldChar w:fldCharType="separate"/>
      </w:r>
      <w:r w:rsidR="0049673D">
        <w:rPr>
          <w:rFonts w:ascii="Arial Narrow" w:hAnsi="Arial Narrow"/>
          <w:b/>
          <w:bCs/>
          <w:noProof/>
        </w:rPr>
        <w:t>14</w:t>
      </w:r>
      <w:r w:rsidRPr="009D27BE">
        <w:rPr>
          <w:rFonts w:ascii="Arial Narrow" w:hAnsi="Arial Narrow"/>
          <w:b/>
          <w:bCs/>
        </w:rPr>
        <w:fldChar w:fldCharType="end"/>
      </w:r>
      <w:r w:rsidRPr="009D27BE">
        <w:rPr>
          <w:rFonts w:ascii="Arial Narrow" w:hAnsi="Arial Narrow"/>
          <w:b/>
          <w:bCs/>
        </w:rPr>
        <w:t xml:space="preserve"> Continuación de </w:t>
      </w:r>
      <w:r w:rsidRPr="009D27BE">
        <w:rPr>
          <w:rFonts w:ascii="Arial Narrow" w:eastAsia="Calibri" w:hAnsi="Arial Narrow"/>
          <w:b/>
          <w:bCs/>
          <w:lang w:eastAsia="en-US"/>
        </w:rPr>
        <w:t>Metas estratégicas de Celeridad Judicial y su cumplimiento para el 2019-2020</w:t>
      </w:r>
      <w:bookmarkEnd w:id="35"/>
    </w:p>
    <w:p w14:paraId="076E3F72" w14:textId="77777777" w:rsidR="00AB78AD" w:rsidRDefault="00AB78AD" w:rsidP="00AB78AD">
      <w:pPr>
        <w:spacing w:line="360" w:lineRule="auto"/>
        <w:jc w:val="both"/>
        <w:rPr>
          <w:rFonts w:eastAsia="Calibri"/>
          <w:highlight w:val="yellow"/>
          <w:lang w:eastAsia="en-US"/>
        </w:rPr>
      </w:pPr>
      <w:r>
        <w:rPr>
          <w:noProof/>
          <w:lang w:val="es-CR" w:eastAsia="es-CR"/>
        </w:rPr>
        <w:drawing>
          <wp:inline distT="0" distB="0" distL="0" distR="0" wp14:anchorId="1715A0FC" wp14:editId="01B43EFA">
            <wp:extent cx="9146540" cy="3740150"/>
            <wp:effectExtent l="19050" t="19050" r="16510" b="12700"/>
            <wp:docPr id="99" name="Imagen 99" descr="Tabl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Imagen 118" descr="Tabla&#10;&#10;Descripción generada automáticamente con confianza media"/>
                    <pic:cNvPicPr/>
                  </pic:nvPicPr>
                  <pic:blipFill>
                    <a:blip r:embed="rId67"/>
                    <a:stretch>
                      <a:fillRect/>
                    </a:stretch>
                  </pic:blipFill>
                  <pic:spPr>
                    <a:xfrm>
                      <a:off x="0" y="0"/>
                      <a:ext cx="9150989" cy="3741969"/>
                    </a:xfrm>
                    <a:prstGeom prst="rect">
                      <a:avLst/>
                    </a:prstGeom>
                    <a:ln w="19050">
                      <a:solidFill>
                        <a:schemeClr val="accent1"/>
                      </a:solidFill>
                    </a:ln>
                  </pic:spPr>
                </pic:pic>
              </a:graphicData>
            </a:graphic>
          </wp:inline>
        </w:drawing>
      </w:r>
    </w:p>
    <w:p w14:paraId="2B84B6D5" w14:textId="77777777" w:rsidR="00AB78AD" w:rsidRDefault="00AB78AD" w:rsidP="00AB78AD">
      <w:pPr>
        <w:rPr>
          <w:rFonts w:ascii="Arial Narrow" w:hAnsi="Arial Narrow"/>
          <w:sz w:val="18"/>
          <w:szCs w:val="18"/>
          <w:lang w:val="es-CR" w:eastAsia="es-CR"/>
        </w:rPr>
      </w:pPr>
    </w:p>
    <w:p w14:paraId="1D66C89F" w14:textId="77777777" w:rsidR="00AB78AD" w:rsidRDefault="00AB78AD" w:rsidP="00AB78AD">
      <w:pPr>
        <w:rPr>
          <w:rFonts w:eastAsia="Calibri"/>
          <w:lang w:eastAsia="en-US"/>
        </w:rPr>
      </w:pPr>
      <w:r w:rsidRPr="00EE2E13">
        <w:rPr>
          <w:rFonts w:ascii="Arial Narrow" w:hAnsi="Arial Narrow"/>
          <w:sz w:val="18"/>
          <w:szCs w:val="18"/>
          <w:lang w:val="es-CR" w:eastAsia="es-CR"/>
        </w:rPr>
        <w:t>Fuente: Sistema PEI al 24 de enero del 2020 (año 2019) y 04 de marzo del 2021 (año 2020).</w:t>
      </w:r>
    </w:p>
    <w:p w14:paraId="1A6A932E" w14:textId="77777777" w:rsidR="0049673D" w:rsidRDefault="0049673D" w:rsidP="00AB78AD">
      <w:pPr>
        <w:rPr>
          <w:rFonts w:eastAsia="Calibri"/>
          <w:lang w:eastAsia="en-US"/>
        </w:rPr>
      </w:pPr>
    </w:p>
    <w:p w14:paraId="26F6CE69" w14:textId="7AE0BAC8" w:rsidR="0049673D" w:rsidRDefault="0049673D" w:rsidP="00AB78AD">
      <w:pPr>
        <w:rPr>
          <w:rFonts w:eastAsia="Calibri"/>
          <w:lang w:eastAsia="en-US"/>
        </w:rPr>
        <w:sectPr w:rsidR="0049673D" w:rsidSect="0049673D">
          <w:pgSz w:w="15842" w:h="12242" w:orient="landscape" w:code="1"/>
          <w:pgMar w:top="1560" w:right="719" w:bottom="1469" w:left="719" w:header="709" w:footer="709" w:gutter="0"/>
          <w:cols w:space="708"/>
          <w:docGrid w:linePitch="360"/>
        </w:sectPr>
      </w:pPr>
    </w:p>
    <w:p w14:paraId="0B2B3AEE" w14:textId="68A1EC65" w:rsidR="00AB78AD" w:rsidRDefault="00AB78AD" w:rsidP="00AB78AD">
      <w:pPr>
        <w:rPr>
          <w:rFonts w:eastAsia="Calibri"/>
          <w:lang w:eastAsia="en-US"/>
        </w:rPr>
      </w:pPr>
    </w:p>
    <w:p w14:paraId="1527BC1F" w14:textId="77777777" w:rsidR="005F204C" w:rsidRDefault="005F204C" w:rsidP="00852B39">
      <w:pPr>
        <w:spacing w:line="360" w:lineRule="auto"/>
        <w:jc w:val="both"/>
        <w:rPr>
          <w:rFonts w:ascii="Arial Narrow" w:eastAsia="Calibri" w:hAnsi="Arial Narrow"/>
        </w:rPr>
      </w:pPr>
    </w:p>
    <w:p w14:paraId="39C6D55C" w14:textId="77777777" w:rsidR="005F204C" w:rsidRDefault="005F204C" w:rsidP="00852B39">
      <w:pPr>
        <w:spacing w:line="360" w:lineRule="auto"/>
        <w:jc w:val="both"/>
        <w:rPr>
          <w:rFonts w:ascii="Arial Narrow" w:eastAsia="Calibri" w:hAnsi="Arial Narrow"/>
        </w:rPr>
      </w:pPr>
    </w:p>
    <w:p w14:paraId="788E4FF4" w14:textId="77777777" w:rsidR="005F204C" w:rsidRDefault="005F204C" w:rsidP="00852B39">
      <w:pPr>
        <w:spacing w:line="360" w:lineRule="auto"/>
        <w:jc w:val="both"/>
        <w:rPr>
          <w:rFonts w:ascii="Arial Narrow" w:eastAsia="Calibri" w:hAnsi="Arial Narrow"/>
        </w:rPr>
      </w:pPr>
    </w:p>
    <w:p w14:paraId="282AB7A2" w14:textId="1BF3F1C2" w:rsidR="00852B39" w:rsidRDefault="00AB78AD" w:rsidP="00852B39">
      <w:pPr>
        <w:spacing w:line="360" w:lineRule="auto"/>
        <w:jc w:val="both"/>
        <w:rPr>
          <w:rFonts w:ascii="Arial Narrow" w:eastAsia="Calibri" w:hAnsi="Arial Narrow"/>
        </w:rPr>
      </w:pPr>
      <w:r>
        <w:rPr>
          <w:rFonts w:ascii="Arial Narrow" w:eastAsia="Calibri" w:hAnsi="Arial Narrow"/>
        </w:rPr>
        <w:t xml:space="preserve">La meta estratégica </w:t>
      </w:r>
      <w:r w:rsidR="005F204C">
        <w:rPr>
          <w:rFonts w:ascii="Arial Narrow" w:eastAsia="Calibri" w:hAnsi="Arial Narrow"/>
          <w:b/>
          <w:bCs/>
          <w:i/>
          <w:iCs/>
        </w:rPr>
        <w:t>“Q</w:t>
      </w:r>
      <w:r w:rsidRPr="00E96CBC">
        <w:rPr>
          <w:rFonts w:ascii="Arial Narrow" w:eastAsia="Calibri" w:hAnsi="Arial Narrow"/>
          <w:b/>
          <w:bCs/>
          <w:i/>
          <w:iCs/>
        </w:rPr>
        <w:t>ue al finalizar el 2024, cada despacho jurisdiccional haya implementado una propuesta de mejora, acorde con el modelo de sostenibilidad, para disminuir la cantidad de casos en el circulante activo (que no incluye los casos en fase de Ejecución) de mayor antigüedad en la materia de Familia</w:t>
      </w:r>
      <w:r w:rsidR="005F204C">
        <w:rPr>
          <w:rFonts w:ascii="Arial Narrow" w:eastAsia="Calibri" w:hAnsi="Arial Narrow"/>
          <w:b/>
          <w:bCs/>
          <w:i/>
          <w:iCs/>
        </w:rPr>
        <w:t>”</w:t>
      </w:r>
      <w:r>
        <w:rPr>
          <w:rFonts w:ascii="Arial Narrow" w:eastAsia="Calibri" w:hAnsi="Arial Narrow"/>
        </w:rPr>
        <w:t xml:space="preserve">, se tiene que en el 2019 se reporta por parte de los 27 despachos competentes en Familia, un cumplimiento </w:t>
      </w:r>
      <w:r w:rsidRPr="009D27BE">
        <w:rPr>
          <w:rFonts w:ascii="Arial Narrow" w:eastAsia="Calibri" w:hAnsi="Arial Narrow"/>
        </w:rPr>
        <w:t xml:space="preserve">de </w:t>
      </w:r>
      <w:r>
        <w:rPr>
          <w:rFonts w:ascii="Arial Narrow" w:eastAsia="Calibri" w:hAnsi="Arial Narrow"/>
        </w:rPr>
        <w:t>95</w:t>
      </w:r>
      <w:r w:rsidRPr="009D27BE">
        <w:rPr>
          <w:rFonts w:ascii="Arial Narrow" w:eastAsia="Calibri" w:hAnsi="Arial Narrow"/>
        </w:rPr>
        <w:t>%</w:t>
      </w:r>
      <w:r>
        <w:rPr>
          <w:rFonts w:ascii="Arial Narrow" w:eastAsia="Calibri" w:hAnsi="Arial Narrow"/>
        </w:rPr>
        <w:t xml:space="preserve"> para el 2020 el dato reportado fue de 89%</w:t>
      </w:r>
      <w:r w:rsidR="00852B39">
        <w:rPr>
          <w:rFonts w:ascii="Arial Narrow" w:eastAsia="Calibri" w:hAnsi="Arial Narrow"/>
        </w:rPr>
        <w:t>.  La meta anterior, se refiere al cumplimiento de las diversas acciones que los propios despachos se impusieron a nivel operativo en su PAO.</w:t>
      </w:r>
    </w:p>
    <w:p w14:paraId="6974B05A" w14:textId="09D38451" w:rsidR="00852B39" w:rsidRDefault="00852B39" w:rsidP="00AB78AD">
      <w:pPr>
        <w:spacing w:line="360" w:lineRule="auto"/>
        <w:jc w:val="both"/>
        <w:rPr>
          <w:rFonts w:ascii="Arial Narrow" w:eastAsia="Calibri" w:hAnsi="Arial Narrow"/>
        </w:rPr>
      </w:pPr>
    </w:p>
    <w:p w14:paraId="1F0833B7" w14:textId="35EF9B54" w:rsidR="00AB78AD" w:rsidRDefault="00852B39" w:rsidP="00AB78AD">
      <w:pPr>
        <w:spacing w:line="360" w:lineRule="auto"/>
        <w:jc w:val="both"/>
        <w:rPr>
          <w:rFonts w:ascii="Arial Narrow" w:eastAsia="Calibri" w:hAnsi="Arial Narrow"/>
        </w:rPr>
      </w:pPr>
      <w:r>
        <w:rPr>
          <w:rFonts w:ascii="Arial Narrow" w:eastAsia="Calibri" w:hAnsi="Arial Narrow"/>
        </w:rPr>
        <w:t xml:space="preserve">Como complemento de lo anterior, </w:t>
      </w:r>
      <w:r w:rsidR="00AB78AD" w:rsidRPr="00000C80">
        <w:rPr>
          <w:rFonts w:ascii="Arial Narrow" w:eastAsia="Calibri" w:hAnsi="Arial Narrow"/>
        </w:rPr>
        <w:t>se</w:t>
      </w:r>
      <w:r w:rsidR="00AB78AD" w:rsidRPr="007A4EFB">
        <w:rPr>
          <w:rFonts w:ascii="Arial Narrow" w:eastAsia="Calibri" w:hAnsi="Arial Narrow"/>
        </w:rPr>
        <w:t xml:space="preserve"> tiene que para materia </w:t>
      </w:r>
      <w:r w:rsidR="00AB78AD">
        <w:rPr>
          <w:rFonts w:ascii="Arial Narrow" w:eastAsia="Calibri" w:hAnsi="Arial Narrow"/>
        </w:rPr>
        <w:t>Familia</w:t>
      </w:r>
      <w:r w:rsidR="00AB78AD" w:rsidRPr="007A4EFB">
        <w:rPr>
          <w:rFonts w:ascii="Arial Narrow" w:eastAsia="Calibri" w:hAnsi="Arial Narrow"/>
        </w:rPr>
        <w:t xml:space="preserve"> en el 2019 se terminó con un circulante de </w:t>
      </w:r>
      <w:r w:rsidR="00AB78AD">
        <w:rPr>
          <w:rFonts w:ascii="Arial Narrow" w:eastAsia="Calibri" w:hAnsi="Arial Narrow"/>
        </w:rPr>
        <w:t>21.800</w:t>
      </w:r>
      <w:r w:rsidR="00AB78AD" w:rsidRPr="007A4EFB">
        <w:rPr>
          <w:rFonts w:ascii="Arial Narrow" w:eastAsia="Calibri" w:hAnsi="Arial Narrow"/>
        </w:rPr>
        <w:t xml:space="preserve"> expedientes, para el 2020 se finaliza con </w:t>
      </w:r>
      <w:r w:rsidR="00AB78AD">
        <w:rPr>
          <w:rFonts w:ascii="Arial Narrow" w:eastAsia="Calibri" w:hAnsi="Arial Narrow"/>
        </w:rPr>
        <w:t>19.869</w:t>
      </w:r>
      <w:r w:rsidR="00AB78AD" w:rsidRPr="007A4EFB">
        <w:rPr>
          <w:rFonts w:ascii="Arial Narrow" w:eastAsia="Calibri" w:hAnsi="Arial Narrow"/>
        </w:rPr>
        <w:t xml:space="preserve"> expedientes según el Sistema SIGMA, lo que resulta en un</w:t>
      </w:r>
      <w:r w:rsidR="00AB78AD">
        <w:rPr>
          <w:rFonts w:ascii="Arial Narrow" w:eastAsia="Calibri" w:hAnsi="Arial Narrow"/>
        </w:rPr>
        <w:t xml:space="preserve">a disminución </w:t>
      </w:r>
      <w:r w:rsidR="00AB78AD" w:rsidRPr="007A4EFB">
        <w:rPr>
          <w:rFonts w:ascii="Arial Narrow" w:eastAsia="Calibri" w:hAnsi="Arial Narrow"/>
        </w:rPr>
        <w:t>del circulante de</w:t>
      </w:r>
      <w:r w:rsidR="00AB78AD">
        <w:rPr>
          <w:rFonts w:ascii="Arial Narrow" w:eastAsia="Calibri" w:hAnsi="Arial Narrow"/>
        </w:rPr>
        <w:t xml:space="preserve"> 8,9</w:t>
      </w:r>
      <w:r w:rsidR="00AB78AD" w:rsidRPr="007A4EFB">
        <w:rPr>
          <w:rFonts w:ascii="Arial Narrow" w:eastAsia="Calibri" w:hAnsi="Arial Narrow"/>
        </w:rPr>
        <w:t>%, por lo tanto</w:t>
      </w:r>
      <w:r w:rsidR="00AB78AD">
        <w:rPr>
          <w:rFonts w:ascii="Arial Narrow" w:eastAsia="Calibri" w:hAnsi="Arial Narrow"/>
        </w:rPr>
        <w:t xml:space="preserve"> y aún con el buen resultado</w:t>
      </w:r>
      <w:r w:rsidR="00AB78AD" w:rsidRPr="007A4EFB">
        <w:rPr>
          <w:rFonts w:ascii="Arial Narrow" w:eastAsia="Calibri" w:hAnsi="Arial Narrow"/>
        </w:rPr>
        <w:t>, es conveniente verificar por parte de los despachos la antigüedad de los expedientes en trámite.</w:t>
      </w:r>
    </w:p>
    <w:p w14:paraId="18B4AF6D" w14:textId="77777777" w:rsidR="00AB78AD" w:rsidRDefault="00AB78AD" w:rsidP="00AB78AD">
      <w:pPr>
        <w:spacing w:line="360" w:lineRule="auto"/>
        <w:jc w:val="both"/>
        <w:rPr>
          <w:rFonts w:ascii="Arial Narrow" w:eastAsia="Calibri" w:hAnsi="Arial Narrow"/>
        </w:rPr>
      </w:pPr>
    </w:p>
    <w:p w14:paraId="66BAA80F" w14:textId="00D4B0AC" w:rsidR="00AB78AD" w:rsidRDefault="00AB78AD" w:rsidP="00AB78AD">
      <w:pPr>
        <w:spacing w:line="360" w:lineRule="auto"/>
        <w:jc w:val="both"/>
        <w:rPr>
          <w:rFonts w:eastAsia="Calibri"/>
          <w:lang w:eastAsia="en-US"/>
        </w:rPr>
      </w:pPr>
      <w:r>
        <w:rPr>
          <w:rFonts w:ascii="Arial Narrow" w:eastAsia="Calibri" w:hAnsi="Arial Narrow"/>
        </w:rPr>
        <w:t xml:space="preserve">Por otra parte, la meta estratégica </w:t>
      </w:r>
      <w:r w:rsidR="005F204C">
        <w:rPr>
          <w:rFonts w:ascii="Arial Narrow" w:eastAsia="Calibri" w:hAnsi="Arial Narrow"/>
          <w:b/>
          <w:bCs/>
          <w:i/>
          <w:iCs/>
        </w:rPr>
        <w:t>“Q</w:t>
      </w:r>
      <w:r w:rsidRPr="00E96CBC">
        <w:rPr>
          <w:rFonts w:ascii="Arial Narrow" w:eastAsia="Calibri" w:hAnsi="Arial Narrow"/>
          <w:b/>
          <w:bCs/>
          <w:i/>
          <w:iCs/>
        </w:rPr>
        <w:t>ue al finalizar el 2024, cada despacho jurisdiccional haya implementado una propuesta de mejora, acorde con el modelo de sostenibilidad, para disminuir la cantidad de casos en el circulante activo (que no incluye los casos en fase de Ejecución) de mayor antigüedad en la materia de Pensiones Alimentarias</w:t>
      </w:r>
      <w:r w:rsidR="005F204C">
        <w:rPr>
          <w:rFonts w:ascii="Arial Narrow" w:eastAsia="Calibri" w:hAnsi="Arial Narrow"/>
          <w:b/>
          <w:bCs/>
          <w:i/>
          <w:iCs/>
        </w:rPr>
        <w:t>”</w:t>
      </w:r>
      <w:r>
        <w:rPr>
          <w:rFonts w:ascii="Arial Narrow" w:eastAsia="Calibri" w:hAnsi="Arial Narrow"/>
        </w:rPr>
        <w:t xml:space="preserve">, se tiene que en el 2019 se reporta por parte de los 73 despachos de pensiones alimentarias un cumplimiento </w:t>
      </w:r>
      <w:r w:rsidRPr="009D27BE">
        <w:rPr>
          <w:rFonts w:ascii="Arial Narrow" w:eastAsia="Calibri" w:hAnsi="Arial Narrow"/>
        </w:rPr>
        <w:t xml:space="preserve">de </w:t>
      </w:r>
      <w:r>
        <w:rPr>
          <w:rFonts w:ascii="Arial Narrow" w:eastAsia="Calibri" w:hAnsi="Arial Narrow"/>
        </w:rPr>
        <w:t>95</w:t>
      </w:r>
      <w:r w:rsidRPr="009D27BE">
        <w:rPr>
          <w:rFonts w:ascii="Arial Narrow" w:eastAsia="Calibri" w:hAnsi="Arial Narrow"/>
        </w:rPr>
        <w:t>%</w:t>
      </w:r>
      <w:r>
        <w:rPr>
          <w:rFonts w:ascii="Arial Narrow" w:eastAsia="Calibri" w:hAnsi="Arial Narrow"/>
        </w:rPr>
        <w:t xml:space="preserve"> mientras que para el 2020 el dato reportado es de 94%. Se tiene que para materia Pensiones Alimentarias en el 2019 se concluyó el año con un circulante de 191.249 expedientes de los cuales el 12% estaban en trámite, para e</w:t>
      </w:r>
      <w:r w:rsidRPr="000E37AB">
        <w:rPr>
          <w:rFonts w:ascii="Arial Narrow" w:eastAsia="Calibri" w:hAnsi="Arial Narrow"/>
        </w:rPr>
        <w:t xml:space="preserve">l 2020 se finaliza con </w:t>
      </w:r>
      <w:r w:rsidRPr="002E0B96">
        <w:rPr>
          <w:rFonts w:ascii="Arial Narrow" w:eastAsia="Calibri" w:hAnsi="Arial Narrow"/>
        </w:rPr>
        <w:t>181.184</w:t>
      </w:r>
      <w:r w:rsidRPr="000E37AB">
        <w:rPr>
          <w:rFonts w:ascii="Arial Narrow" w:eastAsia="Calibri" w:hAnsi="Arial Narrow"/>
        </w:rPr>
        <w:t xml:space="preserve"> expedientes, lo que representa un</w:t>
      </w:r>
      <w:r w:rsidRPr="002E0B96">
        <w:rPr>
          <w:rFonts w:ascii="Arial Narrow" w:eastAsia="Calibri" w:hAnsi="Arial Narrow"/>
        </w:rPr>
        <w:t xml:space="preserve">a disminución </w:t>
      </w:r>
      <w:r w:rsidRPr="000E37AB">
        <w:rPr>
          <w:rFonts w:ascii="Arial Narrow" w:eastAsia="Calibri" w:hAnsi="Arial Narrow"/>
        </w:rPr>
        <w:t xml:space="preserve">del circulante de </w:t>
      </w:r>
      <w:r w:rsidRPr="002E0B96">
        <w:rPr>
          <w:rFonts w:ascii="Arial Narrow" w:eastAsia="Calibri" w:hAnsi="Arial Narrow"/>
        </w:rPr>
        <w:t>5,3</w:t>
      </w:r>
      <w:r w:rsidRPr="000E37AB">
        <w:rPr>
          <w:rFonts w:ascii="Arial Narrow" w:eastAsia="Calibri" w:hAnsi="Arial Narrow"/>
        </w:rPr>
        <w:t xml:space="preserve">%. De igual manera, se considera necesario revisar por parte de las oficinas que los expedientes más antiguos estén con una fase acorde al proceso judicial, o estén próximos </w:t>
      </w:r>
      <w:r>
        <w:rPr>
          <w:rFonts w:ascii="Arial Narrow" w:eastAsia="Calibri" w:hAnsi="Arial Narrow"/>
        </w:rPr>
        <w:t>a la ejecución.</w:t>
      </w:r>
    </w:p>
    <w:p w14:paraId="21CE41E2" w14:textId="069E317D" w:rsidR="005F204C" w:rsidRDefault="005F204C">
      <w:pPr>
        <w:rPr>
          <w:rFonts w:eastAsia="Calibri"/>
          <w:lang w:eastAsia="en-US"/>
        </w:rPr>
      </w:pPr>
      <w:r>
        <w:rPr>
          <w:rFonts w:eastAsia="Calibri"/>
          <w:lang w:eastAsia="en-US"/>
        </w:rPr>
        <w:br w:type="page"/>
      </w:r>
    </w:p>
    <w:p w14:paraId="7DDD46F9" w14:textId="2CF8B1FF" w:rsidR="00AB78AD" w:rsidRDefault="00AB78AD" w:rsidP="00AB78AD">
      <w:pPr>
        <w:rPr>
          <w:rFonts w:eastAsia="Calibri"/>
          <w:lang w:eastAsia="en-US"/>
        </w:rPr>
      </w:pPr>
    </w:p>
    <w:p w14:paraId="5BD16112" w14:textId="0A85DCCA" w:rsidR="005F204C" w:rsidRDefault="005F204C" w:rsidP="00AB78AD">
      <w:pPr>
        <w:rPr>
          <w:rFonts w:eastAsia="Calibri"/>
          <w:lang w:eastAsia="en-US"/>
        </w:rPr>
      </w:pPr>
    </w:p>
    <w:p w14:paraId="4C73DE6A" w14:textId="142868B8" w:rsidR="005F204C" w:rsidRDefault="005F204C" w:rsidP="00AB78AD">
      <w:pPr>
        <w:rPr>
          <w:rFonts w:eastAsia="Calibri"/>
          <w:lang w:eastAsia="en-US"/>
        </w:rPr>
      </w:pPr>
    </w:p>
    <w:p w14:paraId="6D461702" w14:textId="77777777" w:rsidR="005F204C" w:rsidRDefault="005F204C" w:rsidP="00AB78AD">
      <w:pPr>
        <w:rPr>
          <w:rFonts w:eastAsia="Calibri"/>
          <w:lang w:eastAsia="en-US"/>
        </w:rPr>
      </w:pPr>
    </w:p>
    <w:p w14:paraId="00C24D4D" w14:textId="750528E7" w:rsidR="00AB78AD" w:rsidRDefault="00AB78AD" w:rsidP="00AB78AD">
      <w:pPr>
        <w:spacing w:line="360" w:lineRule="auto"/>
        <w:jc w:val="both"/>
        <w:rPr>
          <w:rFonts w:ascii="Arial Narrow" w:eastAsia="Calibri" w:hAnsi="Arial Narrow"/>
          <w:sz w:val="20"/>
          <w:szCs w:val="20"/>
          <w:lang w:eastAsia="en-US"/>
        </w:rPr>
      </w:pPr>
      <w:r>
        <w:rPr>
          <w:rFonts w:ascii="Arial Narrow" w:eastAsia="Calibri" w:hAnsi="Arial Narrow"/>
        </w:rPr>
        <w:t xml:space="preserve">A su vez, la meta estratégica </w:t>
      </w:r>
      <w:r w:rsidR="005F204C">
        <w:rPr>
          <w:rFonts w:ascii="Arial Narrow" w:eastAsia="Calibri" w:hAnsi="Arial Narrow"/>
          <w:b/>
          <w:bCs/>
          <w:i/>
          <w:iCs/>
        </w:rPr>
        <w:t>“Q</w:t>
      </w:r>
      <w:r w:rsidRPr="00E96CBC">
        <w:rPr>
          <w:rFonts w:ascii="Arial Narrow" w:eastAsia="Calibri" w:hAnsi="Arial Narrow"/>
          <w:b/>
          <w:bCs/>
          <w:i/>
          <w:iCs/>
        </w:rPr>
        <w:t>ue al finalizar el 2024, cada despacho jurisdiccional haya implementado una propuesta de mejora, acorde con el modelo de sostenibilidad, para disminuir la cantidad de casos en el circulante activo (que no incluye los casos en fase de Ejecución) de mayor antigüedad en la materia Laboral</w:t>
      </w:r>
      <w:r w:rsidR="005F204C">
        <w:rPr>
          <w:rFonts w:ascii="Arial Narrow" w:eastAsia="Calibri" w:hAnsi="Arial Narrow"/>
          <w:b/>
          <w:bCs/>
          <w:i/>
          <w:iCs/>
        </w:rPr>
        <w:t>”</w:t>
      </w:r>
      <w:r>
        <w:rPr>
          <w:rFonts w:ascii="Arial Narrow" w:eastAsia="Calibri" w:hAnsi="Arial Narrow"/>
        </w:rPr>
        <w:t xml:space="preserve">, se tiene que en el 2019 se reporta por parte de los 49 despachos laborales un cumplimiento </w:t>
      </w:r>
      <w:r w:rsidRPr="009D27BE">
        <w:rPr>
          <w:rFonts w:ascii="Arial Narrow" w:eastAsia="Calibri" w:hAnsi="Arial Narrow"/>
        </w:rPr>
        <w:t xml:space="preserve">de </w:t>
      </w:r>
      <w:r>
        <w:rPr>
          <w:rFonts w:ascii="Arial Narrow" w:eastAsia="Calibri" w:hAnsi="Arial Narrow"/>
        </w:rPr>
        <w:t>94</w:t>
      </w:r>
      <w:r w:rsidRPr="009D27BE">
        <w:rPr>
          <w:rFonts w:ascii="Arial Narrow" w:eastAsia="Calibri" w:hAnsi="Arial Narrow"/>
        </w:rPr>
        <w:t>%</w:t>
      </w:r>
      <w:r>
        <w:rPr>
          <w:rFonts w:ascii="Arial Narrow" w:eastAsia="Calibri" w:hAnsi="Arial Narrow"/>
        </w:rPr>
        <w:t xml:space="preserve"> mientras que para el 2020 el dato reportado es de 92%. Se tiene que para materia laboral en el 2019 se concluyó el año con un circulante de 51.947 expedientes, para el 2020 se finaliza con 53.587</w:t>
      </w:r>
      <w:r w:rsidR="005F204C">
        <w:rPr>
          <w:rFonts w:ascii="Arial Narrow" w:eastAsia="Calibri" w:hAnsi="Arial Narrow"/>
        </w:rPr>
        <w:t xml:space="preserve"> </w:t>
      </w:r>
      <w:r>
        <w:rPr>
          <w:rFonts w:ascii="Arial Narrow" w:eastAsia="Calibri" w:hAnsi="Arial Narrow"/>
        </w:rPr>
        <w:t xml:space="preserve">expedientes, lo que representa un incremento del circulante de 3,2%, </w:t>
      </w:r>
      <w:r w:rsidRPr="007A4EFB">
        <w:rPr>
          <w:rFonts w:ascii="Arial Narrow" w:eastAsia="Calibri" w:hAnsi="Arial Narrow"/>
        </w:rPr>
        <w:t xml:space="preserve">aspecto </w:t>
      </w:r>
      <w:r>
        <w:rPr>
          <w:rFonts w:ascii="Arial Narrow" w:eastAsia="Calibri" w:hAnsi="Arial Narrow"/>
        </w:rPr>
        <w:t xml:space="preserve">que </w:t>
      </w:r>
      <w:r w:rsidRPr="007A4EFB">
        <w:rPr>
          <w:rFonts w:ascii="Arial Narrow" w:eastAsia="Calibri" w:hAnsi="Arial Narrow"/>
        </w:rPr>
        <w:t xml:space="preserve">se ve impactado por otras variables como la entrada de asuntos, </w:t>
      </w:r>
      <w:r>
        <w:rPr>
          <w:rFonts w:ascii="Arial Narrow" w:eastAsia="Calibri" w:hAnsi="Arial Narrow"/>
        </w:rPr>
        <w:t xml:space="preserve">por lo tanto, </w:t>
      </w:r>
      <w:r w:rsidRPr="007A4EFB">
        <w:rPr>
          <w:rFonts w:ascii="Arial Narrow" w:eastAsia="Calibri" w:hAnsi="Arial Narrow"/>
        </w:rPr>
        <w:t>es conveniente verificar por parte de los despachos que la antigüedad se reduzca de igual manera que el circulante.</w:t>
      </w:r>
    </w:p>
    <w:p w14:paraId="11192B09" w14:textId="77777777" w:rsidR="0049673D" w:rsidRDefault="0049673D" w:rsidP="00AB78AD">
      <w:pPr>
        <w:spacing w:line="360" w:lineRule="auto"/>
        <w:jc w:val="both"/>
        <w:rPr>
          <w:rFonts w:ascii="Arial Narrow" w:eastAsia="Calibri" w:hAnsi="Arial Narrow"/>
          <w:sz w:val="20"/>
          <w:szCs w:val="20"/>
          <w:lang w:eastAsia="en-US"/>
        </w:rPr>
      </w:pPr>
    </w:p>
    <w:p w14:paraId="6BEDE0B9" w14:textId="77777777" w:rsidR="005F204C" w:rsidRDefault="005F204C" w:rsidP="00AB78AD">
      <w:pPr>
        <w:spacing w:line="360" w:lineRule="auto"/>
        <w:jc w:val="both"/>
        <w:rPr>
          <w:rFonts w:ascii="Arial Narrow" w:eastAsia="Calibri" w:hAnsi="Arial Narrow"/>
          <w:sz w:val="20"/>
          <w:szCs w:val="20"/>
          <w:lang w:eastAsia="en-US"/>
        </w:rPr>
      </w:pPr>
    </w:p>
    <w:p w14:paraId="21DD5996" w14:textId="1A20807C" w:rsidR="005F204C" w:rsidRDefault="005F204C" w:rsidP="00AB78AD">
      <w:pPr>
        <w:spacing w:line="360" w:lineRule="auto"/>
        <w:jc w:val="both"/>
        <w:rPr>
          <w:rFonts w:ascii="Arial Narrow" w:eastAsia="Calibri" w:hAnsi="Arial Narrow"/>
          <w:sz w:val="20"/>
          <w:szCs w:val="20"/>
          <w:lang w:eastAsia="en-US"/>
        </w:rPr>
        <w:sectPr w:rsidR="005F204C" w:rsidSect="0049673D">
          <w:pgSz w:w="12242" w:h="15842" w:code="1"/>
          <w:pgMar w:top="719" w:right="1469" w:bottom="719" w:left="1560" w:header="709" w:footer="709" w:gutter="0"/>
          <w:cols w:space="708"/>
          <w:docGrid w:linePitch="360"/>
        </w:sectPr>
      </w:pPr>
    </w:p>
    <w:p w14:paraId="391C406A" w14:textId="2CAA71D2" w:rsidR="00AB78AD" w:rsidRDefault="00AB78AD" w:rsidP="00AB78AD">
      <w:pPr>
        <w:spacing w:line="360" w:lineRule="auto"/>
        <w:jc w:val="both"/>
        <w:rPr>
          <w:rFonts w:ascii="Arial Narrow" w:eastAsia="Calibri" w:hAnsi="Arial Narrow"/>
          <w:sz w:val="20"/>
          <w:szCs w:val="20"/>
          <w:lang w:eastAsia="en-US"/>
        </w:rPr>
      </w:pPr>
    </w:p>
    <w:p w14:paraId="0BDFFA41" w14:textId="77777777" w:rsidR="00AB78AD" w:rsidRDefault="00AB78AD" w:rsidP="00AB78AD">
      <w:pPr>
        <w:spacing w:line="360" w:lineRule="auto"/>
        <w:jc w:val="both"/>
        <w:rPr>
          <w:rFonts w:ascii="Arial Narrow" w:eastAsia="Calibri" w:hAnsi="Arial Narrow"/>
          <w:sz w:val="20"/>
          <w:szCs w:val="20"/>
          <w:lang w:eastAsia="en-US"/>
        </w:rPr>
      </w:pPr>
    </w:p>
    <w:p w14:paraId="2A904317" w14:textId="7AB8BD3B" w:rsidR="00AB78AD" w:rsidRPr="009D27BE" w:rsidRDefault="00AB78AD" w:rsidP="00AB78AD">
      <w:pPr>
        <w:tabs>
          <w:tab w:val="left" w:pos="2776"/>
        </w:tabs>
        <w:spacing w:line="360" w:lineRule="auto"/>
        <w:jc w:val="center"/>
        <w:rPr>
          <w:rFonts w:ascii="Arial Narrow" w:eastAsia="Calibri" w:hAnsi="Arial Narrow"/>
          <w:b/>
          <w:bCs/>
        </w:rPr>
      </w:pPr>
      <w:bookmarkStart w:id="36" w:name="_Toc76062238"/>
      <w:r w:rsidRPr="009D27BE">
        <w:rPr>
          <w:rFonts w:ascii="Arial Narrow" w:hAnsi="Arial Narrow"/>
          <w:b/>
          <w:bCs/>
        </w:rPr>
        <w:t xml:space="preserve">Cuadro </w:t>
      </w:r>
      <w:r w:rsidRPr="009D27BE">
        <w:rPr>
          <w:rFonts w:ascii="Arial Narrow" w:hAnsi="Arial Narrow"/>
          <w:b/>
          <w:bCs/>
        </w:rPr>
        <w:fldChar w:fldCharType="begin"/>
      </w:r>
      <w:r w:rsidRPr="009D27BE">
        <w:rPr>
          <w:rFonts w:ascii="Arial Narrow" w:hAnsi="Arial Narrow"/>
          <w:b/>
          <w:bCs/>
        </w:rPr>
        <w:instrText xml:space="preserve"> SEQ Cuadro_No. \* ARABIC </w:instrText>
      </w:r>
      <w:r w:rsidRPr="009D27BE">
        <w:rPr>
          <w:rFonts w:ascii="Arial Narrow" w:hAnsi="Arial Narrow"/>
          <w:b/>
          <w:bCs/>
        </w:rPr>
        <w:fldChar w:fldCharType="separate"/>
      </w:r>
      <w:r w:rsidR="0049673D">
        <w:rPr>
          <w:rFonts w:ascii="Arial Narrow" w:hAnsi="Arial Narrow"/>
          <w:b/>
          <w:bCs/>
          <w:noProof/>
        </w:rPr>
        <w:t>15</w:t>
      </w:r>
      <w:r w:rsidRPr="009D27BE">
        <w:rPr>
          <w:rFonts w:ascii="Arial Narrow" w:hAnsi="Arial Narrow"/>
          <w:b/>
          <w:bCs/>
        </w:rPr>
        <w:fldChar w:fldCharType="end"/>
      </w:r>
      <w:r w:rsidRPr="009D27BE">
        <w:rPr>
          <w:rFonts w:ascii="Arial Narrow" w:hAnsi="Arial Narrow"/>
          <w:b/>
          <w:bCs/>
        </w:rPr>
        <w:t xml:space="preserve"> Continuación de </w:t>
      </w:r>
      <w:r w:rsidRPr="009D27BE">
        <w:rPr>
          <w:rFonts w:ascii="Arial Narrow" w:eastAsia="Calibri" w:hAnsi="Arial Narrow"/>
          <w:b/>
          <w:bCs/>
          <w:lang w:eastAsia="en-US"/>
        </w:rPr>
        <w:t>Metas estratégicas de Celeridad Judicial y su cumplimiento para el 2019-2020</w:t>
      </w:r>
      <w:bookmarkEnd w:id="36"/>
    </w:p>
    <w:p w14:paraId="7B6A9B06" w14:textId="77777777" w:rsidR="00AB78AD" w:rsidRDefault="00AB78AD" w:rsidP="00AB78AD">
      <w:pPr>
        <w:rPr>
          <w:rFonts w:ascii="Arial Narrow" w:hAnsi="Arial Narrow"/>
          <w:sz w:val="18"/>
          <w:szCs w:val="18"/>
          <w:lang w:val="es-CR" w:eastAsia="es-CR"/>
        </w:rPr>
      </w:pPr>
      <w:r>
        <w:rPr>
          <w:noProof/>
          <w:lang w:val="es-CR" w:eastAsia="es-CR"/>
        </w:rPr>
        <w:drawing>
          <wp:inline distT="0" distB="0" distL="0" distR="0" wp14:anchorId="70641BA5" wp14:editId="4B856E05">
            <wp:extent cx="9146540" cy="3520880"/>
            <wp:effectExtent l="19050" t="19050" r="16510" b="22860"/>
            <wp:docPr id="119" name="Imagen 119" descr="Tabl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Imagen 119" descr="Tabla&#10;&#10;Descripción generada automáticamente con confianza media"/>
                    <pic:cNvPicPr/>
                  </pic:nvPicPr>
                  <pic:blipFill rotWithShape="1">
                    <a:blip r:embed="rId68"/>
                    <a:srcRect t="1480"/>
                    <a:stretch/>
                  </pic:blipFill>
                  <pic:spPr bwMode="auto">
                    <a:xfrm>
                      <a:off x="0" y="0"/>
                      <a:ext cx="9146540" cy="3520880"/>
                    </a:xfrm>
                    <a:prstGeom prst="rect">
                      <a:avLst/>
                    </a:prstGeom>
                    <a:ln w="19050">
                      <a:solidFill>
                        <a:schemeClr val="accent1"/>
                      </a:solidFill>
                    </a:ln>
                    <a:extLst>
                      <a:ext uri="{53640926-AAD7-44D8-BBD7-CCE9431645EC}">
                        <a14:shadowObscured xmlns:a14="http://schemas.microsoft.com/office/drawing/2010/main"/>
                      </a:ext>
                    </a:extLst>
                  </pic:spPr>
                </pic:pic>
              </a:graphicData>
            </a:graphic>
          </wp:inline>
        </w:drawing>
      </w:r>
    </w:p>
    <w:p w14:paraId="43CA34EF" w14:textId="77777777" w:rsidR="00AB78AD" w:rsidRDefault="00AB78AD" w:rsidP="00AB78AD">
      <w:pPr>
        <w:rPr>
          <w:rFonts w:ascii="Arial Narrow" w:hAnsi="Arial Narrow"/>
          <w:sz w:val="18"/>
          <w:szCs w:val="18"/>
          <w:lang w:val="es-CR" w:eastAsia="es-CR"/>
        </w:rPr>
      </w:pPr>
    </w:p>
    <w:p w14:paraId="3F5D8320" w14:textId="77777777" w:rsidR="00AB78AD" w:rsidRDefault="00AB78AD" w:rsidP="00AB78AD">
      <w:pPr>
        <w:rPr>
          <w:rFonts w:ascii="Arial Narrow" w:hAnsi="Arial Narrow"/>
          <w:sz w:val="18"/>
          <w:szCs w:val="18"/>
          <w:lang w:val="es-CR" w:eastAsia="es-CR"/>
        </w:rPr>
      </w:pPr>
    </w:p>
    <w:p w14:paraId="017C355A" w14:textId="77777777" w:rsidR="00AB78AD" w:rsidRDefault="00AB78AD" w:rsidP="00AB78AD">
      <w:pPr>
        <w:rPr>
          <w:rFonts w:eastAsia="Calibri"/>
          <w:lang w:eastAsia="en-US"/>
        </w:rPr>
      </w:pPr>
      <w:r w:rsidRPr="00EE2E13">
        <w:rPr>
          <w:rFonts w:ascii="Arial Narrow" w:hAnsi="Arial Narrow"/>
          <w:sz w:val="18"/>
          <w:szCs w:val="18"/>
          <w:lang w:val="es-CR" w:eastAsia="es-CR"/>
        </w:rPr>
        <w:t>Fuente: Sistema PEI al 24 de enero del 2020 (año 2019) y 04 de marzo del 2021 (año 2020).</w:t>
      </w:r>
    </w:p>
    <w:p w14:paraId="15175F31" w14:textId="77777777" w:rsidR="00AB78AD" w:rsidRDefault="00AB78AD" w:rsidP="00AB78AD">
      <w:pPr>
        <w:spacing w:line="360" w:lineRule="auto"/>
        <w:jc w:val="both"/>
        <w:rPr>
          <w:rFonts w:ascii="Arial Narrow" w:eastAsia="Calibri" w:hAnsi="Arial Narrow"/>
        </w:rPr>
      </w:pPr>
    </w:p>
    <w:p w14:paraId="6E830257" w14:textId="77777777" w:rsidR="0049673D" w:rsidRDefault="0049673D" w:rsidP="00AB78AD">
      <w:pPr>
        <w:rPr>
          <w:rFonts w:eastAsia="Calibri"/>
          <w:lang w:eastAsia="en-US"/>
        </w:rPr>
        <w:sectPr w:rsidR="0049673D" w:rsidSect="0049673D">
          <w:pgSz w:w="15842" w:h="12242" w:orient="landscape" w:code="1"/>
          <w:pgMar w:top="1560" w:right="719" w:bottom="1469" w:left="719" w:header="709" w:footer="709" w:gutter="0"/>
          <w:cols w:space="708"/>
          <w:docGrid w:linePitch="360"/>
        </w:sectPr>
      </w:pPr>
    </w:p>
    <w:p w14:paraId="51784611" w14:textId="10D35945" w:rsidR="00852B39" w:rsidRDefault="00AB78AD" w:rsidP="00852B39">
      <w:pPr>
        <w:spacing w:line="360" w:lineRule="auto"/>
        <w:jc w:val="both"/>
        <w:rPr>
          <w:rFonts w:ascii="Arial Narrow" w:eastAsia="Calibri" w:hAnsi="Arial Narrow"/>
        </w:rPr>
      </w:pPr>
      <w:r>
        <w:rPr>
          <w:rFonts w:ascii="Arial Narrow" w:eastAsia="Calibri" w:hAnsi="Arial Narrow"/>
        </w:rPr>
        <w:lastRenderedPageBreak/>
        <w:t xml:space="preserve">La meta estratégica </w:t>
      </w:r>
      <w:r w:rsidR="005F204C">
        <w:rPr>
          <w:rFonts w:ascii="Arial Narrow" w:eastAsia="Calibri" w:hAnsi="Arial Narrow"/>
          <w:b/>
          <w:bCs/>
          <w:i/>
          <w:iCs/>
        </w:rPr>
        <w:t>“Q</w:t>
      </w:r>
      <w:r w:rsidRPr="000E37AB">
        <w:rPr>
          <w:rFonts w:ascii="Arial Narrow" w:eastAsia="Calibri" w:hAnsi="Arial Narrow"/>
          <w:b/>
          <w:bCs/>
          <w:i/>
          <w:iCs/>
        </w:rPr>
        <w:t>ue al finalizar el 2024, cada despacho jurisdiccional haya implementado una propuesta de mejora, acorde con el modelo de sostenibilidad, para disminuir la cantidad de casos en el circulante activo (que no incluye los casos en fase de Ejecución ni aquellos que tengan resolución provisional o intermedia) de mayor antigüedad en materia Penal, en primera instancia por los juzgados penales</w:t>
      </w:r>
      <w:r w:rsidR="005F204C">
        <w:rPr>
          <w:rFonts w:ascii="Arial Narrow" w:eastAsia="Calibri" w:hAnsi="Arial Narrow"/>
          <w:b/>
          <w:bCs/>
          <w:i/>
          <w:iCs/>
        </w:rPr>
        <w:t>”</w:t>
      </w:r>
      <w:r>
        <w:rPr>
          <w:rFonts w:ascii="Arial Narrow" w:eastAsia="Calibri" w:hAnsi="Arial Narrow"/>
        </w:rPr>
        <w:t xml:space="preserve">, se tiene que en el 2019 se reporta por </w:t>
      </w:r>
      <w:r w:rsidRPr="00000C80">
        <w:rPr>
          <w:rFonts w:ascii="Arial Narrow" w:eastAsia="Calibri" w:hAnsi="Arial Narrow"/>
        </w:rPr>
        <w:t>parte de los 39 juzgados penales, un cumplimiento de 96% mientras que para el 2020 el dato reportado fue de 89%</w:t>
      </w:r>
      <w:r w:rsidR="00852B39">
        <w:rPr>
          <w:rFonts w:ascii="Arial Narrow" w:eastAsia="Calibri" w:hAnsi="Arial Narrow"/>
        </w:rPr>
        <w:t>. La meta anterior, se refiere al cumplimiento de las diversas acciones que los propios despachos se impusieron a nivel operativo en su PAO.</w:t>
      </w:r>
    </w:p>
    <w:p w14:paraId="0EB5EF57" w14:textId="77777777" w:rsidR="00852B39" w:rsidRDefault="00852B39" w:rsidP="00AB78AD">
      <w:pPr>
        <w:spacing w:line="360" w:lineRule="auto"/>
        <w:jc w:val="both"/>
        <w:rPr>
          <w:rFonts w:ascii="Arial Narrow" w:eastAsia="Calibri" w:hAnsi="Arial Narrow"/>
        </w:rPr>
      </w:pPr>
    </w:p>
    <w:p w14:paraId="1D9AAA2A" w14:textId="34EDA276" w:rsidR="00AB78AD" w:rsidRDefault="00852B39" w:rsidP="00AB78AD">
      <w:pPr>
        <w:spacing w:line="360" w:lineRule="auto"/>
        <w:jc w:val="both"/>
        <w:rPr>
          <w:rFonts w:ascii="Arial Narrow" w:eastAsia="Calibri" w:hAnsi="Arial Narrow"/>
        </w:rPr>
      </w:pPr>
      <w:r>
        <w:rPr>
          <w:rFonts w:ascii="Arial Narrow" w:eastAsia="Calibri" w:hAnsi="Arial Narrow"/>
        </w:rPr>
        <w:t xml:space="preserve">Como complemento de lo anterior, </w:t>
      </w:r>
      <w:r w:rsidR="00AB78AD" w:rsidRPr="00000C80">
        <w:rPr>
          <w:rFonts w:ascii="Arial Narrow" w:eastAsia="Calibri" w:hAnsi="Arial Narrow"/>
        </w:rPr>
        <w:t>se tiene</w:t>
      </w:r>
      <w:r w:rsidR="00AB78AD" w:rsidRPr="007A4EFB">
        <w:rPr>
          <w:rFonts w:ascii="Arial Narrow" w:eastAsia="Calibri" w:hAnsi="Arial Narrow"/>
        </w:rPr>
        <w:t xml:space="preserve"> que para </w:t>
      </w:r>
      <w:r w:rsidR="00AB78AD">
        <w:rPr>
          <w:rFonts w:ascii="Arial Narrow" w:eastAsia="Calibri" w:hAnsi="Arial Narrow"/>
        </w:rPr>
        <w:t xml:space="preserve">los juzgados penales </w:t>
      </w:r>
      <w:r w:rsidR="00AB78AD" w:rsidRPr="007A4EFB">
        <w:rPr>
          <w:rFonts w:ascii="Arial Narrow" w:eastAsia="Calibri" w:hAnsi="Arial Narrow"/>
        </w:rPr>
        <w:t xml:space="preserve">en el 2019 se terminó con un circulante de </w:t>
      </w:r>
      <w:r w:rsidR="00AB78AD">
        <w:rPr>
          <w:rFonts w:ascii="Arial Narrow" w:eastAsia="Calibri" w:hAnsi="Arial Narrow"/>
        </w:rPr>
        <w:t>30.048</w:t>
      </w:r>
      <w:r w:rsidR="00AB78AD" w:rsidRPr="007A4EFB">
        <w:rPr>
          <w:rFonts w:ascii="Arial Narrow" w:eastAsia="Calibri" w:hAnsi="Arial Narrow"/>
        </w:rPr>
        <w:t xml:space="preserve"> expedientes,</w:t>
      </w:r>
      <w:r w:rsidR="00AB78AD">
        <w:rPr>
          <w:rFonts w:ascii="Arial Narrow" w:eastAsia="Calibri" w:hAnsi="Arial Narrow"/>
        </w:rPr>
        <w:t xml:space="preserve"> de los cuales 71,9% estaban en trámite, </w:t>
      </w:r>
      <w:r w:rsidR="00AB78AD" w:rsidRPr="007A4EFB">
        <w:rPr>
          <w:rFonts w:ascii="Arial Narrow" w:eastAsia="Calibri" w:hAnsi="Arial Narrow"/>
        </w:rPr>
        <w:t xml:space="preserve">para el 2020 se finaliza con </w:t>
      </w:r>
      <w:r w:rsidR="00AB78AD">
        <w:rPr>
          <w:rFonts w:ascii="Arial Narrow" w:eastAsia="Calibri" w:hAnsi="Arial Narrow"/>
        </w:rPr>
        <w:t>34.061</w:t>
      </w:r>
      <w:r w:rsidR="00AB78AD" w:rsidRPr="007A4EFB">
        <w:rPr>
          <w:rFonts w:ascii="Arial Narrow" w:eastAsia="Calibri" w:hAnsi="Arial Narrow"/>
        </w:rPr>
        <w:t>expedientes según el Sistema SIGMA, lo que resulta en un</w:t>
      </w:r>
      <w:r w:rsidR="00AB78AD">
        <w:rPr>
          <w:rFonts w:ascii="Arial Narrow" w:eastAsia="Calibri" w:hAnsi="Arial Narrow"/>
        </w:rPr>
        <w:t xml:space="preserve"> aumento </w:t>
      </w:r>
      <w:r w:rsidR="00AB78AD" w:rsidRPr="007A4EFB">
        <w:rPr>
          <w:rFonts w:ascii="Arial Narrow" w:eastAsia="Calibri" w:hAnsi="Arial Narrow"/>
        </w:rPr>
        <w:t>del circulante de</w:t>
      </w:r>
      <w:r w:rsidR="00AB78AD">
        <w:rPr>
          <w:rFonts w:ascii="Arial Narrow" w:eastAsia="Calibri" w:hAnsi="Arial Narrow"/>
        </w:rPr>
        <w:t xml:space="preserve"> 13,4</w:t>
      </w:r>
      <w:r w:rsidR="00AB78AD" w:rsidRPr="007A4EFB">
        <w:rPr>
          <w:rFonts w:ascii="Arial Narrow" w:eastAsia="Calibri" w:hAnsi="Arial Narrow"/>
        </w:rPr>
        <w:t xml:space="preserve">%, por lo tanto es conveniente verificar por parte de los </w:t>
      </w:r>
      <w:r w:rsidR="00AB78AD">
        <w:rPr>
          <w:rFonts w:ascii="Arial Narrow" w:eastAsia="Calibri" w:hAnsi="Arial Narrow"/>
        </w:rPr>
        <w:t>juzgados penales</w:t>
      </w:r>
      <w:r w:rsidR="00AB78AD" w:rsidRPr="007A4EFB">
        <w:rPr>
          <w:rFonts w:ascii="Arial Narrow" w:eastAsia="Calibri" w:hAnsi="Arial Narrow"/>
        </w:rPr>
        <w:t xml:space="preserve"> la antigüedad de los expedientes </w:t>
      </w:r>
      <w:r w:rsidR="00AB78AD">
        <w:rPr>
          <w:rFonts w:ascii="Arial Narrow" w:eastAsia="Calibri" w:hAnsi="Arial Narrow"/>
        </w:rPr>
        <w:t>sin resolución provisional</w:t>
      </w:r>
      <w:r w:rsidR="00AB78AD" w:rsidRPr="007A4EFB">
        <w:rPr>
          <w:rFonts w:ascii="Arial Narrow" w:eastAsia="Calibri" w:hAnsi="Arial Narrow"/>
        </w:rPr>
        <w:t>.</w:t>
      </w:r>
    </w:p>
    <w:p w14:paraId="517EDCFB" w14:textId="77777777" w:rsidR="00AB78AD" w:rsidRDefault="00AB78AD" w:rsidP="00AB78AD">
      <w:pPr>
        <w:spacing w:line="360" w:lineRule="auto"/>
        <w:jc w:val="both"/>
        <w:rPr>
          <w:rFonts w:ascii="Arial Narrow" w:eastAsia="Calibri" w:hAnsi="Arial Narrow"/>
        </w:rPr>
      </w:pPr>
    </w:p>
    <w:p w14:paraId="0AF06D37" w14:textId="5F3E1E4F" w:rsidR="00AB78AD" w:rsidRDefault="00AB78AD" w:rsidP="00AB78AD">
      <w:pPr>
        <w:spacing w:line="360" w:lineRule="auto"/>
        <w:jc w:val="both"/>
        <w:rPr>
          <w:rFonts w:ascii="Arial Narrow" w:eastAsia="Calibri" w:hAnsi="Arial Narrow"/>
        </w:rPr>
      </w:pPr>
      <w:r>
        <w:rPr>
          <w:rFonts w:ascii="Arial Narrow" w:eastAsia="Calibri" w:hAnsi="Arial Narrow"/>
        </w:rPr>
        <w:t xml:space="preserve">Por otra parte, la meta estratégica </w:t>
      </w:r>
      <w:r w:rsidR="005F204C">
        <w:rPr>
          <w:rFonts w:ascii="Arial Narrow" w:eastAsia="Calibri" w:hAnsi="Arial Narrow"/>
          <w:b/>
          <w:bCs/>
          <w:i/>
          <w:iCs/>
        </w:rPr>
        <w:t>“Q</w:t>
      </w:r>
      <w:r w:rsidRPr="000E37AB">
        <w:rPr>
          <w:rFonts w:ascii="Arial Narrow" w:eastAsia="Calibri" w:hAnsi="Arial Narrow"/>
          <w:b/>
          <w:bCs/>
          <w:i/>
          <w:iCs/>
        </w:rPr>
        <w:t>ue al finalizar el 2024, cada despacho jurisdiccional haya implementado una propuesta de mejora, acorde con el modelo de sostenibilidad, para disminuir la cantidad de casos en el circulante activo (que no incluye los casos en fase de Ejecución ni aquellos que tengan resolución provisional o intermedia) de mayor antigüedad en materia Penal, en primera instancia por los tribunales de juicio penales</w:t>
      </w:r>
      <w:r w:rsidR="005F204C">
        <w:rPr>
          <w:rFonts w:ascii="Arial Narrow" w:eastAsia="Calibri" w:hAnsi="Arial Narrow"/>
          <w:b/>
          <w:bCs/>
          <w:i/>
          <w:iCs/>
        </w:rPr>
        <w:t>”</w:t>
      </w:r>
      <w:r>
        <w:rPr>
          <w:rFonts w:ascii="Arial Narrow" w:eastAsia="Calibri" w:hAnsi="Arial Narrow"/>
        </w:rPr>
        <w:t xml:space="preserve">, se tiene que en el 2019 se reporta por parte de los 25 tribunales penales con meta asignada, un cumplimiento </w:t>
      </w:r>
      <w:r w:rsidRPr="009D27BE">
        <w:rPr>
          <w:rFonts w:ascii="Arial Narrow" w:eastAsia="Calibri" w:hAnsi="Arial Narrow"/>
        </w:rPr>
        <w:t xml:space="preserve">de </w:t>
      </w:r>
      <w:r>
        <w:rPr>
          <w:rFonts w:ascii="Arial Narrow" w:eastAsia="Calibri" w:hAnsi="Arial Narrow"/>
        </w:rPr>
        <w:t>90</w:t>
      </w:r>
      <w:r w:rsidRPr="009D27BE">
        <w:rPr>
          <w:rFonts w:ascii="Arial Narrow" w:eastAsia="Calibri" w:hAnsi="Arial Narrow"/>
        </w:rPr>
        <w:t>%</w:t>
      </w:r>
      <w:r>
        <w:rPr>
          <w:rFonts w:ascii="Arial Narrow" w:eastAsia="Calibri" w:hAnsi="Arial Narrow"/>
        </w:rPr>
        <w:t xml:space="preserve"> mientras que para el 2020 el dato reportado es de 93%. Se tiene que para los Tribunales penales en el 2019 se concluyó el año con un circulante de 30.045 y para el 2020 el circulante al finalizar fue de 31.992</w:t>
      </w:r>
      <w:r w:rsidRPr="00747882">
        <w:rPr>
          <w:rFonts w:ascii="Arial Narrow" w:eastAsia="Calibri" w:hAnsi="Arial Narrow"/>
        </w:rPr>
        <w:t xml:space="preserve"> </w:t>
      </w:r>
      <w:r w:rsidRPr="007A4EFB">
        <w:rPr>
          <w:rFonts w:ascii="Arial Narrow" w:eastAsia="Calibri" w:hAnsi="Arial Narrow"/>
        </w:rPr>
        <w:t>expedientes según el Sistema SIGMA, lo que resulta en un</w:t>
      </w:r>
      <w:r>
        <w:rPr>
          <w:rFonts w:ascii="Arial Narrow" w:eastAsia="Calibri" w:hAnsi="Arial Narrow"/>
        </w:rPr>
        <w:t xml:space="preserve"> aumento </w:t>
      </w:r>
      <w:r w:rsidRPr="007A4EFB">
        <w:rPr>
          <w:rFonts w:ascii="Arial Narrow" w:eastAsia="Calibri" w:hAnsi="Arial Narrow"/>
        </w:rPr>
        <w:t>del circulante de</w:t>
      </w:r>
      <w:r>
        <w:rPr>
          <w:rFonts w:ascii="Arial Narrow" w:eastAsia="Calibri" w:hAnsi="Arial Narrow"/>
        </w:rPr>
        <w:t xml:space="preserve"> 5</w:t>
      </w:r>
      <w:r w:rsidRPr="007A4EFB">
        <w:rPr>
          <w:rFonts w:ascii="Arial Narrow" w:eastAsia="Calibri" w:hAnsi="Arial Narrow"/>
        </w:rPr>
        <w:t>%, por lo tanto</w:t>
      </w:r>
      <w:r>
        <w:rPr>
          <w:rFonts w:ascii="Arial Narrow" w:eastAsia="Calibri" w:hAnsi="Arial Narrow"/>
        </w:rPr>
        <w:t>, se considera necesario revisar por parte de los Tribunales que los expedientes más antiguos estén con una fase acorde al proceso judicial, o estén próximos a algún tipo de resolución.</w:t>
      </w:r>
    </w:p>
    <w:p w14:paraId="449A9D43" w14:textId="77777777" w:rsidR="00AB78AD" w:rsidRDefault="00AB78AD" w:rsidP="00AB78AD">
      <w:pPr>
        <w:spacing w:line="360" w:lineRule="auto"/>
        <w:jc w:val="both"/>
        <w:rPr>
          <w:rFonts w:ascii="Arial Narrow" w:eastAsia="Calibri" w:hAnsi="Arial Narrow"/>
        </w:rPr>
      </w:pPr>
    </w:p>
    <w:p w14:paraId="57EBAA76" w14:textId="77777777" w:rsidR="005F204C" w:rsidRDefault="005F204C" w:rsidP="00AB78AD">
      <w:pPr>
        <w:spacing w:line="360" w:lineRule="auto"/>
        <w:jc w:val="both"/>
        <w:rPr>
          <w:rFonts w:ascii="Arial Narrow" w:eastAsia="Calibri" w:hAnsi="Arial Narrow"/>
        </w:rPr>
      </w:pPr>
    </w:p>
    <w:p w14:paraId="5C666078" w14:textId="77777777" w:rsidR="005F204C" w:rsidRDefault="005F204C" w:rsidP="00AB78AD">
      <w:pPr>
        <w:spacing w:line="360" w:lineRule="auto"/>
        <w:jc w:val="both"/>
        <w:rPr>
          <w:rFonts w:ascii="Arial Narrow" w:eastAsia="Calibri" w:hAnsi="Arial Narrow"/>
        </w:rPr>
      </w:pPr>
    </w:p>
    <w:p w14:paraId="4E018906" w14:textId="77777777" w:rsidR="005F204C" w:rsidRDefault="005F204C" w:rsidP="00AB78AD">
      <w:pPr>
        <w:spacing w:line="360" w:lineRule="auto"/>
        <w:jc w:val="both"/>
        <w:rPr>
          <w:rFonts w:ascii="Arial Narrow" w:eastAsia="Calibri" w:hAnsi="Arial Narrow"/>
        </w:rPr>
      </w:pPr>
    </w:p>
    <w:p w14:paraId="149203B6" w14:textId="77777777" w:rsidR="005F204C" w:rsidRDefault="005F204C" w:rsidP="00AB78AD">
      <w:pPr>
        <w:spacing w:line="360" w:lineRule="auto"/>
        <w:jc w:val="both"/>
        <w:rPr>
          <w:rFonts w:ascii="Arial Narrow" w:eastAsia="Calibri" w:hAnsi="Arial Narrow"/>
        </w:rPr>
      </w:pPr>
    </w:p>
    <w:p w14:paraId="75BE4F2D" w14:textId="0799D651" w:rsidR="00C742C0" w:rsidRDefault="00AB78AD" w:rsidP="00AB78AD">
      <w:pPr>
        <w:spacing w:line="360" w:lineRule="auto"/>
        <w:jc w:val="both"/>
        <w:rPr>
          <w:rFonts w:ascii="Arial Narrow" w:eastAsia="Calibri" w:hAnsi="Arial Narrow"/>
        </w:rPr>
      </w:pPr>
      <w:r>
        <w:rPr>
          <w:rFonts w:ascii="Arial Narrow" w:eastAsia="Calibri" w:hAnsi="Arial Narrow"/>
        </w:rPr>
        <w:t xml:space="preserve">La meta estratégica </w:t>
      </w:r>
      <w:r w:rsidR="005F204C">
        <w:rPr>
          <w:rFonts w:ascii="Arial Narrow" w:eastAsia="Calibri" w:hAnsi="Arial Narrow"/>
          <w:b/>
          <w:bCs/>
          <w:i/>
          <w:iCs/>
        </w:rPr>
        <w:t>“Q</w:t>
      </w:r>
      <w:r w:rsidRPr="000E37AB">
        <w:rPr>
          <w:rFonts w:ascii="Arial Narrow" w:eastAsia="Calibri" w:hAnsi="Arial Narrow"/>
          <w:b/>
          <w:bCs/>
          <w:i/>
          <w:iCs/>
        </w:rPr>
        <w:t>ue al finalizar el 2024, se haya incrementado la cantidad de informes periciales elaborados o rendidos en las oficinas del Departamento de Trabajo Social y Psicología por año</w:t>
      </w:r>
      <w:r w:rsidR="005F204C">
        <w:rPr>
          <w:rFonts w:ascii="Arial Narrow" w:eastAsia="Calibri" w:hAnsi="Arial Narrow"/>
          <w:b/>
          <w:bCs/>
          <w:i/>
          <w:iCs/>
        </w:rPr>
        <w:t>”</w:t>
      </w:r>
      <w:r>
        <w:rPr>
          <w:rFonts w:ascii="Arial Narrow" w:eastAsia="Calibri" w:hAnsi="Arial Narrow"/>
        </w:rPr>
        <w:t xml:space="preserve">, se tiene que en el 2019 se reporta por parte de las 23 oficinas de Trabajo Social y Psicología del país un cumplimiento </w:t>
      </w:r>
      <w:r w:rsidRPr="009D27BE">
        <w:rPr>
          <w:rFonts w:ascii="Arial Narrow" w:eastAsia="Calibri" w:hAnsi="Arial Narrow"/>
        </w:rPr>
        <w:t xml:space="preserve">de </w:t>
      </w:r>
      <w:r>
        <w:rPr>
          <w:rFonts w:ascii="Arial Narrow" w:eastAsia="Calibri" w:hAnsi="Arial Narrow"/>
        </w:rPr>
        <w:t>83</w:t>
      </w:r>
      <w:r w:rsidRPr="009D27BE">
        <w:rPr>
          <w:rFonts w:ascii="Arial Narrow" w:eastAsia="Calibri" w:hAnsi="Arial Narrow"/>
        </w:rPr>
        <w:t>%</w:t>
      </w:r>
      <w:r>
        <w:rPr>
          <w:rFonts w:ascii="Arial Narrow" w:eastAsia="Calibri" w:hAnsi="Arial Narrow"/>
        </w:rPr>
        <w:t xml:space="preserve">, mientras que para el 2020 el dato reportado fue de 94%. </w:t>
      </w:r>
    </w:p>
    <w:p w14:paraId="5FB97A4B" w14:textId="77777777" w:rsidR="00C742C0" w:rsidRDefault="00C742C0" w:rsidP="00AB78AD">
      <w:pPr>
        <w:spacing w:line="360" w:lineRule="auto"/>
        <w:jc w:val="both"/>
        <w:rPr>
          <w:rFonts w:ascii="Arial Narrow" w:eastAsia="Calibri" w:hAnsi="Arial Narrow"/>
        </w:rPr>
      </w:pPr>
    </w:p>
    <w:p w14:paraId="7A8FFBB6" w14:textId="2FEB6C4D" w:rsidR="00AB78AD" w:rsidRDefault="00AB78AD" w:rsidP="00AB78AD">
      <w:pPr>
        <w:spacing w:line="360" w:lineRule="auto"/>
        <w:jc w:val="both"/>
        <w:rPr>
          <w:rFonts w:ascii="Arial Narrow" w:eastAsia="Calibri" w:hAnsi="Arial Narrow"/>
        </w:rPr>
      </w:pPr>
      <w:r>
        <w:rPr>
          <w:rFonts w:ascii="Arial Narrow" w:eastAsia="Calibri" w:hAnsi="Arial Narrow"/>
        </w:rPr>
        <w:t>Al corroborar estos datos contra los datos suministrados por parte de la oficina Central de Departamento de Trabajo Social y Psicología se tiene que para el 2019 se concluyeron 15.747 informes periciales, y para el 2020 fueron 15.905 casos, siendo que las metas esperadas de alcanzar eran para el 2019, 15591 informes y para el 2020 se esperaba 15.747, por lo que las metas anuales fueron superadas logrando un 100%.</w:t>
      </w:r>
    </w:p>
    <w:p w14:paraId="75A687D5" w14:textId="77777777" w:rsidR="00C742C0" w:rsidRDefault="00C742C0" w:rsidP="00AB78AD">
      <w:pPr>
        <w:spacing w:line="360" w:lineRule="auto"/>
        <w:jc w:val="both"/>
        <w:rPr>
          <w:rFonts w:ascii="Arial Narrow" w:eastAsia="Calibri" w:hAnsi="Arial Narrow"/>
        </w:rPr>
      </w:pPr>
    </w:p>
    <w:p w14:paraId="00B8764C" w14:textId="1764FCE2" w:rsidR="005F204C" w:rsidRDefault="006A146B" w:rsidP="00AB78AD">
      <w:pPr>
        <w:spacing w:line="360" w:lineRule="auto"/>
        <w:jc w:val="both"/>
        <w:rPr>
          <w:rFonts w:ascii="Arial Narrow" w:eastAsia="Calibri" w:hAnsi="Arial Narrow"/>
        </w:rPr>
      </w:pPr>
      <w:r w:rsidRPr="00C9711A">
        <w:rPr>
          <w:rFonts w:ascii="Arial Narrow" w:eastAsia="Calibri" w:hAnsi="Arial Narrow"/>
        </w:rPr>
        <w:t>Es importante mencionar que</w:t>
      </w:r>
      <w:r w:rsidR="00A33B1E">
        <w:rPr>
          <w:rFonts w:ascii="Arial Narrow" w:eastAsia="Calibri" w:hAnsi="Arial Narrow"/>
        </w:rPr>
        <w:t>,</w:t>
      </w:r>
      <w:r w:rsidRPr="00C9711A">
        <w:rPr>
          <w:rFonts w:ascii="Arial Narrow" w:eastAsia="Calibri" w:hAnsi="Arial Narrow"/>
        </w:rPr>
        <w:t xml:space="preserve"> por parte de la </w:t>
      </w:r>
      <w:r w:rsidR="00C742C0">
        <w:rPr>
          <w:rFonts w:ascii="Arial Narrow" w:eastAsia="Calibri" w:hAnsi="Arial Narrow"/>
        </w:rPr>
        <w:t>jefatura</w:t>
      </w:r>
      <w:r w:rsidRPr="00C9711A">
        <w:rPr>
          <w:rFonts w:ascii="Arial Narrow" w:eastAsia="Calibri" w:hAnsi="Arial Narrow"/>
        </w:rPr>
        <w:t xml:space="preserve"> del Departamento de Trabajo Social y Psicología, </w:t>
      </w:r>
      <w:r w:rsidR="00C742C0">
        <w:rPr>
          <w:rFonts w:ascii="Arial Narrow" w:eastAsia="Calibri" w:hAnsi="Arial Narrow"/>
        </w:rPr>
        <w:t xml:space="preserve">se considera que </w:t>
      </w:r>
      <w:r w:rsidR="00323EB3">
        <w:rPr>
          <w:rFonts w:ascii="Arial Narrow" w:eastAsia="Calibri" w:hAnsi="Arial Narrow"/>
        </w:rPr>
        <w:t xml:space="preserve">las </w:t>
      </w:r>
      <w:r w:rsidRPr="00C9711A">
        <w:rPr>
          <w:rFonts w:ascii="Arial Narrow" w:eastAsia="Calibri" w:hAnsi="Arial Narrow"/>
        </w:rPr>
        <w:t xml:space="preserve">metas anuales </w:t>
      </w:r>
      <w:r w:rsidR="00323EB3" w:rsidRPr="00482E6E">
        <w:rPr>
          <w:rFonts w:ascii="Arial Narrow" w:eastAsia="Calibri" w:hAnsi="Arial Narrow"/>
        </w:rPr>
        <w:t xml:space="preserve">para los años 2019 y 2020 </w:t>
      </w:r>
      <w:r w:rsidRPr="00C9711A">
        <w:rPr>
          <w:rFonts w:ascii="Arial Narrow" w:eastAsia="Calibri" w:hAnsi="Arial Narrow"/>
        </w:rPr>
        <w:t>fueron superadas</w:t>
      </w:r>
      <w:r w:rsidR="00323EB3">
        <w:rPr>
          <w:rFonts w:ascii="Arial Narrow" w:eastAsia="Calibri" w:hAnsi="Arial Narrow"/>
        </w:rPr>
        <w:t>,</w:t>
      </w:r>
      <w:r w:rsidRPr="00C9711A">
        <w:rPr>
          <w:rFonts w:ascii="Arial Narrow" w:eastAsia="Calibri" w:hAnsi="Arial Narrow"/>
        </w:rPr>
        <w:t xml:space="preserve"> logrando un 100%</w:t>
      </w:r>
      <w:r w:rsidR="00C742C0">
        <w:rPr>
          <w:rFonts w:ascii="Arial Narrow" w:eastAsia="Calibri" w:hAnsi="Arial Narrow"/>
        </w:rPr>
        <w:t xml:space="preserve">, lo anterior de acuerdo con los datos estadísticos suministrados por el Departamento.  No obstante, si </w:t>
      </w:r>
      <w:r w:rsidR="00BF6E93">
        <w:rPr>
          <w:rFonts w:ascii="Arial Narrow" w:eastAsia="Calibri" w:hAnsi="Arial Narrow"/>
        </w:rPr>
        <w:t xml:space="preserve">bien es cierto, las metas fueron superadas con base en los informes periciales rendidos, los porcentajes de cumplimiento reportados </w:t>
      </w:r>
      <w:r w:rsidR="00C742C0">
        <w:rPr>
          <w:rFonts w:ascii="Arial Narrow" w:eastAsia="Calibri" w:hAnsi="Arial Narrow"/>
        </w:rPr>
        <w:t xml:space="preserve">en el sistema PAO </w:t>
      </w:r>
      <w:r w:rsidR="00BF6E93">
        <w:rPr>
          <w:rFonts w:ascii="Arial Narrow" w:eastAsia="Calibri" w:hAnsi="Arial Narrow"/>
        </w:rPr>
        <w:t>fueron de 83% y 94%</w:t>
      </w:r>
      <w:r w:rsidR="00C742C0">
        <w:rPr>
          <w:rFonts w:ascii="Arial Narrow" w:eastAsia="Calibri" w:hAnsi="Arial Narrow"/>
        </w:rPr>
        <w:t>,</w:t>
      </w:r>
      <w:r w:rsidR="00BF6E93">
        <w:rPr>
          <w:rFonts w:ascii="Arial Narrow" w:eastAsia="Calibri" w:hAnsi="Arial Narrow"/>
        </w:rPr>
        <w:t xml:space="preserve"> para 2019 y 2020 respectivamente, lo que refleja una necesidad por parte de las oficinas de Trabajo Social y Psicología de mantener actualizados los avances y cumplimientos en </w:t>
      </w:r>
      <w:r w:rsidR="00C742C0">
        <w:rPr>
          <w:rFonts w:ascii="Arial Narrow" w:eastAsia="Calibri" w:hAnsi="Arial Narrow"/>
        </w:rPr>
        <w:t>dicho sistema.</w:t>
      </w:r>
    </w:p>
    <w:p w14:paraId="799E4DEB" w14:textId="77777777" w:rsidR="005F204C" w:rsidRDefault="005F204C">
      <w:pPr>
        <w:rPr>
          <w:rFonts w:ascii="Arial Narrow" w:eastAsia="Calibri" w:hAnsi="Arial Narrow"/>
        </w:rPr>
      </w:pPr>
      <w:r>
        <w:rPr>
          <w:rFonts w:ascii="Arial Narrow" w:eastAsia="Calibri" w:hAnsi="Arial Narrow"/>
        </w:rPr>
        <w:br w:type="page"/>
      </w:r>
    </w:p>
    <w:p w14:paraId="6626D889" w14:textId="77777777" w:rsidR="00AB78AD" w:rsidRDefault="00AB78AD" w:rsidP="00AB78AD">
      <w:pPr>
        <w:spacing w:line="360" w:lineRule="auto"/>
        <w:jc w:val="both"/>
        <w:rPr>
          <w:rFonts w:ascii="Arial Narrow" w:eastAsia="Calibri" w:hAnsi="Arial Narrow"/>
        </w:rPr>
      </w:pPr>
    </w:p>
    <w:p w14:paraId="3F9EFAC8" w14:textId="7720CED0" w:rsidR="00AB78AD" w:rsidRPr="009D27BE" w:rsidRDefault="00AB78AD" w:rsidP="00AB78AD">
      <w:pPr>
        <w:tabs>
          <w:tab w:val="left" w:pos="2776"/>
        </w:tabs>
        <w:spacing w:line="360" w:lineRule="auto"/>
        <w:jc w:val="center"/>
        <w:rPr>
          <w:rFonts w:ascii="Arial Narrow" w:eastAsia="Calibri" w:hAnsi="Arial Narrow"/>
          <w:b/>
          <w:bCs/>
        </w:rPr>
      </w:pPr>
      <w:bookmarkStart w:id="37" w:name="_Toc76062239"/>
      <w:r w:rsidRPr="009D27BE">
        <w:rPr>
          <w:rFonts w:ascii="Arial Narrow" w:hAnsi="Arial Narrow"/>
          <w:b/>
          <w:bCs/>
        </w:rPr>
        <w:t xml:space="preserve">Cuadro </w:t>
      </w:r>
      <w:r w:rsidRPr="009D27BE">
        <w:rPr>
          <w:rFonts w:ascii="Arial Narrow" w:hAnsi="Arial Narrow"/>
          <w:b/>
          <w:bCs/>
        </w:rPr>
        <w:fldChar w:fldCharType="begin"/>
      </w:r>
      <w:r w:rsidRPr="009D27BE">
        <w:rPr>
          <w:rFonts w:ascii="Arial Narrow" w:hAnsi="Arial Narrow"/>
          <w:b/>
          <w:bCs/>
        </w:rPr>
        <w:instrText xml:space="preserve"> SEQ Cuadro_No. \* ARABIC </w:instrText>
      </w:r>
      <w:r w:rsidRPr="009D27BE">
        <w:rPr>
          <w:rFonts w:ascii="Arial Narrow" w:hAnsi="Arial Narrow"/>
          <w:b/>
          <w:bCs/>
        </w:rPr>
        <w:fldChar w:fldCharType="separate"/>
      </w:r>
      <w:r w:rsidR="0049673D">
        <w:rPr>
          <w:rFonts w:ascii="Arial Narrow" w:hAnsi="Arial Narrow"/>
          <w:b/>
          <w:bCs/>
          <w:noProof/>
        </w:rPr>
        <w:t>16</w:t>
      </w:r>
      <w:r w:rsidRPr="009D27BE">
        <w:rPr>
          <w:rFonts w:ascii="Arial Narrow" w:hAnsi="Arial Narrow"/>
          <w:b/>
          <w:bCs/>
        </w:rPr>
        <w:fldChar w:fldCharType="end"/>
      </w:r>
      <w:r w:rsidRPr="009D27BE">
        <w:rPr>
          <w:rFonts w:ascii="Arial Narrow" w:hAnsi="Arial Narrow"/>
          <w:b/>
          <w:bCs/>
        </w:rPr>
        <w:t xml:space="preserve"> Continuación de </w:t>
      </w:r>
      <w:r w:rsidRPr="009D27BE">
        <w:rPr>
          <w:rFonts w:ascii="Arial Narrow" w:eastAsia="Calibri" w:hAnsi="Arial Narrow"/>
          <w:b/>
          <w:bCs/>
          <w:lang w:eastAsia="en-US"/>
        </w:rPr>
        <w:t>Metas estratégicas de Celeridad Judicial y su cumplimiento para el 2019-2020</w:t>
      </w:r>
      <w:bookmarkEnd w:id="37"/>
    </w:p>
    <w:p w14:paraId="510794D6" w14:textId="77777777" w:rsidR="00AB78AD" w:rsidRDefault="00AB78AD" w:rsidP="00AB78AD">
      <w:pPr>
        <w:spacing w:line="360" w:lineRule="auto"/>
        <w:jc w:val="both"/>
        <w:rPr>
          <w:rFonts w:eastAsia="Calibri"/>
          <w:highlight w:val="yellow"/>
          <w:lang w:eastAsia="en-US"/>
        </w:rPr>
      </w:pPr>
    </w:p>
    <w:p w14:paraId="2AE5B44E" w14:textId="48E569B4" w:rsidR="00AB78AD" w:rsidRDefault="00593E57" w:rsidP="00AB78AD">
      <w:pPr>
        <w:rPr>
          <w:rFonts w:ascii="Arial Narrow" w:hAnsi="Arial Narrow"/>
          <w:sz w:val="18"/>
          <w:szCs w:val="18"/>
          <w:lang w:val="es-CR" w:eastAsia="es-CR"/>
        </w:rPr>
      </w:pPr>
      <w:r>
        <w:rPr>
          <w:noProof/>
          <w:lang w:val="es-CR" w:eastAsia="es-CR"/>
        </w:rPr>
        <w:drawing>
          <wp:inline distT="0" distB="0" distL="0" distR="0" wp14:anchorId="2414ED71" wp14:editId="081CFA4B">
            <wp:extent cx="9146540" cy="3147060"/>
            <wp:effectExtent l="19050" t="19050" r="16510" b="15240"/>
            <wp:docPr id="170" name="Imagen 170"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Imagen 170" descr="Tabla&#10;&#10;Descripción generada automáticamente"/>
                    <pic:cNvPicPr/>
                  </pic:nvPicPr>
                  <pic:blipFill>
                    <a:blip r:embed="rId69"/>
                    <a:stretch>
                      <a:fillRect/>
                    </a:stretch>
                  </pic:blipFill>
                  <pic:spPr>
                    <a:xfrm>
                      <a:off x="0" y="0"/>
                      <a:ext cx="9146540" cy="3147060"/>
                    </a:xfrm>
                    <a:prstGeom prst="rect">
                      <a:avLst/>
                    </a:prstGeom>
                    <a:ln w="19050">
                      <a:solidFill>
                        <a:schemeClr val="accent1"/>
                      </a:solidFill>
                    </a:ln>
                  </pic:spPr>
                </pic:pic>
              </a:graphicData>
            </a:graphic>
          </wp:inline>
        </w:drawing>
      </w:r>
    </w:p>
    <w:p w14:paraId="4942D0A7" w14:textId="77777777" w:rsidR="00AB78AD" w:rsidRDefault="00AB78AD" w:rsidP="00AB78AD">
      <w:pPr>
        <w:rPr>
          <w:rFonts w:eastAsia="Calibri"/>
          <w:lang w:eastAsia="en-US"/>
        </w:rPr>
      </w:pPr>
      <w:r w:rsidRPr="00EE2E13">
        <w:rPr>
          <w:rFonts w:ascii="Arial Narrow" w:hAnsi="Arial Narrow"/>
          <w:sz w:val="18"/>
          <w:szCs w:val="18"/>
          <w:lang w:val="es-CR" w:eastAsia="es-CR"/>
        </w:rPr>
        <w:t>Fuente: Sistema PEI al 24 de enero del 2020 (año 2019) y 04 de marzo del 2021 (año 2020).</w:t>
      </w:r>
    </w:p>
    <w:p w14:paraId="21D5B6D3" w14:textId="77777777" w:rsidR="0049673D" w:rsidRDefault="0049673D" w:rsidP="00AB78AD">
      <w:pPr>
        <w:spacing w:line="360" w:lineRule="auto"/>
        <w:jc w:val="both"/>
        <w:rPr>
          <w:rFonts w:eastAsia="Calibri"/>
          <w:highlight w:val="yellow"/>
          <w:lang w:eastAsia="en-US"/>
        </w:rPr>
        <w:sectPr w:rsidR="0049673D" w:rsidSect="0049673D">
          <w:pgSz w:w="15842" w:h="12242" w:orient="landscape" w:code="1"/>
          <w:pgMar w:top="1560" w:right="719" w:bottom="1469" w:left="719" w:header="709" w:footer="709" w:gutter="0"/>
          <w:cols w:space="708"/>
          <w:docGrid w:linePitch="360"/>
        </w:sectPr>
      </w:pPr>
    </w:p>
    <w:p w14:paraId="216CCE49" w14:textId="7F1A8F29" w:rsidR="00AB78AD" w:rsidRDefault="00AB78AD" w:rsidP="00AB78AD">
      <w:pPr>
        <w:spacing w:line="360" w:lineRule="auto"/>
        <w:jc w:val="both"/>
        <w:rPr>
          <w:rFonts w:eastAsia="Calibri"/>
          <w:highlight w:val="yellow"/>
          <w:lang w:eastAsia="en-US"/>
        </w:rPr>
      </w:pPr>
      <w:r>
        <w:rPr>
          <w:rFonts w:ascii="Arial Narrow" w:eastAsia="Calibri" w:hAnsi="Arial Narrow"/>
        </w:rPr>
        <w:lastRenderedPageBreak/>
        <w:t xml:space="preserve">La meta estratégica </w:t>
      </w:r>
      <w:r w:rsidR="00A33B1E">
        <w:rPr>
          <w:rFonts w:ascii="Arial Narrow" w:eastAsia="Calibri" w:hAnsi="Arial Narrow"/>
          <w:b/>
          <w:bCs/>
          <w:i/>
          <w:iCs/>
        </w:rPr>
        <w:t>“Q</w:t>
      </w:r>
      <w:r w:rsidRPr="006918F2">
        <w:rPr>
          <w:rFonts w:ascii="Arial Narrow" w:eastAsia="Calibri" w:hAnsi="Arial Narrow"/>
          <w:b/>
          <w:bCs/>
          <w:i/>
          <w:iCs/>
        </w:rPr>
        <w:t>ue al finalizar el 2024, se haya incrementado la cantidad de comunicaciones judiciales diligenciadas por las oficinas de comunicaciones judiciales por año</w:t>
      </w:r>
      <w:r w:rsidR="00A33B1E">
        <w:rPr>
          <w:rFonts w:ascii="Arial Narrow" w:eastAsia="Calibri" w:hAnsi="Arial Narrow"/>
          <w:b/>
          <w:bCs/>
          <w:i/>
          <w:iCs/>
        </w:rPr>
        <w:t>”</w:t>
      </w:r>
      <w:r>
        <w:rPr>
          <w:rFonts w:ascii="Arial Narrow" w:eastAsia="Calibri" w:hAnsi="Arial Narrow"/>
          <w:b/>
          <w:bCs/>
          <w:i/>
          <w:iCs/>
        </w:rPr>
        <w:t xml:space="preserve">, </w:t>
      </w:r>
      <w:r>
        <w:rPr>
          <w:rFonts w:ascii="Arial Narrow" w:eastAsia="Calibri" w:hAnsi="Arial Narrow"/>
        </w:rPr>
        <w:t>se tiene que en el 2019 y 2020 se reporta por parte de las 21 administraciones regionales del país de un 96% u 100% respectivamente. Al confrontar los datos contra la meta esperada para el 2019 (la cual era de 203.841 comunicaciones positivas) se tiene que se logra comunicar 203.380 citaciones, según el anuario judicial del 2019, por lo que la meta no se logra por una fracción muy pequeña (99,8%). Para el 2020, se tiene una meta anual de 205.880 comunicaciones, y se logra 170.408 lo que representa un cumplimiento real de 82.8% de la meta, esto en gran medida impactado por una afectación directa por el COVID-19.</w:t>
      </w:r>
    </w:p>
    <w:p w14:paraId="66329A96" w14:textId="77777777" w:rsidR="00AB78AD" w:rsidRDefault="00AB78AD" w:rsidP="00AB78AD">
      <w:pPr>
        <w:spacing w:line="360" w:lineRule="auto"/>
        <w:jc w:val="both"/>
        <w:rPr>
          <w:rFonts w:eastAsia="Calibri"/>
          <w:highlight w:val="yellow"/>
          <w:lang w:eastAsia="en-US"/>
        </w:rPr>
      </w:pPr>
    </w:p>
    <w:p w14:paraId="3E61650D" w14:textId="7FF5324C" w:rsidR="00AB78AD" w:rsidRDefault="00AB78AD" w:rsidP="00AB78AD">
      <w:pPr>
        <w:spacing w:line="360" w:lineRule="auto"/>
        <w:jc w:val="both"/>
        <w:rPr>
          <w:rFonts w:ascii="Arial Narrow" w:eastAsia="Calibri" w:hAnsi="Arial Narrow"/>
        </w:rPr>
      </w:pPr>
      <w:r>
        <w:rPr>
          <w:rFonts w:ascii="Arial Narrow" w:eastAsia="Calibri" w:hAnsi="Arial Narrow"/>
        </w:rPr>
        <w:t xml:space="preserve">Por su parte, la meta estratégica </w:t>
      </w:r>
      <w:r w:rsidR="00A33B1E">
        <w:rPr>
          <w:rFonts w:ascii="Arial Narrow" w:eastAsia="Calibri" w:hAnsi="Arial Narrow"/>
          <w:b/>
          <w:bCs/>
          <w:i/>
          <w:iCs/>
        </w:rPr>
        <w:t>“Q</w:t>
      </w:r>
      <w:r w:rsidRPr="00555B73">
        <w:rPr>
          <w:rFonts w:ascii="Arial Narrow" w:eastAsia="Calibri" w:hAnsi="Arial Narrow"/>
          <w:b/>
          <w:bCs/>
          <w:i/>
          <w:iCs/>
        </w:rPr>
        <w:t>ue al finalizar el 2024, se haya elaborado al menos seis informes cuantitativos sobre la cantidad de nulidades por materia producto de la aplicación de los medios de impugnación, dictadas en los tribunales superiores que conocen las apelaciones y las salas de casación</w:t>
      </w:r>
      <w:r w:rsidR="00A33B1E">
        <w:rPr>
          <w:rFonts w:ascii="Arial Narrow" w:eastAsia="Calibri" w:hAnsi="Arial Narrow"/>
          <w:b/>
          <w:bCs/>
          <w:i/>
          <w:iCs/>
        </w:rPr>
        <w:t>”</w:t>
      </w:r>
      <w:r>
        <w:rPr>
          <w:rFonts w:ascii="Arial Narrow" w:eastAsia="Calibri" w:hAnsi="Arial Narrow"/>
        </w:rPr>
        <w:t>, la</w:t>
      </w:r>
      <w:r w:rsidRPr="00484CC1">
        <w:rPr>
          <w:rFonts w:ascii="Arial Narrow" w:eastAsia="Calibri" w:hAnsi="Arial Narrow"/>
        </w:rPr>
        <w:t xml:space="preserve"> cual de acuerdo con la revisión efectuada se logró determinar </w:t>
      </w:r>
      <w:r>
        <w:rPr>
          <w:rFonts w:ascii="Arial Narrow" w:eastAsia="Calibri" w:hAnsi="Arial Narrow"/>
        </w:rPr>
        <w:t>que para el 2019 y 2020 se registra un cumplimiento del 100% por parte del Centro de Apoyo, Coordinación y Mejoramiento de la Función Jurisdiccional, según informa la oficina para el 2019 se realizaron los esfuerzos y se muestran las</w:t>
      </w:r>
      <w:r w:rsidRPr="002E0B96">
        <w:rPr>
          <w:rFonts w:ascii="Arial Narrow" w:eastAsia="Calibri" w:hAnsi="Arial Narrow"/>
        </w:rPr>
        <w:t xml:space="preserve"> gestiones realizadas para la creación del módulo de SIGMA en el cual se puede obtener la información de conciliaciones y nulidades de todos los despachos del país.</w:t>
      </w:r>
      <w:r>
        <w:rPr>
          <w:rFonts w:ascii="Arial Narrow" w:eastAsia="Calibri" w:hAnsi="Arial Narrow"/>
        </w:rPr>
        <w:t xml:space="preserve"> Para el 2020, se informa que se remite a la Corte el informe 396-CACMFJ-JEF-2020 del 13 de noviembre 2020, un análisis </w:t>
      </w:r>
      <w:r w:rsidRPr="002E0B96">
        <w:rPr>
          <w:rFonts w:ascii="Arial Narrow" w:eastAsia="Calibri" w:hAnsi="Arial Narrow"/>
        </w:rPr>
        <w:t>sobre la cantidad de nulidades en los Tribunales Civiles y de Trabajo del país, producto de la aplicación de las medidas alternas</w:t>
      </w:r>
      <w:r>
        <w:rPr>
          <w:rFonts w:ascii="Arial Narrow" w:eastAsia="Calibri" w:hAnsi="Arial Narrow"/>
        </w:rPr>
        <w:t>.</w:t>
      </w:r>
    </w:p>
    <w:p w14:paraId="396E8787" w14:textId="77777777" w:rsidR="00AB78AD" w:rsidRDefault="00AB78AD" w:rsidP="00AB78AD">
      <w:pPr>
        <w:spacing w:line="360" w:lineRule="auto"/>
        <w:jc w:val="both"/>
        <w:rPr>
          <w:rFonts w:ascii="Arial Narrow" w:eastAsia="Calibri" w:hAnsi="Arial Narrow"/>
        </w:rPr>
      </w:pPr>
    </w:p>
    <w:p w14:paraId="60521DC8" w14:textId="17B8BE7B" w:rsidR="00AB78AD" w:rsidRDefault="00AB78AD" w:rsidP="00AB78AD">
      <w:pPr>
        <w:spacing w:line="360" w:lineRule="auto"/>
        <w:jc w:val="both"/>
        <w:rPr>
          <w:rFonts w:ascii="Arial Narrow" w:eastAsia="Calibri" w:hAnsi="Arial Narrow"/>
        </w:rPr>
      </w:pPr>
      <w:r>
        <w:rPr>
          <w:rFonts w:ascii="Arial Narrow" w:eastAsia="Calibri" w:hAnsi="Arial Narrow"/>
        </w:rPr>
        <w:t xml:space="preserve">La meta estratégica </w:t>
      </w:r>
      <w:r w:rsidR="00A33B1E">
        <w:rPr>
          <w:rFonts w:ascii="Arial Narrow" w:eastAsia="Calibri" w:hAnsi="Arial Narrow"/>
          <w:b/>
          <w:bCs/>
          <w:i/>
          <w:iCs/>
        </w:rPr>
        <w:t>“Q</w:t>
      </w:r>
      <w:r w:rsidRPr="006921FA">
        <w:rPr>
          <w:rFonts w:ascii="Arial Narrow" w:eastAsia="Calibri" w:hAnsi="Arial Narrow"/>
          <w:b/>
          <w:bCs/>
          <w:i/>
          <w:iCs/>
        </w:rPr>
        <w:t>ue al finalizar el 2024, se hayan implementado planes de trabajo en los despachos civiles de primera instancia, con el fin de incrementar la cantidad de casos terminados mes a mes</w:t>
      </w:r>
      <w:r w:rsidR="00A33B1E">
        <w:rPr>
          <w:rFonts w:ascii="Arial Narrow" w:eastAsia="Calibri" w:hAnsi="Arial Narrow"/>
          <w:b/>
          <w:bCs/>
          <w:i/>
          <w:iCs/>
        </w:rPr>
        <w:t>”</w:t>
      </w:r>
      <w:r>
        <w:rPr>
          <w:rFonts w:ascii="Arial Narrow" w:eastAsia="Calibri" w:hAnsi="Arial Narrow"/>
        </w:rPr>
        <w:t xml:space="preserve">, se tiene que en el 2019 se reporta por parte de los 38 despachos civiles con meta asignada, un cumplimiento </w:t>
      </w:r>
      <w:r w:rsidRPr="009D27BE">
        <w:rPr>
          <w:rFonts w:ascii="Arial Narrow" w:eastAsia="Calibri" w:hAnsi="Arial Narrow"/>
        </w:rPr>
        <w:t xml:space="preserve">de </w:t>
      </w:r>
      <w:r>
        <w:rPr>
          <w:rFonts w:ascii="Arial Narrow" w:eastAsia="Calibri" w:hAnsi="Arial Narrow"/>
        </w:rPr>
        <w:t>97</w:t>
      </w:r>
      <w:r w:rsidRPr="009D27BE">
        <w:rPr>
          <w:rFonts w:ascii="Arial Narrow" w:eastAsia="Calibri" w:hAnsi="Arial Narrow"/>
        </w:rPr>
        <w:t>%</w:t>
      </w:r>
      <w:r>
        <w:rPr>
          <w:rFonts w:ascii="Arial Narrow" w:eastAsia="Calibri" w:hAnsi="Arial Narrow"/>
        </w:rPr>
        <w:t xml:space="preserve"> mientras que para el 2020 el dato reportado es de 93%. Se tiene que para los despachos civiles en el 2019 se terminaron 18.418 expedientes y para el 2020 se terminaron 14.877</w:t>
      </w:r>
      <w:r w:rsidRPr="00747882">
        <w:rPr>
          <w:rFonts w:ascii="Arial Narrow" w:eastAsia="Calibri" w:hAnsi="Arial Narrow"/>
        </w:rPr>
        <w:t xml:space="preserve"> </w:t>
      </w:r>
      <w:r w:rsidRPr="007A4EFB">
        <w:rPr>
          <w:rFonts w:ascii="Arial Narrow" w:eastAsia="Calibri" w:hAnsi="Arial Narrow"/>
        </w:rPr>
        <w:t xml:space="preserve">expedientes según el Sistema SIGMA, </w:t>
      </w:r>
      <w:r>
        <w:rPr>
          <w:rFonts w:ascii="Arial Narrow" w:eastAsia="Calibri" w:hAnsi="Arial Narrow"/>
        </w:rPr>
        <w:t>de acuerdo con las metas esperadas para el 2019 estaba consignado 16.198 casos por lo que la meta fue ampliamente superada, mientras que para el 2020 se tiene que la meta era de 16.360 expedientes por lo que no se logró a cabalidad registrándose a un 90%.</w:t>
      </w:r>
    </w:p>
    <w:p w14:paraId="34BD22E8" w14:textId="77777777" w:rsidR="0049673D" w:rsidRDefault="0049673D" w:rsidP="00AB78AD">
      <w:pPr>
        <w:spacing w:line="360" w:lineRule="auto"/>
        <w:jc w:val="both"/>
        <w:rPr>
          <w:rFonts w:eastAsia="Calibri"/>
          <w:highlight w:val="yellow"/>
          <w:lang w:eastAsia="en-US"/>
        </w:rPr>
        <w:sectPr w:rsidR="0049673D" w:rsidSect="0049673D">
          <w:pgSz w:w="12242" w:h="15842" w:code="1"/>
          <w:pgMar w:top="719" w:right="1469" w:bottom="719" w:left="1560" w:header="709" w:footer="709" w:gutter="0"/>
          <w:cols w:space="708"/>
          <w:docGrid w:linePitch="360"/>
        </w:sectPr>
      </w:pPr>
    </w:p>
    <w:p w14:paraId="639DA556" w14:textId="63798748" w:rsidR="00AB78AD" w:rsidRPr="009D27BE" w:rsidRDefault="00AB78AD" w:rsidP="00AB78AD">
      <w:pPr>
        <w:tabs>
          <w:tab w:val="left" w:pos="2776"/>
        </w:tabs>
        <w:spacing w:line="360" w:lineRule="auto"/>
        <w:jc w:val="center"/>
        <w:rPr>
          <w:rFonts w:ascii="Arial Narrow" w:eastAsia="Calibri" w:hAnsi="Arial Narrow"/>
          <w:b/>
          <w:bCs/>
        </w:rPr>
      </w:pPr>
      <w:bookmarkStart w:id="38" w:name="_Toc76062240"/>
      <w:r w:rsidRPr="009D27BE">
        <w:rPr>
          <w:rFonts w:ascii="Arial Narrow" w:hAnsi="Arial Narrow"/>
          <w:b/>
          <w:bCs/>
        </w:rPr>
        <w:lastRenderedPageBreak/>
        <w:t xml:space="preserve">Cuadro </w:t>
      </w:r>
      <w:r w:rsidRPr="009D27BE">
        <w:rPr>
          <w:rFonts w:ascii="Arial Narrow" w:hAnsi="Arial Narrow"/>
          <w:b/>
          <w:bCs/>
        </w:rPr>
        <w:fldChar w:fldCharType="begin"/>
      </w:r>
      <w:r w:rsidRPr="009D27BE">
        <w:rPr>
          <w:rFonts w:ascii="Arial Narrow" w:hAnsi="Arial Narrow"/>
          <w:b/>
          <w:bCs/>
        </w:rPr>
        <w:instrText xml:space="preserve"> SEQ Cuadro_No. \* ARABIC </w:instrText>
      </w:r>
      <w:r w:rsidRPr="009D27BE">
        <w:rPr>
          <w:rFonts w:ascii="Arial Narrow" w:hAnsi="Arial Narrow"/>
          <w:b/>
          <w:bCs/>
        </w:rPr>
        <w:fldChar w:fldCharType="separate"/>
      </w:r>
      <w:r w:rsidR="0049673D">
        <w:rPr>
          <w:rFonts w:ascii="Arial Narrow" w:hAnsi="Arial Narrow"/>
          <w:b/>
          <w:bCs/>
          <w:noProof/>
        </w:rPr>
        <w:t>17</w:t>
      </w:r>
      <w:r w:rsidRPr="009D27BE">
        <w:rPr>
          <w:rFonts w:ascii="Arial Narrow" w:hAnsi="Arial Narrow"/>
          <w:b/>
          <w:bCs/>
        </w:rPr>
        <w:fldChar w:fldCharType="end"/>
      </w:r>
      <w:r w:rsidRPr="009D27BE">
        <w:rPr>
          <w:rFonts w:ascii="Arial Narrow" w:hAnsi="Arial Narrow"/>
          <w:b/>
          <w:bCs/>
        </w:rPr>
        <w:t xml:space="preserve"> Continuación de </w:t>
      </w:r>
      <w:r w:rsidRPr="009D27BE">
        <w:rPr>
          <w:rFonts w:ascii="Arial Narrow" w:eastAsia="Calibri" w:hAnsi="Arial Narrow"/>
          <w:b/>
          <w:bCs/>
          <w:lang w:eastAsia="en-US"/>
        </w:rPr>
        <w:t>Metas estratégicas de Celeridad Judicial y su cumplimiento para el 2019-2020</w:t>
      </w:r>
      <w:bookmarkEnd w:id="38"/>
    </w:p>
    <w:p w14:paraId="31DCB5E0" w14:textId="77777777" w:rsidR="00AB78AD" w:rsidRDefault="00AB78AD" w:rsidP="00AB78AD">
      <w:pPr>
        <w:spacing w:line="360" w:lineRule="auto"/>
        <w:jc w:val="both"/>
        <w:rPr>
          <w:rFonts w:eastAsia="Calibri"/>
          <w:highlight w:val="yellow"/>
          <w:lang w:eastAsia="en-US"/>
        </w:rPr>
      </w:pPr>
      <w:r>
        <w:rPr>
          <w:noProof/>
          <w:lang w:val="es-CR" w:eastAsia="es-CR"/>
        </w:rPr>
        <w:drawing>
          <wp:inline distT="0" distB="0" distL="0" distR="0" wp14:anchorId="2CC9D1D0" wp14:editId="4CB9D7E0">
            <wp:extent cx="9146540" cy="3977217"/>
            <wp:effectExtent l="19050" t="19050" r="16510" b="23495"/>
            <wp:docPr id="114" name="Imagen 114" descr="Imagen que contiene gabinete&#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Imagen 114" descr="Imagen que contiene gabinete&#10;&#10;Descripción generada automáticamente"/>
                    <pic:cNvPicPr/>
                  </pic:nvPicPr>
                  <pic:blipFill>
                    <a:blip r:embed="rId70"/>
                    <a:stretch>
                      <a:fillRect/>
                    </a:stretch>
                  </pic:blipFill>
                  <pic:spPr>
                    <a:xfrm>
                      <a:off x="0" y="0"/>
                      <a:ext cx="9160371" cy="3983231"/>
                    </a:xfrm>
                    <a:prstGeom prst="rect">
                      <a:avLst/>
                    </a:prstGeom>
                    <a:ln w="19050">
                      <a:solidFill>
                        <a:schemeClr val="accent1"/>
                      </a:solidFill>
                    </a:ln>
                  </pic:spPr>
                </pic:pic>
              </a:graphicData>
            </a:graphic>
          </wp:inline>
        </w:drawing>
      </w:r>
    </w:p>
    <w:p w14:paraId="7B3A1FD9" w14:textId="77777777" w:rsidR="00AB78AD" w:rsidRDefault="00AB78AD" w:rsidP="00AB78AD">
      <w:pPr>
        <w:spacing w:line="360" w:lineRule="auto"/>
        <w:jc w:val="both"/>
        <w:rPr>
          <w:rFonts w:eastAsia="Calibri"/>
          <w:highlight w:val="yellow"/>
          <w:lang w:eastAsia="en-US"/>
        </w:rPr>
      </w:pPr>
    </w:p>
    <w:p w14:paraId="7FE4C0FD" w14:textId="77777777" w:rsidR="00AB78AD" w:rsidRDefault="00AB78AD" w:rsidP="00AB78AD">
      <w:pPr>
        <w:rPr>
          <w:rFonts w:eastAsia="Calibri"/>
          <w:lang w:eastAsia="en-US"/>
        </w:rPr>
      </w:pPr>
      <w:r w:rsidRPr="00EE2E13">
        <w:rPr>
          <w:rFonts w:ascii="Arial Narrow" w:hAnsi="Arial Narrow"/>
          <w:sz w:val="18"/>
          <w:szCs w:val="18"/>
          <w:lang w:val="es-CR" w:eastAsia="es-CR"/>
        </w:rPr>
        <w:t>Fuente: Sistema PEI al 24 de enero del 2020 (año 2019) y 04 de marzo del 2021 (año 2020).</w:t>
      </w:r>
    </w:p>
    <w:p w14:paraId="3A059751" w14:textId="77777777" w:rsidR="0049673D" w:rsidRDefault="0049673D" w:rsidP="00AB78AD">
      <w:pPr>
        <w:spacing w:line="360" w:lineRule="auto"/>
        <w:jc w:val="both"/>
        <w:rPr>
          <w:rFonts w:eastAsia="Calibri"/>
          <w:highlight w:val="yellow"/>
          <w:lang w:eastAsia="en-US"/>
        </w:rPr>
        <w:sectPr w:rsidR="0049673D" w:rsidSect="0049673D">
          <w:pgSz w:w="15842" w:h="12242" w:orient="landscape" w:code="1"/>
          <w:pgMar w:top="1560" w:right="719" w:bottom="1469" w:left="719" w:header="709" w:footer="709" w:gutter="0"/>
          <w:cols w:space="708"/>
          <w:docGrid w:linePitch="360"/>
        </w:sectPr>
      </w:pPr>
    </w:p>
    <w:p w14:paraId="16033F2B" w14:textId="22EE299F" w:rsidR="00AB78AD" w:rsidRDefault="00AB78AD" w:rsidP="00AB78AD">
      <w:pPr>
        <w:spacing w:line="360" w:lineRule="auto"/>
        <w:jc w:val="both"/>
        <w:rPr>
          <w:rFonts w:ascii="Arial Narrow" w:eastAsia="Calibri" w:hAnsi="Arial Narrow"/>
        </w:rPr>
      </w:pPr>
      <w:r>
        <w:rPr>
          <w:rFonts w:ascii="Arial Narrow" w:eastAsia="Calibri" w:hAnsi="Arial Narrow"/>
        </w:rPr>
        <w:lastRenderedPageBreak/>
        <w:t xml:space="preserve">La meta estratégica </w:t>
      </w:r>
      <w:r w:rsidR="00A33B1E">
        <w:rPr>
          <w:rFonts w:ascii="Arial Narrow" w:eastAsia="Calibri" w:hAnsi="Arial Narrow"/>
          <w:b/>
          <w:bCs/>
          <w:i/>
          <w:iCs/>
        </w:rPr>
        <w:t>“Q</w:t>
      </w:r>
      <w:r w:rsidRPr="006918F2">
        <w:rPr>
          <w:rFonts w:ascii="Arial Narrow" w:eastAsia="Calibri" w:hAnsi="Arial Narrow"/>
          <w:b/>
          <w:bCs/>
          <w:i/>
          <w:iCs/>
        </w:rPr>
        <w:t>ue al finalizar el 2024, se hayan implementado planes de trabajo en los despachos civiles de segunda instancia, con el fin de incrementar la cantidad de casos terminados mes a mes</w:t>
      </w:r>
      <w:r w:rsidR="00A33B1E">
        <w:rPr>
          <w:rFonts w:ascii="Arial Narrow" w:eastAsia="Calibri" w:hAnsi="Arial Narrow"/>
          <w:b/>
          <w:bCs/>
          <w:i/>
          <w:iCs/>
        </w:rPr>
        <w:t>”</w:t>
      </w:r>
      <w:r>
        <w:rPr>
          <w:rFonts w:ascii="Arial Narrow" w:eastAsia="Calibri" w:hAnsi="Arial Narrow"/>
          <w:b/>
          <w:bCs/>
          <w:i/>
          <w:iCs/>
        </w:rPr>
        <w:t xml:space="preserve">, </w:t>
      </w:r>
      <w:r>
        <w:rPr>
          <w:rFonts w:ascii="Arial Narrow" w:eastAsia="Calibri" w:hAnsi="Arial Narrow"/>
        </w:rPr>
        <w:t xml:space="preserve">se tiene que en el 2019 y 2020 se reporta por </w:t>
      </w:r>
      <w:r w:rsidRPr="009F775B">
        <w:rPr>
          <w:rFonts w:ascii="Arial Narrow" w:eastAsia="Calibri" w:hAnsi="Arial Narrow"/>
        </w:rPr>
        <w:t xml:space="preserve">parte de los 8 despachos civiles de segunda instancia asignados, se reporta un cumplimiento de PEI de 92% y 98% respectivamente, sin embargo, al revisar los datos reportados estadísticamente por medio de SIGMA, se tiene que se terminaron </w:t>
      </w:r>
      <w:r w:rsidRPr="002E0B96">
        <w:rPr>
          <w:rFonts w:ascii="Arial Narrow" w:eastAsia="Calibri" w:hAnsi="Arial Narrow"/>
        </w:rPr>
        <w:t>6.199</w:t>
      </w:r>
      <w:r w:rsidRPr="009F775B">
        <w:rPr>
          <w:rFonts w:ascii="Arial Narrow" w:eastAsia="Calibri" w:hAnsi="Arial Narrow"/>
        </w:rPr>
        <w:t xml:space="preserve">  asuntos en el 2019 y </w:t>
      </w:r>
      <w:r w:rsidRPr="002E0B96">
        <w:rPr>
          <w:rFonts w:ascii="Arial Narrow" w:eastAsia="Calibri" w:hAnsi="Arial Narrow"/>
        </w:rPr>
        <w:t>5.583</w:t>
      </w:r>
      <w:r w:rsidRPr="009F775B">
        <w:rPr>
          <w:rFonts w:ascii="Arial Narrow" w:eastAsia="Calibri" w:hAnsi="Arial Narrow"/>
        </w:rPr>
        <w:t xml:space="preserve"> asuntos en el 2020. Al confrontar estos últimos datos estadísticos con las metas propuestas, se observa que en el 2019 se requería terminar </w:t>
      </w:r>
      <w:r w:rsidRPr="002E0B96">
        <w:rPr>
          <w:rFonts w:ascii="Arial Narrow" w:eastAsia="Calibri" w:hAnsi="Arial Narrow"/>
        </w:rPr>
        <w:t>4.787</w:t>
      </w:r>
      <w:r w:rsidRPr="009F775B">
        <w:rPr>
          <w:rFonts w:ascii="Arial Narrow" w:eastAsia="Calibri" w:hAnsi="Arial Narrow"/>
        </w:rPr>
        <w:t xml:space="preserve"> expedientes por lo que la meta fue superada y se registra como cumplimiento </w:t>
      </w:r>
      <w:r w:rsidRPr="002E0B96">
        <w:rPr>
          <w:rFonts w:ascii="Arial Narrow" w:eastAsia="Calibri" w:hAnsi="Arial Narrow"/>
        </w:rPr>
        <w:t>alto de 100%</w:t>
      </w:r>
      <w:r w:rsidRPr="009F775B">
        <w:rPr>
          <w:rFonts w:ascii="Arial Narrow" w:eastAsia="Calibri" w:hAnsi="Arial Narrow"/>
        </w:rPr>
        <w:t xml:space="preserve"> y para el 2020 la meta era de </w:t>
      </w:r>
      <w:r w:rsidRPr="002E0B96">
        <w:rPr>
          <w:rFonts w:ascii="Arial Narrow" w:eastAsia="Calibri" w:hAnsi="Arial Narrow"/>
        </w:rPr>
        <w:t>4.835</w:t>
      </w:r>
      <w:r w:rsidRPr="009F775B">
        <w:rPr>
          <w:rFonts w:ascii="Arial Narrow" w:eastAsia="Calibri" w:hAnsi="Arial Narrow"/>
        </w:rPr>
        <w:t xml:space="preserve"> asuntos y por lo tanto,</w:t>
      </w:r>
      <w:r w:rsidRPr="002E0B96">
        <w:rPr>
          <w:rFonts w:ascii="Arial Narrow" w:eastAsia="Calibri" w:hAnsi="Arial Narrow"/>
        </w:rPr>
        <w:t xml:space="preserve"> de igual manera la meta fue sobrepasada en 748 asuntos, </w:t>
      </w:r>
      <w:r w:rsidRPr="009F775B">
        <w:rPr>
          <w:rFonts w:ascii="Arial Narrow" w:eastAsia="Calibri" w:hAnsi="Arial Narrow"/>
        </w:rPr>
        <w:t xml:space="preserve">lo que representa en </w:t>
      </w:r>
      <w:r w:rsidRPr="002E0B96">
        <w:rPr>
          <w:rFonts w:ascii="Arial Narrow" w:eastAsia="Calibri" w:hAnsi="Arial Narrow"/>
        </w:rPr>
        <w:t>cumplimiento de un 100%</w:t>
      </w:r>
      <w:r w:rsidRPr="009F775B">
        <w:rPr>
          <w:rFonts w:ascii="Arial Narrow" w:eastAsia="Calibri" w:hAnsi="Arial Narrow"/>
        </w:rPr>
        <w:t xml:space="preserve"> para </w:t>
      </w:r>
      <w:r w:rsidRPr="002E0B96">
        <w:rPr>
          <w:rFonts w:ascii="Arial Narrow" w:eastAsia="Calibri" w:hAnsi="Arial Narrow"/>
        </w:rPr>
        <w:t>ese</w:t>
      </w:r>
      <w:r w:rsidRPr="009F775B">
        <w:rPr>
          <w:rFonts w:ascii="Arial Narrow" w:eastAsia="Calibri" w:hAnsi="Arial Narrow"/>
        </w:rPr>
        <w:t xml:space="preserve"> año.</w:t>
      </w:r>
      <w:r>
        <w:rPr>
          <w:rFonts w:ascii="Arial Narrow" w:eastAsia="Calibri" w:hAnsi="Arial Narrow"/>
        </w:rPr>
        <w:t xml:space="preserve"> </w:t>
      </w:r>
    </w:p>
    <w:p w14:paraId="159B027B" w14:textId="77777777" w:rsidR="00AB78AD" w:rsidRDefault="00AB78AD" w:rsidP="00AB78AD">
      <w:pPr>
        <w:spacing w:line="360" w:lineRule="auto"/>
        <w:jc w:val="both"/>
        <w:rPr>
          <w:rFonts w:ascii="Arial Narrow" w:eastAsia="Calibri" w:hAnsi="Arial Narrow"/>
        </w:rPr>
      </w:pPr>
    </w:p>
    <w:p w14:paraId="76BAE273" w14:textId="73BDC3A5" w:rsidR="00AB78AD" w:rsidRDefault="00AB78AD" w:rsidP="00AB78AD">
      <w:pPr>
        <w:spacing w:line="360" w:lineRule="auto"/>
        <w:jc w:val="both"/>
        <w:rPr>
          <w:rFonts w:ascii="Arial Narrow" w:eastAsia="Calibri" w:hAnsi="Arial Narrow"/>
        </w:rPr>
      </w:pPr>
      <w:r>
        <w:rPr>
          <w:rFonts w:ascii="Arial Narrow" w:eastAsia="Calibri" w:hAnsi="Arial Narrow"/>
        </w:rPr>
        <w:t xml:space="preserve">Por su parte, la meta estratégica </w:t>
      </w:r>
      <w:r w:rsidR="00A33B1E">
        <w:rPr>
          <w:rFonts w:ascii="Arial Narrow" w:eastAsia="Calibri" w:hAnsi="Arial Narrow"/>
          <w:b/>
          <w:bCs/>
          <w:i/>
          <w:iCs/>
        </w:rPr>
        <w:t>“Q</w:t>
      </w:r>
      <w:r w:rsidRPr="006918F2">
        <w:rPr>
          <w:rFonts w:ascii="Arial Narrow" w:eastAsia="Calibri" w:hAnsi="Arial Narrow"/>
          <w:b/>
          <w:bCs/>
          <w:i/>
          <w:iCs/>
        </w:rPr>
        <w:t>ue al finalizar el 2024, se hayan conocido y aprobado estrategias, planes de trabajo, requerimientos de recursos humanos y presupuestarios, para la efectiva gestión institucional, en aras de mejorar la celeridad y la resolución oportuna de los procesos judiciales</w:t>
      </w:r>
      <w:r w:rsidR="00A33B1E">
        <w:rPr>
          <w:rFonts w:ascii="Arial Narrow" w:eastAsia="Calibri" w:hAnsi="Arial Narrow"/>
          <w:b/>
          <w:bCs/>
          <w:i/>
          <w:iCs/>
        </w:rPr>
        <w:t>”</w:t>
      </w:r>
      <w:r>
        <w:rPr>
          <w:rFonts w:ascii="Arial Narrow" w:eastAsia="Calibri" w:hAnsi="Arial Narrow"/>
        </w:rPr>
        <w:t>, la</w:t>
      </w:r>
      <w:r w:rsidRPr="00484CC1">
        <w:rPr>
          <w:rFonts w:ascii="Arial Narrow" w:eastAsia="Calibri" w:hAnsi="Arial Narrow"/>
        </w:rPr>
        <w:t xml:space="preserve"> cual de acuerdo con la revisión efectuada se logró determinar </w:t>
      </w:r>
      <w:r>
        <w:rPr>
          <w:rFonts w:ascii="Arial Narrow" w:eastAsia="Calibri" w:hAnsi="Arial Narrow"/>
        </w:rPr>
        <w:t xml:space="preserve">que para el 2019 no tenía meta operativa vinculada por lo que no se le registra cumplimiento para ese año. Para el 2020 registra un cumplimiento total del 100% debido a los avances ingresados por parte del Consejo Superior, por medio de las actas 28-2020, articulo XXII, sesión 68-2020, articulo único; sesión 76-20, articulo XXVI (aprobación del informe 1107-PLA-PE-2020), sesión 94-2020 articulo LXXXVI, los cuales son acuerdos donde se evidencia la </w:t>
      </w:r>
      <w:r w:rsidRPr="009F775B">
        <w:rPr>
          <w:rFonts w:ascii="Arial Narrow" w:eastAsia="Calibri" w:hAnsi="Arial Narrow"/>
        </w:rPr>
        <w:t>aproba</w:t>
      </w:r>
      <w:r>
        <w:rPr>
          <w:rFonts w:ascii="Arial Narrow" w:eastAsia="Calibri" w:hAnsi="Arial Narrow"/>
        </w:rPr>
        <w:t>ción de</w:t>
      </w:r>
      <w:r w:rsidRPr="009F775B">
        <w:rPr>
          <w:rFonts w:ascii="Arial Narrow" w:eastAsia="Calibri" w:hAnsi="Arial Narrow"/>
        </w:rPr>
        <w:t xml:space="preserve"> los recursos humanos, presupuestarios y planes de descongestionamiento</w:t>
      </w:r>
      <w:r>
        <w:rPr>
          <w:rFonts w:ascii="Arial Narrow" w:eastAsia="Calibri" w:hAnsi="Arial Narrow"/>
        </w:rPr>
        <w:t>.</w:t>
      </w:r>
    </w:p>
    <w:p w14:paraId="7A8E57B3" w14:textId="77777777" w:rsidR="00AB78AD" w:rsidRDefault="00AB78AD" w:rsidP="00AB78AD">
      <w:pPr>
        <w:spacing w:line="360" w:lineRule="auto"/>
        <w:jc w:val="both"/>
        <w:rPr>
          <w:rFonts w:ascii="Arial Narrow" w:eastAsia="Calibri" w:hAnsi="Arial Narrow"/>
        </w:rPr>
      </w:pPr>
    </w:p>
    <w:p w14:paraId="41C76D08" w14:textId="6C2F7A66" w:rsidR="00AB78AD" w:rsidRDefault="00AB78AD" w:rsidP="00AB78AD">
      <w:pPr>
        <w:spacing w:line="360" w:lineRule="auto"/>
        <w:jc w:val="both"/>
        <w:rPr>
          <w:rFonts w:ascii="Arial Narrow" w:eastAsia="Calibri" w:hAnsi="Arial Narrow"/>
        </w:rPr>
      </w:pPr>
      <w:r>
        <w:rPr>
          <w:rFonts w:ascii="Arial Narrow" w:eastAsia="Calibri" w:hAnsi="Arial Narrow"/>
        </w:rPr>
        <w:t xml:space="preserve">La meta estratégica </w:t>
      </w:r>
      <w:r w:rsidR="00A33B1E">
        <w:rPr>
          <w:rFonts w:ascii="Arial Narrow" w:eastAsia="Calibri" w:hAnsi="Arial Narrow"/>
          <w:b/>
          <w:bCs/>
          <w:i/>
          <w:iCs/>
        </w:rPr>
        <w:t>“Q</w:t>
      </w:r>
      <w:r w:rsidRPr="006918F2">
        <w:rPr>
          <w:rFonts w:ascii="Arial Narrow" w:eastAsia="Calibri" w:hAnsi="Arial Narrow"/>
          <w:b/>
          <w:bCs/>
          <w:i/>
          <w:iCs/>
        </w:rPr>
        <w:t>ue al finalizar el 2024, se haya incrementado la cantidad de casos salidos por el Organismo de Investigación Judicial por año</w:t>
      </w:r>
      <w:r w:rsidR="00A33B1E">
        <w:rPr>
          <w:rFonts w:ascii="Arial Narrow" w:eastAsia="Calibri" w:hAnsi="Arial Narrow"/>
          <w:b/>
          <w:bCs/>
          <w:i/>
          <w:iCs/>
        </w:rPr>
        <w:t>”</w:t>
      </w:r>
      <w:r>
        <w:rPr>
          <w:rFonts w:ascii="Arial Narrow" w:eastAsia="Calibri" w:hAnsi="Arial Narrow"/>
          <w:b/>
          <w:bCs/>
          <w:i/>
          <w:iCs/>
        </w:rPr>
        <w:t xml:space="preserve">, </w:t>
      </w:r>
      <w:r>
        <w:rPr>
          <w:rFonts w:ascii="Arial Narrow" w:eastAsia="Calibri" w:hAnsi="Arial Narrow"/>
        </w:rPr>
        <w:t xml:space="preserve">se tiene que en el 2019 y 2020 se reporta por parte de las 51 oficinas, delegaciones, subdelegaciones, oficinas regionales todos los esfuerzos de casos terminados para esos años, registrando a nivel de </w:t>
      </w:r>
      <w:r w:rsidRPr="00555B73">
        <w:rPr>
          <w:rFonts w:ascii="Arial Narrow" w:eastAsia="Calibri" w:hAnsi="Arial Narrow"/>
        </w:rPr>
        <w:t>cumplimiento PEI un 97% y 99% respectivamente. Al confrontar esos datos contra lo esperado para el 2019</w:t>
      </w:r>
      <w:r>
        <w:rPr>
          <w:rFonts w:ascii="Arial Narrow" w:eastAsia="Calibri" w:hAnsi="Arial Narrow"/>
        </w:rPr>
        <w:t xml:space="preserve">, </w:t>
      </w:r>
      <w:r w:rsidRPr="00555B73">
        <w:rPr>
          <w:rFonts w:ascii="Arial Narrow" w:eastAsia="Calibri" w:hAnsi="Arial Narrow"/>
        </w:rPr>
        <w:t xml:space="preserve">se esperaba terminar 87.703 casos salidos, se logró realmente 68.219 asuntos, (equivale a un </w:t>
      </w:r>
      <w:r>
        <w:rPr>
          <w:rFonts w:ascii="Arial Narrow" w:eastAsia="Calibri" w:hAnsi="Arial Narrow"/>
        </w:rPr>
        <w:t>77,8%), esto en parte porque las oficinas en el 2019 no utilizaban en su totalidad el Sistema ECU, fue hasta comienzos del 2020</w:t>
      </w:r>
      <w:r w:rsidRPr="00555B73">
        <w:rPr>
          <w:rFonts w:ascii="Arial Narrow" w:eastAsia="Calibri" w:hAnsi="Arial Narrow"/>
        </w:rPr>
        <w:t xml:space="preserve"> </w:t>
      </w:r>
      <w:r w:rsidRPr="00F84852">
        <w:rPr>
          <w:rFonts w:ascii="Arial Narrow" w:eastAsia="Calibri" w:hAnsi="Arial Narrow"/>
        </w:rPr>
        <w:t>que se empezó con la obligatoriedad de utilizarlo</w:t>
      </w:r>
      <w:r>
        <w:rPr>
          <w:rFonts w:ascii="Arial Narrow" w:eastAsia="Calibri" w:hAnsi="Arial Narrow"/>
        </w:rPr>
        <w:t xml:space="preserve">.  </w:t>
      </w:r>
      <w:r w:rsidRPr="00555B73">
        <w:rPr>
          <w:rFonts w:ascii="Arial Narrow" w:eastAsia="Calibri" w:hAnsi="Arial Narrow"/>
        </w:rPr>
        <w:t xml:space="preserve">Para el 2020, se esperaba concluir </w:t>
      </w:r>
      <w:r>
        <w:rPr>
          <w:rFonts w:ascii="Arial Narrow" w:eastAsia="Calibri" w:hAnsi="Arial Narrow"/>
        </w:rPr>
        <w:t>88.580</w:t>
      </w:r>
      <w:r w:rsidRPr="00555B73">
        <w:rPr>
          <w:rFonts w:ascii="Arial Narrow" w:eastAsia="Calibri" w:hAnsi="Arial Narrow"/>
        </w:rPr>
        <w:t xml:space="preserve"> casos, sin embargo, la meta fue </w:t>
      </w:r>
      <w:r w:rsidRPr="00555B73">
        <w:rPr>
          <w:rFonts w:ascii="Arial Narrow" w:eastAsia="Calibri" w:hAnsi="Arial Narrow"/>
        </w:rPr>
        <w:lastRenderedPageBreak/>
        <w:t>sobrepasada en gran manera al registrarse 147.443 casos salidos</w:t>
      </w:r>
      <w:r>
        <w:rPr>
          <w:rFonts w:ascii="Arial Narrow" w:eastAsia="Calibri" w:hAnsi="Arial Narrow"/>
        </w:rPr>
        <w:t>, según el Sistema ECU, por lo que se logra</w:t>
      </w:r>
      <w:r w:rsidRPr="00555B73">
        <w:rPr>
          <w:rFonts w:ascii="Arial Narrow" w:eastAsia="Calibri" w:hAnsi="Arial Narrow"/>
        </w:rPr>
        <w:t xml:space="preserve"> superar el 100% esperado.</w:t>
      </w:r>
    </w:p>
    <w:p w14:paraId="203C23C6" w14:textId="77777777" w:rsidR="00AB78AD" w:rsidRPr="00704B08" w:rsidRDefault="00AB78AD" w:rsidP="00AB78AD">
      <w:pPr>
        <w:spacing w:line="360" w:lineRule="auto"/>
        <w:jc w:val="both"/>
        <w:rPr>
          <w:rFonts w:ascii="Arial Narrow" w:eastAsia="Calibri" w:hAnsi="Arial Narrow"/>
        </w:rPr>
      </w:pPr>
    </w:p>
    <w:p w14:paraId="3E352CA9" w14:textId="77777777" w:rsidR="00AB78AD" w:rsidRPr="00704B08" w:rsidRDefault="00AB78AD" w:rsidP="00AB78AD">
      <w:pPr>
        <w:spacing w:line="360" w:lineRule="auto"/>
        <w:jc w:val="both"/>
        <w:rPr>
          <w:rFonts w:ascii="Arial Narrow" w:eastAsia="Calibri" w:hAnsi="Arial Narrow"/>
        </w:rPr>
      </w:pPr>
      <w:r w:rsidRPr="00704B08">
        <w:rPr>
          <w:rFonts w:ascii="Arial Narrow" w:eastAsia="Calibri" w:hAnsi="Arial Narrow"/>
        </w:rPr>
        <w:t>Es importante señalar que en la Matriz del PEI 2019-2024 adicionalmente se incluye la meta estratégica</w:t>
      </w:r>
      <w:r w:rsidRPr="00704B08" w:rsidDel="00920E85">
        <w:rPr>
          <w:rFonts w:ascii="Arial Narrow" w:eastAsia="Calibri" w:hAnsi="Arial Narrow"/>
        </w:rPr>
        <w:t xml:space="preserve"> </w:t>
      </w:r>
      <w:r w:rsidRPr="00704B08">
        <w:rPr>
          <w:rFonts w:ascii="Arial Narrow" w:eastAsia="Calibri" w:hAnsi="Arial Narrow"/>
        </w:rPr>
        <w:t>“</w:t>
      </w:r>
      <w:r w:rsidRPr="00704B08">
        <w:rPr>
          <w:rFonts w:ascii="Arial Narrow" w:eastAsia="Calibri" w:hAnsi="Arial Narrow"/>
          <w:i/>
          <w:iCs/>
        </w:rPr>
        <w:t>Que al finalizar el 2024, se haya incrementado la cantidad de casos terminados en materia Civil por año, en primera instancia</w:t>
      </w:r>
      <w:r w:rsidRPr="00704B08">
        <w:rPr>
          <w:rFonts w:ascii="Arial Narrow" w:eastAsia="Calibri" w:hAnsi="Arial Narrow"/>
        </w:rPr>
        <w:t xml:space="preserve">”. Sin embargo, esta meta no disponía de metas operativas para ser ejecutadas en el 2019, sino que se desarrolló una variación debido a la implementación del Código Procesal Civil y, por lo tanto, se ajustó a la siguiente meta para el 2019 y a posteriori, en los términos siguientes: </w:t>
      </w:r>
      <w:r w:rsidRPr="00704B08">
        <w:rPr>
          <w:rFonts w:ascii="Arial Narrow" w:eastAsia="Calibri" w:hAnsi="Arial Narrow"/>
          <w:i/>
          <w:iCs/>
        </w:rPr>
        <w:t>Que al finalizar el 2024, se hayan implementado planes de trabajo en los despachos civiles de primera instancia, con el fin de incrementar la cantidad de casos terminados mes a mes</w:t>
      </w:r>
      <w:r w:rsidRPr="00704B08">
        <w:rPr>
          <w:rFonts w:ascii="Arial Narrow" w:eastAsia="Calibri" w:hAnsi="Arial Narrow"/>
        </w:rPr>
        <w:t>. Esto con el fin de evaluar a los despachos civiles con planes de trabajo y su cumplimiento de 0-100%.</w:t>
      </w:r>
      <w:r>
        <w:rPr>
          <w:rFonts w:ascii="Arial Narrow" w:eastAsia="Calibri" w:hAnsi="Arial Narrow"/>
        </w:rPr>
        <w:t xml:space="preserve"> </w:t>
      </w:r>
    </w:p>
    <w:p w14:paraId="18FF1F0C" w14:textId="77777777" w:rsidR="00AB78AD" w:rsidRDefault="00AB78AD" w:rsidP="00AB78AD">
      <w:pPr>
        <w:rPr>
          <w:rFonts w:eastAsia="Calibri"/>
          <w:lang w:eastAsia="en-US"/>
        </w:rPr>
      </w:pPr>
    </w:p>
    <w:p w14:paraId="0E56C60F" w14:textId="4D2D14BD" w:rsidR="00AB78AD" w:rsidRPr="00704B08" w:rsidRDefault="000E3BF1" w:rsidP="00704B08">
      <w:pPr>
        <w:spacing w:line="360" w:lineRule="auto"/>
        <w:jc w:val="both"/>
        <w:rPr>
          <w:rFonts w:ascii="Arial Narrow" w:eastAsia="Calibri" w:hAnsi="Arial Narrow"/>
        </w:rPr>
      </w:pPr>
      <w:r w:rsidRPr="00704B08">
        <w:rPr>
          <w:rFonts w:ascii="Arial Narrow" w:eastAsia="Calibri" w:hAnsi="Arial Narrow"/>
        </w:rPr>
        <w:t>Resulta conveniente aclarar que para el 2021 se implement</w:t>
      </w:r>
      <w:r w:rsidR="00232DB0">
        <w:rPr>
          <w:rFonts w:ascii="Arial Narrow" w:eastAsia="Calibri" w:hAnsi="Arial Narrow"/>
        </w:rPr>
        <w:t>ó</w:t>
      </w:r>
      <w:r w:rsidRPr="00704B08">
        <w:rPr>
          <w:rFonts w:ascii="Arial Narrow" w:eastAsia="Calibri" w:hAnsi="Arial Narrow"/>
        </w:rPr>
        <w:t xml:space="preserve"> una mejora en el Sistema PAO que permite registrar avances automáticos en los indicadores relacionados con casos terminados de los despachos judiciales (área </w:t>
      </w:r>
      <w:r w:rsidRPr="000E3BF1">
        <w:rPr>
          <w:rFonts w:ascii="Arial Narrow" w:eastAsia="Calibri" w:hAnsi="Arial Narrow"/>
        </w:rPr>
        <w:t>jurisdiccional</w:t>
      </w:r>
      <w:r w:rsidRPr="00704B08">
        <w:rPr>
          <w:rFonts w:ascii="Arial Narrow" w:eastAsia="Calibri" w:hAnsi="Arial Narrow"/>
        </w:rPr>
        <w:t>).</w:t>
      </w:r>
      <w:r w:rsidR="00232DB0">
        <w:rPr>
          <w:rFonts w:ascii="Arial Narrow" w:eastAsia="Calibri" w:hAnsi="Arial Narrow"/>
        </w:rPr>
        <w:t xml:space="preserve"> Esto porque se interconecta con el Sistema SIGMA oficial de las Estadísticas judiciales lo que conlleva a tomar el dato </w:t>
      </w:r>
      <w:r w:rsidR="00232DB0" w:rsidRPr="00E06B01">
        <w:rPr>
          <w:rFonts w:ascii="Arial Narrow" w:eastAsia="Calibri" w:hAnsi="Arial Narrow"/>
        </w:rPr>
        <w:t>fidedigno y real de lo que los despachos realmente terminan por año</w:t>
      </w:r>
      <w:r w:rsidR="00232DB0">
        <w:rPr>
          <w:rFonts w:ascii="Arial Narrow" w:eastAsia="Calibri" w:hAnsi="Arial Narrow"/>
        </w:rPr>
        <w:t>, a</w:t>
      </w:r>
      <w:r w:rsidRPr="00704B08">
        <w:rPr>
          <w:rFonts w:ascii="Arial Narrow" w:eastAsia="Calibri" w:hAnsi="Arial Narrow"/>
        </w:rPr>
        <w:t xml:space="preserve"> su vez, </w:t>
      </w:r>
      <w:r w:rsidR="00232DB0">
        <w:rPr>
          <w:rFonts w:ascii="Arial Narrow" w:eastAsia="Calibri" w:hAnsi="Arial Narrow"/>
        </w:rPr>
        <w:t xml:space="preserve">también aplica para la siguiente acción estratégica de medidas alternas, siempre y cuando sean despachos del </w:t>
      </w:r>
      <w:r w:rsidR="00232DB0" w:rsidRPr="00EC0D72">
        <w:rPr>
          <w:rFonts w:ascii="Arial Narrow" w:eastAsia="Calibri" w:hAnsi="Arial Narrow"/>
        </w:rPr>
        <w:t>área jurisdiccional</w:t>
      </w:r>
      <w:r w:rsidR="00232DB0">
        <w:rPr>
          <w:rFonts w:ascii="Arial Narrow" w:eastAsia="Calibri" w:hAnsi="Arial Narrow"/>
        </w:rPr>
        <w:t>.</w:t>
      </w:r>
    </w:p>
    <w:p w14:paraId="31F8F7DB" w14:textId="77777777" w:rsidR="00AB78AD" w:rsidRDefault="00AB78AD" w:rsidP="00AB78AD">
      <w:pPr>
        <w:rPr>
          <w:rFonts w:eastAsia="Calibri"/>
          <w:lang w:eastAsia="en-US"/>
        </w:rPr>
      </w:pPr>
    </w:p>
    <w:p w14:paraId="36E64C43" w14:textId="77777777" w:rsidR="00AB78AD" w:rsidRDefault="00AB78AD" w:rsidP="00AB78AD">
      <w:pPr>
        <w:rPr>
          <w:rFonts w:eastAsia="Calibri"/>
          <w:lang w:eastAsia="en-US"/>
        </w:rPr>
      </w:pPr>
    </w:p>
    <w:p w14:paraId="3C087FCE" w14:textId="77777777" w:rsidR="00AB78AD" w:rsidRPr="000B4845" w:rsidRDefault="00AB78AD" w:rsidP="00AB78AD">
      <w:pPr>
        <w:rPr>
          <w:rFonts w:eastAsia="Calibri"/>
          <w:lang w:eastAsia="en-US"/>
        </w:rPr>
      </w:pPr>
    </w:p>
    <w:p w14:paraId="2D1BD708" w14:textId="704E4A6C" w:rsidR="00AB78AD" w:rsidRPr="000D7411" w:rsidRDefault="000D7411" w:rsidP="00AB78AD">
      <w:pPr>
        <w:pStyle w:val="Ttulo4"/>
        <w:numPr>
          <w:ilvl w:val="0"/>
          <w:numId w:val="62"/>
        </w:numPr>
        <w:rPr>
          <w:rFonts w:ascii="Arial Narrow" w:eastAsia="Calibri" w:hAnsi="Arial Narrow"/>
        </w:rPr>
      </w:pPr>
      <w:r>
        <w:rPr>
          <w:rFonts w:ascii="Arial Narrow" w:eastAsia="Calibri" w:hAnsi="Arial Narrow"/>
          <w:lang w:val="es-ES_tradnl"/>
        </w:rPr>
        <w:t xml:space="preserve">5.1.3. </w:t>
      </w:r>
      <w:r w:rsidR="00AB78AD" w:rsidRPr="000D7411">
        <w:rPr>
          <w:rFonts w:ascii="Arial Narrow" w:eastAsia="Calibri" w:hAnsi="Arial Narrow"/>
          <w:lang w:val="es-ES_tradnl"/>
        </w:rPr>
        <w:t>Medidas</w:t>
      </w:r>
      <w:r w:rsidR="00AB78AD" w:rsidRPr="000D7411">
        <w:rPr>
          <w:rFonts w:ascii="Arial Narrow" w:eastAsia="Calibri" w:hAnsi="Arial Narrow"/>
        </w:rPr>
        <w:t xml:space="preserve"> alternas</w:t>
      </w:r>
    </w:p>
    <w:p w14:paraId="2015158A" w14:textId="77777777" w:rsidR="00AB78AD" w:rsidRPr="000B4845" w:rsidRDefault="00AB78AD" w:rsidP="00AB78AD">
      <w:pPr>
        <w:spacing w:line="360" w:lineRule="auto"/>
        <w:jc w:val="both"/>
        <w:rPr>
          <w:rFonts w:eastAsia="Calibri"/>
          <w:lang w:eastAsia="en-US"/>
        </w:rPr>
      </w:pPr>
    </w:p>
    <w:p w14:paraId="085D6329" w14:textId="77777777" w:rsidR="00F0386C" w:rsidRPr="00704B08" w:rsidRDefault="00F0386C" w:rsidP="00704B08">
      <w:pPr>
        <w:spacing w:line="360" w:lineRule="auto"/>
        <w:jc w:val="both"/>
        <w:rPr>
          <w:rFonts w:ascii="Arial Narrow" w:hAnsi="Arial Narrow" w:cs="Segoe UI"/>
          <w:sz w:val="21"/>
          <w:szCs w:val="21"/>
          <w:lang w:val="es-CR" w:eastAsia="es-CR"/>
        </w:rPr>
      </w:pPr>
      <w:r w:rsidRPr="00704B08">
        <w:rPr>
          <w:rFonts w:ascii="Arial Narrow" w:hAnsi="Arial Narrow" w:cs="Segoe UI"/>
          <w:lang w:eastAsia="es-CR"/>
        </w:rPr>
        <w:t>Se observan 18 metas estratégicas de las cuales 15 muestran una ejecución alta en su cumplimiento. Por otro lado, hay 3 metas que registran un cumplimiento medio. Se detalla a continuación las metas estratégicas y su cumplimiento para el 2019 y 2020:</w:t>
      </w:r>
    </w:p>
    <w:p w14:paraId="5A734168" w14:textId="77777777" w:rsidR="00AB78AD" w:rsidRPr="002E0B96" w:rsidRDefault="00AB78AD" w:rsidP="00AB78AD">
      <w:pPr>
        <w:spacing w:line="360" w:lineRule="auto"/>
        <w:jc w:val="both"/>
        <w:rPr>
          <w:rFonts w:ascii="Arial Narrow" w:eastAsia="Calibri" w:hAnsi="Arial Narrow"/>
          <w:highlight w:val="yellow"/>
        </w:rPr>
      </w:pPr>
    </w:p>
    <w:p w14:paraId="04082ABC" w14:textId="77777777" w:rsidR="00767FDB" w:rsidRDefault="00767FDB" w:rsidP="00AB78AD">
      <w:pPr>
        <w:ind w:left="372" w:firstLine="708"/>
        <w:rPr>
          <w:rFonts w:eastAsia="Calibri"/>
          <w:lang w:eastAsia="en-US"/>
        </w:rPr>
        <w:sectPr w:rsidR="00767FDB" w:rsidSect="0049673D">
          <w:pgSz w:w="12242" w:h="15842" w:code="1"/>
          <w:pgMar w:top="719" w:right="1469" w:bottom="719" w:left="1560" w:header="709" w:footer="709" w:gutter="0"/>
          <w:cols w:space="708"/>
          <w:docGrid w:linePitch="360"/>
        </w:sectPr>
      </w:pPr>
    </w:p>
    <w:p w14:paraId="494B2BF7" w14:textId="1D2087D8" w:rsidR="00AB78AD" w:rsidRPr="000B4845" w:rsidRDefault="00AB78AD" w:rsidP="00AB78AD">
      <w:pPr>
        <w:ind w:left="372" w:firstLine="708"/>
        <w:rPr>
          <w:rFonts w:eastAsia="Calibri"/>
          <w:lang w:eastAsia="en-US"/>
        </w:rPr>
      </w:pPr>
    </w:p>
    <w:p w14:paraId="63E28290" w14:textId="77777777" w:rsidR="00AB78AD" w:rsidRDefault="00AB78AD" w:rsidP="00AB78AD">
      <w:pPr>
        <w:rPr>
          <w:rFonts w:ascii="Arial Narrow" w:eastAsia="Calibri" w:hAnsi="Arial Narrow"/>
          <w:lang w:eastAsia="en-US"/>
        </w:rPr>
      </w:pPr>
    </w:p>
    <w:p w14:paraId="03B7B45E" w14:textId="00C6984D" w:rsidR="00AB78AD" w:rsidRPr="00484CC1" w:rsidRDefault="00AB78AD" w:rsidP="00AB78AD">
      <w:pPr>
        <w:pStyle w:val="Descripcin"/>
        <w:jc w:val="center"/>
        <w:rPr>
          <w:rFonts w:ascii="Arial Narrow" w:eastAsia="Calibri" w:hAnsi="Arial Narrow"/>
          <w:lang w:eastAsia="en-US"/>
        </w:rPr>
      </w:pPr>
      <w:bookmarkStart w:id="39" w:name="_Toc76062241"/>
      <w:r w:rsidRPr="00704B08">
        <w:rPr>
          <w:rFonts w:ascii="Arial Narrow" w:hAnsi="Arial Narrow"/>
          <w:sz w:val="24"/>
          <w:szCs w:val="24"/>
        </w:rPr>
        <w:t xml:space="preserve">Cuadro </w:t>
      </w:r>
      <w:r w:rsidRPr="00704B08">
        <w:rPr>
          <w:rFonts w:ascii="Arial Narrow" w:hAnsi="Arial Narrow"/>
          <w:sz w:val="24"/>
          <w:szCs w:val="24"/>
        </w:rPr>
        <w:fldChar w:fldCharType="begin"/>
      </w:r>
      <w:r w:rsidRPr="00704B08">
        <w:rPr>
          <w:rFonts w:ascii="Arial Narrow" w:hAnsi="Arial Narrow"/>
          <w:sz w:val="24"/>
          <w:szCs w:val="24"/>
        </w:rPr>
        <w:instrText xml:space="preserve"> SEQ Cuadro_No. \* ARABIC </w:instrText>
      </w:r>
      <w:r w:rsidRPr="00704B08">
        <w:rPr>
          <w:rFonts w:ascii="Arial Narrow" w:hAnsi="Arial Narrow"/>
          <w:sz w:val="24"/>
          <w:szCs w:val="24"/>
        </w:rPr>
        <w:fldChar w:fldCharType="separate"/>
      </w:r>
      <w:r w:rsidR="00767FDB">
        <w:rPr>
          <w:rFonts w:ascii="Arial Narrow" w:hAnsi="Arial Narrow"/>
          <w:noProof/>
          <w:sz w:val="24"/>
          <w:szCs w:val="24"/>
        </w:rPr>
        <w:t>18</w:t>
      </w:r>
      <w:r w:rsidRPr="00704B08">
        <w:rPr>
          <w:rFonts w:ascii="Arial Narrow" w:hAnsi="Arial Narrow"/>
          <w:sz w:val="24"/>
          <w:szCs w:val="24"/>
        </w:rPr>
        <w:fldChar w:fldCharType="end"/>
      </w:r>
      <w:r w:rsidRPr="00704B08">
        <w:rPr>
          <w:rFonts w:ascii="Arial Narrow" w:hAnsi="Arial Narrow"/>
          <w:sz w:val="24"/>
          <w:szCs w:val="24"/>
        </w:rPr>
        <w:t xml:space="preserve"> </w:t>
      </w:r>
      <w:r w:rsidRPr="00704B08">
        <w:rPr>
          <w:rFonts w:ascii="Arial Narrow" w:eastAsia="Calibri" w:hAnsi="Arial Narrow"/>
          <w:sz w:val="24"/>
          <w:szCs w:val="24"/>
          <w:lang w:eastAsia="en-US"/>
        </w:rPr>
        <w:t>Metas</w:t>
      </w:r>
      <w:r w:rsidRPr="009D5823">
        <w:rPr>
          <w:rFonts w:ascii="Arial Narrow" w:eastAsia="Calibri" w:hAnsi="Arial Narrow"/>
          <w:sz w:val="24"/>
          <w:szCs w:val="24"/>
          <w:lang w:eastAsia="en-US"/>
        </w:rPr>
        <w:t xml:space="preserve"> estratégicas</w:t>
      </w:r>
      <w:r w:rsidRPr="00665D61">
        <w:rPr>
          <w:rFonts w:ascii="Arial Narrow" w:eastAsia="Calibri" w:hAnsi="Arial Narrow"/>
          <w:sz w:val="24"/>
          <w:szCs w:val="24"/>
          <w:lang w:eastAsia="en-US"/>
        </w:rPr>
        <w:t xml:space="preserve"> de Medidas Alternas y su cumplimiento para el 2019</w:t>
      </w:r>
      <w:r>
        <w:rPr>
          <w:rFonts w:ascii="Arial Narrow" w:eastAsia="Calibri" w:hAnsi="Arial Narrow"/>
          <w:sz w:val="24"/>
          <w:szCs w:val="24"/>
          <w:lang w:eastAsia="en-US"/>
        </w:rPr>
        <w:t>-2020</w:t>
      </w:r>
      <w:bookmarkEnd w:id="39"/>
    </w:p>
    <w:p w14:paraId="398F3CC3" w14:textId="77777777" w:rsidR="00AB78AD" w:rsidRDefault="00AB78AD" w:rsidP="00AB78AD">
      <w:pPr>
        <w:tabs>
          <w:tab w:val="left" w:pos="4367"/>
        </w:tabs>
        <w:rPr>
          <w:rFonts w:eastAsia="Calibri"/>
          <w:lang w:eastAsia="en-US"/>
        </w:rPr>
      </w:pPr>
      <w:r>
        <w:rPr>
          <w:rFonts w:eastAsia="Calibri"/>
          <w:lang w:eastAsia="en-US"/>
        </w:rPr>
        <w:tab/>
      </w:r>
      <w:r>
        <w:rPr>
          <w:noProof/>
          <w:lang w:val="es-CR" w:eastAsia="es-CR"/>
        </w:rPr>
        <w:drawing>
          <wp:inline distT="0" distB="0" distL="0" distR="0" wp14:anchorId="1ADF5380" wp14:editId="24737675">
            <wp:extent cx="9146540" cy="3898194"/>
            <wp:effectExtent l="19050" t="19050" r="16510" b="26670"/>
            <wp:docPr id="100" name="Imagen 100" descr="Imagen que contiene gabinete&#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Imagen 67" descr="Imagen que contiene gabinete&#10;&#10;Descripción generada automáticamente"/>
                    <pic:cNvPicPr/>
                  </pic:nvPicPr>
                  <pic:blipFill>
                    <a:blip r:embed="rId71"/>
                    <a:stretch>
                      <a:fillRect/>
                    </a:stretch>
                  </pic:blipFill>
                  <pic:spPr>
                    <a:xfrm>
                      <a:off x="0" y="0"/>
                      <a:ext cx="9149067" cy="3899271"/>
                    </a:xfrm>
                    <a:prstGeom prst="rect">
                      <a:avLst/>
                    </a:prstGeom>
                    <a:ln w="19050">
                      <a:solidFill>
                        <a:schemeClr val="accent1"/>
                      </a:solidFill>
                    </a:ln>
                  </pic:spPr>
                </pic:pic>
              </a:graphicData>
            </a:graphic>
          </wp:inline>
        </w:drawing>
      </w:r>
    </w:p>
    <w:p w14:paraId="471ACAAC" w14:textId="77777777" w:rsidR="00AB78AD" w:rsidRPr="000B4845" w:rsidRDefault="00AB78AD" w:rsidP="00AB78AD">
      <w:pPr>
        <w:rPr>
          <w:rFonts w:eastAsia="Calibri"/>
          <w:lang w:eastAsia="en-US"/>
        </w:rPr>
      </w:pPr>
    </w:p>
    <w:p w14:paraId="69DE0D69" w14:textId="77777777" w:rsidR="00AB78AD" w:rsidRDefault="00AB78AD" w:rsidP="00AB78AD">
      <w:pPr>
        <w:rPr>
          <w:rFonts w:eastAsia="Calibri"/>
          <w:lang w:eastAsia="en-US"/>
        </w:rPr>
      </w:pPr>
      <w:r w:rsidRPr="00EE2E13">
        <w:rPr>
          <w:rFonts w:ascii="Arial Narrow" w:hAnsi="Arial Narrow"/>
          <w:sz w:val="18"/>
          <w:szCs w:val="18"/>
          <w:lang w:val="es-CR" w:eastAsia="es-CR"/>
        </w:rPr>
        <w:t>Fuente: Sistema PEI al 24 de enero del 2020 (año 2019) y 04 de marzo del 2021 (año 2020).</w:t>
      </w:r>
    </w:p>
    <w:p w14:paraId="06B568B0" w14:textId="77777777" w:rsidR="00AB78AD" w:rsidRPr="000B4845" w:rsidRDefault="00AB78AD" w:rsidP="00AB78AD">
      <w:pPr>
        <w:rPr>
          <w:rFonts w:eastAsia="Calibri"/>
          <w:lang w:eastAsia="en-US"/>
        </w:rPr>
      </w:pPr>
    </w:p>
    <w:p w14:paraId="592E3E6C" w14:textId="77777777" w:rsidR="00767FDB" w:rsidRDefault="00767FDB" w:rsidP="00AB78AD">
      <w:pPr>
        <w:rPr>
          <w:rFonts w:eastAsia="Calibri"/>
          <w:lang w:eastAsia="en-US"/>
        </w:rPr>
        <w:sectPr w:rsidR="00767FDB" w:rsidSect="00767FDB">
          <w:pgSz w:w="15842" w:h="12242" w:orient="landscape" w:code="1"/>
          <w:pgMar w:top="1560" w:right="719" w:bottom="1469" w:left="719" w:header="709" w:footer="709" w:gutter="0"/>
          <w:cols w:space="708"/>
          <w:docGrid w:linePitch="360"/>
        </w:sectPr>
      </w:pPr>
    </w:p>
    <w:p w14:paraId="0FDB7D3C" w14:textId="199083A4" w:rsidR="00AB78AD" w:rsidRDefault="00AB78AD" w:rsidP="00AB78AD">
      <w:pPr>
        <w:spacing w:line="360" w:lineRule="auto"/>
        <w:jc w:val="both"/>
        <w:rPr>
          <w:rFonts w:ascii="Arial Narrow" w:eastAsia="Calibri" w:hAnsi="Arial Narrow"/>
        </w:rPr>
      </w:pPr>
      <w:r>
        <w:rPr>
          <w:rFonts w:ascii="Arial Narrow" w:eastAsia="Calibri" w:hAnsi="Arial Narrow"/>
        </w:rPr>
        <w:lastRenderedPageBreak/>
        <w:t xml:space="preserve">La meta estratégica </w:t>
      </w:r>
      <w:r w:rsidR="00A33B1E">
        <w:rPr>
          <w:rFonts w:ascii="Arial Narrow" w:eastAsia="Calibri" w:hAnsi="Arial Narrow"/>
          <w:b/>
          <w:bCs/>
          <w:i/>
          <w:iCs/>
        </w:rPr>
        <w:t>“Q</w:t>
      </w:r>
      <w:r w:rsidRPr="007D06B7">
        <w:rPr>
          <w:rFonts w:ascii="Arial Narrow" w:eastAsia="Calibri" w:hAnsi="Arial Narrow"/>
          <w:b/>
          <w:bCs/>
          <w:i/>
          <w:iCs/>
        </w:rPr>
        <w:t>ue al finalizar el 2024, se haya incrementado la cantidad de casos terminados, mediante la aplicación de medidas alternas, en materia laboral por año, en primera instancia</w:t>
      </w:r>
      <w:r w:rsidR="00A33B1E">
        <w:rPr>
          <w:rFonts w:ascii="Arial Narrow" w:eastAsia="Calibri" w:hAnsi="Arial Narrow"/>
          <w:b/>
          <w:bCs/>
          <w:i/>
          <w:iCs/>
        </w:rPr>
        <w:t>”</w:t>
      </w:r>
      <w:r>
        <w:rPr>
          <w:rFonts w:ascii="Arial Narrow" w:eastAsia="Calibri" w:hAnsi="Arial Narrow"/>
        </w:rPr>
        <w:t xml:space="preserve">, se tiene que en el 2019 se reporta por parte de los 48 despachos laborales registran un cumplimiento </w:t>
      </w:r>
      <w:r w:rsidRPr="009D27BE">
        <w:rPr>
          <w:rFonts w:ascii="Arial Narrow" w:eastAsia="Calibri" w:hAnsi="Arial Narrow"/>
        </w:rPr>
        <w:t xml:space="preserve">de </w:t>
      </w:r>
      <w:r>
        <w:rPr>
          <w:rFonts w:ascii="Arial Narrow" w:eastAsia="Calibri" w:hAnsi="Arial Narrow"/>
        </w:rPr>
        <w:t>94</w:t>
      </w:r>
      <w:r w:rsidRPr="009D27BE">
        <w:rPr>
          <w:rFonts w:ascii="Arial Narrow" w:eastAsia="Calibri" w:hAnsi="Arial Narrow"/>
        </w:rPr>
        <w:t xml:space="preserve">%, sin embargo, al revisar los datos reportados estadísticamente por medio de SIGMA, se tiene que se terminaron </w:t>
      </w:r>
      <w:r>
        <w:rPr>
          <w:rFonts w:ascii="Arial Narrow" w:eastAsia="Calibri" w:hAnsi="Arial Narrow"/>
        </w:rPr>
        <w:t xml:space="preserve">6112 </w:t>
      </w:r>
      <w:r w:rsidRPr="009D27BE">
        <w:rPr>
          <w:rFonts w:ascii="Arial Narrow" w:eastAsia="Calibri" w:hAnsi="Arial Narrow"/>
        </w:rPr>
        <w:t>asuntos</w:t>
      </w:r>
      <w:r>
        <w:rPr>
          <w:rFonts w:ascii="Arial Narrow" w:eastAsia="Calibri" w:hAnsi="Arial Narrow"/>
        </w:rPr>
        <w:t xml:space="preserve"> mediante medidas alternas</w:t>
      </w:r>
      <w:r w:rsidRPr="009D27BE">
        <w:rPr>
          <w:rFonts w:ascii="Arial Narrow" w:eastAsia="Calibri" w:hAnsi="Arial Narrow"/>
        </w:rPr>
        <w:t xml:space="preserve">, por lo que la meta para ese año registro un cumplimiento </w:t>
      </w:r>
      <w:r>
        <w:rPr>
          <w:rFonts w:ascii="Arial Narrow" w:eastAsia="Calibri" w:hAnsi="Arial Narrow"/>
        </w:rPr>
        <w:t>alto</w:t>
      </w:r>
      <w:r w:rsidRPr="009D27BE">
        <w:rPr>
          <w:rFonts w:ascii="Arial Narrow" w:eastAsia="Calibri" w:hAnsi="Arial Narrow"/>
        </w:rPr>
        <w:t xml:space="preserve"> de </w:t>
      </w:r>
      <w:r>
        <w:rPr>
          <w:rFonts w:ascii="Arial Narrow" w:eastAsia="Calibri" w:hAnsi="Arial Narrow"/>
        </w:rPr>
        <w:t>100</w:t>
      </w:r>
      <w:r w:rsidRPr="009D27BE">
        <w:rPr>
          <w:rFonts w:ascii="Arial Narrow" w:eastAsia="Calibri" w:hAnsi="Arial Narrow"/>
        </w:rPr>
        <w:t xml:space="preserve">%, debido a que </w:t>
      </w:r>
      <w:r>
        <w:rPr>
          <w:rFonts w:ascii="Arial Narrow" w:eastAsia="Calibri" w:hAnsi="Arial Narrow"/>
        </w:rPr>
        <w:t>sobrepaso la</w:t>
      </w:r>
      <w:r w:rsidRPr="009D27BE">
        <w:rPr>
          <w:rFonts w:ascii="Arial Narrow" w:eastAsia="Calibri" w:hAnsi="Arial Narrow"/>
        </w:rPr>
        <w:t xml:space="preserve"> meta.  Para el 2020, se tiene un reporte de cumplimiento por parte de las oficinas de un </w:t>
      </w:r>
      <w:r>
        <w:rPr>
          <w:rFonts w:ascii="Arial Narrow" w:eastAsia="Calibri" w:hAnsi="Arial Narrow"/>
        </w:rPr>
        <w:t>84</w:t>
      </w:r>
      <w:r w:rsidRPr="009D27BE">
        <w:rPr>
          <w:rFonts w:ascii="Arial Narrow" w:eastAsia="Calibri" w:hAnsi="Arial Narrow"/>
        </w:rPr>
        <w:t>%, al confrontar</w:t>
      </w:r>
      <w:r>
        <w:rPr>
          <w:rFonts w:ascii="Arial Narrow" w:eastAsia="Calibri" w:hAnsi="Arial Narrow"/>
        </w:rPr>
        <w:t xml:space="preserve"> este dato contra los terminados oficiales para ese año, se registran 3.908 asuntos terminados mediante medidas alternas, dato que</w:t>
      </w:r>
      <w:r w:rsidR="00A33B1E">
        <w:rPr>
          <w:rFonts w:ascii="Arial Narrow" w:eastAsia="Calibri" w:hAnsi="Arial Narrow"/>
        </w:rPr>
        <w:t>,</w:t>
      </w:r>
      <w:r>
        <w:rPr>
          <w:rFonts w:ascii="Arial Narrow" w:eastAsia="Calibri" w:hAnsi="Arial Narrow"/>
        </w:rPr>
        <w:t xml:space="preserve"> al verificar contra lo esperado para ese año, se tiene un cumplimiento alto (100%). </w:t>
      </w:r>
    </w:p>
    <w:p w14:paraId="72601C11" w14:textId="77777777" w:rsidR="00AB78AD" w:rsidRDefault="00AB78AD" w:rsidP="00AB78AD">
      <w:pPr>
        <w:spacing w:line="360" w:lineRule="auto"/>
        <w:jc w:val="both"/>
        <w:rPr>
          <w:rFonts w:ascii="Arial Narrow" w:eastAsia="Calibri" w:hAnsi="Arial Narrow"/>
        </w:rPr>
      </w:pPr>
    </w:p>
    <w:p w14:paraId="6C21BDFF" w14:textId="3A95FC85" w:rsidR="00AB78AD" w:rsidRDefault="00AB78AD" w:rsidP="00AB78AD">
      <w:pPr>
        <w:spacing w:line="360" w:lineRule="auto"/>
        <w:jc w:val="both"/>
        <w:rPr>
          <w:rFonts w:ascii="Arial Narrow" w:eastAsia="Calibri" w:hAnsi="Arial Narrow"/>
        </w:rPr>
      </w:pPr>
      <w:r>
        <w:rPr>
          <w:rFonts w:ascii="Arial Narrow" w:eastAsia="Calibri" w:hAnsi="Arial Narrow"/>
        </w:rPr>
        <w:t xml:space="preserve">Por su parte, la meta estratégica </w:t>
      </w:r>
      <w:r w:rsidR="00BC438D">
        <w:rPr>
          <w:rFonts w:ascii="Arial Narrow" w:eastAsia="Calibri" w:hAnsi="Arial Narrow"/>
          <w:b/>
          <w:bCs/>
          <w:i/>
          <w:iCs/>
        </w:rPr>
        <w:t>“Q</w:t>
      </w:r>
      <w:r w:rsidRPr="007D06B7">
        <w:rPr>
          <w:rFonts w:ascii="Arial Narrow" w:eastAsia="Calibri" w:hAnsi="Arial Narrow"/>
          <w:b/>
          <w:bCs/>
          <w:i/>
          <w:iCs/>
        </w:rPr>
        <w:t>ue al finalizar el 2024, se haya incrementado la cantidad de casos terminados, mediante la aplicación de medidas alternas, en juzgados penales</w:t>
      </w:r>
      <w:r w:rsidR="00BC438D">
        <w:rPr>
          <w:rFonts w:ascii="Arial Narrow" w:eastAsia="Calibri" w:hAnsi="Arial Narrow"/>
          <w:b/>
          <w:bCs/>
          <w:i/>
          <w:iCs/>
        </w:rPr>
        <w:t>”</w:t>
      </w:r>
      <w:r>
        <w:rPr>
          <w:rFonts w:ascii="Arial Narrow" w:eastAsia="Calibri" w:hAnsi="Arial Narrow"/>
        </w:rPr>
        <w:t xml:space="preserve">, se tiene que en el 2019 se reporta por parte de </w:t>
      </w:r>
      <w:r w:rsidRPr="00075BDA">
        <w:rPr>
          <w:rFonts w:ascii="Arial Narrow" w:eastAsia="Calibri" w:hAnsi="Arial Narrow"/>
        </w:rPr>
        <w:t xml:space="preserve">los 40 juzgados penales </w:t>
      </w:r>
      <w:r w:rsidRPr="002E0B96">
        <w:rPr>
          <w:rFonts w:ascii="Arial Narrow" w:eastAsia="Calibri" w:hAnsi="Arial Narrow"/>
        </w:rPr>
        <w:t xml:space="preserve">registraron un cumplimiento de 97%, al revisar los datos reportados estadísticamente por medio de SIGMA, se tiene que se terminaron 3733 asuntos mediante medidas alternas, por lo que la meta para ese año registro un cumplimiento alto de 100%. Para el 2020, se tiene un reporte de cumplimiento por parte de las oficinas de un 92%, al confrontar este dato contra los terminados oficiales para ese año, se registran 3200 asuntos terminados mediante medidas alternas, </w:t>
      </w:r>
      <w:r w:rsidRPr="00075BDA">
        <w:rPr>
          <w:rFonts w:ascii="Arial Narrow" w:eastAsia="Calibri" w:hAnsi="Arial Narrow"/>
        </w:rPr>
        <w:t>y el</w:t>
      </w:r>
      <w:r>
        <w:rPr>
          <w:rFonts w:ascii="Arial Narrow" w:eastAsia="Calibri" w:hAnsi="Arial Narrow"/>
        </w:rPr>
        <w:t xml:space="preserve"> cumplimiento para ese año se registra en 92%, según lo consignado por las oficinas.</w:t>
      </w:r>
    </w:p>
    <w:p w14:paraId="6582C95C" w14:textId="77777777" w:rsidR="00AB78AD" w:rsidRDefault="00AB78AD" w:rsidP="00AB78AD">
      <w:pPr>
        <w:spacing w:line="360" w:lineRule="auto"/>
        <w:jc w:val="both"/>
        <w:rPr>
          <w:rFonts w:ascii="Arial Narrow" w:eastAsia="Calibri" w:hAnsi="Arial Narrow"/>
        </w:rPr>
      </w:pPr>
    </w:p>
    <w:p w14:paraId="31C3FE05" w14:textId="0FC9D89A" w:rsidR="00767FDB" w:rsidRDefault="00AB78AD" w:rsidP="00AB78AD">
      <w:pPr>
        <w:spacing w:line="360" w:lineRule="auto"/>
        <w:jc w:val="both"/>
        <w:rPr>
          <w:rFonts w:ascii="Arial Narrow" w:eastAsia="Calibri" w:hAnsi="Arial Narrow"/>
        </w:rPr>
        <w:sectPr w:rsidR="00767FDB" w:rsidSect="00767FDB">
          <w:pgSz w:w="12242" w:h="15842" w:code="1"/>
          <w:pgMar w:top="719" w:right="1469" w:bottom="719" w:left="1560" w:header="709" w:footer="709" w:gutter="0"/>
          <w:cols w:space="708"/>
          <w:docGrid w:linePitch="360"/>
        </w:sectPr>
      </w:pPr>
      <w:r>
        <w:rPr>
          <w:rFonts w:ascii="Arial Narrow" w:eastAsia="Calibri" w:hAnsi="Arial Narrow"/>
        </w:rPr>
        <w:t xml:space="preserve">La meta estratégica </w:t>
      </w:r>
      <w:r w:rsidR="00BC438D">
        <w:rPr>
          <w:rFonts w:ascii="Arial Narrow" w:eastAsia="Calibri" w:hAnsi="Arial Narrow"/>
          <w:b/>
          <w:bCs/>
          <w:i/>
          <w:iCs/>
        </w:rPr>
        <w:t>“Q</w:t>
      </w:r>
      <w:r w:rsidRPr="007D06B7">
        <w:rPr>
          <w:rFonts w:ascii="Arial Narrow" w:eastAsia="Calibri" w:hAnsi="Arial Narrow"/>
          <w:b/>
          <w:bCs/>
          <w:i/>
          <w:iCs/>
        </w:rPr>
        <w:t>ue al finalizar el 2024, se haya incrementado la cantidad de casos terminados, mediante la aplicación de medidas alternas, en materia Penal Juvenil por año, en primera instancia</w:t>
      </w:r>
      <w:r w:rsidR="00BC438D">
        <w:rPr>
          <w:rFonts w:ascii="Arial Narrow" w:eastAsia="Calibri" w:hAnsi="Arial Narrow"/>
          <w:b/>
          <w:bCs/>
          <w:i/>
          <w:iCs/>
        </w:rPr>
        <w:t>”</w:t>
      </w:r>
      <w:r>
        <w:rPr>
          <w:rFonts w:ascii="Arial Narrow" w:eastAsia="Calibri" w:hAnsi="Arial Narrow"/>
        </w:rPr>
        <w:t xml:space="preserve">, se tiene que en el 2019 se reporta por parte de los 21 juzgados penales juveniles registraron un cumplimiento </w:t>
      </w:r>
      <w:r w:rsidRPr="009D27BE">
        <w:rPr>
          <w:rFonts w:ascii="Arial Narrow" w:eastAsia="Calibri" w:hAnsi="Arial Narrow"/>
        </w:rPr>
        <w:t xml:space="preserve">de </w:t>
      </w:r>
      <w:r>
        <w:rPr>
          <w:rFonts w:ascii="Arial Narrow" w:eastAsia="Calibri" w:hAnsi="Arial Narrow"/>
        </w:rPr>
        <w:t>100</w:t>
      </w:r>
      <w:r w:rsidRPr="009D27BE">
        <w:rPr>
          <w:rFonts w:ascii="Arial Narrow" w:eastAsia="Calibri" w:hAnsi="Arial Narrow"/>
        </w:rPr>
        <w:t xml:space="preserve">%, al revisar los datos reportados estadísticamente por medio de SIGMA, se tiene que se terminaron </w:t>
      </w:r>
      <w:r>
        <w:rPr>
          <w:rFonts w:ascii="Arial Narrow" w:eastAsia="Calibri" w:hAnsi="Arial Narrow"/>
        </w:rPr>
        <w:t xml:space="preserve">748 </w:t>
      </w:r>
      <w:r w:rsidRPr="009D27BE">
        <w:rPr>
          <w:rFonts w:ascii="Arial Narrow" w:eastAsia="Calibri" w:hAnsi="Arial Narrow"/>
        </w:rPr>
        <w:t>asuntos</w:t>
      </w:r>
      <w:r>
        <w:rPr>
          <w:rFonts w:ascii="Arial Narrow" w:eastAsia="Calibri" w:hAnsi="Arial Narrow"/>
        </w:rPr>
        <w:t xml:space="preserve"> mediante medidas alternas</w:t>
      </w:r>
      <w:r w:rsidRPr="009D27BE">
        <w:rPr>
          <w:rFonts w:ascii="Arial Narrow" w:eastAsia="Calibri" w:hAnsi="Arial Narrow"/>
        </w:rPr>
        <w:t xml:space="preserve">, por lo que la meta para ese año registro un cumplimiento </w:t>
      </w:r>
      <w:r>
        <w:rPr>
          <w:rFonts w:ascii="Arial Narrow" w:eastAsia="Calibri" w:hAnsi="Arial Narrow"/>
        </w:rPr>
        <w:t>alto</w:t>
      </w:r>
      <w:r w:rsidRPr="009D27BE">
        <w:rPr>
          <w:rFonts w:ascii="Arial Narrow" w:eastAsia="Calibri" w:hAnsi="Arial Narrow"/>
        </w:rPr>
        <w:t xml:space="preserve"> de </w:t>
      </w:r>
      <w:r>
        <w:rPr>
          <w:rFonts w:ascii="Arial Narrow" w:eastAsia="Calibri" w:hAnsi="Arial Narrow"/>
        </w:rPr>
        <w:t>100</w:t>
      </w:r>
      <w:r w:rsidRPr="009D27BE">
        <w:rPr>
          <w:rFonts w:ascii="Arial Narrow" w:eastAsia="Calibri" w:hAnsi="Arial Narrow"/>
        </w:rPr>
        <w:t xml:space="preserve">%, debido a que </w:t>
      </w:r>
      <w:r>
        <w:rPr>
          <w:rFonts w:ascii="Arial Narrow" w:eastAsia="Calibri" w:hAnsi="Arial Narrow"/>
        </w:rPr>
        <w:t>sobrepaso la</w:t>
      </w:r>
      <w:r w:rsidRPr="009D27BE">
        <w:rPr>
          <w:rFonts w:ascii="Arial Narrow" w:eastAsia="Calibri" w:hAnsi="Arial Narrow"/>
        </w:rPr>
        <w:t xml:space="preserve"> meta</w:t>
      </w:r>
      <w:r>
        <w:rPr>
          <w:rFonts w:ascii="Arial Narrow" w:eastAsia="Calibri" w:hAnsi="Arial Narrow"/>
        </w:rPr>
        <w:t xml:space="preserve"> esperada de 119 asuntos</w:t>
      </w:r>
      <w:r w:rsidRPr="009D27BE">
        <w:rPr>
          <w:rFonts w:ascii="Arial Narrow" w:eastAsia="Calibri" w:hAnsi="Arial Narrow"/>
        </w:rPr>
        <w:t xml:space="preserve">.  Para el 2020, se tiene un reporte de cumplimiento por parte de las oficinas de un </w:t>
      </w:r>
      <w:r>
        <w:rPr>
          <w:rFonts w:ascii="Arial Narrow" w:eastAsia="Calibri" w:hAnsi="Arial Narrow"/>
        </w:rPr>
        <w:t>95</w:t>
      </w:r>
      <w:r w:rsidRPr="009D27BE">
        <w:rPr>
          <w:rFonts w:ascii="Arial Narrow" w:eastAsia="Calibri" w:hAnsi="Arial Narrow"/>
        </w:rPr>
        <w:t>%, al confrontar</w:t>
      </w:r>
      <w:r>
        <w:rPr>
          <w:rFonts w:ascii="Arial Narrow" w:eastAsia="Calibri" w:hAnsi="Arial Narrow"/>
        </w:rPr>
        <w:t xml:space="preserve"> este dato contra los terminados oficiales para ese año, se registran 602 asuntos terminados mediante medidas alternas, dato que</w:t>
      </w:r>
      <w:r w:rsidR="00BC438D">
        <w:rPr>
          <w:rFonts w:ascii="Arial Narrow" w:eastAsia="Calibri" w:hAnsi="Arial Narrow"/>
        </w:rPr>
        <w:t>,</w:t>
      </w:r>
      <w:r>
        <w:rPr>
          <w:rFonts w:ascii="Arial Narrow" w:eastAsia="Calibri" w:hAnsi="Arial Narrow"/>
        </w:rPr>
        <w:t xml:space="preserve"> al verificar contra lo esperado para ese año de 121 expedientes, se registra un cumplimiento alto (100%). </w:t>
      </w:r>
    </w:p>
    <w:p w14:paraId="5DD3827C" w14:textId="77777777" w:rsidR="00AB78AD" w:rsidRDefault="00AB78AD" w:rsidP="00AB78AD">
      <w:pPr>
        <w:spacing w:line="360" w:lineRule="auto"/>
        <w:jc w:val="both"/>
        <w:rPr>
          <w:rFonts w:ascii="Arial Narrow" w:eastAsia="Calibri" w:hAnsi="Arial Narrow"/>
        </w:rPr>
      </w:pPr>
    </w:p>
    <w:p w14:paraId="1641A8E4" w14:textId="472D22C4" w:rsidR="00AB78AD" w:rsidRPr="00484CC1" w:rsidRDefault="00AB78AD" w:rsidP="00AB78AD">
      <w:pPr>
        <w:pStyle w:val="Descripcin"/>
        <w:jc w:val="center"/>
        <w:rPr>
          <w:rFonts w:ascii="Arial Narrow" w:eastAsia="Calibri" w:hAnsi="Arial Narrow"/>
          <w:lang w:eastAsia="en-US"/>
        </w:rPr>
      </w:pPr>
      <w:bookmarkStart w:id="40" w:name="_Toc76062242"/>
      <w:r w:rsidRPr="00704B08">
        <w:rPr>
          <w:rFonts w:ascii="Arial Narrow" w:hAnsi="Arial Narrow"/>
          <w:sz w:val="24"/>
          <w:szCs w:val="24"/>
        </w:rPr>
        <w:t xml:space="preserve">Cuadro </w:t>
      </w:r>
      <w:r w:rsidRPr="00704B08">
        <w:rPr>
          <w:rFonts w:ascii="Arial Narrow" w:hAnsi="Arial Narrow"/>
          <w:sz w:val="24"/>
          <w:szCs w:val="24"/>
        </w:rPr>
        <w:fldChar w:fldCharType="begin"/>
      </w:r>
      <w:r w:rsidRPr="00704B08">
        <w:rPr>
          <w:rFonts w:ascii="Arial Narrow" w:hAnsi="Arial Narrow"/>
          <w:sz w:val="24"/>
          <w:szCs w:val="24"/>
        </w:rPr>
        <w:instrText xml:space="preserve"> SEQ Cuadro_No. \* ARABIC </w:instrText>
      </w:r>
      <w:r w:rsidRPr="00704B08">
        <w:rPr>
          <w:rFonts w:ascii="Arial Narrow" w:hAnsi="Arial Narrow"/>
          <w:sz w:val="24"/>
          <w:szCs w:val="24"/>
        </w:rPr>
        <w:fldChar w:fldCharType="separate"/>
      </w:r>
      <w:r w:rsidR="00767FDB" w:rsidRPr="00704B08">
        <w:rPr>
          <w:rFonts w:ascii="Arial Narrow" w:hAnsi="Arial Narrow"/>
          <w:noProof/>
          <w:sz w:val="24"/>
          <w:szCs w:val="24"/>
        </w:rPr>
        <w:t>19</w:t>
      </w:r>
      <w:r w:rsidRPr="00704B08">
        <w:rPr>
          <w:rFonts w:ascii="Arial Narrow" w:hAnsi="Arial Narrow"/>
          <w:sz w:val="24"/>
          <w:szCs w:val="24"/>
        </w:rPr>
        <w:fldChar w:fldCharType="end"/>
      </w:r>
      <w:r w:rsidRPr="00704B08">
        <w:rPr>
          <w:rFonts w:ascii="Arial Narrow" w:hAnsi="Arial Narrow"/>
          <w:sz w:val="24"/>
          <w:szCs w:val="24"/>
        </w:rPr>
        <w:t xml:space="preserve"> </w:t>
      </w:r>
      <w:r w:rsidRPr="00704B08">
        <w:rPr>
          <w:rFonts w:ascii="Arial Narrow" w:eastAsia="Calibri" w:hAnsi="Arial Narrow"/>
          <w:sz w:val="24"/>
          <w:szCs w:val="24"/>
          <w:lang w:eastAsia="en-US"/>
        </w:rPr>
        <w:t>Metas</w:t>
      </w:r>
      <w:r w:rsidRPr="009D5823">
        <w:rPr>
          <w:rFonts w:ascii="Arial Narrow" w:eastAsia="Calibri" w:hAnsi="Arial Narrow"/>
          <w:sz w:val="24"/>
          <w:szCs w:val="24"/>
          <w:lang w:eastAsia="en-US"/>
        </w:rPr>
        <w:t xml:space="preserve"> estratégicas</w:t>
      </w:r>
      <w:r w:rsidRPr="00665D61">
        <w:rPr>
          <w:rFonts w:ascii="Arial Narrow" w:eastAsia="Calibri" w:hAnsi="Arial Narrow"/>
          <w:sz w:val="24"/>
          <w:szCs w:val="24"/>
          <w:lang w:eastAsia="en-US"/>
        </w:rPr>
        <w:t xml:space="preserve"> de Medidas Alternas y su cumplimiento para el 2019</w:t>
      </w:r>
      <w:r>
        <w:rPr>
          <w:rFonts w:ascii="Arial Narrow" w:eastAsia="Calibri" w:hAnsi="Arial Narrow"/>
          <w:sz w:val="24"/>
          <w:szCs w:val="24"/>
          <w:lang w:eastAsia="en-US"/>
        </w:rPr>
        <w:t>-2020</w:t>
      </w:r>
      <w:bookmarkEnd w:id="40"/>
    </w:p>
    <w:p w14:paraId="6FF8DE22" w14:textId="77777777" w:rsidR="00AB78AD" w:rsidRDefault="00AB78AD" w:rsidP="00AB78AD">
      <w:pPr>
        <w:rPr>
          <w:rFonts w:eastAsia="Calibri"/>
          <w:lang w:eastAsia="en-US"/>
        </w:rPr>
      </w:pPr>
    </w:p>
    <w:p w14:paraId="396EBE1B" w14:textId="77777777" w:rsidR="00AB78AD" w:rsidRPr="000B4845" w:rsidRDefault="00AB78AD" w:rsidP="00AB78AD">
      <w:pPr>
        <w:rPr>
          <w:rFonts w:eastAsia="Calibri"/>
          <w:lang w:eastAsia="en-US"/>
        </w:rPr>
      </w:pPr>
      <w:r>
        <w:rPr>
          <w:noProof/>
          <w:lang w:val="es-CR" w:eastAsia="es-CR"/>
        </w:rPr>
        <w:drawing>
          <wp:inline distT="0" distB="0" distL="0" distR="0" wp14:anchorId="17A1126F" wp14:editId="194CF6CE">
            <wp:extent cx="9146540" cy="3212465"/>
            <wp:effectExtent l="19050" t="19050" r="16510" b="26035"/>
            <wp:docPr id="94" name="Imagen 94" descr="Imagen que contiene gabinete, reloj&#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n 94" descr="Imagen que contiene gabinete, reloj&#10;&#10;Descripción generada automáticamente"/>
                    <pic:cNvPicPr/>
                  </pic:nvPicPr>
                  <pic:blipFill>
                    <a:blip r:embed="rId72"/>
                    <a:stretch>
                      <a:fillRect/>
                    </a:stretch>
                  </pic:blipFill>
                  <pic:spPr>
                    <a:xfrm>
                      <a:off x="0" y="0"/>
                      <a:ext cx="9146540" cy="3212465"/>
                    </a:xfrm>
                    <a:prstGeom prst="rect">
                      <a:avLst/>
                    </a:prstGeom>
                    <a:ln w="19050">
                      <a:solidFill>
                        <a:schemeClr val="accent1"/>
                      </a:solidFill>
                    </a:ln>
                  </pic:spPr>
                </pic:pic>
              </a:graphicData>
            </a:graphic>
          </wp:inline>
        </w:drawing>
      </w:r>
    </w:p>
    <w:p w14:paraId="687FE01B" w14:textId="77777777" w:rsidR="00AB78AD" w:rsidRDefault="00AB78AD" w:rsidP="00AB78AD">
      <w:pPr>
        <w:rPr>
          <w:rFonts w:eastAsia="Calibri"/>
          <w:lang w:eastAsia="en-US"/>
        </w:rPr>
      </w:pPr>
      <w:r w:rsidRPr="00EE2E13">
        <w:rPr>
          <w:rFonts w:ascii="Arial Narrow" w:hAnsi="Arial Narrow"/>
          <w:sz w:val="18"/>
          <w:szCs w:val="18"/>
          <w:lang w:val="es-CR" w:eastAsia="es-CR"/>
        </w:rPr>
        <w:t>Fuente: Sistema PEI al 24 de enero del 2020 (año 2019) y 04 de marzo del 2021 (año 2020).</w:t>
      </w:r>
    </w:p>
    <w:p w14:paraId="0CC564E5" w14:textId="299B96CA" w:rsidR="00AB78AD" w:rsidRDefault="00AB78AD" w:rsidP="00AB78AD">
      <w:pPr>
        <w:spacing w:line="360" w:lineRule="auto"/>
        <w:jc w:val="both"/>
        <w:rPr>
          <w:rFonts w:ascii="Arial Narrow" w:eastAsia="Calibri" w:hAnsi="Arial Narrow"/>
        </w:rPr>
      </w:pPr>
    </w:p>
    <w:p w14:paraId="50F49833" w14:textId="527FCE0B" w:rsidR="00767FDB" w:rsidRDefault="00767FDB" w:rsidP="00AB78AD">
      <w:pPr>
        <w:spacing w:line="360" w:lineRule="auto"/>
        <w:jc w:val="both"/>
        <w:rPr>
          <w:rFonts w:ascii="Arial Narrow" w:eastAsia="Calibri" w:hAnsi="Arial Narrow"/>
        </w:rPr>
      </w:pPr>
    </w:p>
    <w:p w14:paraId="0C105CF5" w14:textId="6ACAD820" w:rsidR="00767FDB" w:rsidRDefault="00767FDB" w:rsidP="00AB78AD">
      <w:pPr>
        <w:spacing w:line="360" w:lineRule="auto"/>
        <w:jc w:val="both"/>
        <w:rPr>
          <w:rFonts w:ascii="Arial Narrow" w:eastAsia="Calibri" w:hAnsi="Arial Narrow"/>
        </w:rPr>
      </w:pPr>
    </w:p>
    <w:p w14:paraId="37A36877" w14:textId="77777777" w:rsidR="00767FDB" w:rsidRDefault="00767FDB" w:rsidP="00AB78AD">
      <w:pPr>
        <w:spacing w:line="360" w:lineRule="auto"/>
        <w:jc w:val="both"/>
        <w:rPr>
          <w:rFonts w:ascii="Arial Narrow" w:eastAsia="Calibri" w:hAnsi="Arial Narrow"/>
        </w:rPr>
        <w:sectPr w:rsidR="00767FDB" w:rsidSect="00767FDB">
          <w:pgSz w:w="15842" w:h="12242" w:orient="landscape" w:code="1"/>
          <w:pgMar w:top="1560" w:right="719" w:bottom="1469" w:left="719" w:header="709" w:footer="709" w:gutter="0"/>
          <w:cols w:space="708"/>
          <w:docGrid w:linePitch="360"/>
        </w:sectPr>
      </w:pPr>
    </w:p>
    <w:p w14:paraId="02D23B84" w14:textId="29EA2680" w:rsidR="00767FDB" w:rsidRDefault="00767FDB" w:rsidP="00AB78AD">
      <w:pPr>
        <w:spacing w:line="360" w:lineRule="auto"/>
        <w:jc w:val="both"/>
        <w:rPr>
          <w:rFonts w:ascii="Arial Narrow" w:eastAsia="Calibri" w:hAnsi="Arial Narrow"/>
        </w:rPr>
      </w:pPr>
    </w:p>
    <w:p w14:paraId="16D3CBC7" w14:textId="563D4B83" w:rsidR="00BC438D" w:rsidRDefault="00BC438D" w:rsidP="00AB78AD">
      <w:pPr>
        <w:spacing w:line="360" w:lineRule="auto"/>
        <w:jc w:val="both"/>
        <w:rPr>
          <w:rFonts w:ascii="Arial Narrow" w:eastAsia="Calibri" w:hAnsi="Arial Narrow"/>
        </w:rPr>
      </w:pPr>
    </w:p>
    <w:p w14:paraId="0886BF9A" w14:textId="347136B6" w:rsidR="00BC438D" w:rsidRDefault="00BC438D" w:rsidP="00AB78AD">
      <w:pPr>
        <w:spacing w:line="360" w:lineRule="auto"/>
        <w:jc w:val="both"/>
        <w:rPr>
          <w:rFonts w:ascii="Arial Narrow" w:eastAsia="Calibri" w:hAnsi="Arial Narrow"/>
        </w:rPr>
      </w:pPr>
    </w:p>
    <w:p w14:paraId="764CADB2" w14:textId="77777777" w:rsidR="00BC438D" w:rsidRDefault="00BC438D" w:rsidP="00AB78AD">
      <w:pPr>
        <w:spacing w:line="360" w:lineRule="auto"/>
        <w:jc w:val="both"/>
        <w:rPr>
          <w:rFonts w:ascii="Arial Narrow" w:eastAsia="Calibri" w:hAnsi="Arial Narrow"/>
        </w:rPr>
      </w:pPr>
    </w:p>
    <w:p w14:paraId="0BBC6D0D" w14:textId="7A5C035A" w:rsidR="00AB78AD" w:rsidRDefault="00AB78AD" w:rsidP="00AB78AD">
      <w:pPr>
        <w:spacing w:line="360" w:lineRule="auto"/>
        <w:jc w:val="both"/>
        <w:rPr>
          <w:rFonts w:ascii="Arial Narrow" w:eastAsia="Calibri" w:hAnsi="Arial Narrow"/>
        </w:rPr>
      </w:pPr>
      <w:r>
        <w:rPr>
          <w:rFonts w:ascii="Arial Narrow" w:eastAsia="Calibri" w:hAnsi="Arial Narrow"/>
        </w:rPr>
        <w:t xml:space="preserve">La meta estratégica </w:t>
      </w:r>
      <w:r w:rsidR="00BC438D">
        <w:rPr>
          <w:rFonts w:ascii="Arial Narrow" w:eastAsia="Calibri" w:hAnsi="Arial Narrow"/>
          <w:b/>
          <w:bCs/>
          <w:i/>
          <w:iCs/>
        </w:rPr>
        <w:t>“Q</w:t>
      </w:r>
      <w:r w:rsidRPr="00170401">
        <w:rPr>
          <w:rFonts w:ascii="Arial Narrow" w:eastAsia="Calibri" w:hAnsi="Arial Narrow"/>
          <w:b/>
          <w:bCs/>
          <w:i/>
          <w:iCs/>
        </w:rPr>
        <w:t>ue al finalizar el 2024, se haya incrementado la cantidad de casos terminados, mediante la aplicación de medidas alternas, en materia Contravencional por año, en primera instancia</w:t>
      </w:r>
      <w:r w:rsidR="00BC438D">
        <w:rPr>
          <w:rFonts w:ascii="Arial Narrow" w:eastAsia="Calibri" w:hAnsi="Arial Narrow"/>
          <w:b/>
          <w:bCs/>
          <w:i/>
          <w:iCs/>
        </w:rPr>
        <w:t>”</w:t>
      </w:r>
      <w:r>
        <w:rPr>
          <w:rFonts w:ascii="Arial Narrow" w:eastAsia="Calibri" w:hAnsi="Arial Narrow"/>
        </w:rPr>
        <w:t xml:space="preserve">, se tiene que en el 2019 se reporta por </w:t>
      </w:r>
      <w:r w:rsidRPr="00864EC4">
        <w:rPr>
          <w:rFonts w:ascii="Arial Narrow" w:eastAsia="Calibri" w:hAnsi="Arial Narrow"/>
        </w:rPr>
        <w:t>parte de los 7</w:t>
      </w:r>
      <w:r w:rsidR="00766F1A" w:rsidRPr="00864EC4">
        <w:rPr>
          <w:rFonts w:ascii="Arial Narrow" w:eastAsia="Calibri" w:hAnsi="Arial Narrow"/>
        </w:rPr>
        <w:t>4</w:t>
      </w:r>
      <w:r w:rsidRPr="00864EC4">
        <w:rPr>
          <w:rFonts w:ascii="Arial Narrow" w:eastAsia="Calibri" w:hAnsi="Arial Narrow"/>
        </w:rPr>
        <w:t xml:space="preserve"> juzgados contravencionales</w:t>
      </w:r>
      <w:r>
        <w:rPr>
          <w:rFonts w:ascii="Arial Narrow" w:eastAsia="Calibri" w:hAnsi="Arial Narrow"/>
        </w:rPr>
        <w:t xml:space="preserve"> registraron un cumplimiento </w:t>
      </w:r>
      <w:r w:rsidRPr="009D27BE">
        <w:rPr>
          <w:rFonts w:ascii="Arial Narrow" w:eastAsia="Calibri" w:hAnsi="Arial Narrow"/>
        </w:rPr>
        <w:t xml:space="preserve">de </w:t>
      </w:r>
      <w:r>
        <w:rPr>
          <w:rFonts w:ascii="Arial Narrow" w:eastAsia="Calibri" w:hAnsi="Arial Narrow"/>
        </w:rPr>
        <w:t>98</w:t>
      </w:r>
      <w:r w:rsidRPr="009D27BE">
        <w:rPr>
          <w:rFonts w:ascii="Arial Narrow" w:eastAsia="Calibri" w:hAnsi="Arial Narrow"/>
        </w:rPr>
        <w:t xml:space="preserve">%, al revisar los datos reportados estadísticamente por medio de SIGMA, se tiene que se terminaron </w:t>
      </w:r>
      <w:r>
        <w:rPr>
          <w:rFonts w:ascii="Arial Narrow" w:eastAsia="Calibri" w:hAnsi="Arial Narrow"/>
        </w:rPr>
        <w:t xml:space="preserve">6564 </w:t>
      </w:r>
      <w:r w:rsidRPr="009D27BE">
        <w:rPr>
          <w:rFonts w:ascii="Arial Narrow" w:eastAsia="Calibri" w:hAnsi="Arial Narrow"/>
        </w:rPr>
        <w:t>asuntos</w:t>
      </w:r>
      <w:r>
        <w:rPr>
          <w:rFonts w:ascii="Arial Narrow" w:eastAsia="Calibri" w:hAnsi="Arial Narrow"/>
        </w:rPr>
        <w:t xml:space="preserve"> mediante medidas alternas</w:t>
      </w:r>
      <w:r w:rsidRPr="009D27BE">
        <w:rPr>
          <w:rFonts w:ascii="Arial Narrow" w:eastAsia="Calibri" w:hAnsi="Arial Narrow"/>
        </w:rPr>
        <w:t xml:space="preserve">, por lo que la meta para ese año registro un cumplimiento </w:t>
      </w:r>
      <w:r>
        <w:rPr>
          <w:rFonts w:ascii="Arial Narrow" w:eastAsia="Calibri" w:hAnsi="Arial Narrow"/>
        </w:rPr>
        <w:t>alto</w:t>
      </w:r>
      <w:r w:rsidRPr="009D27BE">
        <w:rPr>
          <w:rFonts w:ascii="Arial Narrow" w:eastAsia="Calibri" w:hAnsi="Arial Narrow"/>
        </w:rPr>
        <w:t xml:space="preserve"> de </w:t>
      </w:r>
      <w:r>
        <w:rPr>
          <w:rFonts w:ascii="Arial Narrow" w:eastAsia="Calibri" w:hAnsi="Arial Narrow"/>
        </w:rPr>
        <w:t>100</w:t>
      </w:r>
      <w:r w:rsidRPr="009D27BE">
        <w:rPr>
          <w:rFonts w:ascii="Arial Narrow" w:eastAsia="Calibri" w:hAnsi="Arial Narrow"/>
        </w:rPr>
        <w:t xml:space="preserve">%, debido a que </w:t>
      </w:r>
      <w:r>
        <w:rPr>
          <w:rFonts w:ascii="Arial Narrow" w:eastAsia="Calibri" w:hAnsi="Arial Narrow"/>
        </w:rPr>
        <w:t>sobrepaso la</w:t>
      </w:r>
      <w:r w:rsidRPr="009D27BE">
        <w:rPr>
          <w:rFonts w:ascii="Arial Narrow" w:eastAsia="Calibri" w:hAnsi="Arial Narrow"/>
        </w:rPr>
        <w:t xml:space="preserve"> meta</w:t>
      </w:r>
      <w:r>
        <w:rPr>
          <w:rFonts w:ascii="Arial Narrow" w:eastAsia="Calibri" w:hAnsi="Arial Narrow"/>
        </w:rPr>
        <w:t xml:space="preserve"> esperada de 5155 asuntos con un excedente de 1.409 expedientes</w:t>
      </w:r>
      <w:r w:rsidRPr="009D27BE">
        <w:rPr>
          <w:rFonts w:ascii="Arial Narrow" w:eastAsia="Calibri" w:hAnsi="Arial Narrow"/>
        </w:rPr>
        <w:t xml:space="preserve">.  Para el 2020, se tiene un reporte de cumplimiento por parte de las oficinas de un </w:t>
      </w:r>
      <w:r>
        <w:rPr>
          <w:rFonts w:ascii="Arial Narrow" w:eastAsia="Calibri" w:hAnsi="Arial Narrow"/>
        </w:rPr>
        <w:t>92</w:t>
      </w:r>
      <w:r w:rsidRPr="009D27BE">
        <w:rPr>
          <w:rFonts w:ascii="Arial Narrow" w:eastAsia="Calibri" w:hAnsi="Arial Narrow"/>
        </w:rPr>
        <w:t>%, al confrontar</w:t>
      </w:r>
      <w:r>
        <w:rPr>
          <w:rFonts w:ascii="Arial Narrow" w:eastAsia="Calibri" w:hAnsi="Arial Narrow"/>
        </w:rPr>
        <w:t xml:space="preserve"> este dato contra los terminados oficiales para ese año, se registran 4314 asuntos terminados mediante medidas alternas, dato que, al verificar contra lo esperado para ese año de 5.206 expedientes, se registra un cumplimiento medio (82,9%) debido a que la diferencia de expedientes requeridos para completar la meta fue de 892. </w:t>
      </w:r>
      <w:r w:rsidR="0027246A">
        <w:rPr>
          <w:rFonts w:ascii="Arial Narrow" w:eastAsia="Calibri" w:hAnsi="Arial Narrow"/>
        </w:rPr>
        <w:t xml:space="preserve"> </w:t>
      </w:r>
    </w:p>
    <w:p w14:paraId="56B0469E" w14:textId="77777777" w:rsidR="00AB78AD" w:rsidRDefault="00AB78AD" w:rsidP="00AB78AD">
      <w:pPr>
        <w:spacing w:line="360" w:lineRule="auto"/>
        <w:jc w:val="both"/>
        <w:rPr>
          <w:rFonts w:ascii="Arial Narrow" w:eastAsia="Calibri" w:hAnsi="Arial Narrow"/>
        </w:rPr>
      </w:pPr>
    </w:p>
    <w:p w14:paraId="4391EC65" w14:textId="3AAD05A3" w:rsidR="00AB78AD" w:rsidRDefault="00AB78AD" w:rsidP="00AB78AD">
      <w:pPr>
        <w:spacing w:line="360" w:lineRule="auto"/>
        <w:jc w:val="both"/>
        <w:rPr>
          <w:rFonts w:ascii="Arial Narrow" w:eastAsia="Calibri" w:hAnsi="Arial Narrow"/>
        </w:rPr>
      </w:pPr>
      <w:r>
        <w:rPr>
          <w:rFonts w:ascii="Arial Narrow" w:eastAsia="Calibri" w:hAnsi="Arial Narrow"/>
        </w:rPr>
        <w:t xml:space="preserve">La meta estratégica </w:t>
      </w:r>
      <w:r w:rsidR="00BC438D">
        <w:rPr>
          <w:rFonts w:ascii="Arial Narrow" w:eastAsia="Calibri" w:hAnsi="Arial Narrow"/>
          <w:b/>
          <w:bCs/>
          <w:i/>
          <w:iCs/>
        </w:rPr>
        <w:t>“Q</w:t>
      </w:r>
      <w:r w:rsidRPr="00FD7802">
        <w:rPr>
          <w:rFonts w:ascii="Arial Narrow" w:eastAsia="Calibri" w:hAnsi="Arial Narrow"/>
          <w:b/>
          <w:bCs/>
          <w:i/>
          <w:iCs/>
        </w:rPr>
        <w:t>ue al finalizar el 2024, se haya incrementado la cantidad de casos terminados, mediante la aplicación de medidas alternas, en materia Tránsito por año, en primera instancia</w:t>
      </w:r>
      <w:r w:rsidR="00BC438D">
        <w:rPr>
          <w:rFonts w:ascii="Arial Narrow" w:eastAsia="Calibri" w:hAnsi="Arial Narrow"/>
          <w:b/>
          <w:bCs/>
          <w:i/>
          <w:iCs/>
        </w:rPr>
        <w:t>”</w:t>
      </w:r>
      <w:r>
        <w:rPr>
          <w:rFonts w:ascii="Arial Narrow" w:eastAsia="Calibri" w:hAnsi="Arial Narrow"/>
        </w:rPr>
        <w:t xml:space="preserve">, se tiene que en el 2019 se reporta por parte de los 57 despachos competentes en tránsito registran un cumplimiento </w:t>
      </w:r>
      <w:r w:rsidRPr="009D27BE">
        <w:rPr>
          <w:rFonts w:ascii="Arial Narrow" w:eastAsia="Calibri" w:hAnsi="Arial Narrow"/>
        </w:rPr>
        <w:t xml:space="preserve">de </w:t>
      </w:r>
      <w:r>
        <w:rPr>
          <w:rFonts w:ascii="Arial Narrow" w:eastAsia="Calibri" w:hAnsi="Arial Narrow"/>
        </w:rPr>
        <w:t>98</w:t>
      </w:r>
      <w:r w:rsidRPr="009D27BE">
        <w:rPr>
          <w:rFonts w:ascii="Arial Narrow" w:eastAsia="Calibri" w:hAnsi="Arial Narrow"/>
        </w:rPr>
        <w:t xml:space="preserve">%, sin embargo, al revisar los datos reportados estadísticamente por medio de SIGMA, se tiene que se terminaron </w:t>
      </w:r>
      <w:r>
        <w:rPr>
          <w:rFonts w:ascii="Arial Narrow" w:eastAsia="Calibri" w:hAnsi="Arial Narrow"/>
        </w:rPr>
        <w:t xml:space="preserve">4406 </w:t>
      </w:r>
      <w:r w:rsidRPr="009D27BE">
        <w:rPr>
          <w:rFonts w:ascii="Arial Narrow" w:eastAsia="Calibri" w:hAnsi="Arial Narrow"/>
        </w:rPr>
        <w:t>asuntos</w:t>
      </w:r>
      <w:r>
        <w:rPr>
          <w:rFonts w:ascii="Arial Narrow" w:eastAsia="Calibri" w:hAnsi="Arial Narrow"/>
        </w:rPr>
        <w:t xml:space="preserve"> mediante medidas alternas</w:t>
      </w:r>
      <w:r w:rsidRPr="009D27BE">
        <w:rPr>
          <w:rFonts w:ascii="Arial Narrow" w:eastAsia="Calibri" w:hAnsi="Arial Narrow"/>
        </w:rPr>
        <w:t xml:space="preserve">, por lo que la meta para ese año registro un cumplimiento </w:t>
      </w:r>
      <w:r>
        <w:rPr>
          <w:rFonts w:ascii="Arial Narrow" w:eastAsia="Calibri" w:hAnsi="Arial Narrow"/>
        </w:rPr>
        <w:t>alto</w:t>
      </w:r>
      <w:r w:rsidRPr="009D27BE">
        <w:rPr>
          <w:rFonts w:ascii="Arial Narrow" w:eastAsia="Calibri" w:hAnsi="Arial Narrow"/>
        </w:rPr>
        <w:t xml:space="preserve"> de </w:t>
      </w:r>
      <w:r>
        <w:rPr>
          <w:rFonts w:ascii="Arial Narrow" w:eastAsia="Calibri" w:hAnsi="Arial Narrow"/>
        </w:rPr>
        <w:t>100</w:t>
      </w:r>
      <w:r w:rsidRPr="009D27BE">
        <w:rPr>
          <w:rFonts w:ascii="Arial Narrow" w:eastAsia="Calibri" w:hAnsi="Arial Narrow"/>
        </w:rPr>
        <w:t xml:space="preserve">%, debido a que </w:t>
      </w:r>
      <w:r>
        <w:rPr>
          <w:rFonts w:ascii="Arial Narrow" w:eastAsia="Calibri" w:hAnsi="Arial Narrow"/>
        </w:rPr>
        <w:t>sobrepaso la</w:t>
      </w:r>
      <w:r w:rsidRPr="009D27BE">
        <w:rPr>
          <w:rFonts w:ascii="Arial Narrow" w:eastAsia="Calibri" w:hAnsi="Arial Narrow"/>
        </w:rPr>
        <w:t xml:space="preserve"> meta.  Para el 2020, se tiene un reporte de cumplimiento por parte de las oficinas de un </w:t>
      </w:r>
      <w:r>
        <w:rPr>
          <w:rFonts w:ascii="Arial Narrow" w:eastAsia="Calibri" w:hAnsi="Arial Narrow"/>
        </w:rPr>
        <w:t>95</w:t>
      </w:r>
      <w:r w:rsidRPr="009D27BE">
        <w:rPr>
          <w:rFonts w:ascii="Arial Narrow" w:eastAsia="Calibri" w:hAnsi="Arial Narrow"/>
        </w:rPr>
        <w:t>%, al confrontar</w:t>
      </w:r>
      <w:r>
        <w:rPr>
          <w:rFonts w:ascii="Arial Narrow" w:eastAsia="Calibri" w:hAnsi="Arial Narrow"/>
        </w:rPr>
        <w:t xml:space="preserve"> este dato contra los terminados oficiales para ese año, se registran 9422 asuntos terminados mediante medidas alternas, dato que, al verificar contra lo esperado para ese año, se tiene un cumplimiento alto (100%). </w:t>
      </w:r>
    </w:p>
    <w:p w14:paraId="5026C617" w14:textId="76B06DBD" w:rsidR="00BC438D" w:rsidRDefault="00BC438D">
      <w:pPr>
        <w:rPr>
          <w:rFonts w:ascii="Arial Narrow" w:eastAsia="Calibri" w:hAnsi="Arial Narrow"/>
        </w:rPr>
      </w:pPr>
      <w:r>
        <w:rPr>
          <w:rFonts w:ascii="Arial Narrow" w:eastAsia="Calibri" w:hAnsi="Arial Narrow"/>
        </w:rPr>
        <w:br w:type="page"/>
      </w:r>
    </w:p>
    <w:p w14:paraId="696ED109" w14:textId="77777777" w:rsidR="00AB78AD" w:rsidRDefault="00AB78AD" w:rsidP="00AB78AD">
      <w:pPr>
        <w:spacing w:line="360" w:lineRule="auto"/>
        <w:jc w:val="both"/>
        <w:rPr>
          <w:rFonts w:ascii="Arial Narrow" w:eastAsia="Calibri" w:hAnsi="Arial Narrow"/>
        </w:rPr>
      </w:pPr>
    </w:p>
    <w:p w14:paraId="7A8A53AB" w14:textId="0B4324DF" w:rsidR="00AB78AD" w:rsidRDefault="00AB78AD" w:rsidP="00AB78AD">
      <w:pPr>
        <w:spacing w:line="360" w:lineRule="auto"/>
        <w:jc w:val="both"/>
        <w:rPr>
          <w:rFonts w:ascii="Arial Narrow" w:eastAsia="Calibri" w:hAnsi="Arial Narrow"/>
        </w:rPr>
      </w:pPr>
      <w:r>
        <w:rPr>
          <w:rFonts w:ascii="Arial Narrow" w:eastAsia="Calibri" w:hAnsi="Arial Narrow"/>
        </w:rPr>
        <w:t xml:space="preserve">Por su parte, la meta estratégica </w:t>
      </w:r>
      <w:r w:rsidR="00BC438D">
        <w:rPr>
          <w:rFonts w:ascii="Arial Narrow" w:eastAsia="Calibri" w:hAnsi="Arial Narrow"/>
          <w:b/>
          <w:bCs/>
          <w:i/>
          <w:iCs/>
        </w:rPr>
        <w:t>“Q</w:t>
      </w:r>
      <w:r w:rsidRPr="00FD7802">
        <w:rPr>
          <w:rFonts w:ascii="Arial Narrow" w:eastAsia="Calibri" w:hAnsi="Arial Narrow"/>
          <w:b/>
          <w:bCs/>
          <w:i/>
          <w:iCs/>
        </w:rPr>
        <w:t>ue al finalizar el 2024,  se haya incrementado anualmente la cantidad de casos terminados por el Centro de Conciliación del Poder Judicial</w:t>
      </w:r>
      <w:r w:rsidR="00BC438D">
        <w:rPr>
          <w:rFonts w:ascii="Arial Narrow" w:eastAsia="Calibri" w:hAnsi="Arial Narrow"/>
          <w:b/>
          <w:bCs/>
          <w:i/>
          <w:iCs/>
        </w:rPr>
        <w:t>”</w:t>
      </w:r>
      <w:r>
        <w:rPr>
          <w:rFonts w:ascii="Arial Narrow" w:eastAsia="Calibri" w:hAnsi="Arial Narrow"/>
        </w:rPr>
        <w:t xml:space="preserve">, se tiene que en el 2019 se reporta por parte de los 11 Centros de Conciliación un cumplimiento </w:t>
      </w:r>
      <w:r w:rsidRPr="009D27BE">
        <w:rPr>
          <w:rFonts w:ascii="Arial Narrow" w:eastAsia="Calibri" w:hAnsi="Arial Narrow"/>
        </w:rPr>
        <w:t xml:space="preserve">de </w:t>
      </w:r>
      <w:r>
        <w:rPr>
          <w:rFonts w:ascii="Arial Narrow" w:eastAsia="Calibri" w:hAnsi="Arial Narrow"/>
        </w:rPr>
        <w:t>99</w:t>
      </w:r>
      <w:r w:rsidRPr="009D27BE">
        <w:rPr>
          <w:rFonts w:ascii="Arial Narrow" w:eastAsia="Calibri" w:hAnsi="Arial Narrow"/>
        </w:rPr>
        <w:t>%,</w:t>
      </w:r>
      <w:r>
        <w:rPr>
          <w:rFonts w:ascii="Arial Narrow" w:eastAsia="Calibri" w:hAnsi="Arial Narrow"/>
        </w:rPr>
        <w:t xml:space="preserve"> y para</w:t>
      </w:r>
      <w:r w:rsidRPr="009D27BE">
        <w:rPr>
          <w:rFonts w:ascii="Arial Narrow" w:eastAsia="Calibri" w:hAnsi="Arial Narrow"/>
        </w:rPr>
        <w:t xml:space="preserve"> el 2020, se tiene un reporte de cumplimiento por parte de las oficinas de un </w:t>
      </w:r>
      <w:r>
        <w:rPr>
          <w:rFonts w:ascii="Arial Narrow" w:eastAsia="Calibri" w:hAnsi="Arial Narrow"/>
        </w:rPr>
        <w:t>84</w:t>
      </w:r>
      <w:r w:rsidRPr="009D27BE">
        <w:rPr>
          <w:rFonts w:ascii="Arial Narrow" w:eastAsia="Calibri" w:hAnsi="Arial Narrow"/>
        </w:rPr>
        <w:t>%, al confrontar</w:t>
      </w:r>
      <w:r>
        <w:rPr>
          <w:rFonts w:ascii="Arial Narrow" w:eastAsia="Calibri" w:hAnsi="Arial Narrow"/>
        </w:rPr>
        <w:t xml:space="preserve"> este dato contra la evidencia suministrada por medio de los avances PAO se tiene que Zona Sur, Golfito, Alajuela y Puntarenas registran un 100% completado, mientras que las restantes oficinas de Zona Atlántica, San Ramon, San Carlos, Sede central, Segundo de Zona Atlántica y Santa Cruz registraron avances en el rango de 53% a 90% lo que ocasionó que la meta se registre como cumplimiento medio.</w:t>
      </w:r>
    </w:p>
    <w:p w14:paraId="6F7D111D" w14:textId="77777777" w:rsidR="00767FDB" w:rsidRDefault="00767FDB" w:rsidP="00AB78AD">
      <w:pPr>
        <w:spacing w:line="360" w:lineRule="auto"/>
        <w:jc w:val="both"/>
        <w:rPr>
          <w:rFonts w:ascii="Arial Narrow" w:eastAsia="Calibri" w:hAnsi="Arial Narrow"/>
        </w:rPr>
        <w:sectPr w:rsidR="00767FDB" w:rsidSect="00767FDB">
          <w:pgSz w:w="12242" w:h="15842" w:code="1"/>
          <w:pgMar w:top="719" w:right="1469" w:bottom="719" w:left="1560" w:header="709" w:footer="709" w:gutter="0"/>
          <w:cols w:space="708"/>
          <w:docGrid w:linePitch="360"/>
        </w:sectPr>
      </w:pPr>
    </w:p>
    <w:p w14:paraId="7425CB1B" w14:textId="12EB7F3D" w:rsidR="00AB78AD" w:rsidRDefault="00AB78AD" w:rsidP="00AB78AD">
      <w:pPr>
        <w:spacing w:line="360" w:lineRule="auto"/>
        <w:jc w:val="both"/>
        <w:rPr>
          <w:rFonts w:ascii="Arial Narrow" w:eastAsia="Calibri" w:hAnsi="Arial Narrow"/>
        </w:rPr>
      </w:pPr>
    </w:p>
    <w:p w14:paraId="67F30E2A" w14:textId="7D1DB940" w:rsidR="00AB78AD" w:rsidRPr="00484CC1" w:rsidRDefault="00AB78AD" w:rsidP="00AB78AD">
      <w:pPr>
        <w:pStyle w:val="Descripcin"/>
        <w:jc w:val="center"/>
        <w:rPr>
          <w:rFonts w:ascii="Arial Narrow" w:eastAsia="Calibri" w:hAnsi="Arial Narrow"/>
          <w:lang w:eastAsia="en-US"/>
        </w:rPr>
      </w:pPr>
      <w:bookmarkStart w:id="41" w:name="_Toc76062243"/>
      <w:r w:rsidRPr="00704B08">
        <w:rPr>
          <w:rFonts w:ascii="Arial Narrow" w:hAnsi="Arial Narrow"/>
          <w:sz w:val="24"/>
          <w:szCs w:val="24"/>
        </w:rPr>
        <w:t xml:space="preserve">Cuadro </w:t>
      </w:r>
      <w:r w:rsidRPr="00704B08">
        <w:rPr>
          <w:rFonts w:ascii="Arial Narrow" w:hAnsi="Arial Narrow"/>
          <w:sz w:val="24"/>
          <w:szCs w:val="24"/>
        </w:rPr>
        <w:fldChar w:fldCharType="begin"/>
      </w:r>
      <w:r w:rsidRPr="00704B08">
        <w:rPr>
          <w:rFonts w:ascii="Arial Narrow" w:hAnsi="Arial Narrow"/>
          <w:sz w:val="24"/>
          <w:szCs w:val="24"/>
        </w:rPr>
        <w:instrText xml:space="preserve"> SEQ Cuadro_No. \* ARABIC </w:instrText>
      </w:r>
      <w:r w:rsidRPr="00704B08">
        <w:rPr>
          <w:rFonts w:ascii="Arial Narrow" w:hAnsi="Arial Narrow"/>
          <w:sz w:val="24"/>
          <w:szCs w:val="24"/>
        </w:rPr>
        <w:fldChar w:fldCharType="separate"/>
      </w:r>
      <w:r w:rsidR="00767FDB">
        <w:rPr>
          <w:rFonts w:ascii="Arial Narrow" w:hAnsi="Arial Narrow"/>
          <w:noProof/>
          <w:sz w:val="24"/>
          <w:szCs w:val="24"/>
        </w:rPr>
        <w:t>20</w:t>
      </w:r>
      <w:r w:rsidRPr="00704B08">
        <w:rPr>
          <w:rFonts w:ascii="Arial Narrow" w:hAnsi="Arial Narrow"/>
          <w:sz w:val="24"/>
          <w:szCs w:val="24"/>
        </w:rPr>
        <w:fldChar w:fldCharType="end"/>
      </w:r>
      <w:r w:rsidRPr="00704B08">
        <w:rPr>
          <w:rFonts w:ascii="Arial Narrow" w:hAnsi="Arial Narrow"/>
          <w:sz w:val="24"/>
          <w:szCs w:val="24"/>
        </w:rPr>
        <w:t xml:space="preserve"> </w:t>
      </w:r>
      <w:r w:rsidRPr="00704B08">
        <w:rPr>
          <w:rFonts w:ascii="Arial Narrow" w:eastAsia="Calibri" w:hAnsi="Arial Narrow"/>
          <w:sz w:val="24"/>
          <w:szCs w:val="24"/>
          <w:lang w:eastAsia="en-US"/>
        </w:rPr>
        <w:t>Metas</w:t>
      </w:r>
      <w:r w:rsidRPr="009D5823">
        <w:rPr>
          <w:rFonts w:ascii="Arial Narrow" w:eastAsia="Calibri" w:hAnsi="Arial Narrow"/>
          <w:sz w:val="24"/>
          <w:szCs w:val="24"/>
          <w:lang w:eastAsia="en-US"/>
        </w:rPr>
        <w:t xml:space="preserve"> estratégicas de Medidas Alternas y su cumplimiento para el 2019-2020</w:t>
      </w:r>
      <w:bookmarkEnd w:id="41"/>
    </w:p>
    <w:p w14:paraId="72734895" w14:textId="77777777" w:rsidR="00AB78AD" w:rsidRDefault="00AB78AD" w:rsidP="00AB78AD">
      <w:pPr>
        <w:rPr>
          <w:rFonts w:eastAsia="Calibri"/>
          <w:lang w:eastAsia="en-US"/>
        </w:rPr>
      </w:pPr>
    </w:p>
    <w:p w14:paraId="4BB4687A" w14:textId="77777777" w:rsidR="00AB78AD" w:rsidRPr="000B4845" w:rsidRDefault="00AB78AD" w:rsidP="00AB78AD">
      <w:pPr>
        <w:rPr>
          <w:rFonts w:eastAsia="Calibri"/>
          <w:lang w:eastAsia="en-US"/>
        </w:rPr>
      </w:pPr>
      <w:r>
        <w:rPr>
          <w:noProof/>
          <w:lang w:val="es-CR" w:eastAsia="es-CR"/>
        </w:rPr>
        <w:drawing>
          <wp:inline distT="0" distB="0" distL="0" distR="0" wp14:anchorId="38A50571" wp14:editId="06B233D8">
            <wp:extent cx="9092647" cy="3672416"/>
            <wp:effectExtent l="19050" t="19050" r="13335" b="23495"/>
            <wp:docPr id="106" name="Imagen 106" descr="Captura de pantalla de computador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n 44" descr="Captura de pantalla de computadora&#10;&#10;Descripción generada automáticamente con confianza media"/>
                    <pic:cNvPicPr/>
                  </pic:nvPicPr>
                  <pic:blipFill rotWithShape="1">
                    <a:blip r:embed="rId73"/>
                    <a:srcRect t="2582" r="569"/>
                    <a:stretch/>
                  </pic:blipFill>
                  <pic:spPr bwMode="auto">
                    <a:xfrm>
                      <a:off x="0" y="0"/>
                      <a:ext cx="9097037" cy="3674189"/>
                    </a:xfrm>
                    <a:prstGeom prst="rect">
                      <a:avLst/>
                    </a:prstGeom>
                    <a:ln w="19050">
                      <a:solidFill>
                        <a:schemeClr val="accent1"/>
                      </a:solidFill>
                    </a:ln>
                    <a:extLst>
                      <a:ext uri="{53640926-AAD7-44D8-BBD7-CCE9431645EC}">
                        <a14:shadowObscured xmlns:a14="http://schemas.microsoft.com/office/drawing/2010/main"/>
                      </a:ext>
                    </a:extLst>
                  </pic:spPr>
                </pic:pic>
              </a:graphicData>
            </a:graphic>
          </wp:inline>
        </w:drawing>
      </w:r>
    </w:p>
    <w:p w14:paraId="6318DCF8" w14:textId="77777777" w:rsidR="00AB78AD" w:rsidRDefault="00AB78AD" w:rsidP="00AB78AD">
      <w:pPr>
        <w:rPr>
          <w:rFonts w:eastAsia="Calibri"/>
          <w:lang w:eastAsia="en-US"/>
        </w:rPr>
      </w:pPr>
      <w:r w:rsidRPr="00EE2E13">
        <w:rPr>
          <w:rFonts w:ascii="Arial Narrow" w:hAnsi="Arial Narrow"/>
          <w:sz w:val="18"/>
          <w:szCs w:val="18"/>
          <w:lang w:val="es-CR" w:eastAsia="es-CR"/>
        </w:rPr>
        <w:t>Fuente: Sistema PEI al 24 de enero del 2020 (año 2019) y 04 de marzo del 2021 (año 2020).</w:t>
      </w:r>
    </w:p>
    <w:p w14:paraId="0A200828" w14:textId="77777777" w:rsidR="00767FDB" w:rsidRDefault="00767FDB" w:rsidP="00AB78AD">
      <w:pPr>
        <w:spacing w:line="360" w:lineRule="auto"/>
        <w:jc w:val="both"/>
        <w:rPr>
          <w:rFonts w:ascii="Arial Narrow" w:eastAsia="Calibri" w:hAnsi="Arial Narrow"/>
        </w:rPr>
        <w:sectPr w:rsidR="00767FDB" w:rsidSect="00767FDB">
          <w:pgSz w:w="15842" w:h="12242" w:orient="landscape" w:code="1"/>
          <w:pgMar w:top="1560" w:right="719" w:bottom="1469" w:left="719" w:header="709" w:footer="709" w:gutter="0"/>
          <w:cols w:space="708"/>
          <w:docGrid w:linePitch="360"/>
        </w:sectPr>
      </w:pPr>
    </w:p>
    <w:p w14:paraId="3A72DF4F" w14:textId="77777777" w:rsidR="00AB78AD" w:rsidRDefault="00AB78AD" w:rsidP="00AB78AD">
      <w:pPr>
        <w:spacing w:line="360" w:lineRule="auto"/>
        <w:jc w:val="both"/>
        <w:rPr>
          <w:rFonts w:ascii="Arial Narrow" w:eastAsia="Calibri" w:hAnsi="Arial Narrow"/>
        </w:rPr>
      </w:pPr>
    </w:p>
    <w:p w14:paraId="63EDB2B6" w14:textId="604AA2B7" w:rsidR="00AB78AD" w:rsidRDefault="00AB78AD" w:rsidP="00AB78AD">
      <w:pPr>
        <w:spacing w:line="360" w:lineRule="auto"/>
        <w:jc w:val="both"/>
        <w:rPr>
          <w:rFonts w:ascii="Arial Narrow" w:eastAsia="Calibri" w:hAnsi="Arial Narrow"/>
        </w:rPr>
      </w:pPr>
      <w:r>
        <w:rPr>
          <w:rFonts w:ascii="Arial Narrow" w:eastAsia="Calibri" w:hAnsi="Arial Narrow"/>
        </w:rPr>
        <w:t xml:space="preserve">De cuadro anterior, se tiene la meta estratégica </w:t>
      </w:r>
      <w:r w:rsidR="00BC438D">
        <w:rPr>
          <w:rFonts w:ascii="Arial Narrow" w:eastAsia="Calibri" w:hAnsi="Arial Narrow"/>
          <w:b/>
          <w:bCs/>
          <w:i/>
          <w:iCs/>
        </w:rPr>
        <w:t>“Q</w:t>
      </w:r>
      <w:r w:rsidRPr="00FF353D">
        <w:rPr>
          <w:rFonts w:ascii="Arial Narrow" w:eastAsia="Calibri" w:hAnsi="Arial Narrow"/>
          <w:b/>
          <w:bCs/>
          <w:i/>
          <w:iCs/>
        </w:rPr>
        <w:t>ue al finalizar el 2024,  se haya diseñado, validado y aprobado una política institucional integral sobre el tratamiento de los diferentes métodos alternos de resolución de conflictos</w:t>
      </w:r>
      <w:r w:rsidR="00BC438D">
        <w:rPr>
          <w:rFonts w:ascii="Arial Narrow" w:eastAsia="Calibri" w:hAnsi="Arial Narrow"/>
          <w:b/>
          <w:bCs/>
          <w:i/>
          <w:iCs/>
        </w:rPr>
        <w:t>”</w:t>
      </w:r>
      <w:r>
        <w:rPr>
          <w:rFonts w:ascii="Arial Narrow" w:eastAsia="Calibri" w:hAnsi="Arial Narrow"/>
        </w:rPr>
        <w:t>, se tiene que en el 2019 se reporta por parte del Centro de Conciliación un cumplimiento total de los esfuerzos para ese año, donde se indica que se trabaja en los documentos previos al diagnóstico, p</w:t>
      </w:r>
      <w:r w:rsidRPr="002E0B96">
        <w:rPr>
          <w:rFonts w:ascii="Arial Narrow" w:eastAsia="Calibri" w:hAnsi="Arial Narrow"/>
        </w:rPr>
        <w:t xml:space="preserve">ara el </w:t>
      </w:r>
      <w:r>
        <w:rPr>
          <w:rFonts w:ascii="Arial Narrow" w:eastAsia="Calibri" w:hAnsi="Arial Narrow"/>
        </w:rPr>
        <w:t xml:space="preserve">2020 también se reporta el 100% de cumplimiento de acuerdo con lo consignado por la oficina y se explica que </w:t>
      </w:r>
      <w:r w:rsidRPr="002E0B96">
        <w:rPr>
          <w:rFonts w:ascii="Arial Narrow" w:eastAsia="Calibri" w:hAnsi="Arial Narrow"/>
        </w:rPr>
        <w:t xml:space="preserve">se presenta la propuesta del </w:t>
      </w:r>
      <w:r w:rsidRPr="00FF353D">
        <w:rPr>
          <w:rFonts w:ascii="Arial Narrow" w:eastAsia="Calibri" w:hAnsi="Arial Narrow"/>
        </w:rPr>
        <w:t>Diseño</w:t>
      </w:r>
      <w:r w:rsidRPr="002E0B96">
        <w:rPr>
          <w:rFonts w:ascii="Arial Narrow" w:eastAsia="Calibri" w:hAnsi="Arial Narrow"/>
        </w:rPr>
        <w:t xml:space="preserve"> de la Política RAC en Comisión RAC en sesión del 02 de diciembre</w:t>
      </w:r>
      <w:r>
        <w:rPr>
          <w:rFonts w:ascii="Arial Narrow" w:eastAsia="Calibri" w:hAnsi="Arial Narrow"/>
        </w:rPr>
        <w:t xml:space="preserve"> 2020.</w:t>
      </w:r>
    </w:p>
    <w:p w14:paraId="17A3EB6F" w14:textId="77777777" w:rsidR="000D7411" w:rsidRDefault="000D7411" w:rsidP="00AB78AD">
      <w:pPr>
        <w:spacing w:line="360" w:lineRule="auto"/>
        <w:jc w:val="both"/>
        <w:rPr>
          <w:rFonts w:ascii="Arial Narrow" w:eastAsia="Calibri" w:hAnsi="Arial Narrow"/>
        </w:rPr>
      </w:pPr>
    </w:p>
    <w:p w14:paraId="30EDE83A" w14:textId="4A09A3FC" w:rsidR="00AB78AD" w:rsidRDefault="00AB78AD" w:rsidP="00AB78AD">
      <w:pPr>
        <w:spacing w:line="360" w:lineRule="auto"/>
        <w:jc w:val="both"/>
        <w:rPr>
          <w:rFonts w:ascii="Arial Narrow" w:eastAsia="Calibri" w:hAnsi="Arial Narrow"/>
        </w:rPr>
      </w:pPr>
      <w:r>
        <w:rPr>
          <w:rFonts w:ascii="Arial Narrow" w:eastAsia="Calibri" w:hAnsi="Arial Narrow"/>
        </w:rPr>
        <w:t xml:space="preserve">Por su parte la meta estratégica </w:t>
      </w:r>
      <w:r w:rsidR="00BC438D">
        <w:rPr>
          <w:rFonts w:ascii="Arial Narrow" w:eastAsia="Calibri" w:hAnsi="Arial Narrow"/>
          <w:b/>
          <w:bCs/>
          <w:i/>
          <w:iCs/>
        </w:rPr>
        <w:t>“Q</w:t>
      </w:r>
      <w:r w:rsidRPr="002E0B96">
        <w:rPr>
          <w:rFonts w:ascii="Arial Narrow" w:eastAsia="Calibri" w:hAnsi="Arial Narrow"/>
          <w:b/>
          <w:bCs/>
          <w:i/>
          <w:iCs/>
        </w:rPr>
        <w:t>ue al finalizar el 2024, se haya capacitado al menos 114 (20%) de las Fiscalas y Fiscales en el programa de Justicia Restaurativa y aplicación de otras medidas alternas de solución de conflictos</w:t>
      </w:r>
      <w:r w:rsidR="00BC438D">
        <w:rPr>
          <w:rFonts w:ascii="Arial Narrow" w:eastAsia="Calibri" w:hAnsi="Arial Narrow"/>
          <w:b/>
          <w:bCs/>
          <w:i/>
          <w:iCs/>
        </w:rPr>
        <w:t>”</w:t>
      </w:r>
      <w:r>
        <w:rPr>
          <w:rFonts w:ascii="Arial Narrow" w:eastAsia="Calibri" w:hAnsi="Arial Narrow"/>
        </w:rPr>
        <w:t>, se tiene que en el 2019 se reporta por parte de la Unidad de Capacitación del Ministerio Público los esfuerzos de d</w:t>
      </w:r>
      <w:r w:rsidRPr="002E0B96">
        <w:rPr>
          <w:rFonts w:ascii="Arial Narrow" w:eastAsia="Calibri" w:hAnsi="Arial Narrow"/>
        </w:rPr>
        <w:t xml:space="preserve">esarrollar en las personas participantes las competencias, conocimiento, habilidades, adherencia e importancia de aplicar, en la resolución de conflictos, el proceso de Justicia Restaurativa como un sistema complementario al proceso penal ordinario, </w:t>
      </w:r>
      <w:r>
        <w:rPr>
          <w:rFonts w:ascii="Arial Narrow" w:eastAsia="Calibri" w:hAnsi="Arial Narrow"/>
        </w:rPr>
        <w:t>esto contribuye</w:t>
      </w:r>
      <w:r w:rsidRPr="002E0B96">
        <w:rPr>
          <w:rFonts w:ascii="Arial Narrow" w:eastAsia="Calibri" w:hAnsi="Arial Narrow"/>
        </w:rPr>
        <w:t xml:space="preserve"> con una visión más humanizada, que se preocupa por la restauración del daño causado a la víctima, el tejido social y la verdadera reinserción de la persona ofensora a la comunidad</w:t>
      </w:r>
      <w:r>
        <w:rPr>
          <w:rFonts w:ascii="Arial Narrow" w:eastAsia="Calibri" w:hAnsi="Arial Narrow"/>
        </w:rPr>
        <w:t xml:space="preserve"> según manifiesta la oficina; p</w:t>
      </w:r>
      <w:r w:rsidRPr="007A4EFB">
        <w:rPr>
          <w:rFonts w:ascii="Arial Narrow" w:eastAsia="Calibri" w:hAnsi="Arial Narrow"/>
        </w:rPr>
        <w:t xml:space="preserve">ara el </w:t>
      </w:r>
      <w:r>
        <w:rPr>
          <w:rFonts w:ascii="Arial Narrow" w:eastAsia="Calibri" w:hAnsi="Arial Narrow"/>
        </w:rPr>
        <w:t xml:space="preserve">2020 también se reporta el 100% de cumplimiento de acuerdo con lo consignado por la oficina y se adjuntan documentos de respaldo sobre los avances realizados en el Proyecto de </w:t>
      </w:r>
      <w:r w:rsidRPr="002E0B96">
        <w:rPr>
          <w:rFonts w:ascii="Arial Narrow" w:eastAsia="Calibri" w:hAnsi="Arial Narrow"/>
        </w:rPr>
        <w:t>Diseño del Sub Programa de Justicia Restaurativa y aplicación de otras medidas alternas de solución del conflicto del Ministerio Público código, 017-MP-P06</w:t>
      </w:r>
      <w:r>
        <w:rPr>
          <w:rFonts w:ascii="Arial Narrow" w:eastAsia="Calibri" w:hAnsi="Arial Narrow"/>
        </w:rPr>
        <w:t>.</w:t>
      </w:r>
    </w:p>
    <w:p w14:paraId="31F2D96E" w14:textId="77777777" w:rsidR="00AB78AD" w:rsidRPr="002E0B96" w:rsidRDefault="00AB78AD" w:rsidP="00AB78AD">
      <w:pPr>
        <w:spacing w:line="360" w:lineRule="auto"/>
        <w:jc w:val="both"/>
        <w:rPr>
          <w:rFonts w:ascii="Arial Narrow" w:eastAsia="Calibri" w:hAnsi="Arial Narrow"/>
        </w:rPr>
      </w:pPr>
    </w:p>
    <w:p w14:paraId="4B0F70D8" w14:textId="2B8E8DBD" w:rsidR="00767FDB" w:rsidRDefault="00AB78AD" w:rsidP="00AB78AD">
      <w:pPr>
        <w:spacing w:line="360" w:lineRule="auto"/>
        <w:jc w:val="both"/>
        <w:rPr>
          <w:rFonts w:ascii="Arial Narrow" w:eastAsia="Calibri" w:hAnsi="Arial Narrow"/>
        </w:rPr>
        <w:sectPr w:rsidR="00767FDB" w:rsidSect="00767FDB">
          <w:pgSz w:w="12242" w:h="15842" w:code="1"/>
          <w:pgMar w:top="719" w:right="1469" w:bottom="719" w:left="1560" w:header="709" w:footer="709" w:gutter="0"/>
          <w:cols w:space="708"/>
          <w:docGrid w:linePitch="360"/>
        </w:sectPr>
      </w:pPr>
      <w:r>
        <w:rPr>
          <w:rFonts w:ascii="Arial Narrow" w:eastAsia="Calibri" w:hAnsi="Arial Narrow"/>
        </w:rPr>
        <w:t xml:space="preserve">Por otra parte, la meta estratégica </w:t>
      </w:r>
      <w:r w:rsidR="00BC438D">
        <w:rPr>
          <w:rFonts w:ascii="Arial Narrow" w:eastAsia="Calibri" w:hAnsi="Arial Narrow"/>
          <w:b/>
          <w:bCs/>
          <w:i/>
          <w:iCs/>
        </w:rPr>
        <w:t>“Q</w:t>
      </w:r>
      <w:r w:rsidRPr="000561E8">
        <w:rPr>
          <w:rFonts w:ascii="Arial Narrow" w:eastAsia="Calibri" w:hAnsi="Arial Narrow"/>
          <w:b/>
          <w:bCs/>
          <w:i/>
          <w:iCs/>
        </w:rPr>
        <w:t>ue al finalizar el 2024, se haya incrementado anualmente la cantidad casos terminados mediante la aplicación de las medidas alternas</w:t>
      </w:r>
      <w:r>
        <w:rPr>
          <w:rFonts w:ascii="Arial Narrow" w:eastAsia="Calibri" w:hAnsi="Arial Narrow"/>
          <w:b/>
          <w:bCs/>
          <w:i/>
          <w:iCs/>
        </w:rPr>
        <w:t xml:space="preserve"> </w:t>
      </w:r>
      <w:r w:rsidRPr="000561E8">
        <w:rPr>
          <w:rFonts w:ascii="Arial Narrow" w:eastAsia="Calibri" w:hAnsi="Arial Narrow"/>
          <w:b/>
          <w:bCs/>
          <w:i/>
          <w:iCs/>
        </w:rPr>
        <w:t>(audiencias tempranas, salidas alternas, justicia restaurativa) de la Fiscalí</w:t>
      </w:r>
      <w:r>
        <w:rPr>
          <w:rFonts w:ascii="Arial Narrow" w:eastAsia="Calibri" w:hAnsi="Arial Narrow"/>
          <w:b/>
          <w:bCs/>
          <w:i/>
          <w:iCs/>
        </w:rPr>
        <w:t>a</w:t>
      </w:r>
      <w:r w:rsidR="00BC438D">
        <w:rPr>
          <w:rFonts w:ascii="Arial Narrow" w:eastAsia="Calibri" w:hAnsi="Arial Narrow"/>
          <w:b/>
          <w:bCs/>
          <w:i/>
          <w:iCs/>
        </w:rPr>
        <w:t>”</w:t>
      </w:r>
      <w:r>
        <w:rPr>
          <w:rFonts w:ascii="Arial Narrow" w:eastAsia="Calibri" w:hAnsi="Arial Narrow"/>
        </w:rPr>
        <w:t>, se tiene en 2019 un cumplimiento de 93% registrados por todas las Fiscalías del país, así como su división con Fiscalías de Flagrancias por lo tanto se distribuyen en 66 metas operativas. Para el 2020, se registra un cumplimiento de la meta de 95%, quedando pendiente por parte de diversas Fiscal</w:t>
      </w:r>
      <w:r w:rsidR="000D7411">
        <w:rPr>
          <w:rFonts w:ascii="Arial Narrow" w:eastAsia="Calibri" w:hAnsi="Arial Narrow"/>
        </w:rPr>
        <w:t>í</w:t>
      </w:r>
      <w:r>
        <w:rPr>
          <w:rFonts w:ascii="Arial Narrow" w:eastAsia="Calibri" w:hAnsi="Arial Narrow"/>
        </w:rPr>
        <w:t xml:space="preserve">as, entre las que se pueden mencionar las que no </w:t>
      </w:r>
      <w:r>
        <w:rPr>
          <w:rFonts w:ascii="Arial Narrow" w:eastAsia="Calibri" w:hAnsi="Arial Narrow"/>
        </w:rPr>
        <w:lastRenderedPageBreak/>
        <w:t xml:space="preserve">lograron el 100%: Fiscalia de zona Sur, Fiscalia de Quepos, Fiscalia de II Circuito Zona Sur, Fiscalia Puntarenas, Fiscalia de Cóbano, Fiscalia de Buenos Aires y Fiscalia de Santa Cruz. </w:t>
      </w:r>
    </w:p>
    <w:p w14:paraId="6180A0D4" w14:textId="77777777" w:rsidR="00AB78AD" w:rsidRDefault="00AB78AD" w:rsidP="00AB78AD">
      <w:pPr>
        <w:rPr>
          <w:rFonts w:eastAsia="Calibri"/>
          <w:lang w:eastAsia="en-US"/>
        </w:rPr>
      </w:pPr>
    </w:p>
    <w:p w14:paraId="1EA6BCD5" w14:textId="54D8C607" w:rsidR="00AB78AD" w:rsidRPr="00484CC1" w:rsidRDefault="00AB78AD" w:rsidP="00AB78AD">
      <w:pPr>
        <w:pStyle w:val="Descripcin"/>
        <w:jc w:val="center"/>
        <w:rPr>
          <w:rFonts w:ascii="Arial Narrow" w:eastAsia="Calibri" w:hAnsi="Arial Narrow"/>
          <w:lang w:eastAsia="en-US"/>
        </w:rPr>
      </w:pPr>
      <w:bookmarkStart w:id="42" w:name="_Toc76062244"/>
      <w:r w:rsidRPr="00704B08">
        <w:rPr>
          <w:rFonts w:ascii="Arial Narrow" w:hAnsi="Arial Narrow"/>
          <w:sz w:val="24"/>
          <w:szCs w:val="24"/>
        </w:rPr>
        <w:t xml:space="preserve">Cuadro </w:t>
      </w:r>
      <w:r w:rsidRPr="00704B08">
        <w:rPr>
          <w:rFonts w:ascii="Arial Narrow" w:hAnsi="Arial Narrow"/>
          <w:sz w:val="24"/>
          <w:szCs w:val="24"/>
        </w:rPr>
        <w:fldChar w:fldCharType="begin"/>
      </w:r>
      <w:r w:rsidRPr="00704B08">
        <w:rPr>
          <w:rFonts w:ascii="Arial Narrow" w:hAnsi="Arial Narrow"/>
          <w:sz w:val="24"/>
          <w:szCs w:val="24"/>
        </w:rPr>
        <w:instrText xml:space="preserve"> SEQ Cuadro_No. \* ARABIC </w:instrText>
      </w:r>
      <w:r w:rsidRPr="00704B08">
        <w:rPr>
          <w:rFonts w:ascii="Arial Narrow" w:hAnsi="Arial Narrow"/>
          <w:sz w:val="24"/>
          <w:szCs w:val="24"/>
        </w:rPr>
        <w:fldChar w:fldCharType="separate"/>
      </w:r>
      <w:r w:rsidR="00767FDB">
        <w:rPr>
          <w:rFonts w:ascii="Arial Narrow" w:hAnsi="Arial Narrow"/>
          <w:noProof/>
          <w:sz w:val="24"/>
          <w:szCs w:val="24"/>
        </w:rPr>
        <w:t>21</w:t>
      </w:r>
      <w:r w:rsidRPr="00704B08">
        <w:rPr>
          <w:rFonts w:ascii="Arial Narrow" w:hAnsi="Arial Narrow"/>
          <w:sz w:val="24"/>
          <w:szCs w:val="24"/>
        </w:rPr>
        <w:fldChar w:fldCharType="end"/>
      </w:r>
      <w:r w:rsidRPr="00704B08">
        <w:rPr>
          <w:rFonts w:ascii="Arial Narrow" w:hAnsi="Arial Narrow"/>
          <w:sz w:val="24"/>
          <w:szCs w:val="24"/>
        </w:rPr>
        <w:t xml:space="preserve"> </w:t>
      </w:r>
      <w:r w:rsidRPr="00704B08">
        <w:rPr>
          <w:rFonts w:ascii="Arial Narrow" w:eastAsia="Calibri" w:hAnsi="Arial Narrow"/>
          <w:sz w:val="24"/>
          <w:szCs w:val="24"/>
          <w:lang w:eastAsia="en-US"/>
        </w:rPr>
        <w:t>Metas</w:t>
      </w:r>
      <w:r w:rsidRPr="009D5823">
        <w:rPr>
          <w:rFonts w:ascii="Arial Narrow" w:eastAsia="Calibri" w:hAnsi="Arial Narrow"/>
          <w:sz w:val="24"/>
          <w:szCs w:val="24"/>
          <w:lang w:eastAsia="en-US"/>
        </w:rPr>
        <w:t xml:space="preserve"> estratégicas</w:t>
      </w:r>
      <w:r w:rsidRPr="00665D61">
        <w:rPr>
          <w:rFonts w:ascii="Arial Narrow" w:eastAsia="Calibri" w:hAnsi="Arial Narrow"/>
          <w:sz w:val="24"/>
          <w:szCs w:val="24"/>
          <w:lang w:eastAsia="en-US"/>
        </w:rPr>
        <w:t xml:space="preserve"> de Medidas Alternas y su cumplimiento para el 2019</w:t>
      </w:r>
      <w:r>
        <w:rPr>
          <w:rFonts w:ascii="Arial Narrow" w:eastAsia="Calibri" w:hAnsi="Arial Narrow"/>
          <w:sz w:val="24"/>
          <w:szCs w:val="24"/>
          <w:lang w:eastAsia="en-US"/>
        </w:rPr>
        <w:t>-2020</w:t>
      </w:r>
      <w:bookmarkEnd w:id="42"/>
    </w:p>
    <w:p w14:paraId="7DA70CB8" w14:textId="77777777" w:rsidR="00AB78AD" w:rsidRDefault="00AB78AD" w:rsidP="00AB78AD">
      <w:pPr>
        <w:rPr>
          <w:rFonts w:eastAsia="Calibri"/>
          <w:lang w:eastAsia="en-US"/>
        </w:rPr>
      </w:pPr>
    </w:p>
    <w:p w14:paraId="0C9FEAC7" w14:textId="77777777" w:rsidR="00AB78AD" w:rsidRDefault="00AB78AD" w:rsidP="00AB78AD">
      <w:pPr>
        <w:rPr>
          <w:rFonts w:eastAsia="Calibri"/>
          <w:lang w:eastAsia="en-US"/>
        </w:rPr>
      </w:pPr>
      <w:r>
        <w:rPr>
          <w:noProof/>
          <w:lang w:val="es-CR" w:eastAsia="es-CR"/>
        </w:rPr>
        <w:drawing>
          <wp:inline distT="0" distB="0" distL="0" distR="0" wp14:anchorId="6A00F0DA" wp14:editId="0CAB360C">
            <wp:extent cx="9146364" cy="3932061"/>
            <wp:effectExtent l="19050" t="19050" r="17145" b="11430"/>
            <wp:docPr id="45" name="Imagen 45" descr="Tabla, Calendari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agen 45" descr="Tabla, Calendario&#10;&#10;Descripción generada automáticamente"/>
                    <pic:cNvPicPr/>
                  </pic:nvPicPr>
                  <pic:blipFill>
                    <a:blip r:embed="rId74"/>
                    <a:stretch>
                      <a:fillRect/>
                    </a:stretch>
                  </pic:blipFill>
                  <pic:spPr>
                    <a:xfrm>
                      <a:off x="0" y="0"/>
                      <a:ext cx="9150549" cy="3933860"/>
                    </a:xfrm>
                    <a:prstGeom prst="rect">
                      <a:avLst/>
                    </a:prstGeom>
                    <a:ln w="19050">
                      <a:solidFill>
                        <a:schemeClr val="accent1"/>
                      </a:solidFill>
                    </a:ln>
                  </pic:spPr>
                </pic:pic>
              </a:graphicData>
            </a:graphic>
          </wp:inline>
        </w:drawing>
      </w:r>
    </w:p>
    <w:p w14:paraId="6DFE988D" w14:textId="77777777" w:rsidR="00AB78AD" w:rsidRDefault="00AB78AD" w:rsidP="00AB78AD">
      <w:pPr>
        <w:rPr>
          <w:rFonts w:eastAsia="Calibri"/>
          <w:lang w:eastAsia="en-US"/>
        </w:rPr>
      </w:pPr>
      <w:r w:rsidRPr="00EE2E13">
        <w:rPr>
          <w:rFonts w:ascii="Arial Narrow" w:hAnsi="Arial Narrow"/>
          <w:sz w:val="18"/>
          <w:szCs w:val="18"/>
          <w:lang w:val="es-CR" w:eastAsia="es-CR"/>
        </w:rPr>
        <w:t>Fuente: Sistema PEI al 24 de enero del 2020 (año 2019) y 04 de marzo del 2021 (año 2020).</w:t>
      </w:r>
    </w:p>
    <w:p w14:paraId="5B2F4545" w14:textId="77777777" w:rsidR="00AB78AD" w:rsidRDefault="00AB78AD" w:rsidP="00AB78AD">
      <w:pPr>
        <w:rPr>
          <w:rFonts w:eastAsia="Calibri"/>
          <w:lang w:eastAsia="en-US"/>
        </w:rPr>
      </w:pPr>
    </w:p>
    <w:p w14:paraId="3B681777" w14:textId="77777777" w:rsidR="00767FDB" w:rsidRDefault="00767FDB" w:rsidP="00AB78AD">
      <w:pPr>
        <w:rPr>
          <w:rFonts w:eastAsia="Calibri"/>
          <w:lang w:eastAsia="en-US"/>
        </w:rPr>
        <w:sectPr w:rsidR="00767FDB" w:rsidSect="00767FDB">
          <w:pgSz w:w="15842" w:h="12242" w:orient="landscape" w:code="1"/>
          <w:pgMar w:top="1560" w:right="719" w:bottom="1469" w:left="719" w:header="709" w:footer="709" w:gutter="0"/>
          <w:cols w:space="708"/>
          <w:docGrid w:linePitch="360"/>
        </w:sectPr>
      </w:pPr>
    </w:p>
    <w:p w14:paraId="5C62B79B" w14:textId="3F676BA7" w:rsidR="00AB78AD" w:rsidRDefault="00AB78AD" w:rsidP="00AB78AD">
      <w:pPr>
        <w:rPr>
          <w:rFonts w:eastAsia="Calibri"/>
          <w:lang w:eastAsia="en-US"/>
        </w:rPr>
      </w:pPr>
    </w:p>
    <w:p w14:paraId="7D99BF81" w14:textId="0E54AFE7" w:rsidR="00BC438D" w:rsidRDefault="00BC438D" w:rsidP="00AB78AD">
      <w:pPr>
        <w:rPr>
          <w:rFonts w:eastAsia="Calibri"/>
          <w:lang w:eastAsia="en-US"/>
        </w:rPr>
      </w:pPr>
    </w:p>
    <w:p w14:paraId="61ECE418" w14:textId="57F748E1" w:rsidR="00BC438D" w:rsidRDefault="00BC438D" w:rsidP="00AB78AD">
      <w:pPr>
        <w:rPr>
          <w:rFonts w:eastAsia="Calibri"/>
          <w:lang w:eastAsia="en-US"/>
        </w:rPr>
      </w:pPr>
    </w:p>
    <w:p w14:paraId="44B3C99D" w14:textId="77777777" w:rsidR="00BC438D" w:rsidRDefault="00BC438D" w:rsidP="00AB78AD">
      <w:pPr>
        <w:rPr>
          <w:rFonts w:eastAsia="Calibri"/>
          <w:lang w:eastAsia="en-US"/>
        </w:rPr>
      </w:pPr>
    </w:p>
    <w:p w14:paraId="522AAFF7" w14:textId="7DA6DA40" w:rsidR="00AB78AD" w:rsidRPr="002E0B96" w:rsidRDefault="00AB78AD" w:rsidP="00AB78AD">
      <w:pPr>
        <w:spacing w:line="360" w:lineRule="auto"/>
        <w:jc w:val="both"/>
        <w:rPr>
          <w:rFonts w:ascii="Arial Narrow" w:eastAsia="Calibri" w:hAnsi="Arial Narrow"/>
        </w:rPr>
      </w:pPr>
      <w:r>
        <w:rPr>
          <w:rFonts w:ascii="Arial Narrow" w:eastAsia="Calibri" w:hAnsi="Arial Narrow"/>
        </w:rPr>
        <w:t xml:space="preserve">De acuerdo con el cuadro anterior, la meta estratégica </w:t>
      </w:r>
      <w:r w:rsidR="00BC438D">
        <w:rPr>
          <w:rFonts w:ascii="Arial Narrow" w:eastAsia="Calibri" w:hAnsi="Arial Narrow"/>
          <w:b/>
          <w:bCs/>
          <w:i/>
          <w:iCs/>
        </w:rPr>
        <w:t>“Q</w:t>
      </w:r>
      <w:r w:rsidRPr="00E310A3">
        <w:rPr>
          <w:rFonts w:ascii="Arial Narrow" w:eastAsia="Calibri" w:hAnsi="Arial Narrow"/>
          <w:b/>
          <w:bCs/>
          <w:i/>
          <w:iCs/>
        </w:rPr>
        <w:t>ue al finalizar el 2024, se haya incrementado anualmente la cantidad de casos terminados mediante la aplicación de las medidas alternas en la Defensa Pública</w:t>
      </w:r>
      <w:r w:rsidR="00BC438D">
        <w:rPr>
          <w:rFonts w:ascii="Arial Narrow" w:eastAsia="Calibri" w:hAnsi="Arial Narrow"/>
          <w:b/>
          <w:bCs/>
          <w:i/>
          <w:iCs/>
        </w:rPr>
        <w:t>”</w:t>
      </w:r>
      <w:r>
        <w:rPr>
          <w:rFonts w:ascii="Arial Narrow" w:eastAsia="Calibri" w:hAnsi="Arial Narrow"/>
        </w:rPr>
        <w:t>, se tien</w:t>
      </w:r>
      <w:r w:rsidRPr="00E310A3">
        <w:rPr>
          <w:rFonts w:ascii="Arial Narrow" w:eastAsia="Calibri" w:hAnsi="Arial Narrow"/>
        </w:rPr>
        <w:t xml:space="preserve">e en 2019 un cumplimiento de </w:t>
      </w:r>
      <w:r w:rsidRPr="002E0B96">
        <w:rPr>
          <w:rFonts w:ascii="Arial Narrow" w:eastAsia="Calibri" w:hAnsi="Arial Narrow"/>
        </w:rPr>
        <w:t>100</w:t>
      </w:r>
      <w:r w:rsidRPr="00E310A3">
        <w:rPr>
          <w:rFonts w:ascii="Arial Narrow" w:eastAsia="Calibri" w:hAnsi="Arial Narrow"/>
        </w:rPr>
        <w:t xml:space="preserve">% registrados por </w:t>
      </w:r>
      <w:r w:rsidRPr="002E0B96">
        <w:rPr>
          <w:rFonts w:ascii="Arial Narrow" w:eastAsia="Calibri" w:hAnsi="Arial Narrow"/>
        </w:rPr>
        <w:t xml:space="preserve">las 6 Defensas Públicas competentes en los esfuerzos para aplicar medidas alternas, como lo son las tareas en </w:t>
      </w:r>
      <w:r>
        <w:rPr>
          <w:rFonts w:ascii="Arial Narrow" w:eastAsia="Calibri" w:hAnsi="Arial Narrow"/>
        </w:rPr>
        <w:t>desarrolladas de girar la d</w:t>
      </w:r>
      <w:r w:rsidRPr="002E0B96">
        <w:rPr>
          <w:rFonts w:ascii="Arial Narrow" w:eastAsia="Calibri" w:hAnsi="Arial Narrow"/>
        </w:rPr>
        <w:t>irectriz "Labor de los Defensores Públicos Agrarios y las Defensoras Públicas Agrarias en la Resolución Alterna de Conflicto" de 13 de noviembre de 2019.  Para</w:t>
      </w:r>
      <w:r w:rsidRPr="00E310A3">
        <w:rPr>
          <w:rFonts w:ascii="Arial Narrow" w:eastAsia="Calibri" w:hAnsi="Arial Narrow"/>
        </w:rPr>
        <w:t xml:space="preserve"> el 2020, se registra un cumplimiento de la meta de </w:t>
      </w:r>
      <w:r w:rsidRPr="002E0B96">
        <w:rPr>
          <w:rFonts w:ascii="Arial Narrow" w:eastAsia="Calibri" w:hAnsi="Arial Narrow"/>
        </w:rPr>
        <w:t>100</w:t>
      </w:r>
      <w:r w:rsidRPr="00E310A3">
        <w:rPr>
          <w:rFonts w:ascii="Arial Narrow" w:eastAsia="Calibri" w:hAnsi="Arial Narrow"/>
        </w:rPr>
        <w:t>%, donde</w:t>
      </w:r>
      <w:r>
        <w:rPr>
          <w:rFonts w:ascii="Arial Narrow" w:eastAsia="Calibri" w:hAnsi="Arial Narrow"/>
        </w:rPr>
        <w:t xml:space="preserve"> se indican los resultados obtenidos como lo es cada</w:t>
      </w:r>
      <w:r w:rsidRPr="002E0B96">
        <w:rPr>
          <w:rFonts w:ascii="Arial Narrow" w:eastAsia="Calibri" w:hAnsi="Arial Narrow"/>
        </w:rPr>
        <w:t xml:space="preserve"> plaza de Defensor Público Agrario de la Unidad de Defensa Pública Agraria haya participado en cinco diligencias de resolución alterna de conflictos en cumplimiento de las directrices institucionales sobre la gestión de las medidas</w:t>
      </w:r>
      <w:r>
        <w:rPr>
          <w:rFonts w:ascii="Arial Narrow" w:eastAsia="Calibri" w:hAnsi="Arial Narrow"/>
        </w:rPr>
        <w:t xml:space="preserve"> </w:t>
      </w:r>
      <w:r w:rsidRPr="002E0B96">
        <w:rPr>
          <w:rFonts w:ascii="Arial Narrow" w:eastAsia="Calibri" w:hAnsi="Arial Narrow"/>
        </w:rPr>
        <w:t>alternas</w:t>
      </w:r>
      <w:r>
        <w:rPr>
          <w:rFonts w:ascii="Arial Narrow" w:eastAsia="Calibri" w:hAnsi="Arial Narrow"/>
        </w:rPr>
        <w:t>, y la aplicación de las directrices y su impacto en las Defensas Públicas con respecto al tema de medidas alternas.</w:t>
      </w:r>
    </w:p>
    <w:p w14:paraId="4AAD7DD5" w14:textId="77777777" w:rsidR="00AB78AD" w:rsidRDefault="00AB78AD" w:rsidP="00AB78AD">
      <w:pPr>
        <w:spacing w:line="360" w:lineRule="auto"/>
        <w:jc w:val="both"/>
        <w:rPr>
          <w:rFonts w:eastAsia="Calibri"/>
          <w:lang w:eastAsia="en-US"/>
        </w:rPr>
      </w:pPr>
      <w:r>
        <w:rPr>
          <w:rFonts w:ascii="Arial Narrow" w:eastAsia="Calibri" w:hAnsi="Arial Narrow"/>
        </w:rPr>
        <w:t xml:space="preserve"> </w:t>
      </w:r>
    </w:p>
    <w:p w14:paraId="7CC12BD1" w14:textId="5C132161" w:rsidR="00AB78AD" w:rsidRDefault="00AB78AD" w:rsidP="00AB78AD">
      <w:pPr>
        <w:spacing w:line="360" w:lineRule="auto"/>
        <w:jc w:val="both"/>
        <w:rPr>
          <w:rFonts w:ascii="Arial Narrow" w:eastAsia="Calibri" w:hAnsi="Arial Narrow"/>
        </w:rPr>
      </w:pPr>
      <w:r>
        <w:rPr>
          <w:rFonts w:ascii="Arial Narrow" w:eastAsia="Calibri" w:hAnsi="Arial Narrow"/>
        </w:rPr>
        <w:t xml:space="preserve">Por otra parte, la meta estratégica </w:t>
      </w:r>
      <w:r w:rsidR="00BC438D">
        <w:rPr>
          <w:rFonts w:ascii="Arial Narrow" w:eastAsia="Calibri" w:hAnsi="Arial Narrow"/>
          <w:b/>
          <w:bCs/>
          <w:i/>
          <w:iCs/>
        </w:rPr>
        <w:t>“Q</w:t>
      </w:r>
      <w:r w:rsidRPr="00E310A3">
        <w:rPr>
          <w:rFonts w:ascii="Arial Narrow" w:eastAsia="Calibri" w:hAnsi="Arial Narrow"/>
          <w:b/>
          <w:bCs/>
          <w:i/>
          <w:iCs/>
        </w:rPr>
        <w:t>ue al finalizar el 2024, se haya incrementado la cantidad de casos terminados, mediante la aplicación de medidas alternas, en materia agraria por año, en primera instancia</w:t>
      </w:r>
      <w:r w:rsidR="00BC438D">
        <w:rPr>
          <w:rFonts w:ascii="Arial Narrow" w:eastAsia="Calibri" w:hAnsi="Arial Narrow"/>
          <w:b/>
          <w:bCs/>
          <w:i/>
          <w:iCs/>
        </w:rPr>
        <w:t>”</w:t>
      </w:r>
      <w:r>
        <w:rPr>
          <w:rFonts w:ascii="Arial Narrow" w:eastAsia="Calibri" w:hAnsi="Arial Narrow"/>
        </w:rPr>
        <w:t xml:space="preserve">, se tiene que en </w:t>
      </w:r>
      <w:r w:rsidRPr="005022B6">
        <w:rPr>
          <w:rFonts w:ascii="Arial Narrow" w:eastAsia="Calibri" w:hAnsi="Arial Narrow"/>
        </w:rPr>
        <w:t xml:space="preserve">el </w:t>
      </w:r>
      <w:r w:rsidRPr="002E0B96">
        <w:rPr>
          <w:rFonts w:ascii="Arial Narrow" w:eastAsia="Calibri" w:hAnsi="Arial Narrow"/>
        </w:rPr>
        <w:t xml:space="preserve">2019 se reporta por parte de los 14 despachos competentes en agrario registran un cumplimiento de 98%, sin embargo, al revisar los datos reportados estadísticamente por medio de SIGMA, se tiene que se terminaron 353 asuntos mediante medidas alternas, por lo que la meta para ese año registro un cumplimiento alto de 100%, debido a que sobrepaso la meta esperada de 210 casos.  Para el 2020, se tiene un reporte de cumplimiento por parte de las oficinas de un 88%, </w:t>
      </w:r>
      <w:r w:rsidR="0027246A">
        <w:rPr>
          <w:rFonts w:ascii="Arial Narrow" w:eastAsia="Calibri" w:hAnsi="Arial Narrow"/>
        </w:rPr>
        <w:t xml:space="preserve">sin embargo, </w:t>
      </w:r>
      <w:r w:rsidRPr="002E0B96">
        <w:rPr>
          <w:rFonts w:ascii="Arial Narrow" w:eastAsia="Calibri" w:hAnsi="Arial Narrow"/>
        </w:rPr>
        <w:t>al confrontar este dato contra los terminados oficiales para ese año</w:t>
      </w:r>
      <w:r w:rsidR="0027246A">
        <w:rPr>
          <w:rFonts w:ascii="Arial Narrow" w:eastAsia="Calibri" w:hAnsi="Arial Narrow"/>
        </w:rPr>
        <w:t xml:space="preserve"> los cuales</w:t>
      </w:r>
      <w:r w:rsidRPr="002E0B96">
        <w:rPr>
          <w:rFonts w:ascii="Arial Narrow" w:eastAsia="Calibri" w:hAnsi="Arial Narrow"/>
        </w:rPr>
        <w:t xml:space="preserve"> registran 248 asuntos terminados mediante medidas alternas, dato que, al </w:t>
      </w:r>
      <w:r w:rsidR="0027246A">
        <w:rPr>
          <w:rFonts w:ascii="Arial Narrow" w:eastAsia="Calibri" w:hAnsi="Arial Narrow"/>
        </w:rPr>
        <w:t>confrontarlo</w:t>
      </w:r>
      <w:r w:rsidR="0027246A" w:rsidRPr="002E0B96">
        <w:rPr>
          <w:rFonts w:ascii="Arial Narrow" w:eastAsia="Calibri" w:hAnsi="Arial Narrow"/>
        </w:rPr>
        <w:t xml:space="preserve"> </w:t>
      </w:r>
      <w:r w:rsidRPr="002E0B96">
        <w:rPr>
          <w:rFonts w:ascii="Arial Narrow" w:eastAsia="Calibri" w:hAnsi="Arial Narrow"/>
        </w:rPr>
        <w:t xml:space="preserve">contra lo esperado para ese año </w:t>
      </w:r>
      <w:r w:rsidR="0027246A">
        <w:rPr>
          <w:rFonts w:ascii="Arial Narrow" w:eastAsia="Calibri" w:hAnsi="Arial Narrow"/>
        </w:rPr>
        <w:t xml:space="preserve">que eran de </w:t>
      </w:r>
      <w:r w:rsidRPr="002E0B96">
        <w:rPr>
          <w:rFonts w:ascii="Arial Narrow" w:eastAsia="Calibri" w:hAnsi="Arial Narrow"/>
        </w:rPr>
        <w:t>212 expedientes, se tiene un cumplimiento alto (100%).</w:t>
      </w:r>
      <w:r>
        <w:rPr>
          <w:rFonts w:ascii="Arial Narrow" w:eastAsia="Calibri" w:hAnsi="Arial Narrow"/>
        </w:rPr>
        <w:t xml:space="preserve"> </w:t>
      </w:r>
      <w:r w:rsidR="0027246A">
        <w:rPr>
          <w:rFonts w:ascii="Arial Narrow" w:eastAsia="Calibri" w:hAnsi="Arial Narrow"/>
        </w:rPr>
        <w:t xml:space="preserve"> </w:t>
      </w:r>
    </w:p>
    <w:p w14:paraId="19BAF028" w14:textId="404A58C3" w:rsidR="00BC438D" w:rsidRDefault="00BC438D">
      <w:pPr>
        <w:rPr>
          <w:rFonts w:ascii="Arial Narrow" w:eastAsia="Calibri" w:hAnsi="Arial Narrow"/>
        </w:rPr>
      </w:pPr>
      <w:r>
        <w:rPr>
          <w:rFonts w:ascii="Arial Narrow" w:eastAsia="Calibri" w:hAnsi="Arial Narrow"/>
        </w:rPr>
        <w:br w:type="page"/>
      </w:r>
    </w:p>
    <w:p w14:paraId="7F3C0AAD" w14:textId="3D7286E2" w:rsidR="00AB78AD" w:rsidRDefault="00AB78AD" w:rsidP="00AB78AD">
      <w:pPr>
        <w:spacing w:line="360" w:lineRule="auto"/>
        <w:jc w:val="both"/>
        <w:rPr>
          <w:rFonts w:ascii="Arial Narrow" w:eastAsia="Calibri" w:hAnsi="Arial Narrow"/>
        </w:rPr>
      </w:pPr>
    </w:p>
    <w:p w14:paraId="6DAD65A3" w14:textId="302120BE" w:rsidR="00BC438D" w:rsidRDefault="00BC438D" w:rsidP="00AB78AD">
      <w:pPr>
        <w:spacing w:line="360" w:lineRule="auto"/>
        <w:jc w:val="both"/>
        <w:rPr>
          <w:rFonts w:ascii="Arial Narrow" w:eastAsia="Calibri" w:hAnsi="Arial Narrow"/>
        </w:rPr>
      </w:pPr>
    </w:p>
    <w:p w14:paraId="01F1DCB0" w14:textId="77777777" w:rsidR="00BC438D" w:rsidRDefault="00BC438D" w:rsidP="00AB78AD">
      <w:pPr>
        <w:spacing w:line="360" w:lineRule="auto"/>
        <w:jc w:val="both"/>
        <w:rPr>
          <w:rFonts w:ascii="Arial Narrow" w:eastAsia="Calibri" w:hAnsi="Arial Narrow"/>
        </w:rPr>
      </w:pPr>
    </w:p>
    <w:p w14:paraId="339BF27E" w14:textId="0B39B1D2" w:rsidR="00AB78AD" w:rsidRDefault="00AB78AD" w:rsidP="00AB78AD">
      <w:pPr>
        <w:spacing w:line="360" w:lineRule="auto"/>
        <w:jc w:val="both"/>
        <w:rPr>
          <w:rFonts w:ascii="Arial Narrow" w:eastAsia="Calibri" w:hAnsi="Arial Narrow"/>
        </w:rPr>
      </w:pPr>
      <w:r>
        <w:rPr>
          <w:rFonts w:ascii="Arial Narrow" w:eastAsia="Calibri" w:hAnsi="Arial Narrow"/>
        </w:rPr>
        <w:t xml:space="preserve">La meta estratégica </w:t>
      </w:r>
      <w:r w:rsidR="00BC438D">
        <w:rPr>
          <w:rFonts w:ascii="Arial Narrow" w:eastAsia="Calibri" w:hAnsi="Arial Narrow"/>
          <w:b/>
          <w:bCs/>
          <w:i/>
          <w:iCs/>
        </w:rPr>
        <w:t>“Q</w:t>
      </w:r>
      <w:r w:rsidRPr="00E310A3">
        <w:rPr>
          <w:rFonts w:ascii="Arial Narrow" w:eastAsia="Calibri" w:hAnsi="Arial Narrow"/>
          <w:b/>
          <w:bCs/>
          <w:i/>
          <w:iCs/>
        </w:rPr>
        <w:t>ue al finalizar el 2024, se haya incrementado la cantidad de casos terminados, mediante la aplicación de medidas alternas, en materia contenciosa administrativa por año, en primera instancia</w:t>
      </w:r>
      <w:r w:rsidR="00BC438D">
        <w:rPr>
          <w:rFonts w:ascii="Arial Narrow" w:eastAsia="Calibri" w:hAnsi="Arial Narrow"/>
          <w:b/>
          <w:bCs/>
          <w:i/>
          <w:iCs/>
        </w:rPr>
        <w:t>”</w:t>
      </w:r>
      <w:r>
        <w:rPr>
          <w:rFonts w:ascii="Arial Narrow" w:eastAsia="Calibri" w:hAnsi="Arial Narrow"/>
        </w:rPr>
        <w:t xml:space="preserve">, se tiene </w:t>
      </w:r>
      <w:r w:rsidRPr="00E310A3">
        <w:rPr>
          <w:rFonts w:ascii="Arial Narrow" w:eastAsia="Calibri" w:hAnsi="Arial Narrow"/>
        </w:rPr>
        <w:t xml:space="preserve">que en el 2019 se reporta por parte de los despachos competentes en </w:t>
      </w:r>
      <w:r>
        <w:rPr>
          <w:rFonts w:ascii="Arial Narrow" w:eastAsia="Calibri" w:hAnsi="Arial Narrow"/>
        </w:rPr>
        <w:t xml:space="preserve">contencioso administrativo </w:t>
      </w:r>
      <w:r w:rsidRPr="00E310A3">
        <w:rPr>
          <w:rFonts w:ascii="Arial Narrow" w:eastAsia="Calibri" w:hAnsi="Arial Narrow"/>
        </w:rPr>
        <w:t xml:space="preserve"> registran un cumplimiento de </w:t>
      </w:r>
      <w:r>
        <w:rPr>
          <w:rFonts w:ascii="Arial Narrow" w:eastAsia="Calibri" w:hAnsi="Arial Narrow"/>
        </w:rPr>
        <w:t>97</w:t>
      </w:r>
      <w:r w:rsidRPr="00E310A3">
        <w:rPr>
          <w:rFonts w:ascii="Arial Narrow" w:eastAsia="Calibri" w:hAnsi="Arial Narrow"/>
        </w:rPr>
        <w:t xml:space="preserve">%, sin embargo, al revisar los datos reportados estadísticamente por medio de SIGMA, se tiene que se terminaron </w:t>
      </w:r>
      <w:r>
        <w:rPr>
          <w:rFonts w:ascii="Arial Narrow" w:eastAsia="Calibri" w:hAnsi="Arial Narrow"/>
        </w:rPr>
        <w:t>1.042</w:t>
      </w:r>
      <w:r w:rsidRPr="00E310A3">
        <w:rPr>
          <w:rFonts w:ascii="Arial Narrow" w:eastAsia="Calibri" w:hAnsi="Arial Narrow"/>
        </w:rPr>
        <w:t xml:space="preserve"> asuntos mediante medidas alternas, por lo que la meta para ese año registro un cumplimiento alto de </w:t>
      </w:r>
      <w:r>
        <w:rPr>
          <w:rFonts w:ascii="Arial Narrow" w:eastAsia="Calibri" w:hAnsi="Arial Narrow"/>
        </w:rPr>
        <w:t>97</w:t>
      </w:r>
      <w:r w:rsidRPr="00E310A3">
        <w:rPr>
          <w:rFonts w:ascii="Arial Narrow" w:eastAsia="Calibri" w:hAnsi="Arial Narrow"/>
        </w:rPr>
        <w:t>%</w:t>
      </w:r>
      <w:r>
        <w:rPr>
          <w:rFonts w:ascii="Arial Narrow" w:eastAsia="Calibri" w:hAnsi="Arial Narrow"/>
        </w:rPr>
        <w:t xml:space="preserve">. </w:t>
      </w:r>
      <w:r w:rsidRPr="00E310A3">
        <w:rPr>
          <w:rFonts w:ascii="Arial Narrow" w:eastAsia="Calibri" w:hAnsi="Arial Narrow"/>
        </w:rPr>
        <w:t xml:space="preserve">Para el 2020, se tiene un reporte de cumplimiento por parte de las oficinas de un </w:t>
      </w:r>
      <w:r>
        <w:rPr>
          <w:rFonts w:ascii="Arial Narrow" w:eastAsia="Calibri" w:hAnsi="Arial Narrow"/>
        </w:rPr>
        <w:t>100</w:t>
      </w:r>
      <w:r w:rsidRPr="00E310A3">
        <w:rPr>
          <w:rFonts w:ascii="Arial Narrow" w:eastAsia="Calibri" w:hAnsi="Arial Narrow"/>
        </w:rPr>
        <w:t xml:space="preserve">%, se registran </w:t>
      </w:r>
      <w:r>
        <w:rPr>
          <w:rFonts w:ascii="Arial Narrow" w:eastAsia="Calibri" w:hAnsi="Arial Narrow"/>
        </w:rPr>
        <w:t>56</w:t>
      </w:r>
      <w:r w:rsidRPr="00E310A3">
        <w:rPr>
          <w:rFonts w:ascii="Arial Narrow" w:eastAsia="Calibri" w:hAnsi="Arial Narrow"/>
        </w:rPr>
        <w:t xml:space="preserve"> asuntos terminados mediante medidas alternas</w:t>
      </w:r>
      <w:r>
        <w:rPr>
          <w:rFonts w:ascii="Arial Narrow" w:eastAsia="Calibri" w:hAnsi="Arial Narrow"/>
        </w:rPr>
        <w:t xml:space="preserve"> por medio de SIGMA</w:t>
      </w:r>
      <w:r w:rsidRPr="00E310A3">
        <w:rPr>
          <w:rFonts w:ascii="Arial Narrow" w:eastAsia="Calibri" w:hAnsi="Arial Narrow"/>
        </w:rPr>
        <w:t xml:space="preserve">, </w:t>
      </w:r>
      <w:r>
        <w:rPr>
          <w:rFonts w:ascii="Arial Narrow" w:eastAsia="Calibri" w:hAnsi="Arial Narrow"/>
        </w:rPr>
        <w:t xml:space="preserve">por lo que resulta necesario valorar la meta esperada por año, versus la realidad de asuntos terminados mediante medidas alternas.  </w:t>
      </w:r>
    </w:p>
    <w:p w14:paraId="00B29BF3" w14:textId="77777777" w:rsidR="00AB78AD" w:rsidRDefault="00AB78AD" w:rsidP="00AB78AD">
      <w:pPr>
        <w:tabs>
          <w:tab w:val="left" w:pos="9700"/>
        </w:tabs>
        <w:rPr>
          <w:rFonts w:eastAsia="Calibri"/>
          <w:lang w:eastAsia="en-US"/>
        </w:rPr>
      </w:pPr>
      <w:r>
        <w:rPr>
          <w:rFonts w:eastAsia="Calibri"/>
          <w:lang w:eastAsia="en-US"/>
        </w:rPr>
        <w:tab/>
      </w:r>
    </w:p>
    <w:p w14:paraId="2782C1A1" w14:textId="77777777" w:rsidR="00767FDB" w:rsidRDefault="00767FDB" w:rsidP="00AB78AD">
      <w:pPr>
        <w:rPr>
          <w:rFonts w:eastAsia="Calibri"/>
          <w:lang w:eastAsia="en-US"/>
        </w:rPr>
        <w:sectPr w:rsidR="00767FDB" w:rsidSect="00767FDB">
          <w:pgSz w:w="12242" w:h="15842" w:code="1"/>
          <w:pgMar w:top="719" w:right="1469" w:bottom="719" w:left="1560" w:header="709" w:footer="709" w:gutter="0"/>
          <w:cols w:space="708"/>
          <w:docGrid w:linePitch="360"/>
        </w:sectPr>
      </w:pPr>
    </w:p>
    <w:p w14:paraId="20738A68" w14:textId="6FBC1780" w:rsidR="00AB78AD" w:rsidRPr="00484CC1" w:rsidRDefault="00AB78AD" w:rsidP="00AB78AD">
      <w:pPr>
        <w:pStyle w:val="Descripcin"/>
        <w:jc w:val="center"/>
        <w:rPr>
          <w:rFonts w:ascii="Arial Narrow" w:eastAsia="Calibri" w:hAnsi="Arial Narrow"/>
          <w:lang w:eastAsia="en-US"/>
        </w:rPr>
      </w:pPr>
      <w:bookmarkStart w:id="43" w:name="_Toc76062245"/>
      <w:r w:rsidRPr="00704B08">
        <w:rPr>
          <w:rFonts w:ascii="Arial Narrow" w:hAnsi="Arial Narrow"/>
          <w:sz w:val="24"/>
          <w:szCs w:val="24"/>
        </w:rPr>
        <w:lastRenderedPageBreak/>
        <w:t xml:space="preserve">Cuadro </w:t>
      </w:r>
      <w:r w:rsidRPr="00704B08">
        <w:rPr>
          <w:rFonts w:ascii="Arial Narrow" w:hAnsi="Arial Narrow"/>
          <w:sz w:val="24"/>
          <w:szCs w:val="24"/>
        </w:rPr>
        <w:fldChar w:fldCharType="begin"/>
      </w:r>
      <w:r w:rsidRPr="00704B08">
        <w:rPr>
          <w:rFonts w:ascii="Arial Narrow" w:hAnsi="Arial Narrow"/>
          <w:sz w:val="24"/>
          <w:szCs w:val="24"/>
        </w:rPr>
        <w:instrText xml:space="preserve"> SEQ Cuadro_No. \* ARABIC </w:instrText>
      </w:r>
      <w:r w:rsidRPr="00704B08">
        <w:rPr>
          <w:rFonts w:ascii="Arial Narrow" w:hAnsi="Arial Narrow"/>
          <w:sz w:val="24"/>
          <w:szCs w:val="24"/>
        </w:rPr>
        <w:fldChar w:fldCharType="separate"/>
      </w:r>
      <w:r w:rsidR="00767FDB" w:rsidRPr="00704B08">
        <w:rPr>
          <w:rFonts w:ascii="Arial Narrow" w:hAnsi="Arial Narrow"/>
          <w:noProof/>
          <w:sz w:val="24"/>
          <w:szCs w:val="24"/>
        </w:rPr>
        <w:t>22</w:t>
      </w:r>
      <w:r w:rsidRPr="00704B08">
        <w:rPr>
          <w:rFonts w:ascii="Arial Narrow" w:hAnsi="Arial Narrow"/>
          <w:sz w:val="24"/>
          <w:szCs w:val="24"/>
        </w:rPr>
        <w:fldChar w:fldCharType="end"/>
      </w:r>
      <w:r w:rsidRPr="00704B08">
        <w:rPr>
          <w:rFonts w:ascii="Arial Narrow" w:hAnsi="Arial Narrow"/>
          <w:sz w:val="24"/>
          <w:szCs w:val="24"/>
        </w:rPr>
        <w:t xml:space="preserve"> </w:t>
      </w:r>
      <w:r w:rsidRPr="00704B08">
        <w:rPr>
          <w:rFonts w:ascii="Arial Narrow" w:eastAsia="Calibri" w:hAnsi="Arial Narrow"/>
          <w:sz w:val="24"/>
          <w:szCs w:val="24"/>
          <w:lang w:eastAsia="en-US"/>
        </w:rPr>
        <w:t>Metas</w:t>
      </w:r>
      <w:r w:rsidRPr="00665D61">
        <w:rPr>
          <w:rFonts w:ascii="Arial Narrow" w:eastAsia="Calibri" w:hAnsi="Arial Narrow"/>
          <w:sz w:val="24"/>
          <w:szCs w:val="24"/>
          <w:lang w:eastAsia="en-US"/>
        </w:rPr>
        <w:t xml:space="preserve"> estratégicas de Medidas Alternas y su cumplimiento para el 2019</w:t>
      </w:r>
      <w:r>
        <w:rPr>
          <w:rFonts w:ascii="Arial Narrow" w:eastAsia="Calibri" w:hAnsi="Arial Narrow"/>
          <w:sz w:val="24"/>
          <w:szCs w:val="24"/>
          <w:lang w:eastAsia="en-US"/>
        </w:rPr>
        <w:t>-2020</w:t>
      </w:r>
      <w:bookmarkEnd w:id="43"/>
    </w:p>
    <w:p w14:paraId="0B9168DD" w14:textId="77777777" w:rsidR="00AB78AD" w:rsidRDefault="00AB78AD" w:rsidP="00AB78AD">
      <w:pPr>
        <w:rPr>
          <w:rFonts w:eastAsia="Calibri"/>
          <w:lang w:eastAsia="en-US"/>
        </w:rPr>
      </w:pPr>
    </w:p>
    <w:p w14:paraId="647098C9" w14:textId="77777777" w:rsidR="00AB78AD" w:rsidRDefault="00AB78AD" w:rsidP="00AB78AD">
      <w:pPr>
        <w:rPr>
          <w:rFonts w:eastAsia="Calibri"/>
          <w:lang w:eastAsia="en-US"/>
        </w:rPr>
      </w:pPr>
      <w:r>
        <w:rPr>
          <w:noProof/>
          <w:lang w:val="es-CR" w:eastAsia="es-CR"/>
        </w:rPr>
        <w:drawing>
          <wp:inline distT="0" distB="0" distL="0" distR="0" wp14:anchorId="3AD9EE11" wp14:editId="72846AD5">
            <wp:extent cx="9146046" cy="3435350"/>
            <wp:effectExtent l="19050" t="19050" r="17145" b="12700"/>
            <wp:docPr id="107" name="Imagen 107" descr="Una captura de pantalla de un celular&#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Imagen 65" descr="Una captura de pantalla de un celular&#10;&#10;Descripción generada automáticamente con confianza media"/>
                    <pic:cNvPicPr/>
                  </pic:nvPicPr>
                  <pic:blipFill>
                    <a:blip r:embed="rId75"/>
                    <a:stretch>
                      <a:fillRect/>
                    </a:stretch>
                  </pic:blipFill>
                  <pic:spPr>
                    <a:xfrm>
                      <a:off x="0" y="0"/>
                      <a:ext cx="9153893" cy="3438297"/>
                    </a:xfrm>
                    <a:prstGeom prst="rect">
                      <a:avLst/>
                    </a:prstGeom>
                    <a:ln w="19050">
                      <a:solidFill>
                        <a:schemeClr val="accent1"/>
                      </a:solidFill>
                    </a:ln>
                  </pic:spPr>
                </pic:pic>
              </a:graphicData>
            </a:graphic>
          </wp:inline>
        </w:drawing>
      </w:r>
    </w:p>
    <w:p w14:paraId="4EA24131" w14:textId="77777777" w:rsidR="00AB78AD" w:rsidRDefault="00AB78AD" w:rsidP="00AB78AD">
      <w:pPr>
        <w:rPr>
          <w:rFonts w:eastAsia="Calibri"/>
          <w:lang w:eastAsia="en-US"/>
        </w:rPr>
      </w:pPr>
    </w:p>
    <w:p w14:paraId="41ABDD67" w14:textId="77777777" w:rsidR="00AB78AD" w:rsidRDefault="00AB78AD" w:rsidP="00AB78AD">
      <w:pPr>
        <w:rPr>
          <w:rFonts w:eastAsia="Calibri"/>
          <w:lang w:eastAsia="en-US"/>
        </w:rPr>
      </w:pPr>
    </w:p>
    <w:p w14:paraId="795981C5" w14:textId="77777777" w:rsidR="00AB78AD" w:rsidRDefault="00AB78AD" w:rsidP="00AB78AD">
      <w:pPr>
        <w:rPr>
          <w:rFonts w:eastAsia="Calibri"/>
          <w:lang w:eastAsia="en-US"/>
        </w:rPr>
      </w:pPr>
      <w:r w:rsidRPr="00EE2E13">
        <w:rPr>
          <w:rFonts w:ascii="Arial Narrow" w:hAnsi="Arial Narrow"/>
          <w:sz w:val="18"/>
          <w:szCs w:val="18"/>
          <w:lang w:val="es-CR" w:eastAsia="es-CR"/>
        </w:rPr>
        <w:t>Fuente: Sistema PEI al 24 de enero del 2020 (año 2019) y 04 de marzo del 2021 (año 2020).</w:t>
      </w:r>
    </w:p>
    <w:p w14:paraId="79D45C19" w14:textId="77777777" w:rsidR="00AB78AD" w:rsidRDefault="00AB78AD" w:rsidP="00AB78AD">
      <w:pPr>
        <w:rPr>
          <w:rFonts w:eastAsia="Calibri"/>
          <w:lang w:eastAsia="en-US"/>
        </w:rPr>
      </w:pPr>
    </w:p>
    <w:p w14:paraId="66732B9A" w14:textId="77777777" w:rsidR="00767FDB" w:rsidRDefault="00767FDB" w:rsidP="00AB78AD">
      <w:pPr>
        <w:rPr>
          <w:rFonts w:eastAsia="Calibri"/>
          <w:lang w:eastAsia="en-US"/>
        </w:rPr>
        <w:sectPr w:rsidR="00767FDB" w:rsidSect="00767FDB">
          <w:pgSz w:w="15842" w:h="12242" w:orient="landscape" w:code="1"/>
          <w:pgMar w:top="1560" w:right="719" w:bottom="1469" w:left="719" w:header="709" w:footer="709" w:gutter="0"/>
          <w:cols w:space="708"/>
          <w:docGrid w:linePitch="360"/>
        </w:sectPr>
      </w:pPr>
    </w:p>
    <w:p w14:paraId="62DE1CE5" w14:textId="5D036629" w:rsidR="00AB78AD" w:rsidRDefault="00AB78AD" w:rsidP="00AB78AD">
      <w:pPr>
        <w:rPr>
          <w:rFonts w:eastAsia="Calibri"/>
          <w:lang w:eastAsia="en-US"/>
        </w:rPr>
      </w:pPr>
    </w:p>
    <w:p w14:paraId="7E077A18" w14:textId="396392F3" w:rsidR="00AB78AD" w:rsidRDefault="00AB78AD" w:rsidP="00AB78AD">
      <w:pPr>
        <w:spacing w:line="360" w:lineRule="auto"/>
        <w:jc w:val="both"/>
        <w:rPr>
          <w:rFonts w:ascii="Arial Narrow" w:eastAsia="Calibri" w:hAnsi="Arial Narrow"/>
        </w:rPr>
      </w:pPr>
      <w:r>
        <w:rPr>
          <w:rFonts w:ascii="Arial Narrow" w:eastAsia="Calibri" w:hAnsi="Arial Narrow"/>
        </w:rPr>
        <w:t xml:space="preserve">La meta estratégica </w:t>
      </w:r>
      <w:r w:rsidR="00BC438D">
        <w:rPr>
          <w:rFonts w:ascii="Arial Narrow" w:eastAsia="Calibri" w:hAnsi="Arial Narrow"/>
          <w:b/>
          <w:bCs/>
          <w:i/>
          <w:iCs/>
        </w:rPr>
        <w:t>“Q</w:t>
      </w:r>
      <w:r w:rsidRPr="009D117F">
        <w:rPr>
          <w:rFonts w:ascii="Arial Narrow" w:eastAsia="Calibri" w:hAnsi="Arial Narrow"/>
          <w:b/>
          <w:bCs/>
          <w:i/>
          <w:iCs/>
        </w:rPr>
        <w:t>ue al finalizar el 2024, se haya incrementado la cantidad de casos terminados, mediante la aplicación de medidas alternas, en materia de familia por año, en primera instancia</w:t>
      </w:r>
      <w:r w:rsidR="00BC438D">
        <w:rPr>
          <w:rFonts w:ascii="Arial Narrow" w:eastAsia="Calibri" w:hAnsi="Arial Narrow"/>
          <w:b/>
          <w:bCs/>
          <w:i/>
          <w:iCs/>
        </w:rPr>
        <w:t>”</w:t>
      </w:r>
      <w:r>
        <w:rPr>
          <w:rFonts w:ascii="Arial Narrow" w:eastAsia="Calibri" w:hAnsi="Arial Narrow"/>
        </w:rPr>
        <w:t xml:space="preserve">, se tiene que en </w:t>
      </w:r>
      <w:r w:rsidRPr="007A4EFB">
        <w:rPr>
          <w:rFonts w:ascii="Arial Narrow" w:eastAsia="Calibri" w:hAnsi="Arial Narrow"/>
        </w:rPr>
        <w:t xml:space="preserve">el 2019 se reporta por parte de los </w:t>
      </w:r>
      <w:r>
        <w:rPr>
          <w:rFonts w:ascii="Arial Narrow" w:eastAsia="Calibri" w:hAnsi="Arial Narrow"/>
        </w:rPr>
        <w:t>27</w:t>
      </w:r>
      <w:r w:rsidRPr="007A4EFB">
        <w:rPr>
          <w:rFonts w:ascii="Arial Narrow" w:eastAsia="Calibri" w:hAnsi="Arial Narrow"/>
        </w:rPr>
        <w:t xml:space="preserve"> despachos competentes en </w:t>
      </w:r>
      <w:r>
        <w:rPr>
          <w:rFonts w:ascii="Arial Narrow" w:eastAsia="Calibri" w:hAnsi="Arial Narrow"/>
        </w:rPr>
        <w:t>familia</w:t>
      </w:r>
      <w:r w:rsidRPr="007A4EFB">
        <w:rPr>
          <w:rFonts w:ascii="Arial Narrow" w:eastAsia="Calibri" w:hAnsi="Arial Narrow"/>
        </w:rPr>
        <w:t xml:space="preserve"> registran un cumplimiento de </w:t>
      </w:r>
      <w:r>
        <w:rPr>
          <w:rFonts w:ascii="Arial Narrow" w:eastAsia="Calibri" w:hAnsi="Arial Narrow"/>
        </w:rPr>
        <w:t>92</w:t>
      </w:r>
      <w:r w:rsidRPr="007A4EFB">
        <w:rPr>
          <w:rFonts w:ascii="Arial Narrow" w:eastAsia="Calibri" w:hAnsi="Arial Narrow"/>
        </w:rPr>
        <w:t xml:space="preserve">%, sin embargo, al revisar los datos reportados estadísticamente por medio de SIGMA, se tiene que se terminaron </w:t>
      </w:r>
      <w:r>
        <w:rPr>
          <w:rFonts w:ascii="Arial Narrow" w:eastAsia="Calibri" w:hAnsi="Arial Narrow"/>
        </w:rPr>
        <w:t>2359</w:t>
      </w:r>
      <w:r w:rsidRPr="007A4EFB">
        <w:rPr>
          <w:rFonts w:ascii="Arial Narrow" w:eastAsia="Calibri" w:hAnsi="Arial Narrow"/>
        </w:rPr>
        <w:t xml:space="preserve"> asuntos mediante medidas alternas, por lo que la meta para ese año registro un cumplimiento alto de 100%, debido a que sobrepaso la meta esperada de </w:t>
      </w:r>
      <w:r>
        <w:rPr>
          <w:rFonts w:ascii="Arial Narrow" w:eastAsia="Calibri" w:hAnsi="Arial Narrow"/>
        </w:rPr>
        <w:t>90</w:t>
      </w:r>
      <w:r w:rsidRPr="007A4EFB">
        <w:rPr>
          <w:rFonts w:ascii="Arial Narrow" w:eastAsia="Calibri" w:hAnsi="Arial Narrow"/>
        </w:rPr>
        <w:t xml:space="preserve"> casos.  Para el 2020, se tiene un reporte de cumplimiento por parte de las oficinas de un </w:t>
      </w:r>
      <w:r>
        <w:rPr>
          <w:rFonts w:ascii="Arial Narrow" w:eastAsia="Calibri" w:hAnsi="Arial Narrow"/>
        </w:rPr>
        <w:t>88</w:t>
      </w:r>
      <w:r w:rsidRPr="007A4EFB">
        <w:rPr>
          <w:rFonts w:ascii="Arial Narrow" w:eastAsia="Calibri" w:hAnsi="Arial Narrow"/>
        </w:rPr>
        <w:t xml:space="preserve">%, al confrontar este dato contra los terminados oficiales para ese año, se registran </w:t>
      </w:r>
      <w:r>
        <w:rPr>
          <w:rFonts w:ascii="Arial Narrow" w:eastAsia="Calibri" w:hAnsi="Arial Narrow"/>
        </w:rPr>
        <w:t>5191</w:t>
      </w:r>
      <w:r w:rsidRPr="007A4EFB">
        <w:rPr>
          <w:rFonts w:ascii="Arial Narrow" w:eastAsia="Calibri" w:hAnsi="Arial Narrow"/>
        </w:rPr>
        <w:t xml:space="preserve"> asuntos terminados mediante medidas alternas, dato que, al verificar contra lo esperado para ese año (</w:t>
      </w:r>
      <w:r>
        <w:rPr>
          <w:rFonts w:ascii="Arial Narrow" w:eastAsia="Calibri" w:hAnsi="Arial Narrow"/>
        </w:rPr>
        <w:t>92</w:t>
      </w:r>
      <w:r w:rsidRPr="007A4EFB">
        <w:rPr>
          <w:rFonts w:ascii="Arial Narrow" w:eastAsia="Calibri" w:hAnsi="Arial Narrow"/>
        </w:rPr>
        <w:t xml:space="preserve"> expedientes), se tiene un cumplimiento alto (100%).</w:t>
      </w:r>
      <w:r>
        <w:rPr>
          <w:rFonts w:ascii="Arial Narrow" w:eastAsia="Calibri" w:hAnsi="Arial Narrow"/>
        </w:rPr>
        <w:t xml:space="preserve"> </w:t>
      </w:r>
    </w:p>
    <w:p w14:paraId="7FE3E30D" w14:textId="77777777" w:rsidR="00AB78AD" w:rsidRDefault="00AB78AD" w:rsidP="00AB78AD">
      <w:pPr>
        <w:spacing w:line="360" w:lineRule="auto"/>
        <w:jc w:val="both"/>
        <w:rPr>
          <w:rFonts w:ascii="Arial Narrow" w:eastAsia="Calibri" w:hAnsi="Arial Narrow"/>
        </w:rPr>
      </w:pPr>
    </w:p>
    <w:p w14:paraId="648A5F22" w14:textId="0EC49431" w:rsidR="00AB78AD" w:rsidRDefault="00AB78AD" w:rsidP="00AB78AD">
      <w:pPr>
        <w:spacing w:line="360" w:lineRule="auto"/>
        <w:jc w:val="both"/>
        <w:rPr>
          <w:rFonts w:ascii="Arial Narrow" w:eastAsia="Calibri" w:hAnsi="Arial Narrow"/>
        </w:rPr>
      </w:pPr>
      <w:r>
        <w:rPr>
          <w:rFonts w:ascii="Arial Narrow" w:eastAsia="Calibri" w:hAnsi="Arial Narrow"/>
        </w:rPr>
        <w:t xml:space="preserve">Por otra parte, la meta estratégica </w:t>
      </w:r>
      <w:r w:rsidR="00BC438D">
        <w:rPr>
          <w:rFonts w:ascii="Arial Narrow" w:eastAsia="Calibri" w:hAnsi="Arial Narrow"/>
          <w:b/>
          <w:bCs/>
          <w:i/>
          <w:iCs/>
        </w:rPr>
        <w:t>“Q</w:t>
      </w:r>
      <w:r w:rsidRPr="009D117F">
        <w:rPr>
          <w:rFonts w:ascii="Arial Narrow" w:eastAsia="Calibri" w:hAnsi="Arial Narrow"/>
          <w:b/>
          <w:bCs/>
          <w:i/>
          <w:iCs/>
        </w:rPr>
        <w:t>ue al finalizar el 2024, se haya incrementado la cantidad de casos terminados, mediante la aplicación de medidas alternas, en materia de Pensiones Alimentarias por año, en primera instancia</w:t>
      </w:r>
      <w:r w:rsidR="00BC438D">
        <w:rPr>
          <w:rFonts w:ascii="Arial Narrow" w:eastAsia="Calibri" w:hAnsi="Arial Narrow"/>
          <w:b/>
          <w:bCs/>
          <w:i/>
          <w:iCs/>
        </w:rPr>
        <w:t>”</w:t>
      </w:r>
      <w:r>
        <w:rPr>
          <w:rFonts w:ascii="Arial Narrow" w:eastAsia="Calibri" w:hAnsi="Arial Narrow"/>
        </w:rPr>
        <w:t xml:space="preserve">, se tiene que en </w:t>
      </w:r>
      <w:r w:rsidRPr="007A4EFB">
        <w:rPr>
          <w:rFonts w:ascii="Arial Narrow" w:eastAsia="Calibri" w:hAnsi="Arial Narrow"/>
        </w:rPr>
        <w:t xml:space="preserve">el 2019 se reporta por parte de los </w:t>
      </w:r>
      <w:r>
        <w:rPr>
          <w:rFonts w:ascii="Arial Narrow" w:eastAsia="Calibri" w:hAnsi="Arial Narrow"/>
        </w:rPr>
        <w:t>73</w:t>
      </w:r>
      <w:r w:rsidRPr="007A4EFB">
        <w:rPr>
          <w:rFonts w:ascii="Arial Narrow" w:eastAsia="Calibri" w:hAnsi="Arial Narrow"/>
        </w:rPr>
        <w:t xml:space="preserve"> despachos competentes en </w:t>
      </w:r>
      <w:r>
        <w:rPr>
          <w:rFonts w:ascii="Arial Narrow" w:eastAsia="Calibri" w:hAnsi="Arial Narrow"/>
        </w:rPr>
        <w:t>pensiones alimentarias</w:t>
      </w:r>
      <w:r w:rsidRPr="007A4EFB">
        <w:rPr>
          <w:rFonts w:ascii="Arial Narrow" w:eastAsia="Calibri" w:hAnsi="Arial Narrow"/>
        </w:rPr>
        <w:t xml:space="preserve"> registran un cumplimiento de </w:t>
      </w:r>
      <w:r>
        <w:rPr>
          <w:rFonts w:ascii="Arial Narrow" w:eastAsia="Calibri" w:hAnsi="Arial Narrow"/>
        </w:rPr>
        <w:t>100</w:t>
      </w:r>
      <w:r w:rsidRPr="007A4EFB">
        <w:rPr>
          <w:rFonts w:ascii="Arial Narrow" w:eastAsia="Calibri" w:hAnsi="Arial Narrow"/>
        </w:rPr>
        <w:t xml:space="preserve">%, sin embargo, al revisar los datos reportados estadísticamente por medio de SIGMA, se tiene que se terminaron </w:t>
      </w:r>
      <w:r>
        <w:rPr>
          <w:rFonts w:ascii="Arial Narrow" w:eastAsia="Calibri" w:hAnsi="Arial Narrow"/>
        </w:rPr>
        <w:t>1521</w:t>
      </w:r>
      <w:r w:rsidRPr="007A4EFB">
        <w:rPr>
          <w:rFonts w:ascii="Arial Narrow" w:eastAsia="Calibri" w:hAnsi="Arial Narrow"/>
        </w:rPr>
        <w:t xml:space="preserve"> asuntos mediante medidas alternas, por lo que la meta para ese año registro un cumplimiento alto de 100%, debido a que sobrepaso la meta esperada de </w:t>
      </w:r>
      <w:r>
        <w:rPr>
          <w:rFonts w:ascii="Arial Narrow" w:eastAsia="Calibri" w:hAnsi="Arial Narrow"/>
        </w:rPr>
        <w:t>14</w:t>
      </w:r>
      <w:r w:rsidRPr="007A4EFB">
        <w:rPr>
          <w:rFonts w:ascii="Arial Narrow" w:eastAsia="Calibri" w:hAnsi="Arial Narrow"/>
        </w:rPr>
        <w:t xml:space="preserve"> casos.  Para el 2020, se tiene un reporte de cumplimiento por parte de las oficinas de un </w:t>
      </w:r>
      <w:r>
        <w:rPr>
          <w:rFonts w:ascii="Arial Narrow" w:eastAsia="Calibri" w:hAnsi="Arial Narrow"/>
        </w:rPr>
        <w:t>95</w:t>
      </w:r>
      <w:r w:rsidRPr="007A4EFB">
        <w:rPr>
          <w:rFonts w:ascii="Arial Narrow" w:eastAsia="Calibri" w:hAnsi="Arial Narrow"/>
        </w:rPr>
        <w:t xml:space="preserve">%, al confrontar este dato contra los terminados oficiales para ese año, se registran </w:t>
      </w:r>
      <w:r>
        <w:rPr>
          <w:rFonts w:ascii="Arial Narrow" w:eastAsia="Calibri" w:hAnsi="Arial Narrow"/>
        </w:rPr>
        <w:t>1.526</w:t>
      </w:r>
      <w:r w:rsidRPr="007A4EFB">
        <w:rPr>
          <w:rFonts w:ascii="Arial Narrow" w:eastAsia="Calibri" w:hAnsi="Arial Narrow"/>
        </w:rPr>
        <w:t xml:space="preserve"> asuntos terminados mediante medidas alternas, dato que, al verificar contra lo esperado para ese año (</w:t>
      </w:r>
      <w:r>
        <w:rPr>
          <w:rFonts w:ascii="Arial Narrow" w:eastAsia="Calibri" w:hAnsi="Arial Narrow"/>
        </w:rPr>
        <w:t>16</w:t>
      </w:r>
      <w:r w:rsidRPr="007A4EFB">
        <w:rPr>
          <w:rFonts w:ascii="Arial Narrow" w:eastAsia="Calibri" w:hAnsi="Arial Narrow"/>
        </w:rPr>
        <w:t xml:space="preserve"> expedientes), se tiene un cumplimiento alto (100%).</w:t>
      </w:r>
      <w:r>
        <w:rPr>
          <w:rFonts w:ascii="Arial Narrow" w:eastAsia="Calibri" w:hAnsi="Arial Narrow"/>
        </w:rPr>
        <w:t xml:space="preserve"> </w:t>
      </w:r>
    </w:p>
    <w:p w14:paraId="2B708D78" w14:textId="77777777" w:rsidR="00AB78AD" w:rsidRDefault="00AB78AD" w:rsidP="00AB78AD">
      <w:pPr>
        <w:spacing w:line="360" w:lineRule="auto"/>
        <w:jc w:val="both"/>
        <w:rPr>
          <w:rFonts w:ascii="Arial Narrow" w:eastAsia="Calibri" w:hAnsi="Arial Narrow"/>
        </w:rPr>
      </w:pPr>
    </w:p>
    <w:p w14:paraId="17F00093" w14:textId="77777777" w:rsidR="00AB78AD" w:rsidRDefault="00AB78AD" w:rsidP="00AB78AD">
      <w:pPr>
        <w:spacing w:line="360" w:lineRule="auto"/>
        <w:jc w:val="both"/>
        <w:rPr>
          <w:rFonts w:ascii="Arial Narrow" w:eastAsia="Calibri" w:hAnsi="Arial Narrow"/>
        </w:rPr>
      </w:pPr>
    </w:p>
    <w:p w14:paraId="5C26C36F" w14:textId="77777777" w:rsidR="00767FDB" w:rsidRDefault="00767FDB" w:rsidP="00AB78AD">
      <w:pPr>
        <w:spacing w:line="360" w:lineRule="auto"/>
        <w:jc w:val="both"/>
        <w:rPr>
          <w:rFonts w:ascii="Arial Narrow" w:eastAsia="Calibri" w:hAnsi="Arial Narrow"/>
        </w:rPr>
        <w:sectPr w:rsidR="00767FDB" w:rsidSect="00767FDB">
          <w:pgSz w:w="12242" w:h="15842" w:code="1"/>
          <w:pgMar w:top="719" w:right="1469" w:bottom="719" w:left="1560" w:header="709" w:footer="709" w:gutter="0"/>
          <w:cols w:space="708"/>
          <w:docGrid w:linePitch="360"/>
        </w:sectPr>
      </w:pPr>
    </w:p>
    <w:p w14:paraId="261584ED" w14:textId="77777777" w:rsidR="00AB78AD" w:rsidRDefault="00AB78AD" w:rsidP="00AB78AD">
      <w:pPr>
        <w:spacing w:line="360" w:lineRule="auto"/>
        <w:jc w:val="both"/>
        <w:rPr>
          <w:rFonts w:ascii="Arial Narrow" w:eastAsia="Calibri" w:hAnsi="Arial Narrow"/>
        </w:rPr>
      </w:pPr>
    </w:p>
    <w:p w14:paraId="2299413B" w14:textId="2DC59672" w:rsidR="00AB78AD" w:rsidRPr="00484CC1" w:rsidRDefault="00AB78AD" w:rsidP="00AB78AD">
      <w:pPr>
        <w:pStyle w:val="Descripcin"/>
        <w:jc w:val="center"/>
        <w:rPr>
          <w:rFonts w:ascii="Arial Narrow" w:eastAsia="Calibri" w:hAnsi="Arial Narrow"/>
          <w:lang w:eastAsia="en-US"/>
        </w:rPr>
      </w:pPr>
      <w:bookmarkStart w:id="44" w:name="_Toc76062246"/>
      <w:r w:rsidRPr="00704B08">
        <w:rPr>
          <w:rFonts w:ascii="Arial Narrow" w:hAnsi="Arial Narrow"/>
          <w:sz w:val="24"/>
          <w:szCs w:val="24"/>
        </w:rPr>
        <w:t xml:space="preserve">Cuadro </w:t>
      </w:r>
      <w:r w:rsidRPr="00704B08">
        <w:rPr>
          <w:rFonts w:ascii="Arial Narrow" w:hAnsi="Arial Narrow"/>
          <w:sz w:val="24"/>
          <w:szCs w:val="24"/>
        </w:rPr>
        <w:fldChar w:fldCharType="begin"/>
      </w:r>
      <w:r w:rsidRPr="00704B08">
        <w:rPr>
          <w:rFonts w:ascii="Arial Narrow" w:hAnsi="Arial Narrow"/>
          <w:sz w:val="24"/>
          <w:szCs w:val="24"/>
        </w:rPr>
        <w:instrText xml:space="preserve"> SEQ Cuadro_No. \* ARABIC </w:instrText>
      </w:r>
      <w:r w:rsidRPr="00704B08">
        <w:rPr>
          <w:rFonts w:ascii="Arial Narrow" w:hAnsi="Arial Narrow"/>
          <w:sz w:val="24"/>
          <w:szCs w:val="24"/>
        </w:rPr>
        <w:fldChar w:fldCharType="separate"/>
      </w:r>
      <w:r w:rsidR="00767FDB">
        <w:rPr>
          <w:rFonts w:ascii="Arial Narrow" w:hAnsi="Arial Narrow"/>
          <w:noProof/>
          <w:sz w:val="24"/>
          <w:szCs w:val="24"/>
        </w:rPr>
        <w:t>23</w:t>
      </w:r>
      <w:r w:rsidRPr="00704B08">
        <w:rPr>
          <w:rFonts w:ascii="Arial Narrow" w:hAnsi="Arial Narrow"/>
          <w:sz w:val="24"/>
          <w:szCs w:val="24"/>
        </w:rPr>
        <w:fldChar w:fldCharType="end"/>
      </w:r>
      <w:r w:rsidRPr="00704B08">
        <w:rPr>
          <w:rFonts w:ascii="Arial Narrow" w:hAnsi="Arial Narrow"/>
          <w:sz w:val="24"/>
          <w:szCs w:val="24"/>
        </w:rPr>
        <w:t xml:space="preserve"> </w:t>
      </w:r>
      <w:r w:rsidRPr="00704B08">
        <w:rPr>
          <w:rFonts w:ascii="Arial Narrow" w:eastAsia="Calibri" w:hAnsi="Arial Narrow"/>
          <w:sz w:val="24"/>
          <w:szCs w:val="24"/>
          <w:lang w:eastAsia="en-US"/>
        </w:rPr>
        <w:t>Metas</w:t>
      </w:r>
      <w:r w:rsidRPr="009D5823">
        <w:rPr>
          <w:rFonts w:ascii="Arial Narrow" w:eastAsia="Calibri" w:hAnsi="Arial Narrow"/>
          <w:sz w:val="24"/>
          <w:szCs w:val="24"/>
          <w:lang w:eastAsia="en-US"/>
        </w:rPr>
        <w:t xml:space="preserve"> estratégicas</w:t>
      </w:r>
      <w:r w:rsidRPr="00665D61">
        <w:rPr>
          <w:rFonts w:ascii="Arial Narrow" w:eastAsia="Calibri" w:hAnsi="Arial Narrow"/>
          <w:sz w:val="24"/>
          <w:szCs w:val="24"/>
          <w:lang w:eastAsia="en-US"/>
        </w:rPr>
        <w:t xml:space="preserve"> de Medidas Alternas y su cumplimiento para el 2019</w:t>
      </w:r>
      <w:r>
        <w:rPr>
          <w:rFonts w:ascii="Arial Narrow" w:eastAsia="Calibri" w:hAnsi="Arial Narrow"/>
          <w:sz w:val="24"/>
          <w:szCs w:val="24"/>
          <w:lang w:eastAsia="en-US"/>
        </w:rPr>
        <w:t>-2020</w:t>
      </w:r>
      <w:bookmarkEnd w:id="44"/>
    </w:p>
    <w:p w14:paraId="6C6832B2" w14:textId="77777777" w:rsidR="00AB78AD" w:rsidRDefault="00AB78AD" w:rsidP="00AB78AD">
      <w:pPr>
        <w:spacing w:line="360" w:lineRule="auto"/>
        <w:jc w:val="both"/>
        <w:rPr>
          <w:rFonts w:ascii="Arial Narrow" w:eastAsia="Calibri" w:hAnsi="Arial Narrow"/>
        </w:rPr>
      </w:pPr>
    </w:p>
    <w:p w14:paraId="746DD4B1" w14:textId="77777777" w:rsidR="00AB78AD" w:rsidRDefault="00AB78AD" w:rsidP="00AB78AD">
      <w:pPr>
        <w:rPr>
          <w:rFonts w:eastAsia="Calibri"/>
          <w:lang w:eastAsia="en-US"/>
        </w:rPr>
      </w:pPr>
      <w:r>
        <w:rPr>
          <w:noProof/>
          <w:lang w:val="es-CR" w:eastAsia="es-CR"/>
        </w:rPr>
        <w:drawing>
          <wp:inline distT="0" distB="0" distL="0" distR="0" wp14:anchorId="659B2B9D" wp14:editId="0CE51049">
            <wp:extent cx="9146540" cy="4222750"/>
            <wp:effectExtent l="19050" t="19050" r="16510" b="25400"/>
            <wp:docPr id="108" name="Imagen 108"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agen 69" descr="Tabla&#10;&#10;Descripción generada automáticamente"/>
                    <pic:cNvPicPr/>
                  </pic:nvPicPr>
                  <pic:blipFill>
                    <a:blip r:embed="rId76"/>
                    <a:stretch>
                      <a:fillRect/>
                    </a:stretch>
                  </pic:blipFill>
                  <pic:spPr>
                    <a:xfrm>
                      <a:off x="0" y="0"/>
                      <a:ext cx="9146540" cy="4222750"/>
                    </a:xfrm>
                    <a:prstGeom prst="rect">
                      <a:avLst/>
                    </a:prstGeom>
                    <a:ln w="19050">
                      <a:solidFill>
                        <a:schemeClr val="accent1"/>
                      </a:solidFill>
                    </a:ln>
                  </pic:spPr>
                </pic:pic>
              </a:graphicData>
            </a:graphic>
          </wp:inline>
        </w:drawing>
      </w:r>
    </w:p>
    <w:p w14:paraId="34857839" w14:textId="77777777" w:rsidR="00AB78AD" w:rsidRDefault="00AB78AD" w:rsidP="00AB78AD">
      <w:pPr>
        <w:rPr>
          <w:rFonts w:eastAsia="Calibri"/>
          <w:lang w:eastAsia="en-US"/>
        </w:rPr>
      </w:pPr>
    </w:p>
    <w:p w14:paraId="1E687E46" w14:textId="77777777" w:rsidR="00767FDB" w:rsidRDefault="00AB78AD" w:rsidP="00AB78AD">
      <w:pPr>
        <w:rPr>
          <w:rFonts w:ascii="Arial Narrow" w:hAnsi="Arial Narrow"/>
          <w:sz w:val="18"/>
          <w:szCs w:val="18"/>
          <w:lang w:val="es-CR" w:eastAsia="es-CR"/>
        </w:rPr>
        <w:sectPr w:rsidR="00767FDB" w:rsidSect="00767FDB">
          <w:pgSz w:w="15842" w:h="12242" w:orient="landscape" w:code="1"/>
          <w:pgMar w:top="1560" w:right="719" w:bottom="1469" w:left="719" w:header="709" w:footer="709" w:gutter="0"/>
          <w:cols w:space="708"/>
          <w:docGrid w:linePitch="360"/>
        </w:sectPr>
      </w:pPr>
      <w:r w:rsidRPr="00EE2E13">
        <w:rPr>
          <w:rFonts w:ascii="Arial Narrow" w:hAnsi="Arial Narrow"/>
          <w:sz w:val="18"/>
          <w:szCs w:val="18"/>
          <w:lang w:val="es-CR" w:eastAsia="es-CR"/>
        </w:rPr>
        <w:t>Fuente: Sistema PEI al 24 de enero del 2020 (año 2019) y 04 de marzo del 2021 (año 2020).</w:t>
      </w:r>
    </w:p>
    <w:p w14:paraId="7F61E829" w14:textId="10296085" w:rsidR="00AB78AD" w:rsidRDefault="00AB78AD" w:rsidP="00AB78AD">
      <w:pPr>
        <w:rPr>
          <w:rFonts w:eastAsia="Calibri"/>
          <w:lang w:eastAsia="en-US"/>
        </w:rPr>
      </w:pPr>
    </w:p>
    <w:p w14:paraId="0DA31C79" w14:textId="3BA16597" w:rsidR="00AB78AD" w:rsidRDefault="00AB78AD" w:rsidP="00AB78AD">
      <w:pPr>
        <w:spacing w:line="360" w:lineRule="auto"/>
        <w:jc w:val="both"/>
        <w:rPr>
          <w:rFonts w:ascii="Arial Narrow" w:eastAsia="Calibri" w:hAnsi="Arial Narrow"/>
        </w:rPr>
      </w:pPr>
      <w:r>
        <w:rPr>
          <w:rFonts w:ascii="Arial Narrow" w:eastAsia="Calibri" w:hAnsi="Arial Narrow"/>
        </w:rPr>
        <w:t xml:space="preserve">La meta estratégica </w:t>
      </w:r>
      <w:r w:rsidR="00BC438D">
        <w:rPr>
          <w:rFonts w:ascii="Arial Narrow" w:eastAsia="Calibri" w:hAnsi="Arial Narrow"/>
          <w:b/>
          <w:bCs/>
          <w:i/>
          <w:iCs/>
        </w:rPr>
        <w:t>“Q</w:t>
      </w:r>
      <w:r w:rsidRPr="00025FD7">
        <w:rPr>
          <w:rFonts w:ascii="Arial Narrow" w:eastAsia="Calibri" w:hAnsi="Arial Narrow"/>
          <w:b/>
          <w:bCs/>
          <w:i/>
          <w:iCs/>
        </w:rPr>
        <w:t>ue al finalizar el 2024, se implemente en todas las fiscalías del país, un sistema de gestión integrado, que permita el seguimiento y monitoreo de las medidas alternas, mediante el uso de tecnologías de la información</w:t>
      </w:r>
      <w:r w:rsidR="00BC438D">
        <w:rPr>
          <w:rFonts w:ascii="Arial Narrow" w:eastAsia="Calibri" w:hAnsi="Arial Narrow"/>
          <w:b/>
          <w:bCs/>
          <w:i/>
          <w:iCs/>
        </w:rPr>
        <w:t>”</w:t>
      </w:r>
      <w:r>
        <w:rPr>
          <w:rFonts w:ascii="Arial Narrow" w:eastAsia="Calibri" w:hAnsi="Arial Narrow"/>
        </w:rPr>
        <w:t xml:space="preserve">, se tiene que en </w:t>
      </w:r>
      <w:r w:rsidRPr="007A4EFB">
        <w:rPr>
          <w:rFonts w:ascii="Arial Narrow" w:eastAsia="Calibri" w:hAnsi="Arial Narrow"/>
        </w:rPr>
        <w:t xml:space="preserve">el 2019 </w:t>
      </w:r>
      <w:r>
        <w:rPr>
          <w:rFonts w:ascii="Arial Narrow" w:eastAsia="Calibri" w:hAnsi="Arial Narrow"/>
        </w:rPr>
        <w:t xml:space="preserve">no estaba asignada de manera operativa a ninguna oficina, por lo que no se registran avances. A partir del 2020 se les asigna a la Fiscalía General y la Dirección de Tecnología de la Información, donde por parte de esas oficinas se registran un cumplimiento del 100% al informar por medio de sus planes operativos donde la DTI informa de una </w:t>
      </w:r>
      <w:r w:rsidRPr="002E0B96">
        <w:rPr>
          <w:rFonts w:ascii="Arial Narrow" w:eastAsia="Calibri" w:hAnsi="Arial Narrow"/>
        </w:rPr>
        <w:t>mejora se llama módulo de vencimiento de plazos, desarrollada exclusivamente para pena y consiste precisamente en permitir llevar un control y monitoreo de cuando vencen los plazos para las diferentes medidas.</w:t>
      </w:r>
      <w:r>
        <w:rPr>
          <w:rFonts w:ascii="Arial Narrow" w:eastAsia="Calibri" w:hAnsi="Arial Narrow"/>
        </w:rPr>
        <w:t xml:space="preserve"> Por parte de la Fiscalia, se detalla que se realizaron sesiones para definir requerimientos los cuales </w:t>
      </w:r>
      <w:r w:rsidRPr="002E0B96">
        <w:rPr>
          <w:rFonts w:ascii="Arial Narrow" w:eastAsia="Calibri" w:hAnsi="Arial Narrow"/>
        </w:rPr>
        <w:t>fueron formalizadas mediante oficios 1075-DTI-2020 del 10 de junio de 2020 y 051-OJA -2020 del 5 de junio 2020</w:t>
      </w:r>
      <w:r>
        <w:rPr>
          <w:rFonts w:ascii="Arial Narrow" w:eastAsia="Calibri" w:hAnsi="Arial Narrow"/>
        </w:rPr>
        <w:t>.</w:t>
      </w:r>
    </w:p>
    <w:p w14:paraId="4587F6A5" w14:textId="77777777" w:rsidR="00AB78AD" w:rsidRDefault="00AB78AD" w:rsidP="00AB78AD">
      <w:pPr>
        <w:spacing w:line="360" w:lineRule="auto"/>
        <w:jc w:val="both"/>
        <w:rPr>
          <w:rFonts w:ascii="Arial Narrow" w:eastAsia="Calibri" w:hAnsi="Arial Narrow"/>
        </w:rPr>
      </w:pPr>
    </w:p>
    <w:p w14:paraId="0C0DE39F" w14:textId="77777777" w:rsidR="00AB78AD" w:rsidRPr="002E0B96" w:rsidRDefault="00AB78AD" w:rsidP="00AB78AD">
      <w:pPr>
        <w:spacing w:line="360" w:lineRule="auto"/>
        <w:jc w:val="both"/>
        <w:rPr>
          <w:rFonts w:ascii="Arial Narrow" w:eastAsia="Calibri" w:hAnsi="Arial Narrow"/>
        </w:rPr>
      </w:pPr>
      <w:r w:rsidRPr="002E0B96">
        <w:rPr>
          <w:rFonts w:ascii="Arial Narrow" w:eastAsia="Calibri" w:hAnsi="Arial Narrow"/>
        </w:rPr>
        <w:t xml:space="preserve">Las siguientes 3 metas estratégicas no fueron enlazadas a </w:t>
      </w:r>
      <w:r w:rsidRPr="00025FD7">
        <w:rPr>
          <w:rFonts w:ascii="Arial Narrow" w:eastAsia="Calibri" w:hAnsi="Arial Narrow"/>
        </w:rPr>
        <w:t>ningún</w:t>
      </w:r>
      <w:r w:rsidRPr="002E0B96">
        <w:rPr>
          <w:rFonts w:ascii="Arial Narrow" w:eastAsia="Calibri" w:hAnsi="Arial Narrow"/>
        </w:rPr>
        <w:t xml:space="preserve"> despacho de manera operativa en el 2019, por lo que se registran datos a partir del 2020.</w:t>
      </w:r>
    </w:p>
    <w:p w14:paraId="0BE20FC6" w14:textId="77777777" w:rsidR="00AB78AD" w:rsidRDefault="00AB78AD" w:rsidP="00AB78AD">
      <w:pPr>
        <w:spacing w:line="360" w:lineRule="auto"/>
        <w:jc w:val="both"/>
        <w:rPr>
          <w:rFonts w:ascii="Arial Narrow" w:eastAsia="Calibri" w:hAnsi="Arial Narrow"/>
        </w:rPr>
      </w:pPr>
    </w:p>
    <w:p w14:paraId="7A83DD91" w14:textId="7E513E88" w:rsidR="00AB78AD" w:rsidRDefault="00AB78AD" w:rsidP="00AB78AD">
      <w:pPr>
        <w:spacing w:line="360" w:lineRule="auto"/>
        <w:jc w:val="both"/>
        <w:rPr>
          <w:rFonts w:ascii="Arial Narrow" w:eastAsia="Calibri" w:hAnsi="Arial Narrow"/>
        </w:rPr>
      </w:pPr>
      <w:r>
        <w:rPr>
          <w:rFonts w:ascii="Arial Narrow" w:eastAsia="Calibri" w:hAnsi="Arial Narrow"/>
        </w:rPr>
        <w:t>La meta estratégica</w:t>
      </w:r>
      <w:r w:rsidRPr="00AE7DF8">
        <w:t xml:space="preserve"> </w:t>
      </w:r>
      <w:r w:rsidR="00BC438D">
        <w:rPr>
          <w:rFonts w:ascii="Arial Narrow" w:eastAsia="Calibri" w:hAnsi="Arial Narrow"/>
          <w:b/>
          <w:bCs/>
          <w:i/>
          <w:iCs/>
        </w:rPr>
        <w:t>“Q</w:t>
      </w:r>
      <w:r w:rsidRPr="002E0B96">
        <w:rPr>
          <w:rFonts w:ascii="Arial Narrow" w:eastAsia="Calibri" w:hAnsi="Arial Narrow"/>
          <w:b/>
          <w:bCs/>
          <w:i/>
          <w:iCs/>
        </w:rPr>
        <w:t>ue al finalizar el 2024, se haya incrementado la cantidad de casos terminados, mediante la aplicación de medidas alternas, en Tribunales penales</w:t>
      </w:r>
      <w:r w:rsidR="00BC438D">
        <w:rPr>
          <w:rFonts w:ascii="Arial Narrow" w:eastAsia="Calibri" w:hAnsi="Arial Narrow"/>
          <w:b/>
          <w:bCs/>
          <w:i/>
          <w:iCs/>
        </w:rPr>
        <w:t>”</w:t>
      </w:r>
      <w:r>
        <w:rPr>
          <w:rFonts w:ascii="Arial Narrow" w:eastAsia="Calibri" w:hAnsi="Arial Narrow"/>
        </w:rPr>
        <w:t>, p</w:t>
      </w:r>
      <w:r w:rsidRPr="007A4EFB">
        <w:rPr>
          <w:rFonts w:ascii="Arial Narrow" w:eastAsia="Calibri" w:hAnsi="Arial Narrow"/>
        </w:rPr>
        <w:t>ara el 2020, se tiene un reporte de cumplimiento por parte de l</w:t>
      </w:r>
      <w:r>
        <w:rPr>
          <w:rFonts w:ascii="Arial Narrow" w:eastAsia="Calibri" w:hAnsi="Arial Narrow"/>
        </w:rPr>
        <w:t>os 39 tribunales penales con metas asignadas</w:t>
      </w:r>
      <w:r w:rsidRPr="007A4EFB">
        <w:rPr>
          <w:rFonts w:ascii="Arial Narrow" w:eastAsia="Calibri" w:hAnsi="Arial Narrow"/>
        </w:rPr>
        <w:t xml:space="preserve"> un </w:t>
      </w:r>
      <w:r>
        <w:rPr>
          <w:rFonts w:ascii="Arial Narrow" w:eastAsia="Calibri" w:hAnsi="Arial Narrow"/>
        </w:rPr>
        <w:t>81</w:t>
      </w:r>
      <w:r w:rsidRPr="007A4EFB">
        <w:rPr>
          <w:rFonts w:ascii="Arial Narrow" w:eastAsia="Calibri" w:hAnsi="Arial Narrow"/>
        </w:rPr>
        <w:t xml:space="preserve">%, al confrontar este dato contra los terminados oficiales para ese año, se registran </w:t>
      </w:r>
      <w:r>
        <w:rPr>
          <w:rFonts w:ascii="Arial Narrow" w:eastAsia="Calibri" w:hAnsi="Arial Narrow"/>
        </w:rPr>
        <w:t>4300</w:t>
      </w:r>
      <w:r w:rsidRPr="007A4EFB">
        <w:rPr>
          <w:rFonts w:ascii="Arial Narrow" w:eastAsia="Calibri" w:hAnsi="Arial Narrow"/>
        </w:rPr>
        <w:t xml:space="preserve"> asuntos terminados mediante medidas alternas</w:t>
      </w:r>
      <w:r>
        <w:rPr>
          <w:rFonts w:ascii="Arial Narrow" w:eastAsia="Calibri" w:hAnsi="Arial Narrow"/>
        </w:rPr>
        <w:t>. Al no tener una meta definida se le consigna el cumplimiento parcial porque el registro de avance se consigna en 81%.</w:t>
      </w:r>
    </w:p>
    <w:p w14:paraId="0DD8D960" w14:textId="77777777" w:rsidR="00BC438D" w:rsidRDefault="00BC438D" w:rsidP="00AB78AD">
      <w:pPr>
        <w:spacing w:line="360" w:lineRule="auto"/>
        <w:jc w:val="both"/>
        <w:rPr>
          <w:rFonts w:ascii="Arial Narrow" w:eastAsia="Calibri" w:hAnsi="Arial Narrow"/>
        </w:rPr>
      </w:pPr>
    </w:p>
    <w:p w14:paraId="2FD7FE2F" w14:textId="1A7B2F78" w:rsidR="00AB78AD" w:rsidRDefault="00AB78AD" w:rsidP="00AB78AD">
      <w:pPr>
        <w:spacing w:line="360" w:lineRule="auto"/>
        <w:jc w:val="both"/>
        <w:rPr>
          <w:rFonts w:ascii="Arial Narrow" w:eastAsia="Calibri" w:hAnsi="Arial Narrow"/>
        </w:rPr>
      </w:pPr>
      <w:r>
        <w:rPr>
          <w:rFonts w:ascii="Arial Narrow" w:eastAsia="Calibri" w:hAnsi="Arial Narrow"/>
        </w:rPr>
        <w:t>La meta estratégica</w:t>
      </w:r>
      <w:r w:rsidRPr="00AE7DF8">
        <w:t xml:space="preserve"> </w:t>
      </w:r>
      <w:r w:rsidR="00BC438D">
        <w:rPr>
          <w:rFonts w:ascii="Arial Narrow" w:eastAsia="Calibri" w:hAnsi="Arial Narrow"/>
          <w:b/>
          <w:bCs/>
          <w:i/>
          <w:iCs/>
        </w:rPr>
        <w:t>“Q</w:t>
      </w:r>
      <w:r w:rsidRPr="00AE7DF8">
        <w:rPr>
          <w:rFonts w:ascii="Arial Narrow" w:eastAsia="Calibri" w:hAnsi="Arial Narrow"/>
          <w:b/>
          <w:bCs/>
          <w:i/>
          <w:iCs/>
        </w:rPr>
        <w:t>ue al finalizar el 2024, se haya incrementado la cantidad de casos terminados, mediante la aplicación de medidas alternas, en materia Cobro por año, en primera instancia</w:t>
      </w:r>
      <w:r w:rsidR="00BC438D">
        <w:rPr>
          <w:rFonts w:ascii="Arial Narrow" w:eastAsia="Calibri" w:hAnsi="Arial Narrow"/>
          <w:b/>
          <w:bCs/>
          <w:i/>
          <w:iCs/>
        </w:rPr>
        <w:t>”</w:t>
      </w:r>
      <w:r>
        <w:rPr>
          <w:rFonts w:ascii="Arial Narrow" w:eastAsia="Calibri" w:hAnsi="Arial Narrow"/>
        </w:rPr>
        <w:t>, p</w:t>
      </w:r>
      <w:r w:rsidRPr="007A4EFB">
        <w:rPr>
          <w:rFonts w:ascii="Arial Narrow" w:eastAsia="Calibri" w:hAnsi="Arial Narrow"/>
        </w:rPr>
        <w:t>ara el 2020, se tiene un reporte de cumplimiento por parte de l</w:t>
      </w:r>
      <w:r>
        <w:rPr>
          <w:rFonts w:ascii="Arial Narrow" w:eastAsia="Calibri" w:hAnsi="Arial Narrow"/>
        </w:rPr>
        <w:t>os 19 juzgados de Cobro con metas asignadas</w:t>
      </w:r>
      <w:r w:rsidRPr="007A4EFB">
        <w:rPr>
          <w:rFonts w:ascii="Arial Narrow" w:eastAsia="Calibri" w:hAnsi="Arial Narrow"/>
        </w:rPr>
        <w:t xml:space="preserve"> un </w:t>
      </w:r>
      <w:r>
        <w:rPr>
          <w:rFonts w:ascii="Arial Narrow" w:eastAsia="Calibri" w:hAnsi="Arial Narrow"/>
        </w:rPr>
        <w:t>90</w:t>
      </w:r>
      <w:r w:rsidRPr="007A4EFB">
        <w:rPr>
          <w:rFonts w:ascii="Arial Narrow" w:eastAsia="Calibri" w:hAnsi="Arial Narrow"/>
        </w:rPr>
        <w:t>%, al confrontar este dato contra los terminados</w:t>
      </w:r>
      <w:r>
        <w:rPr>
          <w:rFonts w:ascii="Arial Narrow" w:eastAsia="Calibri" w:hAnsi="Arial Narrow"/>
        </w:rPr>
        <w:t xml:space="preserve"> mediante medidas alternas como datos</w:t>
      </w:r>
      <w:r w:rsidRPr="007A4EFB">
        <w:rPr>
          <w:rFonts w:ascii="Arial Narrow" w:eastAsia="Calibri" w:hAnsi="Arial Narrow"/>
        </w:rPr>
        <w:t xml:space="preserve"> oficiales para ese año, se registran </w:t>
      </w:r>
      <w:r>
        <w:rPr>
          <w:rFonts w:ascii="Arial Narrow" w:eastAsia="Calibri" w:hAnsi="Arial Narrow"/>
        </w:rPr>
        <w:t>74</w:t>
      </w:r>
      <w:r w:rsidRPr="007A4EFB">
        <w:rPr>
          <w:rFonts w:ascii="Arial Narrow" w:eastAsia="Calibri" w:hAnsi="Arial Narrow"/>
        </w:rPr>
        <w:t xml:space="preserve"> asuntos terminados mediante medidas alternas</w:t>
      </w:r>
      <w:r>
        <w:rPr>
          <w:rFonts w:ascii="Arial Narrow" w:eastAsia="Calibri" w:hAnsi="Arial Narrow"/>
        </w:rPr>
        <w:t>. Al no tener una meta definida se le consigna el cumplimiento alto porque el registro de avance se consigna en 90%.</w:t>
      </w:r>
    </w:p>
    <w:p w14:paraId="02D8DAE0" w14:textId="2289983F" w:rsidR="00BC438D" w:rsidRDefault="00BC438D" w:rsidP="00AB78AD">
      <w:pPr>
        <w:spacing w:line="360" w:lineRule="auto"/>
        <w:jc w:val="both"/>
        <w:rPr>
          <w:rFonts w:ascii="Arial Narrow" w:eastAsia="Calibri" w:hAnsi="Arial Narrow"/>
        </w:rPr>
      </w:pPr>
    </w:p>
    <w:p w14:paraId="13A26EA6" w14:textId="597B8DE6" w:rsidR="00BC438D" w:rsidRDefault="00BC438D" w:rsidP="00AB78AD">
      <w:pPr>
        <w:spacing w:line="360" w:lineRule="auto"/>
        <w:jc w:val="both"/>
        <w:rPr>
          <w:rFonts w:ascii="Arial Narrow" w:eastAsia="Calibri" w:hAnsi="Arial Narrow"/>
        </w:rPr>
      </w:pPr>
    </w:p>
    <w:p w14:paraId="73FFA836" w14:textId="31E522E5" w:rsidR="00BC438D" w:rsidRDefault="00BC438D" w:rsidP="00AB78AD">
      <w:pPr>
        <w:spacing w:line="360" w:lineRule="auto"/>
        <w:jc w:val="both"/>
        <w:rPr>
          <w:rFonts w:ascii="Arial Narrow" w:eastAsia="Calibri" w:hAnsi="Arial Narrow"/>
        </w:rPr>
      </w:pPr>
    </w:p>
    <w:p w14:paraId="3E7867A9" w14:textId="2C2D8846" w:rsidR="00BC438D" w:rsidRDefault="00BC438D" w:rsidP="00AB78AD">
      <w:pPr>
        <w:spacing w:line="360" w:lineRule="auto"/>
        <w:jc w:val="both"/>
        <w:rPr>
          <w:rFonts w:ascii="Arial Narrow" w:eastAsia="Calibri" w:hAnsi="Arial Narrow"/>
        </w:rPr>
      </w:pPr>
    </w:p>
    <w:p w14:paraId="69D1C303" w14:textId="77777777" w:rsidR="00BC438D" w:rsidRDefault="00BC438D" w:rsidP="00AB78AD">
      <w:pPr>
        <w:spacing w:line="360" w:lineRule="auto"/>
        <w:jc w:val="both"/>
        <w:rPr>
          <w:rFonts w:ascii="Arial Narrow" w:eastAsia="Calibri" w:hAnsi="Arial Narrow"/>
        </w:rPr>
      </w:pPr>
    </w:p>
    <w:p w14:paraId="0C3F2A51" w14:textId="151D5D1B" w:rsidR="00AB78AD" w:rsidRDefault="00AB78AD" w:rsidP="00AB78AD">
      <w:pPr>
        <w:spacing w:line="360" w:lineRule="auto"/>
        <w:jc w:val="both"/>
        <w:rPr>
          <w:rFonts w:ascii="Arial Narrow" w:eastAsia="Calibri" w:hAnsi="Arial Narrow"/>
        </w:rPr>
      </w:pPr>
      <w:r>
        <w:rPr>
          <w:rFonts w:ascii="Arial Narrow" w:eastAsia="Calibri" w:hAnsi="Arial Narrow"/>
        </w:rPr>
        <w:t>La meta estratégica</w:t>
      </w:r>
      <w:r w:rsidRPr="00AE7DF8">
        <w:t xml:space="preserve"> </w:t>
      </w:r>
      <w:r w:rsidR="00BC438D">
        <w:rPr>
          <w:rFonts w:ascii="Arial Narrow" w:eastAsia="Calibri" w:hAnsi="Arial Narrow"/>
          <w:b/>
          <w:bCs/>
          <w:i/>
          <w:iCs/>
        </w:rPr>
        <w:t>“Q</w:t>
      </w:r>
      <w:r w:rsidRPr="00011A05">
        <w:rPr>
          <w:rFonts w:ascii="Arial Narrow" w:eastAsia="Calibri" w:hAnsi="Arial Narrow"/>
          <w:b/>
          <w:bCs/>
          <w:i/>
          <w:iCs/>
        </w:rPr>
        <w:t>ue al finalizar el 2024, se haya incrementado la cantidad de casos terminados, mediante la aplicación de medidas alternas, en materia civil por año, en primera instancia</w:t>
      </w:r>
      <w:r w:rsidR="00BC438D">
        <w:rPr>
          <w:rFonts w:ascii="Arial Narrow" w:eastAsia="Calibri" w:hAnsi="Arial Narrow"/>
          <w:b/>
          <w:bCs/>
          <w:i/>
          <w:iCs/>
        </w:rPr>
        <w:t>”</w:t>
      </w:r>
      <w:r>
        <w:rPr>
          <w:rFonts w:ascii="Arial Narrow" w:eastAsia="Calibri" w:hAnsi="Arial Narrow"/>
        </w:rPr>
        <w:t>, p</w:t>
      </w:r>
      <w:r w:rsidRPr="007A4EFB">
        <w:rPr>
          <w:rFonts w:ascii="Arial Narrow" w:eastAsia="Calibri" w:hAnsi="Arial Narrow"/>
        </w:rPr>
        <w:t>ara el 2020, se tiene un reporte de cumplimiento por parte de l</w:t>
      </w:r>
      <w:r>
        <w:rPr>
          <w:rFonts w:ascii="Arial Narrow" w:eastAsia="Calibri" w:hAnsi="Arial Narrow"/>
        </w:rPr>
        <w:t>os 34 juzgados civiles con metas asignadas</w:t>
      </w:r>
      <w:r w:rsidRPr="007A4EFB">
        <w:rPr>
          <w:rFonts w:ascii="Arial Narrow" w:eastAsia="Calibri" w:hAnsi="Arial Narrow"/>
        </w:rPr>
        <w:t xml:space="preserve"> un </w:t>
      </w:r>
      <w:r>
        <w:rPr>
          <w:rFonts w:ascii="Arial Narrow" w:eastAsia="Calibri" w:hAnsi="Arial Narrow"/>
        </w:rPr>
        <w:t>87</w:t>
      </w:r>
      <w:r w:rsidRPr="007A4EFB">
        <w:rPr>
          <w:rFonts w:ascii="Arial Narrow" w:eastAsia="Calibri" w:hAnsi="Arial Narrow"/>
        </w:rPr>
        <w:t xml:space="preserve">%, al confrontar este dato contra los terminados oficiales para ese año, se registran </w:t>
      </w:r>
      <w:r>
        <w:rPr>
          <w:rFonts w:ascii="Arial Narrow" w:eastAsia="Calibri" w:hAnsi="Arial Narrow"/>
        </w:rPr>
        <w:t>203</w:t>
      </w:r>
      <w:r w:rsidRPr="007A4EFB">
        <w:rPr>
          <w:rFonts w:ascii="Arial Narrow" w:eastAsia="Calibri" w:hAnsi="Arial Narrow"/>
        </w:rPr>
        <w:t xml:space="preserve"> asuntos terminados mediante medidas alternas</w:t>
      </w:r>
      <w:r>
        <w:rPr>
          <w:rFonts w:ascii="Arial Narrow" w:eastAsia="Calibri" w:hAnsi="Arial Narrow"/>
        </w:rPr>
        <w:t>. Al confrontar el dato contra la meta definida de 5 asuntos, se le consigna el cumplimiento alto porque se sobrepasa la meta esperada de acuerdo con el dato real.</w:t>
      </w:r>
    </w:p>
    <w:p w14:paraId="6E4725B6" w14:textId="77777777" w:rsidR="00AB78AD" w:rsidRDefault="00AB78AD" w:rsidP="00AB78AD">
      <w:pPr>
        <w:spacing w:line="360" w:lineRule="auto"/>
        <w:jc w:val="both"/>
        <w:rPr>
          <w:rFonts w:eastAsia="Calibri"/>
          <w:lang w:eastAsia="en-US"/>
        </w:rPr>
      </w:pPr>
    </w:p>
    <w:p w14:paraId="1F14A811" w14:textId="73F8E6DD" w:rsidR="00AB78AD" w:rsidRPr="00704B08" w:rsidRDefault="000D7411" w:rsidP="00AB78AD">
      <w:pPr>
        <w:pStyle w:val="Ttulo4"/>
        <w:numPr>
          <w:ilvl w:val="0"/>
          <w:numId w:val="62"/>
        </w:numPr>
        <w:rPr>
          <w:rFonts w:ascii="Arial Narrow" w:eastAsia="Calibri" w:hAnsi="Arial Narrow"/>
        </w:rPr>
      </w:pPr>
      <w:r>
        <w:rPr>
          <w:rFonts w:ascii="Arial Narrow" w:eastAsia="Calibri" w:hAnsi="Arial Narrow"/>
        </w:rPr>
        <w:t xml:space="preserve">5.1.4. </w:t>
      </w:r>
      <w:r w:rsidR="00AB78AD" w:rsidRPr="00704B08">
        <w:rPr>
          <w:rFonts w:ascii="Arial Narrow" w:eastAsia="Calibri" w:hAnsi="Arial Narrow"/>
        </w:rPr>
        <w:t>Justicia Restaurativa</w:t>
      </w:r>
    </w:p>
    <w:p w14:paraId="1B347215" w14:textId="77777777" w:rsidR="00767FDB" w:rsidRDefault="00767FDB" w:rsidP="00767FDB">
      <w:pPr>
        <w:spacing w:line="360" w:lineRule="auto"/>
        <w:jc w:val="both"/>
        <w:rPr>
          <w:rFonts w:ascii="Arial Narrow" w:eastAsia="Calibri" w:hAnsi="Arial Narrow"/>
          <w:lang w:val="es-CR" w:eastAsia="en-US"/>
        </w:rPr>
      </w:pPr>
    </w:p>
    <w:p w14:paraId="05CA0E05" w14:textId="6A5A0149" w:rsidR="00F0386C" w:rsidRPr="00704B08" w:rsidRDefault="00F0386C" w:rsidP="00704B08">
      <w:pPr>
        <w:spacing w:line="360" w:lineRule="auto"/>
        <w:jc w:val="both"/>
        <w:rPr>
          <w:rFonts w:ascii="Arial Narrow" w:hAnsi="Arial Narrow" w:cs="Segoe UI"/>
          <w:sz w:val="21"/>
          <w:szCs w:val="21"/>
          <w:lang w:val="es-CR" w:eastAsia="es-CR"/>
        </w:rPr>
      </w:pPr>
      <w:r w:rsidRPr="00704B08">
        <w:rPr>
          <w:rFonts w:ascii="Arial Narrow" w:hAnsi="Arial Narrow" w:cs="Segoe UI"/>
          <w:lang w:eastAsia="es-CR"/>
        </w:rPr>
        <w:t>Se observan 2 metas estratégicas de las cuales su totalidad muestran una ejecución alta en su cumplimiento. Se detalla a continuación las metas estratégicas y su cumplimiento para el 2019 y 2020:</w:t>
      </w:r>
    </w:p>
    <w:p w14:paraId="4123B894" w14:textId="77777777" w:rsidR="00767FDB" w:rsidRPr="00704B08" w:rsidRDefault="00767FDB" w:rsidP="00704B08">
      <w:pPr>
        <w:spacing w:line="360" w:lineRule="auto"/>
        <w:jc w:val="both"/>
        <w:rPr>
          <w:rFonts w:ascii="Arial Narrow" w:eastAsia="Calibri" w:hAnsi="Arial Narrow"/>
          <w:highlight w:val="yellow"/>
        </w:rPr>
      </w:pPr>
    </w:p>
    <w:p w14:paraId="28359549" w14:textId="5E1BD2DE" w:rsidR="00AB78AD" w:rsidRDefault="00AB78AD" w:rsidP="00AB78AD">
      <w:pPr>
        <w:rPr>
          <w:rFonts w:ascii="Arial Narrow" w:eastAsia="Calibri" w:hAnsi="Arial Narrow"/>
          <w:lang w:eastAsia="en-US"/>
        </w:rPr>
      </w:pPr>
    </w:p>
    <w:p w14:paraId="6C758089" w14:textId="72D10B91" w:rsidR="00E67DCD" w:rsidRDefault="00E67DCD" w:rsidP="00AB78AD">
      <w:pPr>
        <w:rPr>
          <w:rFonts w:ascii="Arial Narrow" w:eastAsia="Calibri" w:hAnsi="Arial Narrow"/>
          <w:lang w:eastAsia="en-US"/>
        </w:rPr>
      </w:pPr>
    </w:p>
    <w:p w14:paraId="58B5A6FF" w14:textId="4BD45F13" w:rsidR="00E67DCD" w:rsidRDefault="00E67DCD" w:rsidP="00AB78AD">
      <w:pPr>
        <w:rPr>
          <w:rFonts w:ascii="Arial Narrow" w:eastAsia="Calibri" w:hAnsi="Arial Narrow"/>
          <w:lang w:eastAsia="en-US"/>
        </w:rPr>
      </w:pPr>
    </w:p>
    <w:p w14:paraId="2D503EF6" w14:textId="7A8C1BC9" w:rsidR="00E67DCD" w:rsidRDefault="00E67DCD" w:rsidP="00AB78AD">
      <w:pPr>
        <w:rPr>
          <w:rFonts w:ascii="Arial Narrow" w:eastAsia="Calibri" w:hAnsi="Arial Narrow"/>
          <w:lang w:eastAsia="en-US"/>
        </w:rPr>
      </w:pPr>
    </w:p>
    <w:p w14:paraId="6C12E59A" w14:textId="2BFF4141" w:rsidR="00E67DCD" w:rsidRDefault="00E67DCD" w:rsidP="00AB78AD">
      <w:pPr>
        <w:rPr>
          <w:rFonts w:ascii="Arial Narrow" w:eastAsia="Calibri" w:hAnsi="Arial Narrow"/>
          <w:lang w:eastAsia="en-US"/>
        </w:rPr>
      </w:pPr>
    </w:p>
    <w:p w14:paraId="7A771B46" w14:textId="465E4344" w:rsidR="00E67DCD" w:rsidRDefault="00E67DCD" w:rsidP="00AB78AD">
      <w:pPr>
        <w:rPr>
          <w:rFonts w:ascii="Arial Narrow" w:eastAsia="Calibri" w:hAnsi="Arial Narrow"/>
          <w:lang w:eastAsia="en-US"/>
        </w:rPr>
      </w:pPr>
    </w:p>
    <w:p w14:paraId="294764D7" w14:textId="32F45D7B" w:rsidR="00E67DCD" w:rsidRDefault="00E67DCD" w:rsidP="00AB78AD">
      <w:pPr>
        <w:rPr>
          <w:rFonts w:ascii="Arial Narrow" w:eastAsia="Calibri" w:hAnsi="Arial Narrow"/>
          <w:lang w:eastAsia="en-US"/>
        </w:rPr>
      </w:pPr>
    </w:p>
    <w:p w14:paraId="63B2F533" w14:textId="6375843C" w:rsidR="00E67DCD" w:rsidRDefault="00E67DCD" w:rsidP="00AB78AD">
      <w:pPr>
        <w:rPr>
          <w:rFonts w:ascii="Arial Narrow" w:eastAsia="Calibri" w:hAnsi="Arial Narrow"/>
          <w:lang w:eastAsia="en-US"/>
        </w:rPr>
      </w:pPr>
    </w:p>
    <w:p w14:paraId="2E5EE26A" w14:textId="0920D693" w:rsidR="00E67DCD" w:rsidRDefault="00E67DCD" w:rsidP="00AB78AD">
      <w:pPr>
        <w:rPr>
          <w:rFonts w:ascii="Arial Narrow" w:eastAsia="Calibri" w:hAnsi="Arial Narrow"/>
          <w:lang w:eastAsia="en-US"/>
        </w:rPr>
      </w:pPr>
    </w:p>
    <w:p w14:paraId="4BD4859E" w14:textId="3316CB6D" w:rsidR="00E67DCD" w:rsidRDefault="00E67DCD" w:rsidP="00AB78AD">
      <w:pPr>
        <w:rPr>
          <w:rFonts w:ascii="Arial Narrow" w:eastAsia="Calibri" w:hAnsi="Arial Narrow"/>
          <w:lang w:eastAsia="en-US"/>
        </w:rPr>
      </w:pPr>
    </w:p>
    <w:p w14:paraId="0C86E3F3" w14:textId="2DE3A277" w:rsidR="00E67DCD" w:rsidRDefault="00E67DCD" w:rsidP="00AB78AD">
      <w:pPr>
        <w:rPr>
          <w:rFonts w:ascii="Arial Narrow" w:eastAsia="Calibri" w:hAnsi="Arial Narrow"/>
          <w:lang w:eastAsia="en-US"/>
        </w:rPr>
      </w:pPr>
    </w:p>
    <w:p w14:paraId="10DC8A1F" w14:textId="77AB8766" w:rsidR="00E67DCD" w:rsidRDefault="00E67DCD" w:rsidP="00AB78AD">
      <w:pPr>
        <w:rPr>
          <w:rFonts w:ascii="Arial Narrow" w:eastAsia="Calibri" w:hAnsi="Arial Narrow"/>
          <w:lang w:eastAsia="en-US"/>
        </w:rPr>
      </w:pPr>
    </w:p>
    <w:p w14:paraId="0A76407B" w14:textId="75945BDD" w:rsidR="00E67DCD" w:rsidRDefault="00E67DCD" w:rsidP="00AB78AD">
      <w:pPr>
        <w:rPr>
          <w:rFonts w:ascii="Arial Narrow" w:eastAsia="Calibri" w:hAnsi="Arial Narrow"/>
          <w:lang w:eastAsia="en-US"/>
        </w:rPr>
      </w:pPr>
    </w:p>
    <w:p w14:paraId="57951B6E" w14:textId="0E4A2567" w:rsidR="00E67DCD" w:rsidRDefault="00E67DCD" w:rsidP="00AB78AD">
      <w:pPr>
        <w:rPr>
          <w:rFonts w:ascii="Arial Narrow" w:eastAsia="Calibri" w:hAnsi="Arial Narrow"/>
          <w:lang w:eastAsia="en-US"/>
        </w:rPr>
      </w:pPr>
    </w:p>
    <w:p w14:paraId="4D899D1C" w14:textId="335D19F5" w:rsidR="00E67DCD" w:rsidRDefault="00E67DCD" w:rsidP="00AB78AD">
      <w:pPr>
        <w:rPr>
          <w:rFonts w:ascii="Arial Narrow" w:eastAsia="Calibri" w:hAnsi="Arial Narrow"/>
          <w:lang w:eastAsia="en-US"/>
        </w:rPr>
      </w:pPr>
    </w:p>
    <w:p w14:paraId="15B99D3B" w14:textId="0CD19004" w:rsidR="00E67DCD" w:rsidRDefault="00E67DCD" w:rsidP="00AB78AD">
      <w:pPr>
        <w:rPr>
          <w:rFonts w:ascii="Arial Narrow" w:eastAsia="Calibri" w:hAnsi="Arial Narrow"/>
          <w:lang w:eastAsia="en-US"/>
        </w:rPr>
      </w:pPr>
    </w:p>
    <w:p w14:paraId="7B5DDC9B" w14:textId="77777777" w:rsidR="00E67DCD" w:rsidRDefault="00E67DCD" w:rsidP="00AB78AD">
      <w:pPr>
        <w:rPr>
          <w:rFonts w:ascii="Arial Narrow" w:eastAsia="Calibri" w:hAnsi="Arial Narrow"/>
          <w:lang w:eastAsia="en-US"/>
        </w:rPr>
        <w:sectPr w:rsidR="00E67DCD" w:rsidSect="00767FDB">
          <w:pgSz w:w="12242" w:h="15842" w:code="1"/>
          <w:pgMar w:top="719" w:right="1469" w:bottom="719" w:left="1560" w:header="709" w:footer="709" w:gutter="0"/>
          <w:cols w:space="708"/>
          <w:docGrid w:linePitch="360"/>
        </w:sectPr>
      </w:pPr>
    </w:p>
    <w:p w14:paraId="3BA3C948" w14:textId="156DA7A6" w:rsidR="00767FDB" w:rsidRDefault="00767FDB" w:rsidP="00AB78AD">
      <w:pPr>
        <w:rPr>
          <w:rFonts w:ascii="Arial Narrow" w:eastAsia="Calibri" w:hAnsi="Arial Narrow"/>
          <w:lang w:eastAsia="en-US"/>
        </w:rPr>
      </w:pPr>
    </w:p>
    <w:p w14:paraId="2AC552A3" w14:textId="77777777" w:rsidR="00767FDB" w:rsidRDefault="00767FDB" w:rsidP="00AB78AD">
      <w:pPr>
        <w:rPr>
          <w:rFonts w:ascii="Arial Narrow" w:eastAsia="Calibri" w:hAnsi="Arial Narrow"/>
          <w:lang w:eastAsia="en-US"/>
        </w:rPr>
      </w:pPr>
    </w:p>
    <w:p w14:paraId="2AACE7B0" w14:textId="085D806A" w:rsidR="00AB78AD" w:rsidRDefault="00AB78AD" w:rsidP="00AB78AD">
      <w:pPr>
        <w:pStyle w:val="Descripcin"/>
        <w:jc w:val="center"/>
        <w:rPr>
          <w:rFonts w:ascii="Arial Narrow" w:eastAsia="Calibri" w:hAnsi="Arial Narrow"/>
          <w:sz w:val="24"/>
          <w:szCs w:val="24"/>
          <w:lang w:eastAsia="en-US"/>
        </w:rPr>
      </w:pPr>
      <w:bookmarkStart w:id="45" w:name="_Toc76062247"/>
      <w:r w:rsidRPr="00704B08">
        <w:rPr>
          <w:rFonts w:ascii="Arial Narrow" w:hAnsi="Arial Narrow"/>
          <w:sz w:val="24"/>
          <w:szCs w:val="24"/>
        </w:rPr>
        <w:t xml:space="preserve">Cuadro </w:t>
      </w:r>
      <w:r w:rsidRPr="00704B08">
        <w:rPr>
          <w:rFonts w:ascii="Arial Narrow" w:hAnsi="Arial Narrow"/>
          <w:sz w:val="24"/>
          <w:szCs w:val="24"/>
        </w:rPr>
        <w:fldChar w:fldCharType="begin"/>
      </w:r>
      <w:r w:rsidRPr="00704B08">
        <w:rPr>
          <w:rFonts w:ascii="Arial Narrow" w:hAnsi="Arial Narrow"/>
          <w:sz w:val="24"/>
          <w:szCs w:val="24"/>
        </w:rPr>
        <w:instrText xml:space="preserve"> SEQ Cuadro_No. \* ARABIC </w:instrText>
      </w:r>
      <w:r w:rsidRPr="00704B08">
        <w:rPr>
          <w:rFonts w:ascii="Arial Narrow" w:hAnsi="Arial Narrow"/>
          <w:sz w:val="24"/>
          <w:szCs w:val="24"/>
        </w:rPr>
        <w:fldChar w:fldCharType="separate"/>
      </w:r>
      <w:r w:rsidR="00E67DCD">
        <w:rPr>
          <w:rFonts w:ascii="Arial Narrow" w:hAnsi="Arial Narrow"/>
          <w:noProof/>
          <w:sz w:val="24"/>
          <w:szCs w:val="24"/>
        </w:rPr>
        <w:t>24</w:t>
      </w:r>
      <w:r w:rsidRPr="00704B08">
        <w:rPr>
          <w:rFonts w:ascii="Arial Narrow" w:hAnsi="Arial Narrow"/>
          <w:sz w:val="24"/>
          <w:szCs w:val="24"/>
        </w:rPr>
        <w:fldChar w:fldCharType="end"/>
      </w:r>
      <w:r w:rsidRPr="00704B08">
        <w:rPr>
          <w:rFonts w:ascii="Arial Narrow" w:hAnsi="Arial Narrow"/>
          <w:sz w:val="24"/>
          <w:szCs w:val="24"/>
        </w:rPr>
        <w:t xml:space="preserve"> </w:t>
      </w:r>
      <w:r w:rsidRPr="00704B08">
        <w:rPr>
          <w:rFonts w:ascii="Arial Narrow" w:eastAsia="Calibri" w:hAnsi="Arial Narrow"/>
          <w:sz w:val="24"/>
          <w:szCs w:val="24"/>
          <w:lang w:eastAsia="en-US"/>
        </w:rPr>
        <w:t>Metas</w:t>
      </w:r>
      <w:r w:rsidRPr="009D5823">
        <w:rPr>
          <w:rFonts w:ascii="Arial Narrow" w:eastAsia="Calibri" w:hAnsi="Arial Narrow"/>
          <w:sz w:val="24"/>
          <w:szCs w:val="24"/>
          <w:lang w:eastAsia="en-US"/>
        </w:rPr>
        <w:t xml:space="preserve"> estratégicas</w:t>
      </w:r>
      <w:r w:rsidRPr="00665D61">
        <w:rPr>
          <w:rFonts w:ascii="Arial Narrow" w:eastAsia="Calibri" w:hAnsi="Arial Narrow"/>
          <w:sz w:val="24"/>
          <w:szCs w:val="24"/>
          <w:lang w:eastAsia="en-US"/>
        </w:rPr>
        <w:t xml:space="preserve"> de Justicia Restaurativa y su cumplimiento para el 2019</w:t>
      </w:r>
      <w:r>
        <w:rPr>
          <w:rFonts w:ascii="Arial Narrow" w:eastAsia="Calibri" w:hAnsi="Arial Narrow"/>
          <w:sz w:val="24"/>
          <w:szCs w:val="24"/>
          <w:lang w:eastAsia="en-US"/>
        </w:rPr>
        <w:t>-2020</w:t>
      </w:r>
      <w:bookmarkEnd w:id="45"/>
    </w:p>
    <w:p w14:paraId="4641206E" w14:textId="77777777" w:rsidR="00AB78AD" w:rsidRPr="00C847FC" w:rsidRDefault="00AB78AD" w:rsidP="00AB78AD">
      <w:pPr>
        <w:rPr>
          <w:lang w:eastAsia="en-US"/>
        </w:rPr>
      </w:pPr>
    </w:p>
    <w:p w14:paraId="4B85FF77" w14:textId="77777777" w:rsidR="00AB78AD" w:rsidRDefault="00AB78AD" w:rsidP="00AB78AD">
      <w:pPr>
        <w:rPr>
          <w:rFonts w:ascii="Arial Narrow" w:eastAsia="Calibri" w:hAnsi="Arial Narrow"/>
          <w:lang w:eastAsia="en-US"/>
        </w:rPr>
      </w:pPr>
    </w:p>
    <w:p w14:paraId="6EA65A75" w14:textId="77777777" w:rsidR="00AB78AD" w:rsidRDefault="00AB78AD" w:rsidP="00AB78AD">
      <w:pPr>
        <w:jc w:val="center"/>
        <w:rPr>
          <w:rFonts w:ascii="Arial Narrow" w:eastAsia="Calibri" w:hAnsi="Arial Narrow"/>
          <w:lang w:eastAsia="en-US"/>
        </w:rPr>
      </w:pPr>
      <w:r>
        <w:rPr>
          <w:noProof/>
          <w:lang w:val="es-CR" w:eastAsia="es-CR"/>
        </w:rPr>
        <w:drawing>
          <wp:inline distT="0" distB="0" distL="0" distR="0" wp14:anchorId="4AAE89B9" wp14:editId="54B3AF2B">
            <wp:extent cx="8727440" cy="2995754"/>
            <wp:effectExtent l="19050" t="19050" r="16510" b="14605"/>
            <wp:docPr id="109" name="Imagen 109" descr="Tabla, Calendari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n 46" descr="Tabla, Calendario&#10;&#10;Descripción generada automáticamente"/>
                    <pic:cNvPicPr/>
                  </pic:nvPicPr>
                  <pic:blipFill rotWithShape="1">
                    <a:blip r:embed="rId77"/>
                    <a:srcRect b="2564"/>
                    <a:stretch/>
                  </pic:blipFill>
                  <pic:spPr bwMode="auto">
                    <a:xfrm>
                      <a:off x="0" y="0"/>
                      <a:ext cx="8727440" cy="2995754"/>
                    </a:xfrm>
                    <a:prstGeom prst="rect">
                      <a:avLst/>
                    </a:prstGeom>
                    <a:ln w="12700" cap="flat" cmpd="sng" algn="ctr">
                      <a:solidFill>
                        <a:srgbClr val="4472C4"/>
                      </a:solidFill>
                      <a:prstDash val="solid"/>
                      <a:round/>
                      <a:headEnd type="none" w="med" len="med"/>
                      <a:tailEnd type="none" w="med" len="med"/>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7EE93FB9" w14:textId="77777777" w:rsidR="00AB78AD" w:rsidRDefault="00AB78AD" w:rsidP="00AB78AD">
      <w:pPr>
        <w:ind w:left="708" w:firstLine="708"/>
        <w:rPr>
          <w:rFonts w:eastAsia="Calibri"/>
          <w:lang w:eastAsia="en-US"/>
        </w:rPr>
      </w:pPr>
      <w:r w:rsidRPr="00EE2E13">
        <w:rPr>
          <w:rFonts w:ascii="Arial Narrow" w:hAnsi="Arial Narrow"/>
          <w:sz w:val="18"/>
          <w:szCs w:val="18"/>
          <w:lang w:val="es-CR" w:eastAsia="es-CR"/>
        </w:rPr>
        <w:t>Fuente: Sistema PEI al 24 de enero del 2020 (año 2019) y 04 de marzo del 2021 (año 2020).</w:t>
      </w:r>
    </w:p>
    <w:p w14:paraId="49043418" w14:textId="77777777" w:rsidR="00E67DCD" w:rsidRDefault="00E67DCD" w:rsidP="00AB78AD">
      <w:pPr>
        <w:spacing w:line="360" w:lineRule="auto"/>
        <w:jc w:val="both"/>
        <w:rPr>
          <w:rFonts w:ascii="Arial Narrow" w:eastAsia="Calibri" w:hAnsi="Arial Narrow"/>
          <w:lang w:eastAsia="en-US"/>
        </w:rPr>
        <w:sectPr w:rsidR="00E67DCD" w:rsidSect="00E67DCD">
          <w:pgSz w:w="15842" w:h="12242" w:orient="landscape" w:code="1"/>
          <w:pgMar w:top="1560" w:right="719" w:bottom="1469" w:left="719" w:header="709" w:footer="709" w:gutter="0"/>
          <w:cols w:space="708"/>
          <w:docGrid w:linePitch="360"/>
        </w:sectPr>
      </w:pPr>
    </w:p>
    <w:p w14:paraId="553E9AE9" w14:textId="061404AE" w:rsidR="00AB78AD" w:rsidRDefault="00AB78AD" w:rsidP="00AB78AD">
      <w:pPr>
        <w:spacing w:line="360" w:lineRule="auto"/>
        <w:jc w:val="both"/>
        <w:rPr>
          <w:rFonts w:ascii="Arial Narrow" w:eastAsia="Calibri" w:hAnsi="Arial Narrow"/>
          <w:lang w:eastAsia="en-US"/>
        </w:rPr>
      </w:pPr>
    </w:p>
    <w:p w14:paraId="5DC9BC7A" w14:textId="77777777" w:rsidR="00AB78AD" w:rsidRDefault="00AB78AD" w:rsidP="00AB78AD">
      <w:pPr>
        <w:spacing w:line="360" w:lineRule="auto"/>
        <w:jc w:val="both"/>
        <w:rPr>
          <w:rFonts w:ascii="Arial Narrow" w:eastAsia="Calibri" w:hAnsi="Arial Narrow"/>
          <w:lang w:eastAsia="en-US"/>
        </w:rPr>
      </w:pPr>
      <w:r>
        <w:rPr>
          <w:rFonts w:ascii="Arial Narrow" w:eastAsia="Calibri" w:hAnsi="Arial Narrow"/>
          <w:lang w:eastAsia="en-US"/>
        </w:rPr>
        <w:t xml:space="preserve">De la acción de Justicia Restaurativa se tienen 2 metas estratégicas que responden a este esfuerzo, para el 2019 se logró completar las tareas asignadas sobre la meta estratégica </w:t>
      </w:r>
      <w:r w:rsidRPr="002E0B96">
        <w:rPr>
          <w:rFonts w:ascii="Arial Narrow" w:eastAsia="Calibri" w:hAnsi="Arial Narrow"/>
          <w:i/>
          <w:iCs/>
          <w:lang w:eastAsia="en-US"/>
        </w:rPr>
        <w:t>Que al finalizar el 2024, se haya finalizado la ejecución del Proyecto Regional de Fortalecimiento de la Justicia Restaurativa</w:t>
      </w:r>
      <w:r w:rsidRPr="004C76FF">
        <w:rPr>
          <w:rFonts w:ascii="Arial Narrow" w:eastAsia="Calibri" w:hAnsi="Arial Narrow"/>
          <w:lang w:eastAsia="en-US"/>
        </w:rPr>
        <w:t>.</w:t>
      </w:r>
      <w:r>
        <w:rPr>
          <w:rFonts w:ascii="Arial Narrow" w:eastAsia="Calibri" w:hAnsi="Arial Narrow"/>
          <w:lang w:eastAsia="en-US"/>
        </w:rPr>
        <w:t xml:space="preserve"> Para el 2020, se tuvo un 90% de cumplimiento debido a que según informó la oficina se encuentra en ej</w:t>
      </w:r>
      <w:r w:rsidRPr="002E0B96">
        <w:rPr>
          <w:rFonts w:ascii="Arial Narrow" w:eastAsia="Calibri" w:hAnsi="Arial Narrow"/>
          <w:lang w:eastAsia="en-US"/>
        </w:rPr>
        <w:t>ecución</w:t>
      </w:r>
      <w:r>
        <w:rPr>
          <w:rFonts w:ascii="Arial Narrow" w:eastAsia="Calibri" w:hAnsi="Arial Narrow"/>
          <w:lang w:eastAsia="en-US"/>
        </w:rPr>
        <w:t>, debido a</w:t>
      </w:r>
      <w:r w:rsidRPr="002E0B96">
        <w:rPr>
          <w:rFonts w:ascii="Arial Narrow" w:eastAsia="Calibri" w:hAnsi="Arial Narrow"/>
          <w:lang w:eastAsia="en-US"/>
        </w:rPr>
        <w:t xml:space="preserve"> la pandemia no fue posible finalizar la </w:t>
      </w:r>
      <w:r w:rsidRPr="004C76FF">
        <w:rPr>
          <w:rFonts w:ascii="Arial Narrow" w:eastAsia="Calibri" w:hAnsi="Arial Narrow"/>
          <w:lang w:eastAsia="en-US"/>
        </w:rPr>
        <w:t>auditoría</w:t>
      </w:r>
      <w:r w:rsidRPr="002E0B96">
        <w:rPr>
          <w:rFonts w:ascii="Arial Narrow" w:eastAsia="Calibri" w:hAnsi="Arial Narrow"/>
          <w:lang w:eastAsia="en-US"/>
        </w:rPr>
        <w:t xml:space="preserve"> externa durante el 2020</w:t>
      </w:r>
      <w:r>
        <w:rPr>
          <w:rFonts w:ascii="Arial Narrow" w:eastAsia="Calibri" w:hAnsi="Arial Narrow"/>
          <w:lang w:eastAsia="en-US"/>
        </w:rPr>
        <w:t xml:space="preserve"> y el proyecto en términos generales por medio del Proyect registra un 99% de cumplimiento.</w:t>
      </w:r>
    </w:p>
    <w:p w14:paraId="1F507A60" w14:textId="77777777" w:rsidR="00AB78AD" w:rsidRDefault="00AB78AD" w:rsidP="00AB78AD">
      <w:pPr>
        <w:spacing w:line="360" w:lineRule="auto"/>
        <w:jc w:val="both"/>
        <w:rPr>
          <w:rFonts w:ascii="Arial Narrow" w:eastAsia="Calibri" w:hAnsi="Arial Narrow"/>
          <w:lang w:eastAsia="en-US"/>
        </w:rPr>
      </w:pPr>
    </w:p>
    <w:p w14:paraId="6D73777C" w14:textId="08FB98DC" w:rsidR="00AB78AD" w:rsidRDefault="00AB78AD" w:rsidP="00AB78AD">
      <w:pPr>
        <w:spacing w:line="360" w:lineRule="auto"/>
        <w:jc w:val="both"/>
        <w:rPr>
          <w:rFonts w:ascii="Arial Narrow" w:eastAsia="Calibri" w:hAnsi="Arial Narrow"/>
          <w:lang w:eastAsia="en-US"/>
        </w:rPr>
        <w:sectPr w:rsidR="00AB78AD" w:rsidSect="00704B08">
          <w:pgSz w:w="12242" w:h="15842" w:code="1"/>
          <w:pgMar w:top="719" w:right="1469" w:bottom="719" w:left="1560" w:header="709" w:footer="709" w:gutter="0"/>
          <w:cols w:space="708"/>
          <w:docGrid w:linePitch="360"/>
        </w:sectPr>
      </w:pPr>
      <w:r>
        <w:rPr>
          <w:rFonts w:ascii="Arial Narrow" w:eastAsia="Calibri" w:hAnsi="Arial Narrow"/>
          <w:lang w:eastAsia="en-US"/>
        </w:rPr>
        <w:t xml:space="preserve">Por su parte, la meta </w:t>
      </w:r>
      <w:r w:rsidR="00DF519C" w:rsidRPr="00DF519C">
        <w:rPr>
          <w:rFonts w:ascii="Arial Narrow" w:eastAsia="Calibri" w:hAnsi="Arial Narrow"/>
          <w:b/>
          <w:bCs/>
          <w:i/>
          <w:iCs/>
          <w:lang w:eastAsia="en-US"/>
        </w:rPr>
        <w:t>“Que</w:t>
      </w:r>
      <w:r w:rsidRPr="002E0B96">
        <w:rPr>
          <w:rFonts w:ascii="Arial Narrow" w:eastAsia="Calibri" w:hAnsi="Arial Narrow"/>
          <w:b/>
          <w:bCs/>
          <w:i/>
          <w:iCs/>
          <w:lang w:eastAsia="en-US"/>
        </w:rPr>
        <w:t xml:space="preserve"> al finalizar el 2024, se haya implementado a nivel nacional la Justicia Restaurativa de conformidad con la ley</w:t>
      </w:r>
      <w:r w:rsidRPr="00DF519C">
        <w:rPr>
          <w:rFonts w:ascii="Arial Narrow" w:eastAsia="Calibri" w:hAnsi="Arial Narrow"/>
          <w:b/>
          <w:bCs/>
          <w:i/>
          <w:iCs/>
          <w:lang w:eastAsia="en-US"/>
        </w:rPr>
        <w:t>”,</w:t>
      </w:r>
      <w:r>
        <w:rPr>
          <w:rFonts w:ascii="Arial Narrow" w:eastAsia="Calibri" w:hAnsi="Arial Narrow"/>
          <w:lang w:eastAsia="en-US"/>
        </w:rPr>
        <w:t xml:space="preserve"> se tiene que para el 2019 registró un cumplimiento de 96% del 100% esperado, debido a que, aunque se realizaron los esfuerzos de conformación del equipo de trabajo interdisciplinario y rendición de informes preliminares, quedó pendiente la aprobación de Corte Plena del informe de estructura organizacional de la Dirección Nacional de Justicia Restaurativa. Para el 2020 se detalla que se logró completar al 100% de acuerdo con el cronograma establecido y se lograron tareas como la ejecución de </w:t>
      </w:r>
      <w:r w:rsidRPr="002E0B96">
        <w:rPr>
          <w:rFonts w:ascii="Arial Narrow" w:eastAsia="Calibri" w:hAnsi="Arial Narrow"/>
          <w:lang w:eastAsia="en-US"/>
        </w:rPr>
        <w:t xml:space="preserve">4 </w:t>
      </w:r>
      <w:r>
        <w:rPr>
          <w:rFonts w:ascii="Arial Narrow" w:eastAsia="Calibri" w:hAnsi="Arial Narrow"/>
          <w:lang w:eastAsia="en-US"/>
        </w:rPr>
        <w:t>c</w:t>
      </w:r>
      <w:r w:rsidRPr="002E0B96">
        <w:rPr>
          <w:rFonts w:ascii="Arial Narrow" w:eastAsia="Calibri" w:hAnsi="Arial Narrow"/>
          <w:lang w:eastAsia="en-US"/>
        </w:rPr>
        <w:t>harlas en Centros educativos fomentando la aplicación de las Soluciones Alternas y Justicia Restaurativa</w:t>
      </w:r>
      <w:r>
        <w:rPr>
          <w:rFonts w:ascii="Arial Narrow" w:eastAsia="Calibri" w:hAnsi="Arial Narrow"/>
          <w:lang w:eastAsia="en-US"/>
        </w:rPr>
        <w:t xml:space="preserve">, </w:t>
      </w:r>
      <w:r w:rsidRPr="002E0B96">
        <w:rPr>
          <w:rFonts w:ascii="Arial Narrow" w:eastAsia="Calibri" w:hAnsi="Arial Narrow"/>
          <w:lang w:eastAsia="en-US"/>
        </w:rPr>
        <w:t>seguimiento a las oficinas a las oficinas con Justicia Restaurativa</w:t>
      </w:r>
      <w:r>
        <w:rPr>
          <w:rFonts w:ascii="Arial Narrow" w:eastAsia="Calibri" w:hAnsi="Arial Narrow"/>
          <w:lang w:eastAsia="en-US"/>
        </w:rPr>
        <w:t xml:space="preserve">, </w:t>
      </w:r>
      <w:r w:rsidRPr="002E0B96">
        <w:rPr>
          <w:rFonts w:ascii="Arial Narrow" w:eastAsia="Calibri" w:hAnsi="Arial Narrow"/>
          <w:lang w:eastAsia="en-US"/>
        </w:rPr>
        <w:t>proceso de rendición de cuentas de los resultados de las oficinas con Justicia Restaurativa</w:t>
      </w:r>
      <w:r>
        <w:rPr>
          <w:rFonts w:ascii="Arial Narrow" w:eastAsia="Calibri" w:hAnsi="Arial Narrow"/>
          <w:lang w:eastAsia="en-US"/>
        </w:rPr>
        <w:t xml:space="preserve">, </w:t>
      </w:r>
      <w:r w:rsidRPr="002E0B96">
        <w:rPr>
          <w:rFonts w:ascii="Arial Narrow" w:eastAsia="Calibri" w:hAnsi="Arial Narrow"/>
          <w:lang w:eastAsia="en-US"/>
        </w:rPr>
        <w:t>implementación en al menos dos oficinas judiciales la Justicia Restaurativa</w:t>
      </w:r>
      <w:r w:rsidDel="004C76FF">
        <w:rPr>
          <w:rFonts w:ascii="Arial Narrow" w:eastAsia="Calibri" w:hAnsi="Arial Narrow"/>
          <w:lang w:eastAsia="en-US"/>
        </w:rPr>
        <w:t xml:space="preserve"> </w:t>
      </w:r>
      <w:r>
        <w:rPr>
          <w:rFonts w:ascii="Arial Narrow" w:eastAsia="Calibri" w:hAnsi="Arial Narrow"/>
          <w:lang w:eastAsia="en-US"/>
        </w:rPr>
        <w:t xml:space="preserve">(se </w:t>
      </w:r>
      <w:r w:rsidRPr="002E0B96">
        <w:rPr>
          <w:rFonts w:ascii="Arial Narrow" w:eastAsia="Calibri" w:hAnsi="Arial Narrow"/>
          <w:lang w:eastAsia="en-US"/>
        </w:rPr>
        <w:t xml:space="preserve">realizó la apertura de oficina JPR en Alajuela y en Limón, en </w:t>
      </w:r>
      <w:r>
        <w:rPr>
          <w:rFonts w:ascii="Arial Narrow" w:eastAsia="Calibri" w:hAnsi="Arial Narrow"/>
          <w:lang w:eastAsia="en-US"/>
        </w:rPr>
        <w:t>s</w:t>
      </w:r>
      <w:r w:rsidRPr="002E0B96">
        <w:rPr>
          <w:rFonts w:ascii="Arial Narrow" w:eastAsia="Calibri" w:hAnsi="Arial Narrow"/>
          <w:lang w:eastAsia="en-US"/>
        </w:rPr>
        <w:t>etiembre y meses posteriores se realizó en San Ramón, Quepos, Nicoya y en Corredores</w:t>
      </w:r>
      <w:r>
        <w:rPr>
          <w:rFonts w:ascii="Arial Narrow" w:eastAsia="Calibri" w:hAnsi="Arial Narrow"/>
          <w:lang w:eastAsia="en-US"/>
        </w:rPr>
        <w:t>), entre otros.</w:t>
      </w:r>
    </w:p>
    <w:p w14:paraId="20F58A2C" w14:textId="77777777" w:rsidR="00B5653F" w:rsidRDefault="00B5653F" w:rsidP="00362C49">
      <w:pPr>
        <w:spacing w:line="360" w:lineRule="auto"/>
        <w:jc w:val="both"/>
        <w:rPr>
          <w:rFonts w:ascii="Arial Narrow" w:eastAsia="Calibri" w:hAnsi="Arial Narrow"/>
        </w:rPr>
      </w:pPr>
    </w:p>
    <w:p w14:paraId="599E593A" w14:textId="41DEF210" w:rsidR="006E04FD" w:rsidRPr="00704B08" w:rsidRDefault="003C51BA">
      <w:pPr>
        <w:spacing w:line="360" w:lineRule="auto"/>
        <w:jc w:val="both"/>
        <w:rPr>
          <w:rFonts w:ascii="Arial Narrow" w:eastAsia="Calibri" w:hAnsi="Arial Narrow"/>
          <w:lang w:eastAsia="en-US"/>
        </w:rPr>
      </w:pPr>
      <w:r w:rsidRPr="00704B08">
        <w:rPr>
          <w:rFonts w:ascii="Arial Narrow" w:eastAsia="Calibri" w:hAnsi="Arial Narrow"/>
          <w:lang w:eastAsia="en-US"/>
        </w:rPr>
        <w:t xml:space="preserve"> </w:t>
      </w:r>
    </w:p>
    <w:p w14:paraId="24B6789C" w14:textId="50A8E4D0" w:rsidR="008B6366" w:rsidRPr="00704B08" w:rsidRDefault="00194BB6">
      <w:pPr>
        <w:pStyle w:val="Ttulo3"/>
        <w:numPr>
          <w:ilvl w:val="0"/>
          <w:numId w:val="62"/>
        </w:numPr>
        <w:rPr>
          <w:rFonts w:ascii="Arial Narrow" w:eastAsia="Calibri" w:hAnsi="Arial Narrow"/>
          <w:lang w:val="es-CR"/>
        </w:rPr>
      </w:pPr>
      <w:bookmarkStart w:id="46" w:name="_Toc84919353"/>
      <w:r>
        <w:rPr>
          <w:rFonts w:ascii="Arial Narrow" w:eastAsia="Calibri" w:hAnsi="Arial Narrow"/>
          <w:lang w:val="es-CR"/>
        </w:rPr>
        <w:t xml:space="preserve">5.2 </w:t>
      </w:r>
      <w:r w:rsidR="008B6366" w:rsidRPr="00704B08">
        <w:rPr>
          <w:rFonts w:ascii="Arial Narrow" w:eastAsia="Calibri" w:hAnsi="Arial Narrow"/>
          <w:lang w:val="es-CR"/>
        </w:rPr>
        <w:t>Tema estratégico: Confianza y Probidad en la Justicia</w:t>
      </w:r>
      <w:bookmarkEnd w:id="46"/>
    </w:p>
    <w:p w14:paraId="27350F5F" w14:textId="77777777" w:rsidR="00B97C38" w:rsidRPr="00704B08" w:rsidRDefault="00B97C38" w:rsidP="00704B08">
      <w:pPr>
        <w:spacing w:line="360" w:lineRule="auto"/>
        <w:jc w:val="both"/>
        <w:rPr>
          <w:rFonts w:ascii="Arial Narrow" w:eastAsia="Calibri" w:hAnsi="Arial Narrow"/>
          <w:lang w:eastAsia="en-US"/>
        </w:rPr>
      </w:pPr>
    </w:p>
    <w:p w14:paraId="3EC3AB87" w14:textId="20F92502" w:rsidR="00CE3290" w:rsidRPr="00704B08" w:rsidRDefault="00B97C38" w:rsidP="00CC3693">
      <w:pPr>
        <w:spacing w:line="360" w:lineRule="auto"/>
        <w:jc w:val="both"/>
        <w:rPr>
          <w:rFonts w:ascii="Arial Narrow" w:eastAsia="Calibri" w:hAnsi="Arial Narrow"/>
          <w:lang w:eastAsia="en-US"/>
        </w:rPr>
      </w:pPr>
      <w:r w:rsidRPr="00704B08">
        <w:rPr>
          <w:rFonts w:ascii="Arial Narrow" w:eastAsia="Calibri" w:hAnsi="Arial Narrow"/>
          <w:lang w:eastAsia="en-US"/>
        </w:rPr>
        <w:t xml:space="preserve">Este tema consiste en </w:t>
      </w:r>
      <w:r w:rsidR="00AB78AD">
        <w:rPr>
          <w:rFonts w:ascii="Arial Narrow" w:eastAsia="Calibri" w:hAnsi="Arial Narrow"/>
          <w:lang w:eastAsia="en-US"/>
        </w:rPr>
        <w:t>f</w:t>
      </w:r>
      <w:r w:rsidRPr="00704B08">
        <w:rPr>
          <w:rFonts w:ascii="Arial Narrow" w:eastAsia="Calibri" w:hAnsi="Arial Narrow"/>
          <w:lang w:eastAsia="en-US"/>
        </w:rPr>
        <w:t>ortalecer la confianza de la sociedad con probidad en el servicio de justicia, para contribuir con el desarrollo integral y sostenible del país. Presenta las siguientes acciones estratégicas:</w:t>
      </w:r>
    </w:p>
    <w:p w14:paraId="3A516776" w14:textId="7B4FC84A" w:rsidR="00C43708" w:rsidRPr="00704B08" w:rsidRDefault="00B97C38" w:rsidP="00C02919">
      <w:pPr>
        <w:spacing w:line="360" w:lineRule="auto"/>
        <w:jc w:val="both"/>
        <w:rPr>
          <w:rFonts w:ascii="Arial Narrow" w:eastAsia="Calibri" w:hAnsi="Arial Narrow"/>
          <w:lang w:eastAsia="en-US"/>
        </w:rPr>
      </w:pPr>
      <w:r w:rsidRPr="00704B08">
        <w:rPr>
          <w:rFonts w:ascii="Arial Narrow" w:eastAsia="Calibri" w:hAnsi="Arial Narrow"/>
          <w:lang w:eastAsia="en-US"/>
        </w:rPr>
        <w:t xml:space="preserve"> </w:t>
      </w:r>
    </w:p>
    <w:p w14:paraId="39D17383" w14:textId="77777777" w:rsidR="00C43708" w:rsidRPr="00CC279A" w:rsidRDefault="00B97C38" w:rsidP="00CC279A">
      <w:pPr>
        <w:pStyle w:val="Prrafodelista"/>
        <w:numPr>
          <w:ilvl w:val="0"/>
          <w:numId w:val="113"/>
        </w:numPr>
        <w:spacing w:line="360" w:lineRule="auto"/>
        <w:jc w:val="both"/>
        <w:rPr>
          <w:rFonts w:ascii="Arial Narrow" w:eastAsia="Calibri" w:hAnsi="Arial Narrow"/>
          <w:lang w:eastAsia="en-US"/>
        </w:rPr>
      </w:pPr>
      <w:r w:rsidRPr="00CC279A">
        <w:rPr>
          <w:rFonts w:ascii="Arial Narrow" w:eastAsia="Calibri" w:hAnsi="Arial Narrow"/>
          <w:b/>
          <w:bCs/>
          <w:lang w:eastAsia="en-US"/>
        </w:rPr>
        <w:t>Transparencia y rendición de cuentas:</w:t>
      </w:r>
      <w:r w:rsidRPr="00CC279A">
        <w:rPr>
          <w:rFonts w:ascii="Arial Narrow" w:eastAsia="Calibri" w:hAnsi="Arial Narrow"/>
          <w:lang w:eastAsia="en-US"/>
        </w:rPr>
        <w:t xml:space="preserve"> Desarrollar procesos de rendición de cuentas y transparencia institucional, que permitan el derecho de acceso y la comprensión de la información pública, sin mayores limitaciones que aquellas expresamente establecidas por las leyes, haciendo uso de soluciones tecnológicas novedosas.</w:t>
      </w:r>
    </w:p>
    <w:p w14:paraId="1BFC4DD8" w14:textId="505CEA5C" w:rsidR="00C43708" w:rsidRPr="00CC279A" w:rsidRDefault="00B97C38" w:rsidP="00CC279A">
      <w:pPr>
        <w:pStyle w:val="Prrafodelista"/>
        <w:numPr>
          <w:ilvl w:val="0"/>
          <w:numId w:val="113"/>
        </w:numPr>
        <w:spacing w:line="360" w:lineRule="auto"/>
        <w:jc w:val="both"/>
        <w:rPr>
          <w:rFonts w:ascii="Arial Narrow" w:eastAsia="Calibri" w:hAnsi="Arial Narrow"/>
          <w:lang w:eastAsia="en-US"/>
        </w:rPr>
      </w:pPr>
      <w:r w:rsidRPr="00CC279A">
        <w:rPr>
          <w:rFonts w:ascii="Arial Narrow" w:eastAsia="Calibri" w:hAnsi="Arial Narrow"/>
          <w:b/>
          <w:bCs/>
          <w:lang w:eastAsia="en-US"/>
        </w:rPr>
        <w:t>Probidad y anticorrupción</w:t>
      </w:r>
      <w:r w:rsidRPr="00CC279A">
        <w:rPr>
          <w:rFonts w:ascii="Arial Narrow" w:eastAsia="Calibri" w:hAnsi="Arial Narrow"/>
          <w:lang w:eastAsia="en-US"/>
        </w:rPr>
        <w:t xml:space="preserve">: Diseñar estrategias que permitan la prevención y abordaje de los delitos de probidad y corrupción en la gestión judicial. </w:t>
      </w:r>
    </w:p>
    <w:p w14:paraId="7796A9A1" w14:textId="19DD9451" w:rsidR="00D10E54" w:rsidRPr="00CC279A" w:rsidRDefault="00B97C38" w:rsidP="00CC279A">
      <w:pPr>
        <w:pStyle w:val="Prrafodelista"/>
        <w:numPr>
          <w:ilvl w:val="0"/>
          <w:numId w:val="113"/>
        </w:numPr>
        <w:spacing w:line="360" w:lineRule="auto"/>
        <w:jc w:val="both"/>
        <w:rPr>
          <w:rFonts w:ascii="Arial Narrow" w:eastAsia="Calibri" w:hAnsi="Arial Narrow"/>
          <w:lang w:eastAsia="en-US"/>
        </w:rPr>
      </w:pPr>
      <w:r w:rsidRPr="00CC279A">
        <w:rPr>
          <w:rFonts w:ascii="Arial Narrow" w:eastAsia="Calibri" w:hAnsi="Arial Narrow"/>
          <w:b/>
          <w:bCs/>
          <w:lang w:eastAsia="en-US"/>
        </w:rPr>
        <w:t>Colaboración interna y externa</w:t>
      </w:r>
      <w:r w:rsidRPr="00CC279A">
        <w:rPr>
          <w:rFonts w:ascii="Arial Narrow" w:eastAsia="Calibri" w:hAnsi="Arial Narrow"/>
          <w:lang w:eastAsia="en-US"/>
        </w:rPr>
        <w:t xml:space="preserve">: Optimizar y desarrollar procesos estandarizados para la gestión técnica y administrativa que involucren a distintos actores sociales en el diseño, ejecución y evaluación de políticas, programas, proyectos, planes y otras acciones del Poder Judicial, mediante alianzas, la creación y las redes de trabajo y apoyo, con el fin de mejorar la calidad del servicio público que se brinda. </w:t>
      </w:r>
    </w:p>
    <w:p w14:paraId="0C4B92B7" w14:textId="77777777" w:rsidR="00D10E54" w:rsidRPr="00CC279A" w:rsidRDefault="00B97C38" w:rsidP="00CC279A">
      <w:pPr>
        <w:pStyle w:val="Prrafodelista"/>
        <w:numPr>
          <w:ilvl w:val="0"/>
          <w:numId w:val="113"/>
        </w:numPr>
        <w:spacing w:line="360" w:lineRule="auto"/>
        <w:jc w:val="both"/>
        <w:rPr>
          <w:rFonts w:ascii="Arial Narrow" w:eastAsia="Calibri" w:hAnsi="Arial Narrow"/>
          <w:lang w:eastAsia="en-US"/>
        </w:rPr>
      </w:pPr>
      <w:r w:rsidRPr="00CC279A">
        <w:rPr>
          <w:rFonts w:ascii="Arial Narrow" w:eastAsia="Calibri" w:hAnsi="Arial Narrow"/>
          <w:b/>
          <w:bCs/>
          <w:lang w:eastAsia="en-US"/>
        </w:rPr>
        <w:t>Comunicación y proyección institucional</w:t>
      </w:r>
      <w:r w:rsidRPr="00CC279A">
        <w:rPr>
          <w:rFonts w:ascii="Arial Narrow" w:eastAsia="Calibri" w:hAnsi="Arial Narrow"/>
          <w:lang w:eastAsia="en-US"/>
        </w:rPr>
        <w:t xml:space="preserve">: Proyectar la imagen del Poder Judicial mediante la divulgación del quehacer institucional, en la comunidad nacional e internacional. </w:t>
      </w:r>
    </w:p>
    <w:p w14:paraId="6B0DFBAF" w14:textId="4A92DF22" w:rsidR="0085275D" w:rsidRPr="00CC279A" w:rsidRDefault="00B97C38" w:rsidP="00CC279A">
      <w:pPr>
        <w:pStyle w:val="Prrafodelista"/>
        <w:numPr>
          <w:ilvl w:val="0"/>
          <w:numId w:val="113"/>
        </w:numPr>
        <w:spacing w:line="360" w:lineRule="auto"/>
        <w:jc w:val="both"/>
        <w:rPr>
          <w:rFonts w:ascii="Arial Narrow" w:eastAsia="Calibri" w:hAnsi="Arial Narrow"/>
          <w:lang w:eastAsia="en-US"/>
        </w:rPr>
      </w:pPr>
      <w:r w:rsidRPr="00CC279A">
        <w:rPr>
          <w:rFonts w:ascii="Arial Narrow" w:eastAsia="Calibri" w:hAnsi="Arial Narrow"/>
          <w:b/>
          <w:bCs/>
          <w:lang w:eastAsia="en-US"/>
        </w:rPr>
        <w:t>Participación ciudadana</w:t>
      </w:r>
      <w:r w:rsidRPr="00CC279A">
        <w:rPr>
          <w:rFonts w:ascii="Arial Narrow" w:eastAsia="Calibri" w:hAnsi="Arial Narrow"/>
          <w:lang w:eastAsia="en-US"/>
        </w:rPr>
        <w:t>: Desarrollar estrategias de participación ciudadana responsables, activas y sostenibles, que contribuya en la toma de decisiones del Poder Judicial y mejoramiento del servicio público</w:t>
      </w:r>
      <w:r w:rsidR="008E660F" w:rsidRPr="00CC279A">
        <w:rPr>
          <w:rFonts w:ascii="Arial Narrow" w:eastAsia="Calibri" w:hAnsi="Arial Narrow"/>
          <w:lang w:eastAsia="en-US"/>
        </w:rPr>
        <w:t>.</w:t>
      </w:r>
    </w:p>
    <w:p w14:paraId="6FD8EFA9" w14:textId="73984291" w:rsidR="0085275D" w:rsidRPr="00704B08" w:rsidRDefault="0085275D" w:rsidP="00704B08">
      <w:pPr>
        <w:spacing w:line="360" w:lineRule="auto"/>
        <w:jc w:val="both"/>
        <w:rPr>
          <w:rFonts w:ascii="Arial Narrow" w:eastAsia="Calibri" w:hAnsi="Arial Narrow"/>
          <w:lang w:eastAsia="en-US"/>
        </w:rPr>
      </w:pPr>
    </w:p>
    <w:p w14:paraId="62EA20E7" w14:textId="77777777" w:rsidR="00D657CE" w:rsidRPr="00704B08" w:rsidRDefault="00D657CE" w:rsidP="00704B08">
      <w:pPr>
        <w:spacing w:line="360" w:lineRule="auto"/>
        <w:jc w:val="both"/>
        <w:rPr>
          <w:rFonts w:ascii="Arial Narrow" w:eastAsia="Calibri" w:hAnsi="Arial Narrow"/>
        </w:rPr>
      </w:pPr>
      <w:r w:rsidRPr="00704B08">
        <w:rPr>
          <w:rFonts w:ascii="Arial Narrow" w:eastAsia="Calibri" w:hAnsi="Arial Narrow"/>
          <w:lang w:eastAsia="en-US"/>
        </w:rPr>
        <w:t>Se presenta el análisis de metas estratégicas agrupadas por la acción estratégica a la que pertenecen:</w:t>
      </w:r>
    </w:p>
    <w:p w14:paraId="54BDCFB7" w14:textId="77777777" w:rsidR="004C5806" w:rsidRPr="00704B08" w:rsidRDefault="004C5806" w:rsidP="00704B08">
      <w:pPr>
        <w:spacing w:line="360" w:lineRule="auto"/>
        <w:jc w:val="both"/>
        <w:rPr>
          <w:rFonts w:ascii="Arial Narrow" w:eastAsia="Calibri" w:hAnsi="Arial Narrow"/>
          <w:lang w:eastAsia="en-US"/>
        </w:rPr>
        <w:sectPr w:rsidR="004C5806" w:rsidRPr="00704B08" w:rsidSect="0085275D">
          <w:headerReference w:type="even" r:id="rId78"/>
          <w:headerReference w:type="default" r:id="rId79"/>
          <w:footerReference w:type="even" r:id="rId80"/>
          <w:footerReference w:type="default" r:id="rId81"/>
          <w:headerReference w:type="first" r:id="rId82"/>
          <w:pgSz w:w="12242" w:h="15842" w:code="1"/>
          <w:pgMar w:top="719" w:right="1469" w:bottom="719" w:left="1560" w:header="709" w:footer="709" w:gutter="0"/>
          <w:cols w:space="708"/>
          <w:docGrid w:linePitch="360"/>
        </w:sectPr>
      </w:pPr>
    </w:p>
    <w:p w14:paraId="043BB756" w14:textId="7F958C80" w:rsidR="00C43708" w:rsidRPr="00CC279A" w:rsidRDefault="000D7411">
      <w:pPr>
        <w:pStyle w:val="Ttulo4"/>
        <w:numPr>
          <w:ilvl w:val="0"/>
          <w:numId w:val="62"/>
        </w:numPr>
        <w:rPr>
          <w:rFonts w:ascii="Arial Narrow" w:eastAsia="Calibri" w:hAnsi="Arial Narrow"/>
          <w:lang w:val="es-CR"/>
        </w:rPr>
      </w:pPr>
      <w:r w:rsidRPr="00CC279A">
        <w:rPr>
          <w:rFonts w:ascii="Arial Narrow" w:eastAsia="Calibri" w:hAnsi="Arial Narrow"/>
          <w:lang w:val="es-CR"/>
        </w:rPr>
        <w:lastRenderedPageBreak/>
        <w:t xml:space="preserve">5.2.1. </w:t>
      </w:r>
      <w:r w:rsidR="00C43708" w:rsidRPr="00CC279A">
        <w:rPr>
          <w:rFonts w:ascii="Arial Narrow" w:eastAsia="Calibri" w:hAnsi="Arial Narrow"/>
          <w:lang w:val="es-CR"/>
        </w:rPr>
        <w:t>Transparencia y rendición de cuentas</w:t>
      </w:r>
    </w:p>
    <w:p w14:paraId="02CA1F5A" w14:textId="5B1FA0CE" w:rsidR="0085275D" w:rsidRPr="00704B08" w:rsidRDefault="0085275D" w:rsidP="00704B08">
      <w:pPr>
        <w:spacing w:line="360" w:lineRule="auto"/>
        <w:jc w:val="both"/>
        <w:rPr>
          <w:rFonts w:ascii="Arial Narrow" w:eastAsia="Calibri" w:hAnsi="Arial Narrow"/>
        </w:rPr>
      </w:pPr>
    </w:p>
    <w:p w14:paraId="6768E749" w14:textId="4EC1E6C6" w:rsidR="00152212" w:rsidRPr="00704B08" w:rsidRDefault="00152212" w:rsidP="00704B08">
      <w:pPr>
        <w:spacing w:line="360" w:lineRule="auto"/>
        <w:jc w:val="both"/>
        <w:rPr>
          <w:rFonts w:ascii="Arial Narrow" w:eastAsia="Calibri" w:hAnsi="Arial Narrow"/>
        </w:rPr>
      </w:pPr>
      <w:r w:rsidRPr="00704B08">
        <w:rPr>
          <w:rFonts w:ascii="Arial Narrow" w:eastAsia="Calibri" w:hAnsi="Arial Narrow"/>
        </w:rPr>
        <w:t xml:space="preserve">Con respecto a la acción estratégica Transparencia y rendición de cuentas se tiene un cumplimiento </w:t>
      </w:r>
      <w:r w:rsidRPr="00901E05">
        <w:rPr>
          <w:rFonts w:ascii="Arial Narrow" w:eastAsia="Calibri" w:hAnsi="Arial Narrow"/>
        </w:rPr>
        <w:t xml:space="preserve">de las </w:t>
      </w:r>
      <w:r w:rsidR="0042105C" w:rsidRPr="00704B08">
        <w:rPr>
          <w:rFonts w:ascii="Arial Narrow" w:eastAsia="Calibri" w:hAnsi="Arial Narrow"/>
        </w:rPr>
        <w:t>9</w:t>
      </w:r>
      <w:r w:rsidRPr="00901E05">
        <w:rPr>
          <w:rFonts w:ascii="Arial Narrow" w:eastAsia="Calibri" w:hAnsi="Arial Narrow"/>
        </w:rPr>
        <w:t xml:space="preserve"> metas estratégicas al 100%.</w:t>
      </w:r>
      <w:r w:rsidRPr="00704B08">
        <w:rPr>
          <w:rFonts w:ascii="Arial Narrow" w:eastAsia="Calibri" w:hAnsi="Arial Narrow"/>
        </w:rPr>
        <w:t xml:space="preserve"> Esto es un aspecto positivo en el cumplimiento del PEI, se muestra el compromiso en rendir cuentas por parte de los diferentes órganos y ser transparentes en la rendición de la información. </w:t>
      </w:r>
    </w:p>
    <w:p w14:paraId="56225BCE" w14:textId="1417CAEC" w:rsidR="00C43708" w:rsidRPr="00704B08" w:rsidRDefault="00C76806" w:rsidP="00704B08">
      <w:pPr>
        <w:spacing w:line="360" w:lineRule="auto"/>
        <w:jc w:val="both"/>
        <w:rPr>
          <w:rFonts w:ascii="Arial Narrow" w:eastAsia="Calibri" w:hAnsi="Arial Narrow"/>
        </w:rPr>
      </w:pPr>
      <w:r>
        <w:rPr>
          <w:rFonts w:ascii="Arial Narrow" w:eastAsia="Calibri" w:hAnsi="Arial Narrow"/>
        </w:rPr>
        <w:t xml:space="preserve">A </w:t>
      </w:r>
      <w:r w:rsidR="00A714B2">
        <w:rPr>
          <w:rFonts w:ascii="Arial Narrow" w:eastAsia="Calibri" w:hAnsi="Arial Narrow"/>
        </w:rPr>
        <w:t>continuación,</w:t>
      </w:r>
      <w:r>
        <w:rPr>
          <w:rFonts w:ascii="Arial Narrow" w:eastAsia="Calibri" w:hAnsi="Arial Narrow"/>
        </w:rPr>
        <w:t xml:space="preserve"> s</w:t>
      </w:r>
      <w:r w:rsidR="00C43708" w:rsidRPr="00704B08">
        <w:rPr>
          <w:rFonts w:ascii="Arial Narrow" w:eastAsia="Calibri" w:hAnsi="Arial Narrow"/>
        </w:rPr>
        <w:t>e muestran las metas estratégicas y su cumplimiento para el 2019</w:t>
      </w:r>
      <w:r w:rsidR="00985880" w:rsidRPr="00704B08">
        <w:rPr>
          <w:rFonts w:ascii="Arial Narrow" w:eastAsia="Calibri" w:hAnsi="Arial Narrow"/>
        </w:rPr>
        <w:t xml:space="preserve"> y 2020</w:t>
      </w:r>
      <w:r w:rsidR="00CE3290" w:rsidRPr="00704B08">
        <w:rPr>
          <w:rFonts w:ascii="Arial Narrow" w:eastAsia="Calibri" w:hAnsi="Arial Narrow"/>
        </w:rPr>
        <w:t>:</w:t>
      </w:r>
    </w:p>
    <w:p w14:paraId="21B5AEBC" w14:textId="77777777" w:rsidR="00D657CE" w:rsidRDefault="00D657CE" w:rsidP="00C43708">
      <w:pPr>
        <w:rPr>
          <w:rFonts w:ascii="Arial Narrow" w:eastAsia="Calibri" w:hAnsi="Arial Narrow"/>
        </w:rPr>
      </w:pPr>
    </w:p>
    <w:p w14:paraId="0654109C" w14:textId="7AB9F218" w:rsidR="0085275D" w:rsidRDefault="00D657CE" w:rsidP="00484CC1">
      <w:pPr>
        <w:pStyle w:val="Descripcin"/>
        <w:jc w:val="center"/>
        <w:rPr>
          <w:rFonts w:ascii="Arial Narrow" w:eastAsia="Calibri" w:hAnsi="Arial Narrow"/>
          <w:sz w:val="24"/>
          <w:szCs w:val="24"/>
        </w:rPr>
      </w:pPr>
      <w:bookmarkStart w:id="47" w:name="_Toc76062248"/>
      <w:r w:rsidRPr="00CE3290">
        <w:rPr>
          <w:rFonts w:ascii="Arial Narrow" w:hAnsi="Arial Narrow"/>
          <w:sz w:val="24"/>
          <w:szCs w:val="24"/>
        </w:rPr>
        <w:t>Cuadro</w:t>
      </w:r>
      <w:r w:rsidR="00CE3290">
        <w:rPr>
          <w:rFonts w:ascii="Arial Narrow" w:hAnsi="Arial Narrow"/>
          <w:sz w:val="24"/>
          <w:szCs w:val="24"/>
        </w:rPr>
        <w:t xml:space="preserve"> </w:t>
      </w:r>
      <w:r w:rsidRPr="00CE3290">
        <w:rPr>
          <w:rFonts w:ascii="Arial Narrow" w:hAnsi="Arial Narrow"/>
          <w:sz w:val="24"/>
          <w:szCs w:val="24"/>
        </w:rPr>
        <w:fldChar w:fldCharType="begin"/>
      </w:r>
      <w:r w:rsidRPr="00CE3290">
        <w:rPr>
          <w:rFonts w:ascii="Arial Narrow" w:hAnsi="Arial Narrow"/>
          <w:sz w:val="24"/>
          <w:szCs w:val="24"/>
        </w:rPr>
        <w:instrText xml:space="preserve"> SEQ Cuadro_No. \* ARABIC </w:instrText>
      </w:r>
      <w:r w:rsidRPr="00CE3290">
        <w:rPr>
          <w:rFonts w:ascii="Arial Narrow" w:hAnsi="Arial Narrow"/>
          <w:sz w:val="24"/>
          <w:szCs w:val="24"/>
        </w:rPr>
        <w:fldChar w:fldCharType="separate"/>
      </w:r>
      <w:r w:rsidR="009D5823">
        <w:rPr>
          <w:rFonts w:ascii="Arial Narrow" w:hAnsi="Arial Narrow"/>
          <w:noProof/>
          <w:sz w:val="24"/>
          <w:szCs w:val="24"/>
        </w:rPr>
        <w:t>25</w:t>
      </w:r>
      <w:r w:rsidRPr="00CE3290">
        <w:rPr>
          <w:rFonts w:ascii="Arial Narrow" w:hAnsi="Arial Narrow"/>
          <w:sz w:val="24"/>
          <w:szCs w:val="24"/>
        </w:rPr>
        <w:fldChar w:fldCharType="end"/>
      </w:r>
      <w:r w:rsidRPr="00CE3290">
        <w:rPr>
          <w:rFonts w:ascii="Arial Narrow" w:hAnsi="Arial Narrow"/>
          <w:sz w:val="24"/>
          <w:szCs w:val="24"/>
        </w:rPr>
        <w:t xml:space="preserve"> </w:t>
      </w:r>
      <w:r w:rsidRPr="00CE3290">
        <w:rPr>
          <w:rFonts w:ascii="Arial Narrow" w:eastAsia="Calibri" w:hAnsi="Arial Narrow"/>
          <w:sz w:val="24"/>
          <w:szCs w:val="24"/>
        </w:rPr>
        <w:t>Metas estratégicas de Transparencia y rendición de cuentas y su cumplimiento para el 2019</w:t>
      </w:r>
      <w:r w:rsidR="00985880">
        <w:rPr>
          <w:rFonts w:ascii="Arial Narrow" w:eastAsia="Calibri" w:hAnsi="Arial Narrow"/>
          <w:sz w:val="24"/>
          <w:szCs w:val="24"/>
        </w:rPr>
        <w:t xml:space="preserve"> y 2020.</w:t>
      </w:r>
      <w:bookmarkEnd w:id="47"/>
    </w:p>
    <w:p w14:paraId="26707D8B" w14:textId="77777777" w:rsidR="005A698C" w:rsidRPr="00704B08" w:rsidRDefault="005A698C" w:rsidP="00704B08">
      <w:pPr>
        <w:rPr>
          <w:rFonts w:eastAsia="Calibri"/>
        </w:rPr>
      </w:pPr>
    </w:p>
    <w:p w14:paraId="7A0B6472" w14:textId="0C5BF47D" w:rsidR="005F6874" w:rsidRDefault="00C76806" w:rsidP="00CE3290">
      <w:pPr>
        <w:rPr>
          <w:rFonts w:eastAsia="Calibri"/>
          <w:b/>
          <w:bCs/>
        </w:rPr>
      </w:pPr>
      <w:r>
        <w:rPr>
          <w:noProof/>
          <w:lang w:val="es-CR" w:eastAsia="es-CR"/>
        </w:rPr>
        <w:drawing>
          <wp:inline distT="0" distB="0" distL="0" distR="0" wp14:anchorId="05C19DED" wp14:editId="33561BFC">
            <wp:extent cx="7854950" cy="2867282"/>
            <wp:effectExtent l="57150" t="57150" r="88900" b="104775"/>
            <wp:docPr id="156" name="Imagen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3"/>
                    <a:srcRect r="563"/>
                    <a:stretch/>
                  </pic:blipFill>
                  <pic:spPr bwMode="auto">
                    <a:xfrm>
                      <a:off x="0" y="0"/>
                      <a:ext cx="7859416" cy="2868912"/>
                    </a:xfrm>
                    <a:prstGeom prst="rect">
                      <a:avLst/>
                    </a:prstGeom>
                    <a:ln w="9525" cap="sq" cmpd="sng" algn="ctr">
                      <a:solidFill>
                        <a:srgbClr val="00B0F0"/>
                      </a:solidFill>
                      <a:prstDash val="solid"/>
                      <a:miter lim="800000"/>
                      <a:headEnd type="none" w="med" len="med"/>
                      <a:tailEnd type="none" w="med" len="med"/>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r w:rsidR="00766FDC">
        <w:rPr>
          <w:rFonts w:eastAsia="Calibri"/>
          <w:b/>
          <w:bCs/>
        </w:rPr>
        <w:t xml:space="preserve">    </w:t>
      </w:r>
      <w:r w:rsidR="00D2246B" w:rsidRPr="000B4845">
        <w:rPr>
          <w:rFonts w:ascii="Arial Narrow" w:eastAsia="Calibri" w:hAnsi="Arial Narrow"/>
          <w:sz w:val="18"/>
          <w:szCs w:val="18"/>
          <w:lang w:eastAsia="en-US"/>
        </w:rPr>
        <w:t>Fuente: Sistema PEI al 24 de enero del 2020 (año 2019)</w:t>
      </w:r>
      <w:r w:rsidR="00D2246B">
        <w:rPr>
          <w:rFonts w:ascii="Arial Narrow" w:eastAsia="Calibri" w:hAnsi="Arial Narrow"/>
          <w:sz w:val="18"/>
          <w:szCs w:val="18"/>
          <w:lang w:eastAsia="en-US"/>
        </w:rPr>
        <w:t xml:space="preserve"> y 04 de marzo del 2021 (año 2020).</w:t>
      </w:r>
    </w:p>
    <w:p w14:paraId="0662379D" w14:textId="77777777" w:rsidR="009D5823" w:rsidRDefault="009D5823" w:rsidP="00CE3290">
      <w:pPr>
        <w:rPr>
          <w:rFonts w:eastAsia="Calibri"/>
          <w:b/>
          <w:bCs/>
        </w:rPr>
        <w:sectPr w:rsidR="009D5823" w:rsidSect="00652A12">
          <w:pgSz w:w="15842" w:h="12242" w:orient="landscape" w:code="1"/>
          <w:pgMar w:top="1417" w:right="1701" w:bottom="1417" w:left="1701" w:header="709" w:footer="709" w:gutter="0"/>
          <w:cols w:space="708"/>
          <w:docGrid w:linePitch="360"/>
        </w:sectPr>
      </w:pPr>
    </w:p>
    <w:p w14:paraId="40A88A2B" w14:textId="097C735C" w:rsidR="005F6874" w:rsidRDefault="005F6874" w:rsidP="00CE3290">
      <w:pPr>
        <w:rPr>
          <w:rFonts w:eastAsia="Calibri"/>
          <w:b/>
          <w:bCs/>
        </w:rPr>
      </w:pPr>
    </w:p>
    <w:p w14:paraId="2241BA13" w14:textId="77777777" w:rsidR="00D76856" w:rsidRDefault="00D76856" w:rsidP="00704B08">
      <w:pPr>
        <w:spacing w:line="360" w:lineRule="auto"/>
        <w:jc w:val="both"/>
        <w:rPr>
          <w:rFonts w:ascii="Arial Narrow" w:eastAsia="Calibri" w:hAnsi="Arial Narrow"/>
        </w:rPr>
      </w:pPr>
    </w:p>
    <w:p w14:paraId="70A9FE94" w14:textId="77777777" w:rsidR="00D76856" w:rsidRDefault="00D76856" w:rsidP="00704B08">
      <w:pPr>
        <w:spacing w:line="360" w:lineRule="auto"/>
        <w:jc w:val="both"/>
        <w:rPr>
          <w:rFonts w:ascii="Arial Narrow" w:eastAsia="Calibri" w:hAnsi="Arial Narrow"/>
        </w:rPr>
      </w:pPr>
    </w:p>
    <w:p w14:paraId="27F63F39" w14:textId="77777777" w:rsidR="00D76856" w:rsidRDefault="00D76856" w:rsidP="00704B08">
      <w:pPr>
        <w:spacing w:line="360" w:lineRule="auto"/>
        <w:jc w:val="both"/>
        <w:rPr>
          <w:rFonts w:ascii="Arial Narrow" w:eastAsia="Calibri" w:hAnsi="Arial Narrow"/>
        </w:rPr>
      </w:pPr>
    </w:p>
    <w:p w14:paraId="18A34AD6" w14:textId="44987611" w:rsidR="005F6874" w:rsidRPr="00704B08" w:rsidRDefault="00AB78AD" w:rsidP="00704B08">
      <w:pPr>
        <w:spacing w:line="360" w:lineRule="auto"/>
        <w:jc w:val="both"/>
        <w:rPr>
          <w:rFonts w:ascii="Arial Narrow" w:hAnsi="Arial Narrow" w:cs="Calibri"/>
          <w:color w:val="000000"/>
          <w:lang w:val="es-CR" w:eastAsia="es-CR"/>
        </w:rPr>
      </w:pPr>
      <w:r w:rsidRPr="00704B08">
        <w:rPr>
          <w:rFonts w:ascii="Arial Narrow" w:eastAsia="Calibri" w:hAnsi="Arial Narrow"/>
        </w:rPr>
        <w:t>Por su parte, la meta estratégica</w:t>
      </w:r>
      <w:r>
        <w:rPr>
          <w:rFonts w:ascii="Arial Narrow" w:eastAsia="Calibri" w:hAnsi="Arial Narrow"/>
          <w:b/>
          <w:bCs/>
        </w:rPr>
        <w:t xml:space="preserve"> </w:t>
      </w:r>
      <w:r w:rsidR="00244F38" w:rsidRPr="00704B08">
        <w:rPr>
          <w:rFonts w:ascii="Arial Narrow" w:eastAsia="Calibri" w:hAnsi="Arial Narrow"/>
          <w:b/>
          <w:bCs/>
        </w:rPr>
        <w:t xml:space="preserve"> </w:t>
      </w:r>
      <w:r>
        <w:rPr>
          <w:rFonts w:ascii="Arial Narrow" w:eastAsia="Calibri" w:hAnsi="Arial Narrow"/>
          <w:b/>
          <w:bCs/>
        </w:rPr>
        <w:t>“</w:t>
      </w:r>
      <w:r w:rsidR="00244F38" w:rsidRPr="00704B08">
        <w:rPr>
          <w:rFonts w:ascii="Arial Narrow" w:eastAsia="Calibri" w:hAnsi="Arial Narrow"/>
          <w:b/>
          <w:bCs/>
          <w:i/>
          <w:iCs/>
        </w:rPr>
        <w:t>Que al finalizar el 2024, se haya desarrollado e implementado un modelo de transparencia y rendición de cuentas, que genere valor público y sirva de base para la generación de información relevante, incorporando las nuevas tecnologías y la integración de todas las instancias institucionales</w:t>
      </w:r>
      <w:r>
        <w:rPr>
          <w:rFonts w:ascii="Arial Narrow" w:eastAsia="Calibri" w:hAnsi="Arial Narrow"/>
          <w:b/>
          <w:bCs/>
        </w:rPr>
        <w:t>”</w:t>
      </w:r>
      <w:r>
        <w:rPr>
          <w:rFonts w:ascii="Arial Narrow" w:hAnsi="Arial Narrow" w:cs="Calibri"/>
          <w:color w:val="000000"/>
          <w:lang w:val="es-CR" w:eastAsia="es-CR"/>
        </w:rPr>
        <w:t xml:space="preserve"> s</w:t>
      </w:r>
      <w:r w:rsidR="00A236C1" w:rsidRPr="00704B08">
        <w:rPr>
          <w:rFonts w:ascii="Arial Narrow" w:hAnsi="Arial Narrow" w:cs="Calibri"/>
          <w:color w:val="000000"/>
          <w:lang w:val="es-CR" w:eastAsia="es-CR"/>
        </w:rPr>
        <w:t xml:space="preserve">e tiene </w:t>
      </w:r>
      <w:r w:rsidR="00B07D93" w:rsidRPr="00704B08">
        <w:rPr>
          <w:rFonts w:ascii="Arial Narrow" w:hAnsi="Arial Narrow" w:cs="Calibri"/>
          <w:color w:val="000000"/>
          <w:lang w:val="es-CR" w:eastAsia="es-CR"/>
        </w:rPr>
        <w:t xml:space="preserve">que </w:t>
      </w:r>
      <w:r w:rsidR="00C00210" w:rsidRPr="00704B08">
        <w:rPr>
          <w:rFonts w:ascii="Arial Narrow" w:hAnsi="Arial Narrow" w:cs="Calibri"/>
          <w:color w:val="000000"/>
          <w:lang w:val="es-CR" w:eastAsia="es-CR"/>
        </w:rPr>
        <w:t xml:space="preserve">esta meta se incluyó </w:t>
      </w:r>
      <w:r w:rsidR="00B07D93" w:rsidRPr="00704B08">
        <w:rPr>
          <w:rFonts w:ascii="Arial Narrow" w:hAnsi="Arial Narrow" w:cs="Calibri"/>
          <w:color w:val="000000"/>
          <w:lang w:val="es-CR" w:eastAsia="es-CR"/>
        </w:rPr>
        <w:t xml:space="preserve">en la Matriz del PEI 2019-2024 la cual de acuerdo con la revisión efectuada se logró determinar que no se asoció a ningún PAO de oficina para el 2019, no obstante, para el 2020 se retomó y se enlazó con diversas oficinas de manera operativa por medio del PAO </w:t>
      </w:r>
      <w:r w:rsidR="00A236C1" w:rsidRPr="00704B08">
        <w:rPr>
          <w:rFonts w:ascii="Arial Narrow" w:hAnsi="Arial Narrow" w:cs="Calibri"/>
          <w:color w:val="000000"/>
          <w:lang w:val="es-CR" w:eastAsia="es-CR"/>
        </w:rPr>
        <w:t>.</w:t>
      </w:r>
      <w:r w:rsidR="00B272F1" w:rsidRPr="00704B08">
        <w:rPr>
          <w:rFonts w:ascii="Arial Narrow" w:hAnsi="Arial Narrow" w:cs="Calibri"/>
          <w:color w:val="000000"/>
          <w:lang w:val="es-CR" w:eastAsia="es-CR"/>
        </w:rPr>
        <w:t xml:space="preserve"> </w:t>
      </w:r>
      <w:r w:rsidR="00C00210" w:rsidRPr="00704B08">
        <w:rPr>
          <w:rFonts w:ascii="Arial Narrow" w:hAnsi="Arial Narrow" w:cs="Calibri"/>
          <w:color w:val="000000"/>
          <w:lang w:val="es-CR" w:eastAsia="es-CR"/>
        </w:rPr>
        <w:t xml:space="preserve">Según los documentos y la información remitida por la Oficina de </w:t>
      </w:r>
      <w:r w:rsidR="005F6874" w:rsidRPr="00704B08">
        <w:rPr>
          <w:rFonts w:ascii="Arial Narrow" w:hAnsi="Arial Narrow" w:cs="Calibri"/>
          <w:color w:val="000000"/>
          <w:lang w:val="es-CR" w:eastAsia="es-CR"/>
        </w:rPr>
        <w:t>Control Interno</w:t>
      </w:r>
      <w:r w:rsidR="00C00210" w:rsidRPr="00704B08">
        <w:rPr>
          <w:rFonts w:ascii="Arial Narrow" w:hAnsi="Arial Narrow" w:cs="Calibri"/>
          <w:color w:val="000000"/>
          <w:lang w:val="es-CR" w:eastAsia="es-CR"/>
        </w:rPr>
        <w:t xml:space="preserve"> </w:t>
      </w:r>
      <w:r w:rsidR="00A236C1" w:rsidRPr="00704B08">
        <w:rPr>
          <w:rFonts w:ascii="Arial Narrow" w:hAnsi="Arial Narrow" w:cs="Calibri"/>
          <w:color w:val="000000"/>
          <w:lang w:val="es-CR" w:eastAsia="es-CR"/>
        </w:rPr>
        <w:t xml:space="preserve">el indicador se pudo completar; obteniendo un cumplimiento del 100% en la meta. Dentro de los documentos de respaldo que fueron brindados se tiene los siguientes oficios y trámites realizados: </w:t>
      </w:r>
      <w:r w:rsidR="005F6874" w:rsidRPr="00704B08">
        <w:rPr>
          <w:rFonts w:ascii="Arial Narrow" w:hAnsi="Arial Narrow" w:cs="Calibri"/>
          <w:color w:val="000000"/>
          <w:lang w:val="es-CR" w:eastAsia="es-CR"/>
        </w:rPr>
        <w:t xml:space="preserve">Oficio N°023-CI-2020 CS, Oficio de la </w:t>
      </w:r>
      <w:r w:rsidR="00766FDC" w:rsidRPr="00C572D3">
        <w:rPr>
          <w:rFonts w:ascii="Arial Narrow" w:hAnsi="Arial Narrow" w:cs="Calibri"/>
          <w:color w:val="000000"/>
          <w:lang w:val="es-CR" w:eastAsia="es-CR"/>
        </w:rPr>
        <w:t>Secretar</w:t>
      </w:r>
      <w:r w:rsidR="00766FDC">
        <w:rPr>
          <w:rFonts w:ascii="Arial Narrow" w:hAnsi="Arial Narrow" w:cs="Calibri"/>
          <w:color w:val="000000"/>
          <w:lang w:val="es-CR" w:eastAsia="es-CR"/>
        </w:rPr>
        <w:t>í</w:t>
      </w:r>
      <w:r w:rsidR="00766FDC" w:rsidRPr="00C572D3">
        <w:rPr>
          <w:rFonts w:ascii="Arial Narrow" w:hAnsi="Arial Narrow" w:cs="Calibri"/>
          <w:color w:val="000000"/>
          <w:lang w:val="es-CR" w:eastAsia="es-CR"/>
        </w:rPr>
        <w:t>a</w:t>
      </w:r>
      <w:r w:rsidR="005F6874" w:rsidRPr="00704B08">
        <w:rPr>
          <w:rFonts w:ascii="Arial Narrow" w:hAnsi="Arial Narrow" w:cs="Calibri"/>
          <w:color w:val="000000"/>
          <w:lang w:val="es-CR" w:eastAsia="es-CR"/>
        </w:rPr>
        <w:t xml:space="preserve"> General de la Corte. Creación de grupos de trabajo con los Gestores y Gestoras de las Administraciones Regionales, Defensa Pública, Ministerio Público y OIJ</w:t>
      </w:r>
      <w:r w:rsidR="00A01543" w:rsidRPr="00704B08">
        <w:rPr>
          <w:rFonts w:ascii="Arial Narrow" w:hAnsi="Arial Narrow" w:cs="Calibri"/>
          <w:color w:val="000000"/>
          <w:lang w:val="es-CR" w:eastAsia="es-CR"/>
        </w:rPr>
        <w:t xml:space="preserve">, </w:t>
      </w:r>
      <w:r w:rsidR="005F6874" w:rsidRPr="00704B08">
        <w:rPr>
          <w:rFonts w:ascii="Arial Narrow" w:hAnsi="Arial Narrow" w:cs="Calibri"/>
          <w:color w:val="000000"/>
          <w:lang w:val="es-CR" w:eastAsia="es-CR"/>
        </w:rPr>
        <w:t>Plan de Trabajo para la aplicación del Modelo de Madurez de Control Interno, realizado por la CGR. Oficio N°174-CI-2020 Plan de Madurez CI</w:t>
      </w:r>
      <w:r w:rsidR="00A01543" w:rsidRPr="00704B08">
        <w:rPr>
          <w:rFonts w:ascii="Arial Narrow" w:hAnsi="Arial Narrow" w:cs="Calibri"/>
          <w:color w:val="000000"/>
          <w:lang w:val="es-CR" w:eastAsia="es-CR"/>
        </w:rPr>
        <w:t xml:space="preserve">, </w:t>
      </w:r>
      <w:r w:rsidR="005F6874" w:rsidRPr="00704B08">
        <w:rPr>
          <w:rFonts w:ascii="Arial Narrow" w:hAnsi="Arial Narrow" w:cs="Calibri"/>
          <w:color w:val="000000"/>
          <w:lang w:val="es-CR" w:eastAsia="es-CR"/>
        </w:rPr>
        <w:t>Informes de avance- 2 - Modelo de Grado de Madurez de la Gestión de Riesgo Oficio N°8624-2020 en Sesión N° 84-2020 celebrada el 28 de agosto del 2020 “ARTÍCULO L</w:t>
      </w:r>
      <w:r w:rsidR="00A236C1" w:rsidRPr="00704B08">
        <w:rPr>
          <w:rFonts w:ascii="Arial Narrow" w:hAnsi="Arial Narrow" w:cs="Calibri"/>
          <w:color w:val="000000"/>
          <w:lang w:val="es-CR" w:eastAsia="es-CR"/>
        </w:rPr>
        <w:t>.</w:t>
      </w:r>
    </w:p>
    <w:p w14:paraId="79ED0A16" w14:textId="77777777" w:rsidR="005F6874" w:rsidRPr="00704B08" w:rsidRDefault="005F6874" w:rsidP="00704B08">
      <w:pPr>
        <w:jc w:val="both"/>
        <w:rPr>
          <w:rFonts w:ascii="Arial Narrow" w:eastAsia="Calibri" w:hAnsi="Arial Narrow"/>
        </w:rPr>
      </w:pPr>
    </w:p>
    <w:p w14:paraId="4431A47B" w14:textId="2F539C47" w:rsidR="004107C4" w:rsidRDefault="00AB78AD" w:rsidP="00704B08">
      <w:pPr>
        <w:spacing w:line="360" w:lineRule="auto"/>
        <w:jc w:val="both"/>
        <w:rPr>
          <w:rFonts w:ascii="Arial Narrow" w:eastAsia="Calibri" w:hAnsi="Arial Narrow"/>
        </w:rPr>
      </w:pPr>
      <w:r>
        <w:rPr>
          <w:rFonts w:ascii="Arial Narrow" w:eastAsia="Calibri" w:hAnsi="Arial Narrow"/>
        </w:rPr>
        <w:t>L</w:t>
      </w:r>
      <w:r w:rsidRPr="002E0B96">
        <w:rPr>
          <w:rFonts w:ascii="Arial Narrow" w:eastAsia="Calibri" w:hAnsi="Arial Narrow"/>
        </w:rPr>
        <w:t>a meta estratégica</w:t>
      </w:r>
      <w:r>
        <w:rPr>
          <w:rFonts w:ascii="Arial Narrow" w:eastAsia="Calibri" w:hAnsi="Arial Narrow"/>
          <w:b/>
          <w:bCs/>
        </w:rPr>
        <w:t xml:space="preserve"> </w:t>
      </w:r>
      <w:r w:rsidRPr="002E0B96">
        <w:rPr>
          <w:rFonts w:ascii="Arial Narrow" w:eastAsia="Calibri" w:hAnsi="Arial Narrow"/>
          <w:b/>
          <w:bCs/>
        </w:rPr>
        <w:t xml:space="preserve"> </w:t>
      </w:r>
      <w:r>
        <w:rPr>
          <w:rFonts w:ascii="Arial Narrow" w:eastAsia="Calibri" w:hAnsi="Arial Narrow"/>
          <w:b/>
          <w:bCs/>
        </w:rPr>
        <w:t>“</w:t>
      </w:r>
      <w:r w:rsidR="00244F38" w:rsidRPr="00704B08">
        <w:rPr>
          <w:rFonts w:ascii="Arial Narrow" w:eastAsia="Calibri" w:hAnsi="Arial Narrow"/>
          <w:b/>
          <w:bCs/>
          <w:i/>
          <w:iCs/>
        </w:rPr>
        <w:t>Que al finalizar el 2024, se haya diseñado e implementado un servicio web que integre un centro de inteligencia de información para acceso y uso interinstitucional e institucional, alineado a la política de Justicia Abierta</w:t>
      </w:r>
      <w:r>
        <w:rPr>
          <w:rFonts w:ascii="Arial Narrow" w:eastAsia="Calibri" w:hAnsi="Arial Narrow"/>
          <w:b/>
          <w:bCs/>
        </w:rPr>
        <w:t>”</w:t>
      </w:r>
      <w:r w:rsidR="00766FDC">
        <w:rPr>
          <w:rFonts w:ascii="Arial Narrow" w:eastAsia="Calibri" w:hAnsi="Arial Narrow"/>
          <w:b/>
          <w:bCs/>
        </w:rPr>
        <w:t xml:space="preserve"> </w:t>
      </w:r>
      <w:r w:rsidR="004107C4" w:rsidRPr="00704B08">
        <w:rPr>
          <w:rFonts w:ascii="Arial Narrow" w:hAnsi="Arial Narrow"/>
          <w:lang w:val="es-CR"/>
        </w:rPr>
        <w:t>se observa que</w:t>
      </w:r>
      <w:r w:rsidR="008C5551" w:rsidRPr="00704B08">
        <w:rPr>
          <w:rFonts w:ascii="Arial Narrow" w:hAnsi="Arial Narrow"/>
          <w:lang w:val="es-CR"/>
        </w:rPr>
        <w:t>,</w:t>
      </w:r>
      <w:r w:rsidR="004107C4" w:rsidRPr="00704B08">
        <w:rPr>
          <w:rFonts w:ascii="Arial Narrow" w:hAnsi="Arial Narrow"/>
          <w:lang w:val="es-CR"/>
        </w:rPr>
        <w:t xml:space="preserve"> la Dirección de Tecnología de la Dirección</w:t>
      </w:r>
      <w:r w:rsidR="008C5551" w:rsidRPr="00704B08">
        <w:rPr>
          <w:rFonts w:ascii="Arial Narrow" w:hAnsi="Arial Narrow"/>
          <w:lang w:val="es-CR"/>
        </w:rPr>
        <w:t xml:space="preserve">, </w:t>
      </w:r>
      <w:r w:rsidR="004107C4" w:rsidRPr="00704B08">
        <w:rPr>
          <w:rFonts w:ascii="Arial Narrow" w:hAnsi="Arial Narrow" w:cs="Calibri"/>
          <w:color w:val="000000"/>
          <w:lang w:val="es-CR" w:eastAsia="es-CR"/>
        </w:rPr>
        <w:t xml:space="preserve">ha </w:t>
      </w:r>
      <w:r w:rsidR="00C00210" w:rsidRPr="00704B08">
        <w:rPr>
          <w:rFonts w:ascii="Arial Narrow" w:hAnsi="Arial Narrow" w:cs="Calibri"/>
          <w:color w:val="000000"/>
          <w:lang w:val="es-CR" w:eastAsia="es-CR"/>
        </w:rPr>
        <w:t>avanzado en la implementación de un servicio Web que brind</w:t>
      </w:r>
      <w:r w:rsidR="008C5551" w:rsidRPr="00704B08">
        <w:rPr>
          <w:rFonts w:ascii="Arial Narrow" w:hAnsi="Arial Narrow" w:cs="Calibri"/>
          <w:color w:val="000000"/>
          <w:lang w:val="es-CR" w:eastAsia="es-CR"/>
        </w:rPr>
        <w:t>a</w:t>
      </w:r>
      <w:r w:rsidR="00C00210" w:rsidRPr="00704B08">
        <w:rPr>
          <w:rFonts w:ascii="Arial Narrow" w:hAnsi="Arial Narrow" w:cs="Calibri"/>
          <w:color w:val="000000"/>
          <w:lang w:val="es-CR" w:eastAsia="es-CR"/>
        </w:rPr>
        <w:t xml:space="preserve"> soluciones de inteligencia de </w:t>
      </w:r>
      <w:r w:rsidR="00093527" w:rsidRPr="00704B08">
        <w:rPr>
          <w:rFonts w:ascii="Arial Narrow" w:hAnsi="Arial Narrow" w:cs="Calibri"/>
          <w:color w:val="000000"/>
          <w:lang w:val="es-CR" w:eastAsia="es-CR"/>
        </w:rPr>
        <w:t>datos</w:t>
      </w:r>
      <w:r w:rsidR="00C00210" w:rsidRPr="00704B08">
        <w:rPr>
          <w:rFonts w:ascii="Arial Narrow" w:hAnsi="Arial Narrow" w:cs="Calibri"/>
          <w:color w:val="000000"/>
          <w:lang w:val="es-CR" w:eastAsia="es-CR"/>
        </w:rPr>
        <w:t xml:space="preserve"> </w:t>
      </w:r>
      <w:r w:rsidR="008C5551" w:rsidRPr="00704B08">
        <w:rPr>
          <w:rFonts w:ascii="Arial Narrow" w:hAnsi="Arial Narrow" w:cs="Calibri"/>
          <w:color w:val="000000"/>
          <w:lang w:val="es-CR" w:eastAsia="es-CR"/>
        </w:rPr>
        <w:t>y</w:t>
      </w:r>
      <w:r w:rsidR="00C00210" w:rsidRPr="00704B08">
        <w:rPr>
          <w:rFonts w:ascii="Arial Narrow" w:hAnsi="Arial Narrow" w:cs="Calibri"/>
          <w:color w:val="000000"/>
          <w:lang w:val="es-CR" w:eastAsia="es-CR"/>
        </w:rPr>
        <w:t xml:space="preserve"> facilit</w:t>
      </w:r>
      <w:r w:rsidR="008C5551" w:rsidRPr="00704B08">
        <w:rPr>
          <w:rFonts w:ascii="Arial Narrow" w:hAnsi="Arial Narrow" w:cs="Calibri"/>
          <w:color w:val="000000"/>
          <w:lang w:val="es-CR" w:eastAsia="es-CR"/>
        </w:rPr>
        <w:t>a</w:t>
      </w:r>
      <w:r w:rsidR="00C00210" w:rsidRPr="00704B08">
        <w:rPr>
          <w:rFonts w:ascii="Arial Narrow" w:hAnsi="Arial Narrow" w:cs="Calibri"/>
          <w:color w:val="000000"/>
          <w:lang w:val="es-CR" w:eastAsia="es-CR"/>
        </w:rPr>
        <w:t xml:space="preserve"> información sobre el funcionamiento del Poder Judicial y las oficinas que lo integran, </w:t>
      </w:r>
      <w:r w:rsidR="00093527" w:rsidRPr="00704B08">
        <w:rPr>
          <w:rFonts w:ascii="Arial Narrow" w:hAnsi="Arial Narrow" w:cs="Calibri"/>
          <w:color w:val="000000"/>
          <w:lang w:val="es-CR" w:eastAsia="es-CR"/>
        </w:rPr>
        <w:t xml:space="preserve">siendo </w:t>
      </w:r>
      <w:r w:rsidR="00C00210" w:rsidRPr="00704B08">
        <w:rPr>
          <w:rFonts w:ascii="Arial Narrow" w:hAnsi="Arial Narrow" w:cs="Calibri"/>
          <w:color w:val="000000"/>
          <w:lang w:val="es-CR" w:eastAsia="es-CR"/>
        </w:rPr>
        <w:t>accesible</w:t>
      </w:r>
      <w:r w:rsidR="008C5551" w:rsidRPr="00704B08">
        <w:rPr>
          <w:rFonts w:ascii="Arial Narrow" w:hAnsi="Arial Narrow" w:cs="Calibri"/>
          <w:color w:val="000000"/>
          <w:lang w:val="es-CR" w:eastAsia="es-CR"/>
        </w:rPr>
        <w:t xml:space="preserve"> para las personas usuarias internas como externas de fácil operación y en formato. </w:t>
      </w:r>
      <w:r w:rsidR="00BE2D70" w:rsidRPr="00704B08">
        <w:rPr>
          <w:rFonts w:ascii="Arial Narrow" w:eastAsia="Calibri" w:hAnsi="Arial Narrow"/>
        </w:rPr>
        <w:t>Además</w:t>
      </w:r>
      <w:r w:rsidR="00093527" w:rsidRPr="00704B08">
        <w:rPr>
          <w:rFonts w:ascii="Arial Narrow" w:eastAsia="Calibri" w:hAnsi="Arial Narrow"/>
        </w:rPr>
        <w:t xml:space="preserve">, </w:t>
      </w:r>
      <w:r w:rsidR="0088306F" w:rsidRPr="00704B08">
        <w:rPr>
          <w:rFonts w:ascii="Arial Narrow" w:eastAsia="Calibri" w:hAnsi="Arial Narrow"/>
        </w:rPr>
        <w:t xml:space="preserve">esta Dirección </w:t>
      </w:r>
      <w:r w:rsidR="00093527" w:rsidRPr="00704B08">
        <w:rPr>
          <w:rFonts w:ascii="Arial Narrow" w:eastAsia="Calibri" w:hAnsi="Arial Narrow"/>
        </w:rPr>
        <w:t>trabajó e</w:t>
      </w:r>
      <w:r w:rsidR="004107C4" w:rsidRPr="00704B08">
        <w:rPr>
          <w:rFonts w:ascii="Arial Narrow" w:eastAsia="Calibri" w:hAnsi="Arial Narrow"/>
        </w:rPr>
        <w:t xml:space="preserve">l </w:t>
      </w:r>
      <w:r w:rsidR="0042105C" w:rsidRPr="00704B08">
        <w:rPr>
          <w:rFonts w:ascii="Arial Narrow" w:eastAsia="Calibri" w:hAnsi="Arial Narrow"/>
        </w:rPr>
        <w:t>diseño</w:t>
      </w:r>
      <w:r w:rsidR="004107C4" w:rsidRPr="00704B08">
        <w:rPr>
          <w:rFonts w:ascii="Arial Narrow" w:eastAsia="Calibri" w:hAnsi="Arial Narrow"/>
        </w:rPr>
        <w:t xml:space="preserve"> y desarrollo de siete </w:t>
      </w:r>
      <w:r w:rsidR="00093527" w:rsidRPr="00704B08">
        <w:rPr>
          <w:rFonts w:ascii="Arial Narrow" w:eastAsia="Calibri" w:hAnsi="Arial Narrow"/>
        </w:rPr>
        <w:t>“</w:t>
      </w:r>
      <w:r w:rsidR="004107C4" w:rsidRPr="00704B08">
        <w:rPr>
          <w:rFonts w:ascii="Arial Narrow" w:eastAsia="Calibri" w:hAnsi="Arial Narrow"/>
          <w:i/>
          <w:iCs/>
        </w:rPr>
        <w:t>dashboards</w:t>
      </w:r>
      <w:r w:rsidR="00093527" w:rsidRPr="00704B08">
        <w:rPr>
          <w:rFonts w:ascii="Arial Narrow" w:eastAsia="Calibri" w:hAnsi="Arial Narrow"/>
          <w:i/>
          <w:iCs/>
        </w:rPr>
        <w:t>”</w:t>
      </w:r>
      <w:r w:rsidR="004107C4" w:rsidRPr="00704B08">
        <w:rPr>
          <w:rFonts w:ascii="Arial Narrow" w:eastAsia="Calibri" w:hAnsi="Arial Narrow"/>
        </w:rPr>
        <w:t xml:space="preserve"> que permiten mostrar información del Ministerio Público</w:t>
      </w:r>
      <w:r w:rsidR="0088306F" w:rsidRPr="00704B08">
        <w:rPr>
          <w:rFonts w:ascii="Arial Narrow" w:eastAsia="Calibri" w:hAnsi="Arial Narrow"/>
        </w:rPr>
        <w:t>. La</w:t>
      </w:r>
      <w:r w:rsidR="00093527" w:rsidRPr="00704B08">
        <w:rPr>
          <w:rFonts w:ascii="Arial Narrow" w:eastAsia="Calibri" w:hAnsi="Arial Narrow"/>
        </w:rPr>
        <w:t xml:space="preserve"> </w:t>
      </w:r>
      <w:r w:rsidR="0088306F" w:rsidRPr="00704B08">
        <w:rPr>
          <w:rFonts w:ascii="Arial Narrow" w:eastAsia="Calibri" w:hAnsi="Arial Narrow"/>
        </w:rPr>
        <w:t xml:space="preserve">DTI realizó la </w:t>
      </w:r>
      <w:r w:rsidR="00093527" w:rsidRPr="00704B08">
        <w:rPr>
          <w:rFonts w:ascii="Arial Narrow" w:eastAsia="Calibri" w:hAnsi="Arial Narrow"/>
        </w:rPr>
        <w:t>a</w:t>
      </w:r>
      <w:r w:rsidR="004107C4" w:rsidRPr="00704B08">
        <w:rPr>
          <w:rFonts w:ascii="Arial Narrow" w:eastAsia="Calibri" w:hAnsi="Arial Narrow"/>
        </w:rPr>
        <w:t>plicación de pruebas</w:t>
      </w:r>
      <w:r w:rsidR="00093527" w:rsidRPr="00704B08">
        <w:rPr>
          <w:rFonts w:ascii="Arial Narrow" w:eastAsia="Calibri" w:hAnsi="Arial Narrow"/>
        </w:rPr>
        <w:t>, ajustes</w:t>
      </w:r>
      <w:r w:rsidR="004107C4" w:rsidRPr="00704B08">
        <w:rPr>
          <w:rFonts w:ascii="Arial Narrow" w:eastAsia="Calibri" w:hAnsi="Arial Narrow"/>
        </w:rPr>
        <w:t xml:space="preserve"> y validación de la información </w:t>
      </w:r>
      <w:r w:rsidR="0088306F" w:rsidRPr="00704B08">
        <w:rPr>
          <w:rFonts w:ascii="Arial Narrow" w:eastAsia="Calibri" w:hAnsi="Arial Narrow"/>
        </w:rPr>
        <w:t>para los “</w:t>
      </w:r>
      <w:r w:rsidR="0088306F" w:rsidRPr="00704B08">
        <w:rPr>
          <w:rFonts w:ascii="Arial Narrow" w:eastAsia="Calibri" w:hAnsi="Arial Narrow"/>
          <w:i/>
          <w:iCs/>
        </w:rPr>
        <w:t>dashboards”</w:t>
      </w:r>
      <w:r w:rsidR="0088306F" w:rsidRPr="00704B08">
        <w:rPr>
          <w:rFonts w:ascii="Arial Narrow" w:eastAsia="Calibri" w:hAnsi="Arial Narrow"/>
        </w:rPr>
        <w:t xml:space="preserve"> en conjunto con </w:t>
      </w:r>
      <w:r w:rsidR="00093527" w:rsidRPr="00704B08">
        <w:rPr>
          <w:rFonts w:ascii="Arial Narrow" w:eastAsia="Calibri" w:hAnsi="Arial Narrow"/>
        </w:rPr>
        <w:t>la Dirección de Plani</w:t>
      </w:r>
      <w:r w:rsidR="008C5551" w:rsidRPr="00704B08">
        <w:rPr>
          <w:rFonts w:ascii="Arial Narrow" w:eastAsia="Calibri" w:hAnsi="Arial Narrow"/>
        </w:rPr>
        <w:t xml:space="preserve">ficación. </w:t>
      </w:r>
    </w:p>
    <w:p w14:paraId="359F0D89" w14:textId="77777777" w:rsidR="00D76856" w:rsidRPr="00704B08" w:rsidRDefault="00D76856" w:rsidP="00704B08">
      <w:pPr>
        <w:spacing w:line="360" w:lineRule="auto"/>
        <w:jc w:val="both"/>
        <w:rPr>
          <w:rFonts w:ascii="Arial Narrow" w:eastAsia="Calibri" w:hAnsi="Arial Narrow"/>
          <w:b/>
          <w:bCs/>
        </w:rPr>
      </w:pPr>
    </w:p>
    <w:p w14:paraId="47C86F03" w14:textId="77777777" w:rsidR="00D76856" w:rsidRDefault="00D76856" w:rsidP="00CC3693">
      <w:pPr>
        <w:spacing w:line="360" w:lineRule="auto"/>
        <w:jc w:val="both"/>
        <w:rPr>
          <w:rFonts w:ascii="Arial Narrow" w:eastAsia="Calibri" w:hAnsi="Arial Narrow"/>
        </w:rPr>
      </w:pPr>
    </w:p>
    <w:p w14:paraId="10099A5A" w14:textId="77777777" w:rsidR="00D76856" w:rsidRDefault="00D76856" w:rsidP="00CC3693">
      <w:pPr>
        <w:spacing w:line="360" w:lineRule="auto"/>
        <w:jc w:val="both"/>
        <w:rPr>
          <w:rFonts w:ascii="Arial Narrow" w:eastAsia="Calibri" w:hAnsi="Arial Narrow"/>
        </w:rPr>
      </w:pPr>
    </w:p>
    <w:p w14:paraId="6B09C29F" w14:textId="77777777" w:rsidR="00D76856" w:rsidRDefault="00D76856" w:rsidP="00CC3693">
      <w:pPr>
        <w:spacing w:line="360" w:lineRule="auto"/>
        <w:jc w:val="both"/>
        <w:rPr>
          <w:rFonts w:ascii="Arial Narrow" w:eastAsia="Calibri" w:hAnsi="Arial Narrow"/>
        </w:rPr>
      </w:pPr>
    </w:p>
    <w:p w14:paraId="66C5C828" w14:textId="77777777" w:rsidR="00D76856" w:rsidRDefault="00D76856" w:rsidP="00CC3693">
      <w:pPr>
        <w:spacing w:line="360" w:lineRule="auto"/>
        <w:jc w:val="both"/>
        <w:rPr>
          <w:rFonts w:ascii="Arial Narrow" w:eastAsia="Calibri" w:hAnsi="Arial Narrow"/>
        </w:rPr>
      </w:pPr>
    </w:p>
    <w:p w14:paraId="2B6E48C1" w14:textId="77777777" w:rsidR="00D76856" w:rsidRDefault="00D76856" w:rsidP="00CC3693">
      <w:pPr>
        <w:spacing w:line="360" w:lineRule="auto"/>
        <w:jc w:val="both"/>
        <w:rPr>
          <w:rFonts w:ascii="Arial Narrow" w:eastAsia="Calibri" w:hAnsi="Arial Narrow"/>
        </w:rPr>
      </w:pPr>
    </w:p>
    <w:p w14:paraId="66581DF8" w14:textId="77777777" w:rsidR="00D76856" w:rsidRDefault="00D76856" w:rsidP="00CC3693">
      <w:pPr>
        <w:spacing w:line="360" w:lineRule="auto"/>
        <w:jc w:val="both"/>
        <w:rPr>
          <w:rFonts w:ascii="Arial Narrow" w:eastAsia="Calibri" w:hAnsi="Arial Narrow"/>
        </w:rPr>
      </w:pPr>
    </w:p>
    <w:p w14:paraId="2FB67C39" w14:textId="40E9D9DF" w:rsidR="00BE2D70" w:rsidRDefault="00BE2D70" w:rsidP="00CC3693">
      <w:pPr>
        <w:spacing w:line="360" w:lineRule="auto"/>
        <w:jc w:val="both"/>
        <w:rPr>
          <w:rFonts w:ascii="Arial Narrow" w:eastAsia="Calibri" w:hAnsi="Arial Narrow"/>
        </w:rPr>
      </w:pPr>
      <w:r w:rsidRPr="00704B08">
        <w:rPr>
          <w:rFonts w:ascii="Arial Narrow" w:eastAsia="Calibri" w:hAnsi="Arial Narrow"/>
        </w:rPr>
        <w:t xml:space="preserve">Por otra parte, el Subproceso de Organización Institucional de la Dirección de Planificación procedió a </w:t>
      </w:r>
      <w:r w:rsidRPr="00704B08">
        <w:rPr>
          <w:rFonts w:ascii="Arial Narrow" w:hAnsi="Arial Narrow"/>
        </w:rPr>
        <w:t xml:space="preserve">realizar las actualizaciones de competencias territoriales en el Sistema de Competencias Territoriales y Estadísticas Judiciales (SAIG) y el Sistema de Información Georeferencial del Poder Judicial (SIGPJ) </w:t>
      </w:r>
      <w:r w:rsidRPr="00704B08">
        <w:rPr>
          <w:rFonts w:ascii="Arial Narrow" w:eastAsia="Calibri" w:hAnsi="Arial Narrow"/>
        </w:rPr>
        <w:t xml:space="preserve">cumpliendo a cabalidad con la meta estratégica asignada. </w:t>
      </w:r>
      <w:r w:rsidR="00E459B1">
        <w:rPr>
          <w:rFonts w:ascii="Arial Narrow" w:eastAsia="Calibri" w:hAnsi="Arial Narrow"/>
        </w:rPr>
        <w:t>Por estas razones se refleja un cumplimiento de un 100% para los años 2019 y 2020 y un cumplimiento acumulado de 20%.</w:t>
      </w:r>
    </w:p>
    <w:p w14:paraId="669AD464" w14:textId="77777777" w:rsidR="009D5823" w:rsidRDefault="009D5823">
      <w:pPr>
        <w:spacing w:line="360" w:lineRule="auto"/>
        <w:jc w:val="both"/>
        <w:rPr>
          <w:rFonts w:ascii="Arial Narrow" w:eastAsia="Calibri" w:hAnsi="Arial Narrow"/>
        </w:rPr>
        <w:sectPr w:rsidR="009D5823" w:rsidSect="009D5823">
          <w:pgSz w:w="12242" w:h="15842" w:code="1"/>
          <w:pgMar w:top="1701" w:right="1417" w:bottom="1701" w:left="1417" w:header="709" w:footer="709" w:gutter="0"/>
          <w:cols w:space="708"/>
          <w:docGrid w:linePitch="360"/>
        </w:sectPr>
      </w:pPr>
    </w:p>
    <w:p w14:paraId="77754C9C" w14:textId="00FC3571" w:rsidR="00BE2D70" w:rsidRPr="00704B08" w:rsidRDefault="00BE2D70" w:rsidP="00704B08">
      <w:pPr>
        <w:spacing w:line="360" w:lineRule="auto"/>
        <w:jc w:val="both"/>
        <w:rPr>
          <w:rFonts w:ascii="Arial Narrow" w:eastAsia="Calibri" w:hAnsi="Arial Narrow"/>
        </w:rPr>
      </w:pPr>
    </w:p>
    <w:p w14:paraId="16EC7FA8" w14:textId="77777777" w:rsidR="00766FDC" w:rsidRDefault="00766FDC" w:rsidP="00766FDC">
      <w:pPr>
        <w:rPr>
          <w:rFonts w:ascii="Arial Narrow" w:eastAsia="Calibri" w:hAnsi="Arial Narrow"/>
        </w:rPr>
      </w:pPr>
    </w:p>
    <w:p w14:paraId="09EA0B4E" w14:textId="71806FA2" w:rsidR="00766FDC" w:rsidRDefault="00766FDC" w:rsidP="00766FDC">
      <w:pPr>
        <w:pStyle w:val="Descripcin"/>
        <w:jc w:val="center"/>
        <w:rPr>
          <w:rFonts w:ascii="Arial Narrow" w:eastAsia="Calibri" w:hAnsi="Arial Narrow"/>
          <w:sz w:val="24"/>
          <w:szCs w:val="24"/>
        </w:rPr>
      </w:pPr>
      <w:bookmarkStart w:id="48" w:name="_Toc76062249"/>
      <w:r w:rsidRPr="00CE3290">
        <w:rPr>
          <w:rFonts w:ascii="Arial Narrow" w:hAnsi="Arial Narrow"/>
          <w:sz w:val="24"/>
          <w:szCs w:val="24"/>
        </w:rPr>
        <w:t>Cuadro</w:t>
      </w:r>
      <w:r>
        <w:rPr>
          <w:rFonts w:ascii="Arial Narrow" w:hAnsi="Arial Narrow"/>
          <w:sz w:val="24"/>
          <w:szCs w:val="24"/>
        </w:rPr>
        <w:t xml:space="preserve"> </w:t>
      </w:r>
      <w:r w:rsidRPr="00CE3290">
        <w:rPr>
          <w:rFonts w:ascii="Arial Narrow" w:hAnsi="Arial Narrow"/>
          <w:sz w:val="24"/>
          <w:szCs w:val="24"/>
        </w:rPr>
        <w:fldChar w:fldCharType="begin"/>
      </w:r>
      <w:r w:rsidRPr="00CE3290">
        <w:rPr>
          <w:rFonts w:ascii="Arial Narrow" w:hAnsi="Arial Narrow"/>
          <w:sz w:val="24"/>
          <w:szCs w:val="24"/>
        </w:rPr>
        <w:instrText xml:space="preserve"> SEQ Cuadro_No. \* ARABIC </w:instrText>
      </w:r>
      <w:r w:rsidRPr="00CE3290">
        <w:rPr>
          <w:rFonts w:ascii="Arial Narrow" w:hAnsi="Arial Narrow"/>
          <w:sz w:val="24"/>
          <w:szCs w:val="24"/>
        </w:rPr>
        <w:fldChar w:fldCharType="separate"/>
      </w:r>
      <w:r w:rsidR="009D5823">
        <w:rPr>
          <w:rFonts w:ascii="Arial Narrow" w:hAnsi="Arial Narrow"/>
          <w:noProof/>
          <w:sz w:val="24"/>
          <w:szCs w:val="24"/>
        </w:rPr>
        <w:t>26</w:t>
      </w:r>
      <w:r w:rsidRPr="00CE3290">
        <w:rPr>
          <w:rFonts w:ascii="Arial Narrow" w:hAnsi="Arial Narrow"/>
          <w:sz w:val="24"/>
          <w:szCs w:val="24"/>
        </w:rPr>
        <w:fldChar w:fldCharType="end"/>
      </w:r>
      <w:r w:rsidRPr="00CE3290">
        <w:rPr>
          <w:rFonts w:ascii="Arial Narrow" w:hAnsi="Arial Narrow"/>
          <w:sz w:val="24"/>
          <w:szCs w:val="24"/>
        </w:rPr>
        <w:t xml:space="preserve"> </w:t>
      </w:r>
      <w:r w:rsidRPr="00CE3290">
        <w:rPr>
          <w:rFonts w:ascii="Arial Narrow" w:eastAsia="Calibri" w:hAnsi="Arial Narrow"/>
          <w:sz w:val="24"/>
          <w:szCs w:val="24"/>
        </w:rPr>
        <w:t>Metas estratégicas de Transparencia y rendición de cuentas y su cumplimiento para el 2019</w:t>
      </w:r>
      <w:r>
        <w:rPr>
          <w:rFonts w:ascii="Arial Narrow" w:eastAsia="Calibri" w:hAnsi="Arial Narrow"/>
          <w:sz w:val="24"/>
          <w:szCs w:val="24"/>
        </w:rPr>
        <w:t xml:space="preserve"> y 2020.</w:t>
      </w:r>
      <w:bookmarkEnd w:id="48"/>
    </w:p>
    <w:p w14:paraId="0CFD396E" w14:textId="77777777" w:rsidR="00766FDC" w:rsidRDefault="00766FDC" w:rsidP="00766FDC">
      <w:pPr>
        <w:rPr>
          <w:noProof/>
        </w:rPr>
      </w:pPr>
    </w:p>
    <w:p w14:paraId="72C05672" w14:textId="5138D982" w:rsidR="00766FDC" w:rsidRPr="00A618D8" w:rsidRDefault="00766FDC" w:rsidP="00704B08">
      <w:pPr>
        <w:jc w:val="center"/>
        <w:rPr>
          <w:rFonts w:eastAsia="Calibri"/>
        </w:rPr>
      </w:pPr>
      <w:r>
        <w:rPr>
          <w:noProof/>
          <w:lang w:val="es-CR" w:eastAsia="es-CR"/>
        </w:rPr>
        <w:drawing>
          <wp:inline distT="0" distB="0" distL="0" distR="0" wp14:anchorId="48098882" wp14:editId="3BA1BF10">
            <wp:extent cx="7873900" cy="3040277"/>
            <wp:effectExtent l="57150" t="57150" r="89535" b="103505"/>
            <wp:docPr id="158" name="Imagen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4"/>
                    <a:srcRect l="1" r="321"/>
                    <a:stretch/>
                  </pic:blipFill>
                  <pic:spPr bwMode="auto">
                    <a:xfrm>
                      <a:off x="0" y="0"/>
                      <a:ext cx="7884132" cy="3044228"/>
                    </a:xfrm>
                    <a:prstGeom prst="rect">
                      <a:avLst/>
                    </a:prstGeom>
                    <a:ln w="9525" cap="sq">
                      <a:solidFill>
                        <a:srgbClr val="00B0F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57C14C92" w14:textId="34CB6048" w:rsidR="00766FDC" w:rsidRPr="00A618D8" w:rsidRDefault="00766FDC" w:rsidP="00766FDC">
      <w:pPr>
        <w:rPr>
          <w:rFonts w:eastAsia="Calibri"/>
          <w:b/>
          <w:bCs/>
        </w:rPr>
      </w:pPr>
      <w:r>
        <w:rPr>
          <w:rFonts w:eastAsia="Calibri"/>
          <w:b/>
          <w:bCs/>
        </w:rPr>
        <w:t xml:space="preserve">    </w:t>
      </w:r>
      <w:r w:rsidRPr="000B4845">
        <w:rPr>
          <w:rFonts w:ascii="Arial Narrow" w:eastAsia="Calibri" w:hAnsi="Arial Narrow"/>
          <w:sz w:val="18"/>
          <w:szCs w:val="18"/>
          <w:lang w:eastAsia="en-US"/>
        </w:rPr>
        <w:t>Fuente: Sistema PEI al 24 de enero del 2020 (año 2019)</w:t>
      </w:r>
      <w:r>
        <w:rPr>
          <w:rFonts w:ascii="Arial Narrow" w:eastAsia="Calibri" w:hAnsi="Arial Narrow"/>
          <w:sz w:val="18"/>
          <w:szCs w:val="18"/>
          <w:lang w:eastAsia="en-US"/>
        </w:rPr>
        <w:t xml:space="preserve"> y 04 de marzo del 2021 (año 2020).</w:t>
      </w:r>
    </w:p>
    <w:p w14:paraId="2DA3724E" w14:textId="77777777" w:rsidR="00766FDC" w:rsidRDefault="00766FDC" w:rsidP="00766FDC">
      <w:pPr>
        <w:rPr>
          <w:rFonts w:eastAsia="Calibri"/>
          <w:b/>
          <w:bCs/>
        </w:rPr>
      </w:pPr>
    </w:p>
    <w:p w14:paraId="7164A2D1" w14:textId="77777777" w:rsidR="009D5823" w:rsidRDefault="009D5823" w:rsidP="005C4C02">
      <w:pPr>
        <w:spacing w:line="360" w:lineRule="auto"/>
        <w:jc w:val="both"/>
        <w:rPr>
          <w:rFonts w:ascii="Arial Narrow" w:eastAsia="Calibri" w:hAnsi="Arial Narrow"/>
          <w:b/>
          <w:bCs/>
        </w:rPr>
        <w:sectPr w:rsidR="009D5823" w:rsidSect="009D5823">
          <w:pgSz w:w="15842" w:h="12242" w:orient="landscape" w:code="1"/>
          <w:pgMar w:top="1417" w:right="1701" w:bottom="1417" w:left="1701" w:header="709" w:footer="709" w:gutter="0"/>
          <w:cols w:space="708"/>
          <w:docGrid w:linePitch="360"/>
        </w:sectPr>
      </w:pPr>
    </w:p>
    <w:p w14:paraId="456C60EC" w14:textId="77777777" w:rsidR="002A2576" w:rsidRDefault="002A2576">
      <w:pPr>
        <w:spacing w:line="360" w:lineRule="auto"/>
        <w:jc w:val="both"/>
        <w:rPr>
          <w:rFonts w:ascii="Arial Narrow" w:eastAsia="Calibri" w:hAnsi="Arial Narrow"/>
        </w:rPr>
      </w:pPr>
    </w:p>
    <w:p w14:paraId="46A32CC6" w14:textId="77777777" w:rsidR="002A2576" w:rsidRDefault="002A2576">
      <w:pPr>
        <w:spacing w:line="360" w:lineRule="auto"/>
        <w:jc w:val="both"/>
        <w:rPr>
          <w:rFonts w:ascii="Arial Narrow" w:eastAsia="Calibri" w:hAnsi="Arial Narrow"/>
        </w:rPr>
      </w:pPr>
    </w:p>
    <w:p w14:paraId="6C8AF790" w14:textId="7CF9952C" w:rsidR="00244F38" w:rsidRPr="00704B08" w:rsidRDefault="00106F8C">
      <w:pPr>
        <w:spacing w:line="360" w:lineRule="auto"/>
        <w:jc w:val="both"/>
        <w:rPr>
          <w:rFonts w:ascii="Arial Narrow" w:eastAsia="Calibri" w:hAnsi="Arial Narrow"/>
        </w:rPr>
      </w:pPr>
      <w:r w:rsidRPr="002E0B96">
        <w:rPr>
          <w:rFonts w:ascii="Arial Narrow" w:eastAsia="Calibri" w:hAnsi="Arial Narrow"/>
        </w:rPr>
        <w:t xml:space="preserve">Por su parte, la meta </w:t>
      </w:r>
      <w:r w:rsidR="00A008D4" w:rsidRPr="002E0B96">
        <w:rPr>
          <w:rFonts w:ascii="Arial Narrow" w:eastAsia="Calibri" w:hAnsi="Arial Narrow"/>
        </w:rPr>
        <w:t>estratégica</w:t>
      </w:r>
      <w:r w:rsidR="00A008D4">
        <w:rPr>
          <w:rFonts w:ascii="Arial Narrow" w:eastAsia="Calibri" w:hAnsi="Arial Narrow"/>
          <w:b/>
          <w:bCs/>
        </w:rPr>
        <w:t xml:space="preserve"> </w:t>
      </w:r>
      <w:r w:rsidR="00A008D4" w:rsidRPr="002E0B96">
        <w:rPr>
          <w:rFonts w:ascii="Arial Narrow" w:eastAsia="Calibri" w:hAnsi="Arial Narrow"/>
          <w:b/>
          <w:bCs/>
        </w:rPr>
        <w:t>“</w:t>
      </w:r>
      <w:r w:rsidR="00AC5BEE" w:rsidRPr="00704B08">
        <w:rPr>
          <w:rFonts w:ascii="Arial Narrow" w:eastAsia="Calibri" w:hAnsi="Arial Narrow"/>
          <w:b/>
          <w:bCs/>
          <w:i/>
          <w:iCs/>
        </w:rPr>
        <w:t>Que al finalizar el 2024, se hayan implementado las acciones definidas correspondientes al principio de Transparencia de la Política de Justicia Abierta</w:t>
      </w:r>
      <w:r>
        <w:rPr>
          <w:rFonts w:ascii="Arial Narrow" w:eastAsia="Calibri" w:hAnsi="Arial Narrow"/>
          <w:b/>
          <w:bCs/>
        </w:rPr>
        <w:t>”</w:t>
      </w:r>
      <w:r w:rsidR="00766FDC">
        <w:rPr>
          <w:rFonts w:ascii="Arial Narrow" w:eastAsia="Calibri" w:hAnsi="Arial Narrow"/>
          <w:b/>
          <w:bCs/>
        </w:rPr>
        <w:t xml:space="preserve"> </w:t>
      </w:r>
      <w:r>
        <w:rPr>
          <w:rFonts w:ascii="Arial Narrow" w:eastAsia="Calibri" w:hAnsi="Arial Narrow"/>
        </w:rPr>
        <w:t>s</w:t>
      </w:r>
      <w:r w:rsidR="00BF66C9" w:rsidRPr="00704B08">
        <w:rPr>
          <w:rFonts w:ascii="Arial Narrow" w:eastAsia="Calibri" w:hAnsi="Arial Narrow"/>
        </w:rPr>
        <w:t>egún los registros del Plan Estratégico Institucional</w:t>
      </w:r>
      <w:r w:rsidR="0088306F" w:rsidRPr="00704B08">
        <w:rPr>
          <w:rFonts w:ascii="Arial Narrow" w:eastAsia="Calibri" w:hAnsi="Arial Narrow"/>
        </w:rPr>
        <w:t xml:space="preserve">, </w:t>
      </w:r>
      <w:r w:rsidR="00BF66C9" w:rsidRPr="00704B08">
        <w:rPr>
          <w:rFonts w:ascii="Arial Narrow" w:eastAsia="Calibri" w:hAnsi="Arial Narrow"/>
        </w:rPr>
        <w:t>para el año 201</w:t>
      </w:r>
      <w:r w:rsidR="001F55EC" w:rsidRPr="00704B08">
        <w:rPr>
          <w:rFonts w:ascii="Arial Narrow" w:eastAsia="Calibri" w:hAnsi="Arial Narrow"/>
        </w:rPr>
        <w:t>9</w:t>
      </w:r>
      <w:r w:rsidR="00BF66C9" w:rsidRPr="00704B08">
        <w:rPr>
          <w:rFonts w:ascii="Arial Narrow" w:eastAsia="Calibri" w:hAnsi="Arial Narrow"/>
        </w:rPr>
        <w:t xml:space="preserve"> no se contaba con esta meta y es a partir del año 2020 que se incluye </w:t>
      </w:r>
      <w:r w:rsidR="001F55EC" w:rsidRPr="00704B08">
        <w:rPr>
          <w:rFonts w:ascii="Arial Narrow" w:eastAsia="Calibri" w:hAnsi="Arial Narrow"/>
        </w:rPr>
        <w:t>en la Matriz del PEI 2019-2024 vinculada a una meta operativa de la Dirección de Planificación.</w:t>
      </w:r>
      <w:r w:rsidR="00A01543" w:rsidRPr="00704B08">
        <w:rPr>
          <w:rFonts w:ascii="Arial Narrow" w:eastAsia="Calibri" w:hAnsi="Arial Narrow"/>
        </w:rPr>
        <w:t xml:space="preserve"> </w:t>
      </w:r>
      <w:r w:rsidR="001F55EC" w:rsidRPr="00704B08">
        <w:rPr>
          <w:rFonts w:ascii="Arial Narrow" w:eastAsia="Calibri" w:hAnsi="Arial Narrow"/>
        </w:rPr>
        <w:t xml:space="preserve">De lo anterior, se tiene que la Dirección de Planificación como parte del cumplimiento de esta </w:t>
      </w:r>
      <w:r w:rsidR="00A01543" w:rsidRPr="00704B08">
        <w:rPr>
          <w:rFonts w:ascii="Arial Narrow" w:eastAsia="Calibri" w:hAnsi="Arial Narrow"/>
        </w:rPr>
        <w:t xml:space="preserve">meta estratégica </w:t>
      </w:r>
      <w:r w:rsidR="001F55EC" w:rsidRPr="00704B08">
        <w:rPr>
          <w:rFonts w:ascii="Arial Narrow" w:eastAsia="Calibri" w:hAnsi="Arial Narrow"/>
        </w:rPr>
        <w:t>brindó el informe anual de labores correspondiente al año 2020</w:t>
      </w:r>
      <w:r w:rsidR="00E459B1">
        <w:rPr>
          <w:rFonts w:ascii="Arial Narrow" w:eastAsia="Calibri" w:hAnsi="Arial Narrow"/>
        </w:rPr>
        <w:t xml:space="preserve"> lo que refleja el cumplimiento total de la meta estratégica y un cumplimiento acumulado del 20%.</w:t>
      </w:r>
    </w:p>
    <w:p w14:paraId="4715265B" w14:textId="77777777" w:rsidR="00BE2D70" w:rsidRPr="00704B08" w:rsidRDefault="00BE2D70" w:rsidP="00704B08">
      <w:pPr>
        <w:spacing w:line="360" w:lineRule="auto"/>
        <w:jc w:val="both"/>
        <w:rPr>
          <w:rFonts w:ascii="Arial Narrow" w:hAnsi="Arial Narrow"/>
          <w:noProof/>
        </w:rPr>
      </w:pPr>
    </w:p>
    <w:p w14:paraId="469B4ABE" w14:textId="77777777" w:rsidR="00C056F2" w:rsidRDefault="00C056F2" w:rsidP="00CE3290">
      <w:pPr>
        <w:rPr>
          <w:rFonts w:ascii="Arial Narrow" w:eastAsia="Calibri" w:hAnsi="Arial Narrow"/>
          <w:b/>
          <w:bCs/>
        </w:rPr>
      </w:pPr>
    </w:p>
    <w:p w14:paraId="53032025" w14:textId="143D9DE6" w:rsidR="00126421" w:rsidRPr="00704B08" w:rsidRDefault="00106F8C" w:rsidP="00CC3693">
      <w:pPr>
        <w:spacing w:line="360" w:lineRule="auto"/>
        <w:jc w:val="both"/>
        <w:rPr>
          <w:rFonts w:ascii="Arial Narrow" w:eastAsia="Calibri" w:hAnsi="Arial Narrow"/>
          <w:b/>
          <w:bCs/>
        </w:rPr>
      </w:pPr>
      <w:r>
        <w:rPr>
          <w:rFonts w:ascii="Arial Narrow" w:eastAsia="Calibri" w:hAnsi="Arial Narrow"/>
        </w:rPr>
        <w:t>L</w:t>
      </w:r>
      <w:r w:rsidRPr="002E0B96">
        <w:rPr>
          <w:rFonts w:ascii="Arial Narrow" w:eastAsia="Calibri" w:hAnsi="Arial Narrow"/>
        </w:rPr>
        <w:t>a meta estratégica</w:t>
      </w:r>
      <w:r>
        <w:rPr>
          <w:rFonts w:ascii="Arial Narrow" w:eastAsia="Calibri" w:hAnsi="Arial Narrow"/>
          <w:b/>
          <w:bCs/>
        </w:rPr>
        <w:t xml:space="preserve"> “</w:t>
      </w:r>
      <w:r w:rsidR="00343F86" w:rsidRPr="00704B08">
        <w:rPr>
          <w:rFonts w:ascii="Arial Narrow" w:eastAsia="Calibri" w:hAnsi="Arial Narrow"/>
          <w:b/>
          <w:bCs/>
          <w:i/>
          <w:iCs/>
        </w:rPr>
        <w:t>Que al finalizar el 2024, se hayan implementado la estrategia de rendición de cuentas definida por el Ministerio Público</w:t>
      </w:r>
      <w:r>
        <w:rPr>
          <w:rFonts w:ascii="Arial Narrow" w:eastAsia="Calibri" w:hAnsi="Arial Narrow"/>
          <w:b/>
          <w:bCs/>
        </w:rPr>
        <w:t>”</w:t>
      </w:r>
      <w:r w:rsidR="00766FDC">
        <w:rPr>
          <w:rFonts w:ascii="Arial Narrow" w:eastAsia="Calibri" w:hAnsi="Arial Narrow"/>
          <w:b/>
          <w:bCs/>
        </w:rPr>
        <w:t xml:space="preserve"> </w:t>
      </w:r>
      <w:r>
        <w:rPr>
          <w:rFonts w:ascii="Arial Narrow" w:hAnsi="Arial Narrow"/>
        </w:rPr>
        <w:t>e</w:t>
      </w:r>
      <w:r w:rsidR="00C572D3">
        <w:rPr>
          <w:rFonts w:ascii="Arial Narrow" w:hAnsi="Arial Narrow"/>
        </w:rPr>
        <w:t xml:space="preserve">l Ministerio Público comunica que </w:t>
      </w:r>
      <w:r w:rsidR="00E459B1">
        <w:rPr>
          <w:rFonts w:ascii="Arial Narrow" w:hAnsi="Arial Narrow"/>
        </w:rPr>
        <w:t xml:space="preserve">en los años 2019 y 2020 </w:t>
      </w:r>
      <w:r w:rsidR="00C572D3">
        <w:rPr>
          <w:rFonts w:ascii="Arial Narrow" w:hAnsi="Arial Narrow"/>
        </w:rPr>
        <w:t>ha</w:t>
      </w:r>
      <w:r w:rsidR="007001D4" w:rsidRPr="00704B08">
        <w:rPr>
          <w:rFonts w:ascii="Arial Narrow" w:hAnsi="Arial Narrow"/>
        </w:rPr>
        <w:t xml:space="preserve"> analizado la información cualitativa y cuantitativa relevante del Ministerio Público y se ha identificado los medios de rendición de cuentas que impactan y son de mayor incidencia en la audiencia.</w:t>
      </w:r>
      <w:r w:rsidR="00FF6197" w:rsidRPr="00704B08">
        <w:rPr>
          <w:rFonts w:ascii="Arial Narrow" w:hAnsi="Arial Narrow"/>
        </w:rPr>
        <w:t xml:space="preserve"> Para el año 2020 se publicaron</w:t>
      </w:r>
      <w:r w:rsidR="00126421" w:rsidRPr="00704B08">
        <w:rPr>
          <w:rFonts w:ascii="Arial Narrow" w:hAnsi="Arial Narrow"/>
        </w:rPr>
        <w:t xml:space="preserve"> 12 infografías con contenido informativo acerca de las rendiciones de cuentas de todo el país, material que fue elaborado por el Área de Transparencia (ATRA). </w:t>
      </w:r>
    </w:p>
    <w:p w14:paraId="664D2535" w14:textId="734002C8" w:rsidR="00343F86" w:rsidRDefault="00343F86">
      <w:pPr>
        <w:spacing w:line="360" w:lineRule="auto"/>
        <w:jc w:val="both"/>
        <w:rPr>
          <w:rFonts w:ascii="Arial Narrow" w:eastAsia="Calibri" w:hAnsi="Arial Narrow"/>
          <w:b/>
          <w:bCs/>
        </w:rPr>
      </w:pPr>
    </w:p>
    <w:p w14:paraId="79B7B7CD" w14:textId="18132B23" w:rsidR="00766FDC" w:rsidRDefault="00766FDC">
      <w:pPr>
        <w:spacing w:line="360" w:lineRule="auto"/>
        <w:jc w:val="both"/>
        <w:rPr>
          <w:rFonts w:ascii="Arial Narrow" w:eastAsia="Calibri" w:hAnsi="Arial Narrow"/>
          <w:b/>
          <w:bCs/>
        </w:rPr>
      </w:pPr>
    </w:p>
    <w:p w14:paraId="326A9457" w14:textId="7B584C36" w:rsidR="00766FDC" w:rsidRDefault="00766FDC">
      <w:pPr>
        <w:spacing w:line="360" w:lineRule="auto"/>
        <w:jc w:val="both"/>
        <w:rPr>
          <w:rFonts w:ascii="Arial Narrow" w:eastAsia="Calibri" w:hAnsi="Arial Narrow"/>
          <w:b/>
          <w:bCs/>
        </w:rPr>
      </w:pPr>
    </w:p>
    <w:p w14:paraId="0570AB95" w14:textId="4E731F43" w:rsidR="00DE75B0" w:rsidRDefault="00DE75B0">
      <w:pPr>
        <w:spacing w:line="360" w:lineRule="auto"/>
        <w:jc w:val="both"/>
        <w:rPr>
          <w:rFonts w:ascii="Arial Narrow" w:eastAsia="Calibri" w:hAnsi="Arial Narrow"/>
          <w:b/>
          <w:bCs/>
        </w:rPr>
      </w:pPr>
    </w:p>
    <w:p w14:paraId="318326A8" w14:textId="0F6EC24B" w:rsidR="00DE75B0" w:rsidRDefault="00DE75B0">
      <w:pPr>
        <w:spacing w:line="360" w:lineRule="auto"/>
        <w:jc w:val="both"/>
        <w:rPr>
          <w:rFonts w:ascii="Arial Narrow" w:eastAsia="Calibri" w:hAnsi="Arial Narrow"/>
          <w:b/>
          <w:bCs/>
        </w:rPr>
      </w:pPr>
    </w:p>
    <w:p w14:paraId="272060C2" w14:textId="202CBE15" w:rsidR="00DE75B0" w:rsidRDefault="00DE75B0">
      <w:pPr>
        <w:spacing w:line="360" w:lineRule="auto"/>
        <w:jc w:val="both"/>
        <w:rPr>
          <w:rFonts w:ascii="Arial Narrow" w:eastAsia="Calibri" w:hAnsi="Arial Narrow"/>
          <w:b/>
          <w:bCs/>
        </w:rPr>
      </w:pPr>
    </w:p>
    <w:p w14:paraId="6F84E9AB" w14:textId="21DB16BB" w:rsidR="00DE75B0" w:rsidRDefault="00DE75B0">
      <w:pPr>
        <w:spacing w:line="360" w:lineRule="auto"/>
        <w:jc w:val="both"/>
        <w:rPr>
          <w:rFonts w:ascii="Arial Narrow" w:eastAsia="Calibri" w:hAnsi="Arial Narrow"/>
          <w:b/>
          <w:bCs/>
        </w:rPr>
      </w:pPr>
    </w:p>
    <w:p w14:paraId="6D03D11B" w14:textId="4679FC75" w:rsidR="009D5823" w:rsidRDefault="009D5823">
      <w:pPr>
        <w:spacing w:line="360" w:lineRule="auto"/>
        <w:jc w:val="both"/>
        <w:rPr>
          <w:rFonts w:ascii="Arial Narrow" w:eastAsia="Calibri" w:hAnsi="Arial Narrow"/>
          <w:b/>
          <w:bCs/>
        </w:rPr>
      </w:pPr>
    </w:p>
    <w:p w14:paraId="50D6F3E3" w14:textId="61572E12" w:rsidR="009D5823" w:rsidRDefault="009D5823">
      <w:pPr>
        <w:spacing w:line="360" w:lineRule="auto"/>
        <w:jc w:val="both"/>
        <w:rPr>
          <w:rFonts w:ascii="Arial Narrow" w:eastAsia="Calibri" w:hAnsi="Arial Narrow"/>
          <w:b/>
          <w:bCs/>
        </w:rPr>
      </w:pPr>
    </w:p>
    <w:p w14:paraId="688F43E0" w14:textId="5B2BD253" w:rsidR="009D5823" w:rsidRDefault="009D5823">
      <w:pPr>
        <w:spacing w:line="360" w:lineRule="auto"/>
        <w:jc w:val="both"/>
        <w:rPr>
          <w:rFonts w:ascii="Arial Narrow" w:eastAsia="Calibri" w:hAnsi="Arial Narrow"/>
          <w:b/>
          <w:bCs/>
        </w:rPr>
      </w:pPr>
    </w:p>
    <w:p w14:paraId="3A2F5A45" w14:textId="77777777" w:rsidR="009D5823" w:rsidRDefault="009D5823">
      <w:pPr>
        <w:spacing w:line="360" w:lineRule="auto"/>
        <w:jc w:val="both"/>
        <w:rPr>
          <w:rFonts w:ascii="Arial Narrow" w:eastAsia="Calibri" w:hAnsi="Arial Narrow"/>
          <w:b/>
          <w:bCs/>
        </w:rPr>
        <w:sectPr w:rsidR="009D5823" w:rsidSect="009D5823">
          <w:pgSz w:w="12242" w:h="15842" w:code="1"/>
          <w:pgMar w:top="1701" w:right="1417" w:bottom="1701" w:left="1417" w:header="709" w:footer="709" w:gutter="0"/>
          <w:cols w:space="708"/>
          <w:docGrid w:linePitch="360"/>
        </w:sectPr>
      </w:pPr>
    </w:p>
    <w:p w14:paraId="1ECE44A4" w14:textId="4A5EBB97" w:rsidR="00766FDC" w:rsidRDefault="00766FDC" w:rsidP="00766FDC">
      <w:pPr>
        <w:rPr>
          <w:rFonts w:ascii="Arial Narrow" w:eastAsia="Calibri" w:hAnsi="Arial Narrow"/>
        </w:rPr>
      </w:pPr>
    </w:p>
    <w:p w14:paraId="2F4F59A9" w14:textId="77777777" w:rsidR="00DE75B0" w:rsidRDefault="00DE75B0" w:rsidP="00766FDC">
      <w:pPr>
        <w:rPr>
          <w:rFonts w:ascii="Arial Narrow" w:eastAsia="Calibri" w:hAnsi="Arial Narrow"/>
        </w:rPr>
      </w:pPr>
    </w:p>
    <w:p w14:paraId="6A2BFC53" w14:textId="1ADF4CD6" w:rsidR="00766FDC" w:rsidRDefault="00766FDC" w:rsidP="00766FDC">
      <w:pPr>
        <w:pStyle w:val="Descripcin"/>
        <w:jc w:val="center"/>
        <w:rPr>
          <w:rFonts w:ascii="Arial Narrow" w:eastAsia="Calibri" w:hAnsi="Arial Narrow"/>
          <w:sz w:val="24"/>
          <w:szCs w:val="24"/>
        </w:rPr>
      </w:pPr>
      <w:bookmarkStart w:id="49" w:name="_Toc76062250"/>
      <w:r w:rsidRPr="00CE3290">
        <w:rPr>
          <w:rFonts w:ascii="Arial Narrow" w:hAnsi="Arial Narrow"/>
          <w:sz w:val="24"/>
          <w:szCs w:val="24"/>
        </w:rPr>
        <w:t>Cuadro</w:t>
      </w:r>
      <w:r>
        <w:rPr>
          <w:rFonts w:ascii="Arial Narrow" w:hAnsi="Arial Narrow"/>
          <w:sz w:val="24"/>
          <w:szCs w:val="24"/>
        </w:rPr>
        <w:t xml:space="preserve"> </w:t>
      </w:r>
      <w:r w:rsidRPr="00CE3290">
        <w:rPr>
          <w:rFonts w:ascii="Arial Narrow" w:hAnsi="Arial Narrow"/>
          <w:sz w:val="24"/>
          <w:szCs w:val="24"/>
        </w:rPr>
        <w:fldChar w:fldCharType="begin"/>
      </w:r>
      <w:r w:rsidRPr="00CE3290">
        <w:rPr>
          <w:rFonts w:ascii="Arial Narrow" w:hAnsi="Arial Narrow"/>
          <w:sz w:val="24"/>
          <w:szCs w:val="24"/>
        </w:rPr>
        <w:instrText xml:space="preserve"> SEQ Cuadro_No. \* ARABIC </w:instrText>
      </w:r>
      <w:r w:rsidRPr="00CE3290">
        <w:rPr>
          <w:rFonts w:ascii="Arial Narrow" w:hAnsi="Arial Narrow"/>
          <w:sz w:val="24"/>
          <w:szCs w:val="24"/>
        </w:rPr>
        <w:fldChar w:fldCharType="separate"/>
      </w:r>
      <w:r w:rsidR="009D5823">
        <w:rPr>
          <w:rFonts w:ascii="Arial Narrow" w:hAnsi="Arial Narrow"/>
          <w:noProof/>
          <w:sz w:val="24"/>
          <w:szCs w:val="24"/>
        </w:rPr>
        <w:t>27</w:t>
      </w:r>
      <w:r w:rsidRPr="00CE3290">
        <w:rPr>
          <w:rFonts w:ascii="Arial Narrow" w:hAnsi="Arial Narrow"/>
          <w:sz w:val="24"/>
          <w:szCs w:val="24"/>
        </w:rPr>
        <w:fldChar w:fldCharType="end"/>
      </w:r>
      <w:r w:rsidRPr="00CE3290">
        <w:rPr>
          <w:rFonts w:ascii="Arial Narrow" w:hAnsi="Arial Narrow"/>
          <w:sz w:val="24"/>
          <w:szCs w:val="24"/>
        </w:rPr>
        <w:t xml:space="preserve"> </w:t>
      </w:r>
      <w:r w:rsidRPr="00CE3290">
        <w:rPr>
          <w:rFonts w:ascii="Arial Narrow" w:eastAsia="Calibri" w:hAnsi="Arial Narrow"/>
          <w:sz w:val="24"/>
          <w:szCs w:val="24"/>
        </w:rPr>
        <w:t>Metas estratégicas de Transparencia y rendición de cuentas y su cumplimiento para el 2019</w:t>
      </w:r>
      <w:r>
        <w:rPr>
          <w:rFonts w:ascii="Arial Narrow" w:eastAsia="Calibri" w:hAnsi="Arial Narrow"/>
          <w:sz w:val="24"/>
          <w:szCs w:val="24"/>
        </w:rPr>
        <w:t xml:space="preserve"> y 2020.</w:t>
      </w:r>
      <w:bookmarkEnd w:id="49"/>
    </w:p>
    <w:p w14:paraId="593AF015" w14:textId="77777777" w:rsidR="00791E77" w:rsidRDefault="00791E77" w:rsidP="00766FDC">
      <w:pPr>
        <w:jc w:val="center"/>
        <w:rPr>
          <w:noProof/>
        </w:rPr>
      </w:pPr>
    </w:p>
    <w:p w14:paraId="12D50903" w14:textId="22E22890" w:rsidR="00766FDC" w:rsidRPr="00A618D8" w:rsidRDefault="00791E77" w:rsidP="00766FDC">
      <w:pPr>
        <w:jc w:val="center"/>
        <w:rPr>
          <w:rFonts w:eastAsia="Calibri"/>
        </w:rPr>
      </w:pPr>
      <w:r>
        <w:rPr>
          <w:noProof/>
          <w:lang w:val="es-CR" w:eastAsia="es-CR"/>
        </w:rPr>
        <w:drawing>
          <wp:inline distT="0" distB="0" distL="0" distR="0" wp14:anchorId="05FBF4C1" wp14:editId="6B32BA7E">
            <wp:extent cx="7865757" cy="2621655"/>
            <wp:effectExtent l="57150" t="57150" r="97155" b="102870"/>
            <wp:docPr id="160" name="Imagen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5"/>
                    <a:srcRect l="402"/>
                    <a:stretch/>
                  </pic:blipFill>
                  <pic:spPr bwMode="auto">
                    <a:xfrm>
                      <a:off x="0" y="0"/>
                      <a:ext cx="7876941" cy="2625383"/>
                    </a:xfrm>
                    <a:prstGeom prst="rect">
                      <a:avLst/>
                    </a:prstGeom>
                    <a:ln w="9525" cap="sq">
                      <a:solidFill>
                        <a:srgbClr val="00B0F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11C76653" w14:textId="77777777" w:rsidR="00766FDC" w:rsidRPr="00A618D8" w:rsidRDefault="00766FDC" w:rsidP="00766FDC">
      <w:pPr>
        <w:rPr>
          <w:rFonts w:eastAsia="Calibri"/>
          <w:b/>
          <w:bCs/>
        </w:rPr>
      </w:pPr>
      <w:r>
        <w:rPr>
          <w:rFonts w:eastAsia="Calibri"/>
          <w:b/>
          <w:bCs/>
        </w:rPr>
        <w:t xml:space="preserve">    </w:t>
      </w:r>
      <w:r w:rsidRPr="000B4845">
        <w:rPr>
          <w:rFonts w:ascii="Arial Narrow" w:eastAsia="Calibri" w:hAnsi="Arial Narrow"/>
          <w:sz w:val="18"/>
          <w:szCs w:val="18"/>
          <w:lang w:eastAsia="en-US"/>
        </w:rPr>
        <w:t>Fuente: Sistema PEI al 24 de enero del 2020 (año 2019)</w:t>
      </w:r>
      <w:r>
        <w:rPr>
          <w:rFonts w:ascii="Arial Narrow" w:eastAsia="Calibri" w:hAnsi="Arial Narrow"/>
          <w:sz w:val="18"/>
          <w:szCs w:val="18"/>
          <w:lang w:eastAsia="en-US"/>
        </w:rPr>
        <w:t xml:space="preserve"> y 04 de marzo del 2021 (año 2020).</w:t>
      </w:r>
    </w:p>
    <w:p w14:paraId="148418E2" w14:textId="77777777" w:rsidR="009D5823" w:rsidRDefault="009D5823" w:rsidP="00766FDC">
      <w:pPr>
        <w:rPr>
          <w:rFonts w:eastAsia="Calibri"/>
          <w:b/>
          <w:bCs/>
        </w:rPr>
        <w:sectPr w:rsidR="009D5823" w:rsidSect="009D5823">
          <w:pgSz w:w="15842" w:h="12242" w:orient="landscape" w:code="1"/>
          <w:pgMar w:top="1417" w:right="1701" w:bottom="1417" w:left="1701" w:header="709" w:footer="709" w:gutter="0"/>
          <w:cols w:space="708"/>
          <w:docGrid w:linePitch="360"/>
        </w:sectPr>
      </w:pPr>
    </w:p>
    <w:p w14:paraId="78CE18C0" w14:textId="77777777" w:rsidR="00766FDC" w:rsidRPr="00704B08" w:rsidRDefault="00766FDC" w:rsidP="00704B08">
      <w:pPr>
        <w:spacing w:line="360" w:lineRule="auto"/>
        <w:jc w:val="both"/>
        <w:rPr>
          <w:rFonts w:ascii="Arial Narrow" w:eastAsia="Calibri" w:hAnsi="Arial Narrow"/>
          <w:b/>
          <w:bCs/>
        </w:rPr>
      </w:pPr>
    </w:p>
    <w:p w14:paraId="2AF67B1A" w14:textId="3C05B0D6" w:rsidR="001E3B03" w:rsidRPr="00704B08" w:rsidRDefault="00106F8C" w:rsidP="00704B08">
      <w:pPr>
        <w:spacing w:line="360" w:lineRule="auto"/>
        <w:jc w:val="both"/>
        <w:rPr>
          <w:rFonts w:ascii="Arial Narrow" w:eastAsia="Calibri" w:hAnsi="Arial Narrow"/>
          <w:b/>
          <w:bCs/>
        </w:rPr>
      </w:pPr>
      <w:r>
        <w:rPr>
          <w:rFonts w:ascii="Arial Narrow" w:eastAsia="Calibri" w:hAnsi="Arial Narrow"/>
        </w:rPr>
        <w:t>Con respecto a la</w:t>
      </w:r>
      <w:r w:rsidRPr="002E0B96">
        <w:rPr>
          <w:rFonts w:ascii="Arial Narrow" w:eastAsia="Calibri" w:hAnsi="Arial Narrow"/>
        </w:rPr>
        <w:t xml:space="preserve"> meta estratégica</w:t>
      </w:r>
      <w:r>
        <w:rPr>
          <w:rFonts w:ascii="Arial Narrow" w:eastAsia="Calibri" w:hAnsi="Arial Narrow"/>
          <w:b/>
          <w:bCs/>
        </w:rPr>
        <w:t xml:space="preserve"> “</w:t>
      </w:r>
      <w:r w:rsidR="00343F86" w:rsidRPr="00704B08">
        <w:rPr>
          <w:rFonts w:ascii="Arial Narrow" w:eastAsia="Calibri" w:hAnsi="Arial Narrow"/>
          <w:b/>
          <w:bCs/>
          <w:i/>
          <w:iCs/>
        </w:rPr>
        <w:t xml:space="preserve">Que al finalizar el 2024, se haya implementado la estrategia de rendición de cuentas definida por la Defensa </w:t>
      </w:r>
      <w:r w:rsidR="00791E77" w:rsidRPr="00704B08">
        <w:rPr>
          <w:rFonts w:ascii="Arial Narrow" w:eastAsia="Calibri" w:hAnsi="Arial Narrow"/>
          <w:b/>
          <w:bCs/>
          <w:i/>
          <w:iCs/>
        </w:rPr>
        <w:t>Pública</w:t>
      </w:r>
      <w:r>
        <w:rPr>
          <w:rFonts w:ascii="Arial Narrow" w:eastAsia="Calibri" w:hAnsi="Arial Narrow"/>
          <w:b/>
          <w:bCs/>
        </w:rPr>
        <w:t xml:space="preserve">” </w:t>
      </w:r>
      <w:r>
        <w:rPr>
          <w:rFonts w:ascii="Arial Narrow" w:hAnsi="Arial Narrow"/>
          <w:lang w:eastAsia="es-CR"/>
        </w:rPr>
        <w:t>d</w:t>
      </w:r>
      <w:r w:rsidR="00791E77" w:rsidRPr="00C572D3">
        <w:rPr>
          <w:rFonts w:ascii="Arial Narrow" w:hAnsi="Arial Narrow"/>
          <w:lang w:eastAsia="es-CR"/>
        </w:rPr>
        <w:t>e</w:t>
      </w:r>
      <w:r w:rsidR="0098537A" w:rsidRPr="00704B08">
        <w:rPr>
          <w:rFonts w:ascii="Arial Narrow" w:hAnsi="Arial Narrow"/>
          <w:lang w:eastAsia="es-CR"/>
        </w:rPr>
        <w:t xml:space="preserve"> acuerdo </w:t>
      </w:r>
      <w:r w:rsidR="00AB78AD">
        <w:rPr>
          <w:rFonts w:ascii="Arial Narrow" w:hAnsi="Arial Narrow"/>
          <w:lang w:eastAsia="es-CR"/>
        </w:rPr>
        <w:t>con</w:t>
      </w:r>
      <w:r w:rsidR="0098537A" w:rsidRPr="00704B08">
        <w:rPr>
          <w:rFonts w:ascii="Arial Narrow" w:hAnsi="Arial Narrow"/>
          <w:lang w:eastAsia="es-CR"/>
        </w:rPr>
        <w:t xml:space="preserve"> la información brindada</w:t>
      </w:r>
      <w:r w:rsidR="00FF6197" w:rsidRPr="00704B08">
        <w:rPr>
          <w:rFonts w:ascii="Arial Narrow" w:hAnsi="Arial Narrow"/>
          <w:lang w:eastAsia="es-CR"/>
        </w:rPr>
        <w:t xml:space="preserve"> en sistema </w:t>
      </w:r>
      <w:r>
        <w:rPr>
          <w:rFonts w:ascii="Arial Narrow" w:hAnsi="Arial Narrow"/>
          <w:lang w:eastAsia="es-CR"/>
        </w:rPr>
        <w:t>PAO</w:t>
      </w:r>
      <w:r w:rsidR="00FF6197" w:rsidRPr="00704B08">
        <w:rPr>
          <w:rFonts w:ascii="Arial Narrow" w:hAnsi="Arial Narrow"/>
          <w:lang w:eastAsia="es-CR"/>
        </w:rPr>
        <w:t xml:space="preserve"> por</w:t>
      </w:r>
      <w:r w:rsidR="0098537A" w:rsidRPr="00704B08">
        <w:rPr>
          <w:rFonts w:ascii="Arial Narrow" w:hAnsi="Arial Narrow"/>
          <w:lang w:eastAsia="es-CR"/>
        </w:rPr>
        <w:t xml:space="preserve"> la Defensa Pública se observa que del año 2019 al 2020 ha</w:t>
      </w:r>
      <w:r w:rsidR="0098537A" w:rsidRPr="00704B08">
        <w:rPr>
          <w:rFonts w:ascii="Arial Narrow" w:hAnsi="Arial Narrow"/>
          <w:lang w:val="es-CR" w:eastAsia="es-CR"/>
        </w:rPr>
        <w:t xml:space="preserve"> s</w:t>
      </w:r>
      <w:r w:rsidR="007001D4" w:rsidRPr="00704B08">
        <w:rPr>
          <w:rFonts w:ascii="Arial Narrow" w:hAnsi="Arial Narrow"/>
          <w:lang w:val="es-CR" w:eastAsia="es-CR"/>
        </w:rPr>
        <w:t xml:space="preserve">e ha </w:t>
      </w:r>
      <w:r w:rsidR="00C572D3" w:rsidRPr="00CC3693">
        <w:rPr>
          <w:rFonts w:ascii="Arial Narrow" w:hAnsi="Arial Narrow"/>
          <w:lang w:val="es-CR" w:eastAsia="es-CR"/>
        </w:rPr>
        <w:t xml:space="preserve">definido </w:t>
      </w:r>
      <w:r w:rsidR="00C572D3">
        <w:rPr>
          <w:rFonts w:ascii="Arial Narrow" w:hAnsi="Arial Narrow"/>
          <w:lang w:val="es-CR" w:eastAsia="es-CR"/>
        </w:rPr>
        <w:t>d</w:t>
      </w:r>
      <w:r w:rsidR="000F74A5">
        <w:rPr>
          <w:rFonts w:ascii="Arial Narrow" w:hAnsi="Arial Narrow"/>
          <w:lang w:val="es-CR" w:eastAsia="es-CR"/>
        </w:rPr>
        <w:t>i</w:t>
      </w:r>
      <w:r w:rsidR="00C572D3">
        <w:rPr>
          <w:rFonts w:ascii="Arial Narrow" w:hAnsi="Arial Narrow"/>
          <w:lang w:val="es-CR" w:eastAsia="es-CR"/>
        </w:rPr>
        <w:t>ferentes</w:t>
      </w:r>
      <w:r w:rsidR="007001D4" w:rsidRPr="00704B08">
        <w:rPr>
          <w:rFonts w:ascii="Arial Narrow" w:hAnsi="Arial Narrow"/>
          <w:lang w:val="es-CR" w:eastAsia="es-CR"/>
        </w:rPr>
        <w:t xml:space="preserve"> estrategia</w:t>
      </w:r>
      <w:r w:rsidR="00C572D3">
        <w:rPr>
          <w:rFonts w:ascii="Arial Narrow" w:hAnsi="Arial Narrow"/>
          <w:lang w:val="es-CR" w:eastAsia="es-CR"/>
        </w:rPr>
        <w:t>s</w:t>
      </w:r>
      <w:r w:rsidR="007001D4" w:rsidRPr="00704B08">
        <w:rPr>
          <w:rFonts w:ascii="Arial Narrow" w:hAnsi="Arial Narrow"/>
          <w:lang w:val="es-CR" w:eastAsia="es-CR"/>
        </w:rPr>
        <w:t xml:space="preserve"> de rendición de cuentas, tales como</w:t>
      </w:r>
      <w:r w:rsidR="00FF6197" w:rsidRPr="00704B08">
        <w:rPr>
          <w:rFonts w:ascii="Arial Narrow" w:hAnsi="Arial Narrow"/>
          <w:lang w:val="es-CR" w:eastAsia="es-CR"/>
        </w:rPr>
        <w:t>: i</w:t>
      </w:r>
      <w:r w:rsidR="007001D4" w:rsidRPr="00704B08">
        <w:rPr>
          <w:rFonts w:ascii="Arial Narrow" w:hAnsi="Arial Narrow"/>
          <w:lang w:val="es-CR" w:eastAsia="es-CR"/>
        </w:rPr>
        <w:t xml:space="preserve">nformes de </w:t>
      </w:r>
      <w:r w:rsidR="00FF6197" w:rsidRPr="00704B08">
        <w:rPr>
          <w:rFonts w:ascii="Arial Narrow" w:hAnsi="Arial Narrow"/>
          <w:lang w:val="es-CR" w:eastAsia="es-CR"/>
        </w:rPr>
        <w:t>f</w:t>
      </w:r>
      <w:r w:rsidR="007001D4" w:rsidRPr="00704B08">
        <w:rPr>
          <w:rFonts w:ascii="Arial Narrow" w:hAnsi="Arial Narrow"/>
          <w:lang w:val="es-CR" w:eastAsia="es-CR"/>
        </w:rPr>
        <w:t xml:space="preserve">in de </w:t>
      </w:r>
      <w:r w:rsidR="00FF6197" w:rsidRPr="00704B08">
        <w:rPr>
          <w:rFonts w:ascii="Arial Narrow" w:hAnsi="Arial Narrow"/>
          <w:lang w:val="es-CR" w:eastAsia="es-CR"/>
        </w:rPr>
        <w:t>g</w:t>
      </w:r>
      <w:r w:rsidR="007001D4" w:rsidRPr="00704B08">
        <w:rPr>
          <w:rFonts w:ascii="Arial Narrow" w:hAnsi="Arial Narrow"/>
          <w:lang w:val="es-CR" w:eastAsia="es-CR"/>
        </w:rPr>
        <w:t xml:space="preserve">estión, </w:t>
      </w:r>
      <w:r w:rsidR="00FF6197" w:rsidRPr="00704B08">
        <w:rPr>
          <w:rFonts w:ascii="Arial Narrow" w:hAnsi="Arial Narrow"/>
          <w:lang w:val="es-CR" w:eastAsia="es-CR"/>
        </w:rPr>
        <w:t>informes anuales</w:t>
      </w:r>
      <w:r w:rsidR="007001D4" w:rsidRPr="00704B08">
        <w:rPr>
          <w:rFonts w:ascii="Arial Narrow" w:hAnsi="Arial Narrow"/>
          <w:lang w:val="es-CR" w:eastAsia="es-CR"/>
        </w:rPr>
        <w:t xml:space="preserve"> de </w:t>
      </w:r>
      <w:r w:rsidR="00FF6197" w:rsidRPr="00704B08">
        <w:rPr>
          <w:rFonts w:ascii="Arial Narrow" w:hAnsi="Arial Narrow"/>
          <w:lang w:val="es-CR" w:eastAsia="es-CR"/>
        </w:rPr>
        <w:t>l</w:t>
      </w:r>
      <w:r w:rsidR="007001D4" w:rsidRPr="00704B08">
        <w:rPr>
          <w:rFonts w:ascii="Arial Narrow" w:hAnsi="Arial Narrow"/>
          <w:lang w:val="es-CR" w:eastAsia="es-CR"/>
        </w:rPr>
        <w:t>abores e Información en la página web.</w:t>
      </w:r>
      <w:r w:rsidR="00791E77">
        <w:rPr>
          <w:rFonts w:ascii="Arial Narrow" w:hAnsi="Arial Narrow"/>
          <w:lang w:val="es-CR" w:eastAsia="es-CR"/>
        </w:rPr>
        <w:t xml:space="preserve"> </w:t>
      </w:r>
      <w:r w:rsidR="00AB78AD">
        <w:rPr>
          <w:rFonts w:ascii="Arial Narrow" w:hAnsi="Arial Narrow"/>
          <w:lang w:val="es-CR" w:eastAsia="es-CR"/>
        </w:rPr>
        <w:t xml:space="preserve"> </w:t>
      </w:r>
      <w:r w:rsidR="0098537A" w:rsidRPr="00704B08">
        <w:rPr>
          <w:rFonts w:ascii="Arial Narrow" w:hAnsi="Arial Narrow"/>
        </w:rPr>
        <w:t xml:space="preserve">Aunado a lo anterior, para el año 2020 se publicó la Circular 31 de la Dirección de la Defensa Pública, </w:t>
      </w:r>
      <w:r w:rsidR="00FF6197" w:rsidRPr="00704B08">
        <w:rPr>
          <w:rFonts w:ascii="Arial Narrow" w:hAnsi="Arial Narrow"/>
        </w:rPr>
        <w:t xml:space="preserve">donde comunican la metodología para presentar los informes de rendición de cuentas en el la Defensa Pública, </w:t>
      </w:r>
      <w:r w:rsidR="0098537A" w:rsidRPr="00704B08">
        <w:rPr>
          <w:rFonts w:ascii="Arial Narrow" w:hAnsi="Arial Narrow"/>
        </w:rPr>
        <w:t>con la</w:t>
      </w:r>
      <w:r w:rsidR="008C1467" w:rsidRPr="00704B08">
        <w:rPr>
          <w:rFonts w:ascii="Arial Narrow" w:hAnsi="Arial Narrow"/>
        </w:rPr>
        <w:t xml:space="preserve"> que</w:t>
      </w:r>
      <w:r w:rsidR="0098537A" w:rsidRPr="00704B08">
        <w:rPr>
          <w:rFonts w:ascii="Arial Narrow" w:hAnsi="Arial Narrow"/>
        </w:rPr>
        <w:t xml:space="preserve"> dan por cumplido al 100 % </w:t>
      </w:r>
      <w:r w:rsidR="00DD6043">
        <w:rPr>
          <w:rFonts w:ascii="Arial Narrow" w:hAnsi="Arial Narrow"/>
        </w:rPr>
        <w:t>esta</w:t>
      </w:r>
      <w:r w:rsidR="00FF6197" w:rsidRPr="00704B08">
        <w:rPr>
          <w:rFonts w:ascii="Arial Narrow" w:hAnsi="Arial Narrow"/>
        </w:rPr>
        <w:t xml:space="preserve"> meta estratégica</w:t>
      </w:r>
      <w:r w:rsidR="00DE75B0">
        <w:rPr>
          <w:rFonts w:ascii="Arial Narrow" w:hAnsi="Arial Narrow"/>
        </w:rPr>
        <w:t xml:space="preserve"> y un cumplimiento acumulado del 20%.</w:t>
      </w:r>
    </w:p>
    <w:p w14:paraId="64D44416" w14:textId="41A881D6" w:rsidR="001E3B03" w:rsidRPr="00704B08" w:rsidRDefault="001E3B03" w:rsidP="00704B08">
      <w:pPr>
        <w:spacing w:line="360" w:lineRule="auto"/>
        <w:jc w:val="both"/>
        <w:rPr>
          <w:rFonts w:ascii="Arial Narrow" w:eastAsia="Calibri" w:hAnsi="Arial Narrow"/>
        </w:rPr>
      </w:pPr>
    </w:p>
    <w:p w14:paraId="7889B7CB" w14:textId="77777777" w:rsidR="0098537A" w:rsidRPr="00704B08" w:rsidRDefault="0098537A" w:rsidP="00704B08">
      <w:pPr>
        <w:spacing w:line="360" w:lineRule="auto"/>
        <w:jc w:val="both"/>
        <w:rPr>
          <w:rFonts w:ascii="Arial Narrow" w:eastAsia="Calibri" w:hAnsi="Arial Narrow"/>
        </w:rPr>
      </w:pPr>
    </w:p>
    <w:p w14:paraId="146EB333" w14:textId="1DD47AE3" w:rsidR="0098537A" w:rsidRDefault="00106F8C">
      <w:pPr>
        <w:spacing w:line="360" w:lineRule="auto"/>
        <w:jc w:val="both"/>
        <w:rPr>
          <w:rFonts w:ascii="Arial Narrow" w:hAnsi="Arial Narrow"/>
        </w:rPr>
      </w:pPr>
      <w:r>
        <w:rPr>
          <w:rFonts w:ascii="Arial Narrow" w:eastAsia="Calibri" w:hAnsi="Arial Narrow"/>
        </w:rPr>
        <w:t>Por su parte, la</w:t>
      </w:r>
      <w:r w:rsidRPr="002E0B96">
        <w:rPr>
          <w:rFonts w:ascii="Arial Narrow" w:eastAsia="Calibri" w:hAnsi="Arial Narrow"/>
        </w:rPr>
        <w:t xml:space="preserve"> meta estratégica</w:t>
      </w:r>
      <w:r>
        <w:rPr>
          <w:rFonts w:ascii="Arial Narrow" w:eastAsia="Calibri" w:hAnsi="Arial Narrow"/>
          <w:b/>
          <w:bCs/>
        </w:rPr>
        <w:t xml:space="preserve"> “</w:t>
      </w:r>
      <w:r w:rsidR="001E3B03" w:rsidRPr="00704B08">
        <w:rPr>
          <w:rFonts w:ascii="Arial Narrow" w:eastAsia="Calibri" w:hAnsi="Arial Narrow"/>
          <w:b/>
          <w:bCs/>
          <w:i/>
          <w:iCs/>
        </w:rPr>
        <w:t>Que al finalizar el 2024, se haya implementado la estrategia de rendición de cuentas definida por la Oficina de Atención de Víctimas del Delito y la Unidad de Protección de Víctimas</w:t>
      </w:r>
      <w:r>
        <w:rPr>
          <w:rFonts w:ascii="Arial Narrow" w:eastAsia="Calibri" w:hAnsi="Arial Narrow"/>
          <w:b/>
          <w:bCs/>
        </w:rPr>
        <w:t>”</w:t>
      </w:r>
      <w:r w:rsidR="00791E77">
        <w:rPr>
          <w:rFonts w:ascii="Arial Narrow" w:eastAsia="Calibri" w:hAnsi="Arial Narrow"/>
          <w:b/>
          <w:bCs/>
        </w:rPr>
        <w:t xml:space="preserve"> </w:t>
      </w:r>
      <w:r w:rsidRPr="00704B08">
        <w:rPr>
          <w:rFonts w:ascii="Arial Narrow" w:eastAsia="Calibri" w:hAnsi="Arial Narrow"/>
        </w:rPr>
        <w:t>registra</w:t>
      </w:r>
      <w:r>
        <w:rPr>
          <w:rFonts w:ascii="Arial Narrow" w:eastAsia="Calibri" w:hAnsi="Arial Narrow"/>
          <w:b/>
          <w:bCs/>
        </w:rPr>
        <w:t xml:space="preserve"> </w:t>
      </w:r>
      <w:r>
        <w:rPr>
          <w:rFonts w:ascii="Arial Narrow" w:eastAsia="Calibri" w:hAnsi="Arial Narrow"/>
        </w:rPr>
        <w:t>p</w:t>
      </w:r>
      <w:r w:rsidR="00791E77" w:rsidRPr="00704B08">
        <w:rPr>
          <w:rFonts w:ascii="Arial Narrow" w:eastAsia="Calibri" w:hAnsi="Arial Narrow"/>
        </w:rPr>
        <w:t xml:space="preserve">ara los años 2019 y 2020 </w:t>
      </w:r>
      <w:r>
        <w:rPr>
          <w:rFonts w:ascii="Arial Narrow" w:eastAsia="Calibri" w:hAnsi="Arial Narrow"/>
        </w:rPr>
        <w:t>por</w:t>
      </w:r>
      <w:r w:rsidR="00791E77">
        <w:rPr>
          <w:rFonts w:ascii="Arial Narrow" w:eastAsia="Calibri" w:hAnsi="Arial Narrow"/>
        </w:rPr>
        <w:t xml:space="preserve"> medio del sistema PAO que s</w:t>
      </w:r>
      <w:r w:rsidR="0098537A" w:rsidRPr="00704B08">
        <w:rPr>
          <w:rFonts w:ascii="Arial Narrow" w:hAnsi="Arial Narrow"/>
        </w:rPr>
        <w:t>e ha definido una estrategia para elaborar rendición de cuentas sobre los servicios que presta la OAPVD y UPROV a la població</w:t>
      </w:r>
      <w:r w:rsidR="00FB53EE">
        <w:rPr>
          <w:rFonts w:ascii="Arial Narrow" w:hAnsi="Arial Narrow"/>
        </w:rPr>
        <w:t>n por lo cual se da por cumplido con lo solicitado en la meta estratégica reflejando un cumplimiento del 100% para ambos años y un cumplimiento acumulado del 20%.</w:t>
      </w:r>
    </w:p>
    <w:p w14:paraId="5625516F" w14:textId="77777777" w:rsidR="009D5823" w:rsidRDefault="009D5823">
      <w:pPr>
        <w:spacing w:line="360" w:lineRule="auto"/>
        <w:jc w:val="both"/>
        <w:rPr>
          <w:rFonts w:ascii="Arial Narrow" w:eastAsia="Calibri" w:hAnsi="Arial Narrow"/>
        </w:rPr>
        <w:sectPr w:rsidR="009D5823" w:rsidSect="009D5823">
          <w:pgSz w:w="12242" w:h="15842" w:code="1"/>
          <w:pgMar w:top="1701" w:right="1417" w:bottom="1701" w:left="1417" w:header="709" w:footer="709" w:gutter="0"/>
          <w:cols w:space="708"/>
          <w:docGrid w:linePitch="360"/>
        </w:sectPr>
      </w:pPr>
    </w:p>
    <w:p w14:paraId="2C3D5185" w14:textId="77777777" w:rsidR="00BA723D" w:rsidRDefault="0040124F" w:rsidP="00BA723D">
      <w:pPr>
        <w:rPr>
          <w:rFonts w:ascii="Arial Narrow" w:eastAsia="Calibri" w:hAnsi="Arial Narrow"/>
        </w:rPr>
      </w:pPr>
      <w:r>
        <w:rPr>
          <w:rFonts w:eastAsia="Calibri"/>
        </w:rPr>
        <w:lastRenderedPageBreak/>
        <w:tab/>
      </w:r>
    </w:p>
    <w:p w14:paraId="476D275E" w14:textId="7B7B2237" w:rsidR="00BA723D" w:rsidRDefault="00BA723D" w:rsidP="00BA723D">
      <w:pPr>
        <w:pStyle w:val="Descripcin"/>
        <w:jc w:val="center"/>
        <w:rPr>
          <w:rFonts w:ascii="Arial Narrow" w:eastAsia="Calibri" w:hAnsi="Arial Narrow"/>
          <w:sz w:val="24"/>
          <w:szCs w:val="24"/>
        </w:rPr>
      </w:pPr>
      <w:bookmarkStart w:id="50" w:name="_Toc76062251"/>
      <w:r w:rsidRPr="00CE3290">
        <w:rPr>
          <w:rFonts w:ascii="Arial Narrow" w:hAnsi="Arial Narrow"/>
          <w:sz w:val="24"/>
          <w:szCs w:val="24"/>
        </w:rPr>
        <w:t>Cuadro</w:t>
      </w:r>
      <w:r>
        <w:rPr>
          <w:rFonts w:ascii="Arial Narrow" w:hAnsi="Arial Narrow"/>
          <w:sz w:val="24"/>
          <w:szCs w:val="24"/>
        </w:rPr>
        <w:t xml:space="preserve"> </w:t>
      </w:r>
      <w:r w:rsidRPr="00CE3290">
        <w:rPr>
          <w:rFonts w:ascii="Arial Narrow" w:hAnsi="Arial Narrow"/>
          <w:sz w:val="24"/>
          <w:szCs w:val="24"/>
        </w:rPr>
        <w:fldChar w:fldCharType="begin"/>
      </w:r>
      <w:r w:rsidRPr="00CE3290">
        <w:rPr>
          <w:rFonts w:ascii="Arial Narrow" w:hAnsi="Arial Narrow"/>
          <w:sz w:val="24"/>
          <w:szCs w:val="24"/>
        </w:rPr>
        <w:instrText xml:space="preserve"> SEQ Cuadro_No. \* ARABIC </w:instrText>
      </w:r>
      <w:r w:rsidRPr="00CE3290">
        <w:rPr>
          <w:rFonts w:ascii="Arial Narrow" w:hAnsi="Arial Narrow"/>
          <w:sz w:val="24"/>
          <w:szCs w:val="24"/>
        </w:rPr>
        <w:fldChar w:fldCharType="separate"/>
      </w:r>
      <w:r w:rsidR="009D5823">
        <w:rPr>
          <w:rFonts w:ascii="Arial Narrow" w:hAnsi="Arial Narrow"/>
          <w:noProof/>
          <w:sz w:val="24"/>
          <w:szCs w:val="24"/>
        </w:rPr>
        <w:t>28</w:t>
      </w:r>
      <w:r w:rsidRPr="00CE3290">
        <w:rPr>
          <w:rFonts w:ascii="Arial Narrow" w:hAnsi="Arial Narrow"/>
          <w:sz w:val="24"/>
          <w:szCs w:val="24"/>
        </w:rPr>
        <w:fldChar w:fldCharType="end"/>
      </w:r>
      <w:r w:rsidRPr="00CE3290">
        <w:rPr>
          <w:rFonts w:ascii="Arial Narrow" w:hAnsi="Arial Narrow"/>
          <w:sz w:val="24"/>
          <w:szCs w:val="24"/>
        </w:rPr>
        <w:t xml:space="preserve"> </w:t>
      </w:r>
      <w:r w:rsidRPr="00CE3290">
        <w:rPr>
          <w:rFonts w:ascii="Arial Narrow" w:eastAsia="Calibri" w:hAnsi="Arial Narrow"/>
          <w:sz w:val="24"/>
          <w:szCs w:val="24"/>
        </w:rPr>
        <w:t>Metas estratégicas de Transparencia y rendición de cuentas y su cumplimiento para el 2019</w:t>
      </w:r>
      <w:r>
        <w:rPr>
          <w:rFonts w:ascii="Arial Narrow" w:eastAsia="Calibri" w:hAnsi="Arial Narrow"/>
          <w:sz w:val="24"/>
          <w:szCs w:val="24"/>
        </w:rPr>
        <w:t xml:space="preserve"> y 2020.</w:t>
      </w:r>
      <w:bookmarkEnd w:id="50"/>
    </w:p>
    <w:p w14:paraId="77BE082B" w14:textId="418C2900" w:rsidR="0040124F" w:rsidRDefault="0040124F" w:rsidP="0040124F">
      <w:pPr>
        <w:tabs>
          <w:tab w:val="left" w:pos="2000"/>
        </w:tabs>
        <w:rPr>
          <w:rFonts w:eastAsia="Calibri"/>
        </w:rPr>
      </w:pPr>
    </w:p>
    <w:p w14:paraId="75198400" w14:textId="3CA4B190" w:rsidR="00D2246B" w:rsidRDefault="00BA723D" w:rsidP="00704B08">
      <w:pPr>
        <w:rPr>
          <w:rFonts w:ascii="Arial Narrow" w:eastAsia="Calibri" w:hAnsi="Arial Narrow"/>
          <w:sz w:val="18"/>
          <w:szCs w:val="18"/>
          <w:lang w:eastAsia="en-US"/>
        </w:rPr>
      </w:pPr>
      <w:r>
        <w:rPr>
          <w:noProof/>
          <w:lang w:val="es-CR" w:eastAsia="es-CR"/>
        </w:rPr>
        <w:drawing>
          <wp:inline distT="0" distB="0" distL="0" distR="0" wp14:anchorId="266CE304" wp14:editId="673C405D">
            <wp:extent cx="7899400" cy="2956507"/>
            <wp:effectExtent l="57150" t="57150" r="101600" b="92075"/>
            <wp:docPr id="161" name="Imagen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7903246" cy="2957946"/>
                    </a:xfrm>
                    <a:prstGeom prst="rect">
                      <a:avLst/>
                    </a:prstGeom>
                    <a:ln w="9525" cap="sq">
                      <a:solidFill>
                        <a:srgbClr val="00B0F0"/>
                      </a:solidFill>
                      <a:prstDash val="solid"/>
                      <a:miter lim="800000"/>
                    </a:ln>
                    <a:effectLst>
                      <a:outerShdw blurRad="50800" dist="38100" dir="2700000" algn="tl" rotWithShape="0">
                        <a:srgbClr val="000000">
                          <a:alpha val="43000"/>
                        </a:srgbClr>
                      </a:outerShdw>
                    </a:effectLst>
                  </pic:spPr>
                </pic:pic>
              </a:graphicData>
            </a:graphic>
          </wp:inline>
        </w:drawing>
      </w:r>
      <w:r w:rsidR="00D2246B" w:rsidRPr="000B4845">
        <w:rPr>
          <w:rFonts w:ascii="Arial Narrow" w:eastAsia="Calibri" w:hAnsi="Arial Narrow"/>
          <w:sz w:val="18"/>
          <w:szCs w:val="18"/>
          <w:lang w:eastAsia="en-US"/>
        </w:rPr>
        <w:t>Fuente: Sistema PEI al 24 de enero del 2020 (año 2019)</w:t>
      </w:r>
      <w:r w:rsidR="00D2246B">
        <w:rPr>
          <w:rFonts w:ascii="Arial Narrow" w:eastAsia="Calibri" w:hAnsi="Arial Narrow"/>
          <w:sz w:val="18"/>
          <w:szCs w:val="18"/>
          <w:lang w:eastAsia="en-US"/>
        </w:rPr>
        <w:t xml:space="preserve"> y 04 de marzo del 2021 (año 2020).</w:t>
      </w:r>
    </w:p>
    <w:p w14:paraId="3871470E" w14:textId="6CBFBA1A" w:rsidR="00BA723D" w:rsidRDefault="00BA723D" w:rsidP="00C43708">
      <w:pPr>
        <w:rPr>
          <w:rFonts w:ascii="Arial Narrow" w:eastAsia="Calibri" w:hAnsi="Arial Narrow"/>
          <w:sz w:val="18"/>
          <w:szCs w:val="18"/>
          <w:lang w:eastAsia="en-US"/>
        </w:rPr>
      </w:pPr>
    </w:p>
    <w:p w14:paraId="1253655E" w14:textId="24648C9C" w:rsidR="00BA723D" w:rsidRDefault="00BA723D" w:rsidP="00C43708">
      <w:pPr>
        <w:rPr>
          <w:rFonts w:ascii="Arial Narrow" w:eastAsia="Calibri" w:hAnsi="Arial Narrow"/>
          <w:sz w:val="18"/>
          <w:szCs w:val="18"/>
          <w:lang w:eastAsia="en-US"/>
        </w:rPr>
      </w:pPr>
    </w:p>
    <w:p w14:paraId="3C65B5B2" w14:textId="77777777" w:rsidR="009D5823" w:rsidRDefault="009D5823" w:rsidP="00C43708">
      <w:pPr>
        <w:rPr>
          <w:rFonts w:ascii="Arial Narrow" w:eastAsia="Calibri" w:hAnsi="Arial Narrow"/>
          <w:sz w:val="18"/>
          <w:szCs w:val="18"/>
          <w:lang w:eastAsia="en-US"/>
        </w:rPr>
        <w:sectPr w:rsidR="009D5823" w:rsidSect="009D5823">
          <w:pgSz w:w="15842" w:h="12242" w:orient="landscape" w:code="1"/>
          <w:pgMar w:top="1417" w:right="1701" w:bottom="1417" w:left="1701" w:header="709" w:footer="709" w:gutter="0"/>
          <w:cols w:space="708"/>
          <w:docGrid w:linePitch="360"/>
        </w:sectPr>
      </w:pPr>
    </w:p>
    <w:p w14:paraId="5B946A16" w14:textId="1BB73B1D" w:rsidR="009E2D3C" w:rsidRDefault="009E2D3C" w:rsidP="00B201B6">
      <w:pPr>
        <w:spacing w:line="360" w:lineRule="auto"/>
        <w:jc w:val="both"/>
        <w:rPr>
          <w:rFonts w:ascii="Arial Narrow" w:eastAsia="Calibri" w:hAnsi="Arial Narrow"/>
        </w:rPr>
      </w:pPr>
    </w:p>
    <w:p w14:paraId="474DC55B" w14:textId="77777777" w:rsidR="002A2576" w:rsidRDefault="002A2576" w:rsidP="00B201B6">
      <w:pPr>
        <w:spacing w:line="360" w:lineRule="auto"/>
        <w:jc w:val="both"/>
        <w:rPr>
          <w:rFonts w:ascii="Arial Narrow" w:eastAsia="Calibri" w:hAnsi="Arial Narrow"/>
        </w:rPr>
      </w:pPr>
    </w:p>
    <w:p w14:paraId="37B796AD" w14:textId="4235D38E" w:rsidR="0098537A" w:rsidRPr="00BA723D" w:rsidRDefault="00106F8C" w:rsidP="00B201B6">
      <w:pPr>
        <w:spacing w:line="360" w:lineRule="auto"/>
        <w:jc w:val="both"/>
        <w:rPr>
          <w:rFonts w:ascii="Arial Narrow" w:eastAsia="Calibri" w:hAnsi="Arial Narrow"/>
          <w:b/>
          <w:bCs/>
        </w:rPr>
      </w:pPr>
      <w:r>
        <w:rPr>
          <w:rFonts w:ascii="Arial Narrow" w:eastAsia="Calibri" w:hAnsi="Arial Narrow"/>
        </w:rPr>
        <w:t>Por su parte, la</w:t>
      </w:r>
      <w:r w:rsidRPr="002E0B96">
        <w:rPr>
          <w:rFonts w:ascii="Arial Narrow" w:eastAsia="Calibri" w:hAnsi="Arial Narrow"/>
        </w:rPr>
        <w:t xml:space="preserve"> meta estratégica</w:t>
      </w:r>
      <w:r>
        <w:rPr>
          <w:rFonts w:ascii="Arial Narrow" w:eastAsia="Calibri" w:hAnsi="Arial Narrow"/>
          <w:b/>
          <w:bCs/>
        </w:rPr>
        <w:t xml:space="preserve"> “</w:t>
      </w:r>
      <w:r w:rsidR="001E3B03" w:rsidRPr="00704B08">
        <w:rPr>
          <w:rFonts w:ascii="Arial Narrow" w:eastAsia="Calibri" w:hAnsi="Arial Narrow"/>
          <w:b/>
          <w:bCs/>
          <w:i/>
          <w:iCs/>
        </w:rPr>
        <w:t>Que al finalizar el 2024, se haya implementado la estrategia de rendición de cuentas definida por el Organismo del Investigación Judicial</w:t>
      </w:r>
      <w:r>
        <w:rPr>
          <w:rFonts w:ascii="Arial Narrow" w:eastAsia="Calibri" w:hAnsi="Arial Narrow"/>
          <w:b/>
          <w:bCs/>
        </w:rPr>
        <w:t xml:space="preserve">” </w:t>
      </w:r>
      <w:r>
        <w:rPr>
          <w:rFonts w:ascii="Arial Narrow" w:hAnsi="Arial Narrow"/>
          <w:lang w:val="es-CR"/>
        </w:rPr>
        <w:t>e</w:t>
      </w:r>
      <w:r w:rsidR="00EB0905" w:rsidRPr="00704B08">
        <w:rPr>
          <w:rFonts w:ascii="Arial Narrow" w:hAnsi="Arial Narrow"/>
          <w:lang w:val="es-CR"/>
        </w:rPr>
        <w:t xml:space="preserve">l Organismo de Investigación Judicial realiza una vez al año la rendición de cuentas en diferentes comunidades del todo el país y en la página web </w:t>
      </w:r>
      <w:hyperlink r:id="rId87" w:history="1">
        <w:r w:rsidR="00EB0905" w:rsidRPr="00704B08">
          <w:rPr>
            <w:rFonts w:ascii="Arial Narrow" w:eastAsia="Calibri" w:hAnsi="Arial Narrow"/>
            <w:color w:val="0000FF"/>
            <w:u w:val="single"/>
            <w:lang w:val="es-ES"/>
          </w:rPr>
          <w:t>https://sitiooij.poder-judicial.go.cr/index.php/apertura/transparencia/rendicion-de-cuentas</w:t>
        </w:r>
      </w:hyperlink>
      <w:r w:rsidR="00EB0905" w:rsidRPr="00704B08">
        <w:rPr>
          <w:rFonts w:ascii="Arial Narrow" w:eastAsia="Calibri" w:hAnsi="Arial Narrow"/>
          <w:color w:val="000000"/>
          <w:lang w:val="es-ES"/>
        </w:rPr>
        <w:t xml:space="preserve">) </w:t>
      </w:r>
      <w:r w:rsidR="00EB0905" w:rsidRPr="00704B08">
        <w:rPr>
          <w:rFonts w:ascii="Arial Narrow" w:hAnsi="Arial Narrow"/>
          <w:lang w:val="es-CR"/>
        </w:rPr>
        <w:t xml:space="preserve">del Organismo se encuentran las actas de cada actividad. Los mecanismos utilizados en cada actividad son conforme los establecidos en la circular 6-DG-2016. </w:t>
      </w:r>
      <w:r w:rsidR="0083447B">
        <w:rPr>
          <w:rFonts w:ascii="Arial Narrow" w:hAnsi="Arial Narrow"/>
          <w:lang w:val="es-CR"/>
        </w:rPr>
        <w:t>L</w:t>
      </w:r>
      <w:r w:rsidR="00EB0905" w:rsidRPr="00704B08">
        <w:rPr>
          <w:rFonts w:ascii="Arial Narrow" w:hAnsi="Arial Narrow"/>
          <w:lang w:val="es-CR"/>
        </w:rPr>
        <w:t>as actividades dirigidas a la rendición de cuentas en las comunidades son realizadas a lo largo de todo el país en las que se brinda información relacionada con Incidencia Criminal, acciones para combate de los diferentes delitos que más afectan las zonas, casos relevantes atendidos durante el año y otros temas de interés para las comunidades.</w:t>
      </w:r>
      <w:r w:rsidR="00FB53EE">
        <w:rPr>
          <w:rFonts w:ascii="Arial Narrow" w:hAnsi="Arial Narrow"/>
          <w:lang w:val="es-CR"/>
        </w:rPr>
        <w:t xml:space="preserve"> Como resultado de lo anterior es que se reporta el cumplimiento total de la meta estratégica para los años 2019 y 2020.</w:t>
      </w:r>
    </w:p>
    <w:p w14:paraId="34034657" w14:textId="78CCD76D" w:rsidR="00F22159" w:rsidRPr="00C9711A" w:rsidRDefault="00F22159">
      <w:pPr>
        <w:spacing w:line="360" w:lineRule="auto"/>
        <w:jc w:val="both"/>
        <w:rPr>
          <w:rFonts w:ascii="Arial Narrow" w:hAnsi="Arial Narrow"/>
          <w:lang w:val="es-CR"/>
        </w:rPr>
      </w:pPr>
    </w:p>
    <w:p w14:paraId="0B2EB19C" w14:textId="77777777" w:rsidR="00F22159" w:rsidRDefault="00F22159" w:rsidP="00B201B6">
      <w:pPr>
        <w:spacing w:line="360" w:lineRule="auto"/>
        <w:jc w:val="both"/>
        <w:rPr>
          <w:rFonts w:ascii="Arial Narrow" w:eastAsia="Calibri" w:hAnsi="Arial Narrow"/>
          <w:b/>
          <w:bCs/>
        </w:rPr>
      </w:pPr>
    </w:p>
    <w:p w14:paraId="2CF0EB9E" w14:textId="35433429" w:rsidR="0083447B" w:rsidRPr="00704B08" w:rsidRDefault="00106F8C" w:rsidP="00704B08">
      <w:pPr>
        <w:spacing w:line="360" w:lineRule="auto"/>
        <w:jc w:val="both"/>
        <w:rPr>
          <w:rFonts w:ascii="Arial Narrow" w:hAnsi="Arial Narrow"/>
          <w:lang w:val="es-CR" w:eastAsia="es-CR"/>
        </w:rPr>
      </w:pPr>
      <w:r>
        <w:rPr>
          <w:rFonts w:ascii="Arial Narrow" w:eastAsia="Calibri" w:hAnsi="Arial Narrow"/>
        </w:rPr>
        <w:t>Con respecto a la</w:t>
      </w:r>
      <w:r w:rsidRPr="002E0B96">
        <w:rPr>
          <w:rFonts w:ascii="Arial Narrow" w:eastAsia="Calibri" w:hAnsi="Arial Narrow"/>
        </w:rPr>
        <w:t xml:space="preserve"> meta estratégica</w:t>
      </w:r>
      <w:r>
        <w:rPr>
          <w:rFonts w:ascii="Arial Narrow" w:eastAsia="Calibri" w:hAnsi="Arial Narrow"/>
          <w:b/>
          <w:bCs/>
        </w:rPr>
        <w:t xml:space="preserve"> “</w:t>
      </w:r>
      <w:r w:rsidR="001E3B03" w:rsidRPr="00704B08">
        <w:rPr>
          <w:rFonts w:ascii="Arial Narrow" w:eastAsia="Calibri" w:hAnsi="Arial Narrow"/>
          <w:b/>
          <w:bCs/>
          <w:i/>
          <w:iCs/>
        </w:rPr>
        <w:t>Que al finalizar el 2024, se haya formulado e implementado una estrategia sobre el acceso y uso de estadísticas judiciales, que suministre al público externo y interno, información clara y oportuna</w:t>
      </w:r>
      <w:r>
        <w:rPr>
          <w:rFonts w:ascii="Arial Narrow" w:eastAsia="Calibri" w:hAnsi="Arial Narrow"/>
          <w:b/>
          <w:bCs/>
        </w:rPr>
        <w:t>”</w:t>
      </w:r>
      <w:r w:rsidR="00BA723D">
        <w:rPr>
          <w:rFonts w:ascii="Arial Narrow" w:eastAsia="Calibri" w:hAnsi="Arial Narrow"/>
          <w:b/>
          <w:bCs/>
        </w:rPr>
        <w:t xml:space="preserve"> </w:t>
      </w:r>
      <w:r>
        <w:rPr>
          <w:rFonts w:ascii="Arial Narrow" w:hAnsi="Arial Narrow"/>
          <w:lang w:val="es-CR" w:eastAsia="es-CR"/>
        </w:rPr>
        <w:t>l</w:t>
      </w:r>
      <w:r w:rsidR="00DD2F95" w:rsidRPr="00704B08">
        <w:rPr>
          <w:rFonts w:ascii="Arial Narrow" w:hAnsi="Arial Narrow"/>
          <w:lang w:val="es-CR" w:eastAsia="es-CR"/>
        </w:rPr>
        <w:t>a recopilación, actualización, análisis y presentación de la información estadística y los indicadores del Poder Judicial son esenciales para el desarrollo de la institución y del país, por lo tanto, la Dirección de Planificación en el Subproceso de Estadística brinda continuamente datos para uso de la ciudadanía, investigadores, otras instituciones, prensa y personas interesadas.</w:t>
      </w:r>
      <w:r w:rsidR="00BA723D">
        <w:rPr>
          <w:rFonts w:ascii="Arial Narrow" w:hAnsi="Arial Narrow"/>
          <w:lang w:val="es-CR" w:eastAsia="es-CR"/>
        </w:rPr>
        <w:t xml:space="preserve"> </w:t>
      </w:r>
      <w:r w:rsidR="00AB78AD">
        <w:rPr>
          <w:rFonts w:ascii="Arial Narrow" w:hAnsi="Arial Narrow"/>
          <w:lang w:val="es-CR" w:eastAsia="es-CR"/>
        </w:rPr>
        <w:t xml:space="preserve"> </w:t>
      </w:r>
      <w:r w:rsidR="0083447B" w:rsidRPr="00704B08">
        <w:rPr>
          <w:rFonts w:ascii="Arial Narrow" w:eastAsia="Book Antiqua" w:hAnsi="Arial Narrow" w:cs="Book Antiqua"/>
          <w:lang w:val="es-CR"/>
        </w:rPr>
        <w:t xml:space="preserve">Los esfuerzos llevados a cabo con el objetivo de facilitar el acceso de la información </w:t>
      </w:r>
      <w:r w:rsidR="00AB78AD" w:rsidRPr="009D5823">
        <w:rPr>
          <w:rFonts w:ascii="Arial Narrow" w:eastAsia="Book Antiqua" w:hAnsi="Arial Narrow" w:cs="Book Antiqua"/>
          <w:lang w:val="es-CR"/>
        </w:rPr>
        <w:t>estadística</w:t>
      </w:r>
      <w:r w:rsidR="0083447B" w:rsidRPr="00704B08">
        <w:rPr>
          <w:rFonts w:ascii="Arial Narrow" w:eastAsia="Book Antiqua" w:hAnsi="Arial Narrow" w:cs="Book Antiqua"/>
          <w:lang w:val="es-CR"/>
        </w:rPr>
        <w:t xml:space="preserve"> consisten en una herramienta de inteligencia de negocio, mediante el software </w:t>
      </w:r>
      <w:r w:rsidR="0083447B" w:rsidRPr="00704B08">
        <w:rPr>
          <w:rFonts w:ascii="Arial Narrow" w:eastAsia="Book Antiqua" w:hAnsi="Arial Narrow" w:cs="Book Antiqua"/>
          <w:i/>
          <w:iCs/>
          <w:lang w:val="es-CR"/>
        </w:rPr>
        <w:t>Power BI de Microsoft</w:t>
      </w:r>
      <w:r w:rsidR="0083447B" w:rsidRPr="00704B08">
        <w:rPr>
          <w:rFonts w:ascii="Arial Narrow" w:eastAsia="Book Antiqua" w:hAnsi="Arial Narrow" w:cs="Book Antiqua"/>
          <w:lang w:val="es-CR"/>
        </w:rPr>
        <w:t>, que permite visualizar la información histórica del compendio de indicadores del Poder Judicial. Además, se actualiza cada año la información de la herramienta para brindar los indicadores correspondientes a cada año judicial. La información histórica ha sido recopilada y se ha organizado de tal forma que permita su fácil uso y administración. La herramienta cuenta con un menú de navegación, indicadores de costos y presupuestos, personal y cobertura, carga de trabajo, litigiosidad, duración, productividad, herramientas adicionales, documentos descargables y créditos.</w:t>
      </w:r>
    </w:p>
    <w:p w14:paraId="06FD6F6D" w14:textId="77777777" w:rsidR="0083447B" w:rsidRPr="00704B08" w:rsidRDefault="0083447B" w:rsidP="00704B08">
      <w:pPr>
        <w:spacing w:line="360" w:lineRule="auto"/>
        <w:jc w:val="both"/>
        <w:rPr>
          <w:rFonts w:ascii="Arial Narrow" w:hAnsi="Arial Narrow"/>
          <w:lang w:val="es-CR" w:eastAsia="es-CR"/>
        </w:rPr>
      </w:pPr>
    </w:p>
    <w:p w14:paraId="4EB6E71E" w14:textId="13356B7A" w:rsidR="00296540" w:rsidRDefault="00296540" w:rsidP="00704B08">
      <w:pPr>
        <w:spacing w:line="360" w:lineRule="auto"/>
        <w:jc w:val="center"/>
        <w:rPr>
          <w:rFonts w:ascii="Arial Narrow" w:hAnsi="Arial Narrow"/>
        </w:rPr>
      </w:pPr>
      <w:r>
        <w:rPr>
          <w:noProof/>
          <w:lang w:val="es-CR" w:eastAsia="es-CR"/>
        </w:rPr>
        <w:drawing>
          <wp:inline distT="0" distB="0" distL="0" distR="0" wp14:anchorId="1454A646" wp14:editId="2038F8F2">
            <wp:extent cx="3193896" cy="1568450"/>
            <wp:effectExtent l="57150" t="57150" r="102235" b="88900"/>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5"/>
                    <pic:cNvPicPr/>
                  </pic:nvPicPr>
                  <pic:blipFill>
                    <a:blip r:embed="rId88" cstate="print">
                      <a:extLst>
                        <a:ext uri="{28A0092B-C50C-407E-A947-70E740481C1C}">
                          <a14:useLocalDpi xmlns:a14="http://schemas.microsoft.com/office/drawing/2010/main" val="0"/>
                        </a:ext>
                      </a:extLst>
                    </a:blip>
                    <a:stretch>
                      <a:fillRect/>
                    </a:stretch>
                  </pic:blipFill>
                  <pic:spPr>
                    <a:xfrm>
                      <a:off x="0" y="0"/>
                      <a:ext cx="3193896" cy="1568450"/>
                    </a:xfrm>
                    <a:prstGeom prst="rect">
                      <a:avLst/>
                    </a:prstGeom>
                    <a:ln w="9525" cap="sq">
                      <a:solidFill>
                        <a:srgbClr val="0070C0"/>
                      </a:solidFill>
                      <a:prstDash val="solid"/>
                      <a:miter lim="800000"/>
                    </a:ln>
                    <a:effectLst>
                      <a:outerShdw blurRad="50800" dist="38100" dir="2700000" algn="tl" rotWithShape="0">
                        <a:srgbClr val="000000">
                          <a:alpha val="43000"/>
                        </a:srgbClr>
                      </a:outerShdw>
                    </a:effectLst>
                  </pic:spPr>
                </pic:pic>
              </a:graphicData>
            </a:graphic>
          </wp:inline>
        </w:drawing>
      </w:r>
    </w:p>
    <w:p w14:paraId="0FDA019E" w14:textId="77777777" w:rsidR="004C64D3" w:rsidRPr="006B60C8" w:rsidRDefault="004C64D3" w:rsidP="00704B08">
      <w:pPr>
        <w:spacing w:line="360" w:lineRule="auto"/>
        <w:rPr>
          <w:rFonts w:ascii="Arial Narrow" w:eastAsia="Calibri" w:hAnsi="Arial Narrow"/>
          <w:b/>
          <w:bCs/>
        </w:rPr>
      </w:pPr>
    </w:p>
    <w:p w14:paraId="25E8812A" w14:textId="7BA0B259" w:rsidR="00296540" w:rsidRPr="00704B08" w:rsidRDefault="004C64D3" w:rsidP="00704B08">
      <w:pPr>
        <w:shd w:val="clear" w:color="auto" w:fill="FFFFFF"/>
        <w:spacing w:after="100" w:afterAutospacing="1" w:line="360" w:lineRule="auto"/>
        <w:jc w:val="center"/>
        <w:rPr>
          <w:rFonts w:ascii="Arial Narrow" w:hAnsi="Arial Narrow"/>
          <w:lang w:val="es-CR"/>
        </w:rPr>
      </w:pPr>
      <w:r>
        <w:rPr>
          <w:rFonts w:ascii="Arial Narrow" w:hAnsi="Arial Narrow" w:cs="Segoe UI"/>
          <w:color w:val="212529"/>
          <w:lang w:val="es-CR" w:eastAsia="es-CR"/>
        </w:rPr>
        <w:t>Aunado a lo anterior, se tiene que e</w:t>
      </w:r>
      <w:r w:rsidRPr="00CB5490">
        <w:rPr>
          <w:rFonts w:ascii="Arial Narrow" w:hAnsi="Arial Narrow" w:cs="Segoe UI"/>
          <w:color w:val="212529"/>
          <w:lang w:val="es-CR" w:eastAsia="es-CR"/>
        </w:rPr>
        <w:t xml:space="preserve">n la página de la Dirección de Planificación </w:t>
      </w:r>
      <w:r>
        <w:rPr>
          <w:rFonts w:ascii="Arial Narrow" w:hAnsi="Arial Narrow" w:cs="Segoe UI"/>
          <w:color w:val="212529"/>
          <w:lang w:val="es-CR" w:eastAsia="es-CR"/>
        </w:rPr>
        <w:t xml:space="preserve">del Poder Judicial también </w:t>
      </w:r>
      <w:r w:rsidRPr="00CB5490">
        <w:rPr>
          <w:rFonts w:ascii="Arial Narrow" w:hAnsi="Arial Narrow" w:cs="Segoe UI"/>
          <w:color w:val="212529"/>
          <w:lang w:val="es-CR" w:eastAsia="es-CR"/>
        </w:rPr>
        <w:t>se muestra</w:t>
      </w:r>
      <w:r>
        <w:rPr>
          <w:rFonts w:ascii="Arial Narrow" w:hAnsi="Arial Narrow" w:cs="Segoe UI"/>
          <w:color w:val="212529"/>
          <w:lang w:val="es-CR" w:eastAsia="es-CR"/>
        </w:rPr>
        <w:t>n datos</w:t>
      </w:r>
      <w:r w:rsidRPr="00CB5490">
        <w:rPr>
          <w:rFonts w:ascii="Arial Narrow" w:hAnsi="Arial Narrow" w:cs="Segoe UI"/>
          <w:color w:val="212529"/>
          <w:lang w:val="es-CR" w:eastAsia="es-CR"/>
        </w:rPr>
        <w:t xml:space="preserve"> </w:t>
      </w:r>
      <w:r>
        <w:rPr>
          <w:rFonts w:ascii="Arial Narrow" w:hAnsi="Arial Narrow" w:cs="Segoe UI"/>
          <w:color w:val="212529"/>
          <w:lang w:val="es-CR" w:eastAsia="es-CR"/>
        </w:rPr>
        <w:t xml:space="preserve">de </w:t>
      </w:r>
      <w:r w:rsidRPr="00CB5490">
        <w:rPr>
          <w:rFonts w:ascii="Arial Narrow" w:hAnsi="Arial Narrow" w:cs="Segoe UI"/>
          <w:b/>
          <w:bCs/>
          <w:color w:val="212529"/>
          <w:u w:val="single"/>
          <w:lang w:val="es-CR" w:eastAsia="es-CR"/>
        </w:rPr>
        <w:t>estadísticas por materia judicial y estadísticas territoriales.</w:t>
      </w:r>
      <w:r w:rsidR="00BA723D">
        <w:rPr>
          <w:rFonts w:ascii="Arial Narrow" w:hAnsi="Arial Narrow" w:cs="Segoe UI"/>
          <w:b/>
          <w:bCs/>
          <w:color w:val="212529"/>
          <w:u w:val="single"/>
          <w:lang w:val="es-CR" w:eastAsia="es-CR"/>
        </w:rPr>
        <w:t xml:space="preserve"> </w:t>
      </w:r>
      <w:hyperlink r:id="rId89" w:history="1">
        <w:r w:rsidR="00BA723D" w:rsidRPr="008542F1">
          <w:rPr>
            <w:rStyle w:val="Hipervnculo"/>
            <w:rFonts w:ascii="Arial Narrow" w:hAnsi="Arial Narrow" w:cs="Segoe UI"/>
            <w:lang w:val="es-CR" w:eastAsia="es-CR"/>
          </w:rPr>
          <w:t>https://planificacion.poder-judicial.go.cr/index.php/estadisticas-e-indicadores</w:t>
        </w:r>
      </w:hyperlink>
      <w:r w:rsidR="00BA723D">
        <w:rPr>
          <w:rFonts w:ascii="Arial Narrow" w:hAnsi="Arial Narrow" w:cs="Segoe UI"/>
          <w:color w:val="212529"/>
          <w:lang w:val="es-CR" w:eastAsia="es-CR"/>
        </w:rPr>
        <w:t>.</w:t>
      </w:r>
      <w:r w:rsidR="00BA723D">
        <w:rPr>
          <w:noProof/>
          <w:lang w:val="es-CR" w:eastAsia="es-CR"/>
        </w:rPr>
        <w:drawing>
          <wp:inline distT="0" distB="0" distL="0" distR="0" wp14:anchorId="1FEE26E6" wp14:editId="7E5ACD80">
            <wp:extent cx="2390989" cy="2679700"/>
            <wp:effectExtent l="57150" t="57150" r="104775" b="101600"/>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7"/>
                    <pic:cNvPicPr/>
                  </pic:nvPicPr>
                  <pic:blipFill>
                    <a:blip r:embed="rId90">
                      <a:extLst>
                        <a:ext uri="{53640926-AAD7-44D8-BBD7-CCE9431645EC}">
                          <a14:shadowObscured xmlns:arto="http://schemas.microsoft.com/office/word/2006/arto" xmlns="" xmlns:o="urn:schemas-microsoft-com:office:office" xmlns:v="urn:schemas-microsoft-com:vml" xmlns:w10="urn:schemas-microsoft-com:office:word" xmlns:w="http://schemas.openxmlformats.org/wordprocessingml/2006/main" xmlns:a16="http://schemas.microsoft.com/office/drawing/2014/main" xmlns:c="http://schemas.openxmlformats.org/drawingml/2006/chart" xmlns:ask="http://schemas.microsoft.com/office/drawing/2018/sketchyshapes" xmlns:a14="http://schemas.microsoft.com/office/drawing/2010/main"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a:ext>
                      </a:extLst>
                    </a:blip>
                    <a:srcRect l="20864" t="3690" r="9581" b="325"/>
                    <a:stretch>
                      <a:fillRect/>
                    </a:stretch>
                  </pic:blipFill>
                  <pic:spPr>
                    <a:xfrm>
                      <a:off x="0" y="0"/>
                      <a:ext cx="2393157" cy="2682130"/>
                    </a:xfrm>
                    <a:prstGeom prst="rect">
                      <a:avLst/>
                    </a:prstGeom>
                    <a:ln w="9525" cap="sq">
                      <a:solidFill>
                        <a:srgbClr val="0070C0"/>
                      </a:solidFill>
                      <a:prstDash val="solid"/>
                      <a:miter lim="800000"/>
                    </a:ln>
                    <a:effectLst>
                      <a:outerShdw blurRad="50800" dist="38100" dir="2700000" algn="tl" rotWithShape="0">
                        <a:srgbClr val="000000">
                          <a:alpha val="43000"/>
                        </a:srgbClr>
                      </a:outerShdw>
                    </a:effectLst>
                  </pic:spPr>
                </pic:pic>
              </a:graphicData>
            </a:graphic>
          </wp:inline>
        </w:drawing>
      </w:r>
    </w:p>
    <w:p w14:paraId="45B851E3" w14:textId="3D294493" w:rsidR="00FB53EE" w:rsidRDefault="00FB53EE" w:rsidP="00B201B6">
      <w:pPr>
        <w:spacing w:line="360" w:lineRule="auto"/>
        <w:jc w:val="both"/>
        <w:rPr>
          <w:rFonts w:ascii="Arial Narrow" w:hAnsi="Arial Narrow" w:cs="Segoe UI"/>
          <w:color w:val="212529"/>
          <w:lang w:val="es-CR" w:eastAsia="es-CR"/>
        </w:rPr>
      </w:pPr>
      <w:r>
        <w:rPr>
          <w:rFonts w:ascii="Arial Narrow" w:hAnsi="Arial Narrow" w:cs="Segoe UI"/>
          <w:color w:val="212529"/>
          <w:lang w:val="es-CR" w:eastAsia="es-CR"/>
        </w:rPr>
        <w:t>Finalmente, se tiene que para ambos años (2019 y 2020) se ha cumplido con lo solicitado en la meta estratégica reflejando un cumplimiento anual de un 100% y un porcentaje cumplimiento acumulado del 20%.</w:t>
      </w:r>
    </w:p>
    <w:p w14:paraId="583673ED" w14:textId="77777777" w:rsidR="00106F8C" w:rsidRDefault="00106F8C">
      <w:pPr>
        <w:spacing w:line="360" w:lineRule="auto"/>
        <w:jc w:val="both"/>
        <w:rPr>
          <w:rFonts w:ascii="Arial Narrow" w:eastAsia="Calibri" w:hAnsi="Arial Narrow"/>
        </w:rPr>
      </w:pPr>
    </w:p>
    <w:p w14:paraId="292B359D" w14:textId="09B4B370" w:rsidR="0036458A" w:rsidRPr="00704B08" w:rsidRDefault="00106F8C">
      <w:pPr>
        <w:spacing w:line="360" w:lineRule="auto"/>
        <w:jc w:val="both"/>
        <w:rPr>
          <w:rFonts w:ascii="Arial Narrow" w:eastAsia="Calibri" w:hAnsi="Arial Narrow"/>
        </w:rPr>
      </w:pPr>
      <w:r>
        <w:rPr>
          <w:rFonts w:ascii="Arial Narrow" w:eastAsia="Calibri" w:hAnsi="Arial Narrow"/>
        </w:rPr>
        <w:t>Con respecto a la</w:t>
      </w:r>
      <w:r w:rsidRPr="002E0B96">
        <w:rPr>
          <w:rFonts w:ascii="Arial Narrow" w:eastAsia="Calibri" w:hAnsi="Arial Narrow"/>
        </w:rPr>
        <w:t xml:space="preserve"> meta estratégica</w:t>
      </w:r>
      <w:r>
        <w:rPr>
          <w:rFonts w:ascii="Arial Narrow" w:eastAsia="Calibri" w:hAnsi="Arial Narrow"/>
        </w:rPr>
        <w:t xml:space="preserve"> “</w:t>
      </w:r>
      <w:r w:rsidR="001E3B03" w:rsidRPr="00704B08">
        <w:rPr>
          <w:rFonts w:ascii="Arial Narrow" w:eastAsia="Calibri" w:hAnsi="Arial Narrow"/>
          <w:b/>
          <w:bCs/>
          <w:i/>
          <w:iCs/>
        </w:rPr>
        <w:t>Que al finalizar el 2024, se desarrolle e implemente la estrategia para la creación de mecanismos que fortalezcan el acceso a la información judicial</w:t>
      </w:r>
      <w:r>
        <w:rPr>
          <w:rFonts w:ascii="Arial Narrow" w:eastAsia="Calibri" w:hAnsi="Arial Narrow"/>
          <w:b/>
          <w:bCs/>
        </w:rPr>
        <w:t xml:space="preserve">”, </w:t>
      </w:r>
      <w:r>
        <w:rPr>
          <w:rFonts w:ascii="Arial Narrow" w:eastAsia="Calibri" w:hAnsi="Arial Narrow"/>
        </w:rPr>
        <w:t>s</w:t>
      </w:r>
      <w:r w:rsidR="00B7348B" w:rsidRPr="002A3649">
        <w:rPr>
          <w:rFonts w:ascii="Arial Narrow" w:eastAsia="Calibri" w:hAnsi="Arial Narrow"/>
        </w:rPr>
        <w:t xml:space="preserve">egún los </w:t>
      </w:r>
      <w:r w:rsidR="00B7348B" w:rsidRPr="002A3649">
        <w:rPr>
          <w:rFonts w:ascii="Arial Narrow" w:eastAsia="Calibri" w:hAnsi="Arial Narrow"/>
        </w:rPr>
        <w:lastRenderedPageBreak/>
        <w:t>registros del Plan Estratégico Institucional para el año 2019 no se contaba con esta meta y es a partir del año 2020 que se incluye en la Matriz del PEI 2019-2024 vincu</w:t>
      </w:r>
      <w:r w:rsidR="00B7348B" w:rsidRPr="001141CD">
        <w:rPr>
          <w:rFonts w:ascii="Arial Narrow" w:eastAsia="Calibri" w:hAnsi="Arial Narrow"/>
        </w:rPr>
        <w:t>lada a una meta operativa del Centro Electrónico de Información Jurisprudencia</w:t>
      </w:r>
      <w:r w:rsidR="00312E6B" w:rsidRPr="001141CD">
        <w:rPr>
          <w:rFonts w:ascii="Arial Narrow" w:eastAsia="Calibri" w:hAnsi="Arial Narrow"/>
        </w:rPr>
        <w:t>l.</w:t>
      </w:r>
      <w:r w:rsidR="00BA723D">
        <w:rPr>
          <w:rFonts w:ascii="Arial Narrow" w:eastAsia="Calibri" w:hAnsi="Arial Narrow"/>
        </w:rPr>
        <w:t xml:space="preserve"> </w:t>
      </w:r>
      <w:r w:rsidR="004600FA" w:rsidRPr="00704B08">
        <w:rPr>
          <w:rFonts w:ascii="Arial Narrow" w:hAnsi="Arial Narrow"/>
        </w:rPr>
        <w:t>El Centro de Información</w:t>
      </w:r>
      <w:r w:rsidR="0036458A" w:rsidRPr="00704B08">
        <w:rPr>
          <w:rFonts w:ascii="Arial Narrow" w:hAnsi="Arial Narrow"/>
        </w:rPr>
        <w:t xml:space="preserve"> como parte del cumplimiento de esta meta realizó</w:t>
      </w:r>
      <w:r w:rsidR="004600FA" w:rsidRPr="00704B08">
        <w:rPr>
          <w:rFonts w:ascii="Arial Narrow" w:hAnsi="Arial Narrow"/>
        </w:rPr>
        <w:t xml:space="preserve"> </w:t>
      </w:r>
      <w:r w:rsidR="00614FA7" w:rsidRPr="00704B08">
        <w:rPr>
          <w:rFonts w:ascii="Arial Narrow" w:hAnsi="Arial Narrow"/>
        </w:rPr>
        <w:t>un manual con e</w:t>
      </w:r>
      <w:r w:rsidR="00614FA7" w:rsidRPr="00704B08">
        <w:rPr>
          <w:rFonts w:ascii="Arial Narrow" w:hAnsi="Arial Narrow" w:cs="Arial"/>
        </w:rPr>
        <w:t xml:space="preserve">l objetivo de proponer un método general para dirigirse a la </w:t>
      </w:r>
      <w:r w:rsidR="00394B52" w:rsidRPr="00CC3693">
        <w:rPr>
          <w:rFonts w:ascii="Arial Narrow" w:hAnsi="Arial Narrow" w:cs="Arial"/>
        </w:rPr>
        <w:t>ciudadanía,</w:t>
      </w:r>
      <w:r w:rsidR="00394B52">
        <w:rPr>
          <w:rFonts w:ascii="Arial Narrow" w:hAnsi="Arial Narrow" w:cs="Arial"/>
        </w:rPr>
        <w:t xml:space="preserve"> tanto</w:t>
      </w:r>
      <w:r w:rsidR="00614FA7" w:rsidRPr="00704B08">
        <w:rPr>
          <w:rFonts w:ascii="Arial Narrow" w:hAnsi="Arial Narrow" w:cs="Arial"/>
        </w:rPr>
        <w:t xml:space="preserve"> de manera oral como escrita en un lenguaje comprensible.</w:t>
      </w:r>
      <w:r w:rsidR="00614FA7" w:rsidRPr="002A3649">
        <w:rPr>
          <w:rFonts w:ascii="Arial Narrow" w:hAnsi="Arial Narrow" w:cs="Arial"/>
        </w:rPr>
        <w:t xml:space="preserve"> </w:t>
      </w:r>
      <w:r w:rsidR="00614FA7" w:rsidRPr="00704B08">
        <w:rPr>
          <w:rFonts w:ascii="Arial Narrow" w:hAnsi="Arial Narrow"/>
        </w:rPr>
        <w:t xml:space="preserve">Por otra </w:t>
      </w:r>
      <w:r w:rsidR="001141CD" w:rsidRPr="002A3649">
        <w:rPr>
          <w:rFonts w:ascii="Arial Narrow" w:hAnsi="Arial Narrow"/>
        </w:rPr>
        <w:t>parte,</w:t>
      </w:r>
      <w:r w:rsidR="001141CD" w:rsidRPr="002A3649">
        <w:rPr>
          <w:rFonts w:ascii="Arial Narrow" w:hAnsi="Arial Narrow"/>
          <w:lang w:val="es-CR" w:eastAsia="es-CR"/>
        </w:rPr>
        <w:t xml:space="preserve"> elaboró</w:t>
      </w:r>
      <w:r w:rsidR="00614FA7" w:rsidRPr="00704B08">
        <w:rPr>
          <w:rFonts w:ascii="Arial Narrow" w:hAnsi="Arial Narrow"/>
          <w:lang w:val="es-CR" w:eastAsia="es-CR"/>
        </w:rPr>
        <w:t xml:space="preserve"> </w:t>
      </w:r>
      <w:r w:rsidR="007406C1" w:rsidRPr="00704B08">
        <w:rPr>
          <w:rFonts w:ascii="Arial Narrow" w:hAnsi="Arial Narrow"/>
          <w:lang w:val="es-CR" w:eastAsia="es-CR"/>
        </w:rPr>
        <w:t xml:space="preserve">una lista de 61 palabras y términos utilizados en sentencias judiciales que </w:t>
      </w:r>
      <w:r w:rsidR="00E00982" w:rsidRPr="002A3649">
        <w:rPr>
          <w:rFonts w:ascii="Arial Narrow" w:hAnsi="Arial Narrow"/>
          <w:lang w:val="es-CR" w:eastAsia="es-CR"/>
        </w:rPr>
        <w:t xml:space="preserve">se </w:t>
      </w:r>
      <w:r w:rsidR="007406C1" w:rsidRPr="00704B08">
        <w:rPr>
          <w:rFonts w:ascii="Arial Narrow" w:hAnsi="Arial Narrow"/>
          <w:lang w:val="es-CR" w:eastAsia="es-CR"/>
        </w:rPr>
        <w:t>estima</w:t>
      </w:r>
      <w:r w:rsidR="00614FA7" w:rsidRPr="00704B08">
        <w:rPr>
          <w:rFonts w:ascii="Arial Narrow" w:hAnsi="Arial Narrow"/>
          <w:lang w:val="es-CR" w:eastAsia="es-CR"/>
        </w:rPr>
        <w:t>n</w:t>
      </w:r>
      <w:r w:rsidR="007406C1" w:rsidRPr="00704B08">
        <w:rPr>
          <w:rFonts w:ascii="Arial Narrow" w:hAnsi="Arial Narrow"/>
          <w:lang w:val="es-CR" w:eastAsia="es-CR"/>
        </w:rPr>
        <w:t xml:space="preserve"> deben ser definidos en un lenguaje comprensible</w:t>
      </w:r>
      <w:r w:rsidR="00614FA7" w:rsidRPr="00704B08">
        <w:rPr>
          <w:rFonts w:ascii="Arial Narrow" w:hAnsi="Arial Narrow"/>
          <w:lang w:val="es-CR" w:eastAsia="es-CR"/>
        </w:rPr>
        <w:t>.</w:t>
      </w:r>
    </w:p>
    <w:p w14:paraId="27FC6F76" w14:textId="36D70F3F" w:rsidR="00963F72" w:rsidRPr="00704B08" w:rsidRDefault="00394B52" w:rsidP="002A3649">
      <w:pPr>
        <w:spacing w:line="360" w:lineRule="auto"/>
        <w:jc w:val="both"/>
        <w:rPr>
          <w:rFonts w:ascii="Arial Narrow" w:hAnsi="Arial Narrow"/>
          <w:lang w:val="es-CR" w:eastAsia="es-CR"/>
        </w:rPr>
      </w:pPr>
      <w:r>
        <w:rPr>
          <w:rFonts w:ascii="Arial Narrow" w:hAnsi="Arial Narrow" w:cs="Arial"/>
        </w:rPr>
        <w:t>Por último,</w:t>
      </w:r>
      <w:r w:rsidR="001141CD" w:rsidRPr="001141CD">
        <w:rPr>
          <w:rFonts w:ascii="Arial Narrow" w:hAnsi="Arial Narrow" w:cs="Arial"/>
        </w:rPr>
        <w:t xml:space="preserve"> l</w:t>
      </w:r>
      <w:r w:rsidR="00963F72" w:rsidRPr="00704B08">
        <w:rPr>
          <w:rFonts w:ascii="Arial Narrow" w:hAnsi="Arial Narrow" w:cs="Arial"/>
        </w:rPr>
        <w:t xml:space="preserve">a Dirección de Tecnología de la Información, en conjunto con el Centro de Información Jurisprudencial, desarrollaron el proyecto </w:t>
      </w:r>
      <w:r w:rsidR="000875D6" w:rsidRPr="00704B08">
        <w:rPr>
          <w:rFonts w:ascii="Arial Narrow" w:hAnsi="Arial Narrow" w:cs="Arial"/>
        </w:rPr>
        <w:t xml:space="preserve">de </w:t>
      </w:r>
      <w:r w:rsidR="00963F72" w:rsidRPr="00704B08">
        <w:rPr>
          <w:rFonts w:ascii="Arial Narrow" w:hAnsi="Arial Narrow" w:cs="Arial"/>
        </w:rPr>
        <w:t xml:space="preserve">publicar, en el </w:t>
      </w:r>
      <w:r w:rsidRPr="00CC3693">
        <w:rPr>
          <w:rFonts w:ascii="Arial Narrow" w:hAnsi="Arial Narrow" w:cs="Arial"/>
        </w:rPr>
        <w:t xml:space="preserve">buscador </w:t>
      </w:r>
      <w:r>
        <w:rPr>
          <w:rFonts w:ascii="Arial Narrow" w:hAnsi="Arial Narrow" w:cs="Arial"/>
        </w:rPr>
        <w:t xml:space="preserve">de la página </w:t>
      </w:r>
      <w:r w:rsidR="00963F72" w:rsidRPr="00704B08">
        <w:rPr>
          <w:rFonts w:ascii="Arial Narrow" w:hAnsi="Arial Narrow" w:cs="Arial"/>
        </w:rPr>
        <w:t>Nexus.PJ</w:t>
      </w:r>
      <w:r>
        <w:rPr>
          <w:rFonts w:ascii="Arial Narrow" w:hAnsi="Arial Narrow" w:cs="Arial"/>
        </w:rPr>
        <w:t xml:space="preserve">, </w:t>
      </w:r>
      <w:r w:rsidR="00963F72" w:rsidRPr="00704B08">
        <w:rPr>
          <w:rFonts w:ascii="Arial Narrow" w:hAnsi="Arial Narrow" w:cs="Arial"/>
        </w:rPr>
        <w:t>resoluciones que se encuentren en audio o video y que no requieran protección de datos personales.</w:t>
      </w:r>
      <w:r w:rsidR="001141CD" w:rsidRPr="002A3649">
        <w:rPr>
          <w:rFonts w:ascii="Arial Narrow" w:hAnsi="Arial Narrow" w:cs="Arial"/>
        </w:rPr>
        <w:t xml:space="preserve"> A su </w:t>
      </w:r>
      <w:r w:rsidR="001141CD" w:rsidRPr="001141CD">
        <w:rPr>
          <w:rFonts w:ascii="Arial Narrow" w:hAnsi="Arial Narrow" w:cs="Arial"/>
        </w:rPr>
        <w:t xml:space="preserve">vez, se realizaron </w:t>
      </w:r>
      <w:r w:rsidR="001141CD" w:rsidRPr="00704B08">
        <w:rPr>
          <w:rFonts w:ascii="Arial Narrow" w:hAnsi="Arial Narrow"/>
          <w:lang w:val="es-CR" w:eastAsia="es-CR"/>
        </w:rPr>
        <w:t xml:space="preserve">talleres internos con personal de la oficina donde se identificaron requerimientos que se estimaron oportunos de incorporar en dicha </w:t>
      </w:r>
      <w:r w:rsidR="007B7B2D" w:rsidRPr="002A3649">
        <w:rPr>
          <w:rFonts w:ascii="Arial Narrow" w:hAnsi="Arial Narrow"/>
          <w:lang w:val="es-CR" w:eastAsia="es-CR"/>
        </w:rPr>
        <w:t>página.</w:t>
      </w:r>
      <w:r w:rsidR="007B7B2D" w:rsidRPr="002A3649">
        <w:rPr>
          <w:rFonts w:ascii="Arial Narrow" w:hAnsi="Arial Narrow" w:cs="Arial"/>
        </w:rPr>
        <w:t xml:space="preserve"> Adicionalmente</w:t>
      </w:r>
      <w:r w:rsidR="001141CD" w:rsidRPr="001141CD">
        <w:rPr>
          <w:rFonts w:ascii="Arial Narrow" w:hAnsi="Arial Narrow" w:cs="Arial"/>
        </w:rPr>
        <w:t>, para</w:t>
      </w:r>
      <w:r w:rsidR="001141CD" w:rsidRPr="00704B08">
        <w:rPr>
          <w:rFonts w:ascii="Arial Narrow" w:hAnsi="Arial Narrow"/>
        </w:rPr>
        <w:t xml:space="preserve"> el año 2020 ejecutaron</w:t>
      </w:r>
      <w:r w:rsidR="0006142B" w:rsidRPr="00704B08">
        <w:rPr>
          <w:rFonts w:ascii="Arial Narrow" w:hAnsi="Arial Narrow"/>
        </w:rPr>
        <w:t xml:space="preserve"> </w:t>
      </w:r>
      <w:r w:rsidR="001141CD" w:rsidRPr="00704B08">
        <w:rPr>
          <w:rFonts w:ascii="Arial Narrow" w:hAnsi="Arial Narrow"/>
        </w:rPr>
        <w:t xml:space="preserve">capacitaciones a </w:t>
      </w:r>
      <w:r w:rsidR="0006142B" w:rsidRPr="00704B08">
        <w:rPr>
          <w:rFonts w:ascii="Arial Narrow" w:hAnsi="Arial Narrow"/>
        </w:rPr>
        <w:t>Jueces de Apelación de Trabajo en temas de accesibilida</w:t>
      </w:r>
      <w:r w:rsidR="001141CD" w:rsidRPr="00704B08">
        <w:rPr>
          <w:rFonts w:ascii="Arial Narrow" w:hAnsi="Arial Narrow"/>
        </w:rPr>
        <w:t>d.</w:t>
      </w:r>
    </w:p>
    <w:p w14:paraId="34345806" w14:textId="30FF79E5" w:rsidR="00CE3290" w:rsidRDefault="00CE3290">
      <w:pPr>
        <w:spacing w:line="360" w:lineRule="auto"/>
        <w:jc w:val="both"/>
        <w:rPr>
          <w:rFonts w:ascii="Arial Narrow" w:eastAsia="Calibri" w:hAnsi="Arial Narrow"/>
        </w:rPr>
      </w:pPr>
      <w:bookmarkStart w:id="51" w:name="_Hlk53475136"/>
    </w:p>
    <w:bookmarkEnd w:id="51"/>
    <w:p w14:paraId="2AE55FA4" w14:textId="11681AC0" w:rsidR="00C43708" w:rsidRPr="00704B08" w:rsidRDefault="000D7411" w:rsidP="007F2B44">
      <w:pPr>
        <w:pStyle w:val="Ttulo4"/>
        <w:numPr>
          <w:ilvl w:val="0"/>
          <w:numId w:val="62"/>
        </w:numPr>
        <w:rPr>
          <w:rFonts w:ascii="Arial Narrow" w:eastAsia="Calibri" w:hAnsi="Arial Narrow"/>
        </w:rPr>
      </w:pPr>
      <w:r>
        <w:rPr>
          <w:rFonts w:ascii="Arial Narrow" w:eastAsia="Calibri" w:hAnsi="Arial Narrow"/>
        </w:rPr>
        <w:t xml:space="preserve">5.2.2. </w:t>
      </w:r>
      <w:r w:rsidR="00C43708" w:rsidRPr="00704B08">
        <w:rPr>
          <w:rFonts w:ascii="Arial Narrow" w:eastAsia="Calibri" w:hAnsi="Arial Narrow"/>
        </w:rPr>
        <w:t xml:space="preserve">Probidad y </w:t>
      </w:r>
      <w:r w:rsidR="00652A12" w:rsidRPr="00704B08">
        <w:rPr>
          <w:rFonts w:ascii="Arial Narrow" w:eastAsia="Calibri" w:hAnsi="Arial Narrow"/>
        </w:rPr>
        <w:t>Anticorrupción</w:t>
      </w:r>
    </w:p>
    <w:p w14:paraId="66ABE19D" w14:textId="5533F19D" w:rsidR="007F2B44" w:rsidRDefault="007F2B44" w:rsidP="005E067A">
      <w:pPr>
        <w:rPr>
          <w:rFonts w:eastAsia="Calibri"/>
        </w:rPr>
      </w:pPr>
    </w:p>
    <w:p w14:paraId="5ADA2582" w14:textId="51745BF2" w:rsidR="00C43708" w:rsidRPr="00D72581" w:rsidRDefault="00044166" w:rsidP="00704B08">
      <w:pPr>
        <w:spacing w:line="360" w:lineRule="auto"/>
        <w:jc w:val="both"/>
        <w:rPr>
          <w:rFonts w:ascii="Arial Narrow" w:eastAsia="Calibri" w:hAnsi="Arial Narrow"/>
        </w:rPr>
      </w:pPr>
      <w:r w:rsidRPr="00704B08">
        <w:rPr>
          <w:rFonts w:ascii="Arial Narrow" w:hAnsi="Arial Narrow"/>
          <w:noProof/>
        </w:rPr>
        <w:t>Se observan 8 metas estrategicas de las cuales todas las acciones estrat</w:t>
      </w:r>
      <w:r w:rsidR="00E61FBF" w:rsidRPr="00704B08">
        <w:rPr>
          <w:rFonts w:ascii="Arial Narrow" w:hAnsi="Arial Narrow"/>
          <w:noProof/>
        </w:rPr>
        <w:t>é</w:t>
      </w:r>
      <w:r w:rsidRPr="00704B08">
        <w:rPr>
          <w:rFonts w:ascii="Arial Narrow" w:hAnsi="Arial Narrow"/>
          <w:noProof/>
        </w:rPr>
        <w:t xml:space="preserve">gicas </w:t>
      </w:r>
      <w:r w:rsidR="00E61FBF" w:rsidRPr="00704B08">
        <w:rPr>
          <w:rFonts w:ascii="Arial Narrow" w:hAnsi="Arial Narrow"/>
          <w:noProof/>
        </w:rPr>
        <w:t>fueron exitosamente completadas.</w:t>
      </w:r>
      <w:r w:rsidR="002A2576">
        <w:rPr>
          <w:rFonts w:ascii="Arial Narrow" w:hAnsi="Arial Narrow"/>
          <w:noProof/>
        </w:rPr>
        <w:t xml:space="preserve"> A continuación s</w:t>
      </w:r>
      <w:r w:rsidR="00C43708" w:rsidRPr="00D72581">
        <w:rPr>
          <w:rFonts w:ascii="Arial Narrow" w:eastAsia="Calibri" w:hAnsi="Arial Narrow"/>
        </w:rPr>
        <w:t>e muestran las metas estratégicas y su cumplimiento para el 2019</w:t>
      </w:r>
      <w:r w:rsidR="00CC5FDB" w:rsidRPr="00D72581">
        <w:rPr>
          <w:rFonts w:ascii="Arial Narrow" w:eastAsia="Calibri" w:hAnsi="Arial Narrow"/>
        </w:rPr>
        <w:t xml:space="preserve"> y 2020</w:t>
      </w:r>
      <w:r w:rsidR="00CE3290" w:rsidRPr="00D72581">
        <w:rPr>
          <w:rFonts w:ascii="Arial Narrow" w:eastAsia="Calibri" w:hAnsi="Arial Narrow"/>
        </w:rPr>
        <w:t>:</w:t>
      </w:r>
    </w:p>
    <w:p w14:paraId="56EC07EA" w14:textId="77777777" w:rsidR="003714C7" w:rsidRDefault="003714C7" w:rsidP="00C43708">
      <w:pPr>
        <w:rPr>
          <w:rFonts w:ascii="Arial Narrow" w:eastAsia="Calibri" w:hAnsi="Arial Narrow"/>
        </w:rPr>
      </w:pPr>
    </w:p>
    <w:p w14:paraId="70635748" w14:textId="77777777" w:rsidR="00E61FBF" w:rsidRDefault="00E61FBF" w:rsidP="00484CC1">
      <w:pPr>
        <w:pStyle w:val="Descripcin"/>
        <w:jc w:val="center"/>
        <w:rPr>
          <w:rFonts w:ascii="Arial Narrow" w:hAnsi="Arial Narrow"/>
          <w:sz w:val="24"/>
          <w:szCs w:val="24"/>
        </w:rPr>
      </w:pPr>
    </w:p>
    <w:p w14:paraId="778DFC68" w14:textId="77777777" w:rsidR="00E61FBF" w:rsidRDefault="00E61FBF" w:rsidP="00484CC1">
      <w:pPr>
        <w:pStyle w:val="Descripcin"/>
        <w:jc w:val="center"/>
        <w:rPr>
          <w:rFonts w:ascii="Arial Narrow" w:hAnsi="Arial Narrow"/>
          <w:sz w:val="24"/>
          <w:szCs w:val="24"/>
        </w:rPr>
      </w:pPr>
    </w:p>
    <w:p w14:paraId="66F4C0FB" w14:textId="2C3A7B0D" w:rsidR="00E61FBF" w:rsidRDefault="00E61FBF" w:rsidP="00484CC1">
      <w:pPr>
        <w:pStyle w:val="Descripcin"/>
        <w:jc w:val="center"/>
        <w:rPr>
          <w:rFonts w:ascii="Arial Narrow" w:hAnsi="Arial Narrow"/>
          <w:sz w:val="24"/>
          <w:szCs w:val="24"/>
        </w:rPr>
      </w:pPr>
    </w:p>
    <w:p w14:paraId="5A8F6322" w14:textId="49DAFF25" w:rsidR="009D5823" w:rsidRDefault="009D5823" w:rsidP="009D5823"/>
    <w:p w14:paraId="135CDD1F" w14:textId="77777777" w:rsidR="009D5823" w:rsidRDefault="009D5823" w:rsidP="009D5823">
      <w:pPr>
        <w:sectPr w:rsidR="009D5823" w:rsidSect="009D5823">
          <w:pgSz w:w="12242" w:h="15842" w:code="1"/>
          <w:pgMar w:top="1701" w:right="1417" w:bottom="1701" w:left="1417" w:header="709" w:footer="709" w:gutter="0"/>
          <w:cols w:space="708"/>
          <w:docGrid w:linePitch="360"/>
        </w:sectPr>
      </w:pPr>
    </w:p>
    <w:p w14:paraId="6086948D" w14:textId="77777777" w:rsidR="00E61FBF" w:rsidRDefault="00E61FBF" w:rsidP="00484CC1">
      <w:pPr>
        <w:pStyle w:val="Descripcin"/>
        <w:jc w:val="center"/>
        <w:rPr>
          <w:rFonts w:ascii="Arial Narrow" w:hAnsi="Arial Narrow"/>
          <w:sz w:val="24"/>
          <w:szCs w:val="24"/>
        </w:rPr>
      </w:pPr>
    </w:p>
    <w:p w14:paraId="15607A6A" w14:textId="77777777" w:rsidR="00E61FBF" w:rsidRDefault="00E61FBF" w:rsidP="00484CC1">
      <w:pPr>
        <w:pStyle w:val="Descripcin"/>
        <w:jc w:val="center"/>
        <w:rPr>
          <w:rFonts w:ascii="Arial Narrow" w:hAnsi="Arial Narrow"/>
          <w:sz w:val="24"/>
          <w:szCs w:val="24"/>
        </w:rPr>
      </w:pPr>
    </w:p>
    <w:p w14:paraId="7430DCA8" w14:textId="7734ACB4" w:rsidR="00D657CE" w:rsidRDefault="00D657CE" w:rsidP="00484CC1">
      <w:pPr>
        <w:pStyle w:val="Descripcin"/>
        <w:jc w:val="center"/>
        <w:rPr>
          <w:rFonts w:ascii="Arial Narrow" w:eastAsia="Calibri" w:hAnsi="Arial Narrow"/>
          <w:sz w:val="24"/>
          <w:szCs w:val="24"/>
        </w:rPr>
      </w:pPr>
      <w:bookmarkStart w:id="52" w:name="_Toc76062252"/>
      <w:r w:rsidRPr="00484CC1">
        <w:rPr>
          <w:rFonts w:ascii="Arial Narrow" w:hAnsi="Arial Narrow"/>
          <w:sz w:val="24"/>
          <w:szCs w:val="24"/>
        </w:rPr>
        <w:t>Cuadro</w:t>
      </w:r>
      <w:r w:rsidR="00CE3290">
        <w:rPr>
          <w:rFonts w:ascii="Arial Narrow" w:hAnsi="Arial Narrow"/>
          <w:sz w:val="24"/>
          <w:szCs w:val="24"/>
        </w:rPr>
        <w:t xml:space="preserve"> </w:t>
      </w:r>
      <w:r w:rsidRPr="00484CC1">
        <w:rPr>
          <w:rFonts w:ascii="Arial Narrow" w:hAnsi="Arial Narrow"/>
          <w:sz w:val="24"/>
          <w:szCs w:val="24"/>
        </w:rPr>
        <w:fldChar w:fldCharType="begin"/>
      </w:r>
      <w:r w:rsidRPr="00484CC1">
        <w:rPr>
          <w:rFonts w:ascii="Arial Narrow" w:hAnsi="Arial Narrow"/>
          <w:sz w:val="24"/>
          <w:szCs w:val="24"/>
        </w:rPr>
        <w:instrText xml:space="preserve"> SEQ Cuadro_No. \* ARABIC </w:instrText>
      </w:r>
      <w:r w:rsidRPr="00484CC1">
        <w:rPr>
          <w:rFonts w:ascii="Arial Narrow" w:hAnsi="Arial Narrow"/>
          <w:sz w:val="24"/>
          <w:szCs w:val="24"/>
        </w:rPr>
        <w:fldChar w:fldCharType="separate"/>
      </w:r>
      <w:r w:rsidR="009D5823">
        <w:rPr>
          <w:rFonts w:ascii="Arial Narrow" w:hAnsi="Arial Narrow"/>
          <w:noProof/>
          <w:sz w:val="24"/>
          <w:szCs w:val="24"/>
        </w:rPr>
        <w:t>29</w:t>
      </w:r>
      <w:r w:rsidRPr="00484CC1">
        <w:rPr>
          <w:rFonts w:ascii="Arial Narrow" w:hAnsi="Arial Narrow"/>
          <w:sz w:val="24"/>
          <w:szCs w:val="24"/>
        </w:rPr>
        <w:fldChar w:fldCharType="end"/>
      </w:r>
      <w:r w:rsidRPr="00484CC1">
        <w:rPr>
          <w:rFonts w:ascii="Arial Narrow" w:hAnsi="Arial Narrow"/>
          <w:sz w:val="24"/>
          <w:szCs w:val="24"/>
        </w:rPr>
        <w:t xml:space="preserve"> </w:t>
      </w:r>
      <w:r w:rsidRPr="00D657CE">
        <w:rPr>
          <w:rFonts w:ascii="Arial Narrow" w:eastAsia="Calibri" w:hAnsi="Arial Narrow"/>
          <w:sz w:val="24"/>
          <w:szCs w:val="24"/>
        </w:rPr>
        <w:t xml:space="preserve">Metas estratégicas de </w:t>
      </w:r>
      <w:r>
        <w:rPr>
          <w:rFonts w:ascii="Arial Narrow" w:eastAsia="Calibri" w:hAnsi="Arial Narrow"/>
          <w:sz w:val="24"/>
          <w:szCs w:val="24"/>
        </w:rPr>
        <w:t xml:space="preserve">Probidad y anticorrupción </w:t>
      </w:r>
      <w:r w:rsidRPr="00D657CE">
        <w:rPr>
          <w:rFonts w:ascii="Arial Narrow" w:eastAsia="Calibri" w:hAnsi="Arial Narrow"/>
          <w:sz w:val="24"/>
          <w:szCs w:val="24"/>
        </w:rPr>
        <w:t>y su cumplimiento para el 2019</w:t>
      </w:r>
      <w:r w:rsidR="00CC5FDB">
        <w:rPr>
          <w:rFonts w:ascii="Arial Narrow" w:eastAsia="Calibri" w:hAnsi="Arial Narrow"/>
          <w:sz w:val="24"/>
          <w:szCs w:val="24"/>
        </w:rPr>
        <w:t xml:space="preserve"> y 2020.</w:t>
      </w:r>
      <w:bookmarkEnd w:id="52"/>
    </w:p>
    <w:p w14:paraId="2CD319FD" w14:textId="77777777" w:rsidR="003E5AA3" w:rsidRDefault="003E5AA3" w:rsidP="00CC5FDB">
      <w:pPr>
        <w:rPr>
          <w:noProof/>
        </w:rPr>
      </w:pPr>
    </w:p>
    <w:p w14:paraId="145D27AC" w14:textId="23DE0DE6" w:rsidR="003E5AA3" w:rsidRDefault="00071801" w:rsidP="00704B08">
      <w:pPr>
        <w:jc w:val="center"/>
        <w:rPr>
          <w:noProof/>
        </w:rPr>
      </w:pPr>
      <w:r>
        <w:rPr>
          <w:noProof/>
          <w:lang w:val="es-CR" w:eastAsia="es-CR"/>
        </w:rPr>
        <w:drawing>
          <wp:inline distT="0" distB="0" distL="0" distR="0" wp14:anchorId="18C7F411" wp14:editId="7485E054">
            <wp:extent cx="7656488" cy="3162568"/>
            <wp:effectExtent l="57150" t="57150" r="97155" b="95250"/>
            <wp:docPr id="163" name="Imagen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7663400" cy="3165423"/>
                    </a:xfrm>
                    <a:prstGeom prst="rect">
                      <a:avLst/>
                    </a:prstGeom>
                    <a:ln w="9525" cap="sq">
                      <a:solidFill>
                        <a:srgbClr val="00B0F0"/>
                      </a:solidFill>
                      <a:prstDash val="solid"/>
                      <a:miter lim="800000"/>
                    </a:ln>
                    <a:effectLst>
                      <a:outerShdw blurRad="50800" dist="38100" dir="2700000" algn="tl" rotWithShape="0">
                        <a:srgbClr val="000000">
                          <a:alpha val="43000"/>
                        </a:srgbClr>
                      </a:outerShdw>
                    </a:effectLst>
                  </pic:spPr>
                </pic:pic>
              </a:graphicData>
            </a:graphic>
          </wp:inline>
        </w:drawing>
      </w:r>
    </w:p>
    <w:p w14:paraId="1A5B534B" w14:textId="77777777" w:rsidR="00D2246B" w:rsidRDefault="00D2246B" w:rsidP="00704B08">
      <w:pPr>
        <w:ind w:left="-142" w:firstLine="850"/>
        <w:rPr>
          <w:rFonts w:ascii="Arial Narrow" w:eastAsia="Calibri" w:hAnsi="Arial Narrow"/>
          <w:sz w:val="18"/>
          <w:szCs w:val="18"/>
          <w:lang w:eastAsia="en-US"/>
        </w:rPr>
      </w:pPr>
      <w:r w:rsidRPr="000B4845">
        <w:rPr>
          <w:rFonts w:ascii="Arial Narrow" w:eastAsia="Calibri" w:hAnsi="Arial Narrow"/>
          <w:sz w:val="18"/>
          <w:szCs w:val="18"/>
          <w:lang w:eastAsia="en-US"/>
        </w:rPr>
        <w:t>Fuente: Sistema PEI al 24 de enero del 2020 (año 2019)</w:t>
      </w:r>
      <w:r>
        <w:rPr>
          <w:rFonts w:ascii="Arial Narrow" w:eastAsia="Calibri" w:hAnsi="Arial Narrow"/>
          <w:sz w:val="18"/>
          <w:szCs w:val="18"/>
          <w:lang w:eastAsia="en-US"/>
        </w:rPr>
        <w:t xml:space="preserve"> y 04 de marzo del 2021 (año 2020).</w:t>
      </w:r>
    </w:p>
    <w:p w14:paraId="34C85450" w14:textId="77777777" w:rsidR="00016790" w:rsidRDefault="00016790" w:rsidP="00CC5FDB">
      <w:pPr>
        <w:rPr>
          <w:rFonts w:eastAsia="Calibri"/>
          <w:b/>
          <w:bCs/>
        </w:rPr>
      </w:pPr>
    </w:p>
    <w:p w14:paraId="2EFBF338" w14:textId="77777777" w:rsidR="009D5823" w:rsidRDefault="009D5823">
      <w:pPr>
        <w:jc w:val="both"/>
        <w:rPr>
          <w:rFonts w:ascii="Arial Narrow" w:eastAsia="Calibri" w:hAnsi="Arial Narrow"/>
        </w:rPr>
        <w:sectPr w:rsidR="009D5823" w:rsidSect="009D5823">
          <w:pgSz w:w="15842" w:h="12242" w:orient="landscape" w:code="1"/>
          <w:pgMar w:top="1417" w:right="1701" w:bottom="1417" w:left="1701" w:header="709" w:footer="709" w:gutter="0"/>
          <w:cols w:space="708"/>
          <w:docGrid w:linePitch="360"/>
        </w:sectPr>
      </w:pPr>
    </w:p>
    <w:p w14:paraId="095D9CD2" w14:textId="77777777" w:rsidR="002A2576" w:rsidRDefault="002A2576" w:rsidP="00704B08">
      <w:pPr>
        <w:spacing w:line="360" w:lineRule="auto"/>
        <w:jc w:val="both"/>
        <w:rPr>
          <w:rFonts w:ascii="Arial Narrow" w:eastAsia="Calibri" w:hAnsi="Arial Narrow"/>
        </w:rPr>
      </w:pPr>
    </w:p>
    <w:p w14:paraId="2790376B" w14:textId="77F83D89" w:rsidR="009D287E" w:rsidRPr="00704B08" w:rsidRDefault="00AB78AD" w:rsidP="00704B08">
      <w:pPr>
        <w:spacing w:line="360" w:lineRule="auto"/>
        <w:jc w:val="both"/>
        <w:rPr>
          <w:rFonts w:ascii="Arial Narrow" w:eastAsia="Calibri" w:hAnsi="Arial Narrow"/>
        </w:rPr>
      </w:pPr>
      <w:r w:rsidRPr="00704B08">
        <w:rPr>
          <w:rFonts w:ascii="Arial Narrow" w:eastAsia="Calibri" w:hAnsi="Arial Narrow"/>
        </w:rPr>
        <w:t>La meta estratégica</w:t>
      </w:r>
      <w:r>
        <w:rPr>
          <w:rFonts w:ascii="Arial Narrow" w:eastAsia="Calibri" w:hAnsi="Arial Narrow"/>
          <w:b/>
          <w:bCs/>
        </w:rPr>
        <w:t xml:space="preserve"> “</w:t>
      </w:r>
      <w:r w:rsidR="0061552A" w:rsidRPr="00704B08">
        <w:rPr>
          <w:rFonts w:ascii="Arial Narrow" w:eastAsia="Calibri" w:hAnsi="Arial Narrow"/>
          <w:b/>
          <w:bCs/>
          <w:i/>
          <w:iCs/>
        </w:rPr>
        <w:t>Que al finalizar el 2024, se haya implementado una estrategia de prevención y control de las sanciones administrativa – disciplinaria en el Ministerio Público; por actos cometidos en fraude de administración de activos, evidencias, faltas a la ética pública, valores, faltas a la probidad y actos de corrupción</w:t>
      </w:r>
      <w:r>
        <w:rPr>
          <w:rFonts w:ascii="Arial Narrow" w:eastAsia="Calibri" w:hAnsi="Arial Narrow"/>
          <w:b/>
          <w:bCs/>
        </w:rPr>
        <w:t>”</w:t>
      </w:r>
      <w:r>
        <w:rPr>
          <w:rFonts w:ascii="Arial Narrow" w:eastAsia="Calibri" w:hAnsi="Arial Narrow"/>
        </w:rPr>
        <w:t xml:space="preserve"> d</w:t>
      </w:r>
      <w:r w:rsidR="00DF7D8F" w:rsidRPr="00704B08">
        <w:rPr>
          <w:rFonts w:ascii="Arial Narrow" w:hAnsi="Arial Narrow"/>
        </w:rPr>
        <w:t xml:space="preserve">e acuerdo con la información obtenida por medio del sistema PAO </w:t>
      </w:r>
      <w:r w:rsidR="006B2739">
        <w:rPr>
          <w:rFonts w:ascii="Arial Narrow" w:hAnsi="Arial Narrow"/>
        </w:rPr>
        <w:t xml:space="preserve">de los años 2019 y 2020 </w:t>
      </w:r>
      <w:r w:rsidR="00DF7D8F" w:rsidRPr="00704B08">
        <w:rPr>
          <w:rFonts w:ascii="Arial Narrow" w:hAnsi="Arial Narrow"/>
        </w:rPr>
        <w:t>para esta meta estratégica, s</w:t>
      </w:r>
      <w:r w:rsidR="00C64AAE" w:rsidRPr="00704B08">
        <w:rPr>
          <w:rFonts w:ascii="Arial Narrow" w:hAnsi="Arial Narrow"/>
        </w:rPr>
        <w:t xml:space="preserve">e tiene </w:t>
      </w:r>
      <w:r w:rsidR="00C63759" w:rsidRPr="00704B08">
        <w:rPr>
          <w:rFonts w:ascii="Arial Narrow" w:hAnsi="Arial Narrow"/>
        </w:rPr>
        <w:t>que el Ministerio Público,</w:t>
      </w:r>
      <w:r w:rsidR="00C64AAE" w:rsidRPr="00704B08">
        <w:rPr>
          <w:rFonts w:ascii="Arial Narrow" w:hAnsi="Arial Narrow"/>
        </w:rPr>
        <w:t xml:space="preserve"> dentro del proyecto de Fortalecimiento del Régimen de </w:t>
      </w:r>
      <w:r w:rsidR="00DF7D8F" w:rsidRPr="00704B08">
        <w:rPr>
          <w:rFonts w:ascii="Arial Narrow" w:hAnsi="Arial Narrow"/>
        </w:rPr>
        <w:t>consecuencia</w:t>
      </w:r>
      <w:r w:rsidR="00C63759" w:rsidRPr="00704B08">
        <w:rPr>
          <w:rFonts w:ascii="Arial Narrow" w:hAnsi="Arial Narrow"/>
        </w:rPr>
        <w:t>s</w:t>
      </w:r>
      <w:r w:rsidR="00DF7D8F" w:rsidRPr="00704B08">
        <w:rPr>
          <w:rFonts w:ascii="Arial Narrow" w:hAnsi="Arial Narrow"/>
        </w:rPr>
        <w:t xml:space="preserve"> </w:t>
      </w:r>
      <w:r w:rsidR="00F84180" w:rsidRPr="00704B08">
        <w:rPr>
          <w:rFonts w:ascii="Arial Narrow" w:hAnsi="Arial Narrow"/>
        </w:rPr>
        <w:t>diseñ</w:t>
      </w:r>
      <w:r w:rsidR="00C64AAE" w:rsidRPr="00704B08">
        <w:rPr>
          <w:rFonts w:ascii="Arial Narrow" w:hAnsi="Arial Narrow"/>
        </w:rPr>
        <w:t>ó</w:t>
      </w:r>
      <w:r w:rsidR="00F84180" w:rsidRPr="00704B08">
        <w:rPr>
          <w:rFonts w:ascii="Arial Narrow" w:hAnsi="Arial Narrow"/>
        </w:rPr>
        <w:t xml:space="preserve"> </w:t>
      </w:r>
      <w:r w:rsidR="00C64AAE" w:rsidRPr="00704B08">
        <w:rPr>
          <w:rFonts w:ascii="Arial Narrow" w:hAnsi="Arial Narrow"/>
        </w:rPr>
        <w:t xml:space="preserve">y realizó </w:t>
      </w:r>
      <w:r w:rsidR="00F84180" w:rsidRPr="00704B08">
        <w:rPr>
          <w:rFonts w:ascii="Arial Narrow" w:hAnsi="Arial Narrow"/>
        </w:rPr>
        <w:t xml:space="preserve">un programa de capacitación en ética y </w:t>
      </w:r>
      <w:r w:rsidR="00C64AAE" w:rsidRPr="00704B08">
        <w:rPr>
          <w:rFonts w:ascii="Arial Narrow" w:hAnsi="Arial Narrow"/>
        </w:rPr>
        <w:t>valores. A su vez</w:t>
      </w:r>
      <w:r w:rsidR="00C63759" w:rsidRPr="00704B08">
        <w:rPr>
          <w:rFonts w:ascii="Arial Narrow" w:hAnsi="Arial Narrow"/>
        </w:rPr>
        <w:t xml:space="preserve"> también elaboró</w:t>
      </w:r>
      <w:r w:rsidR="00F84180" w:rsidRPr="00704B08">
        <w:rPr>
          <w:rFonts w:ascii="Arial Narrow" w:hAnsi="Arial Narrow"/>
        </w:rPr>
        <w:t xml:space="preserve"> una campaña de valores </w:t>
      </w:r>
      <w:r w:rsidR="00C64AAE" w:rsidRPr="00704B08">
        <w:rPr>
          <w:rFonts w:ascii="Arial Narrow" w:hAnsi="Arial Narrow"/>
        </w:rPr>
        <w:t>y régimen</w:t>
      </w:r>
      <w:r w:rsidR="00F84180" w:rsidRPr="00704B08">
        <w:rPr>
          <w:rFonts w:ascii="Arial Narrow" w:hAnsi="Arial Narrow"/>
        </w:rPr>
        <w:t xml:space="preserve"> disciplinario (</w:t>
      </w:r>
      <w:r w:rsidR="00C64AAE" w:rsidRPr="00704B08">
        <w:rPr>
          <w:rFonts w:ascii="Arial Narrow" w:hAnsi="Arial Narrow"/>
        </w:rPr>
        <w:t>B</w:t>
      </w:r>
      <w:r w:rsidR="00F84180" w:rsidRPr="00704B08">
        <w:rPr>
          <w:rFonts w:ascii="Arial Narrow" w:hAnsi="Arial Narrow"/>
        </w:rPr>
        <w:t xml:space="preserve">uenas </w:t>
      </w:r>
      <w:r w:rsidR="00C64AAE" w:rsidRPr="00704B08">
        <w:rPr>
          <w:rFonts w:ascii="Arial Narrow" w:hAnsi="Arial Narrow"/>
        </w:rPr>
        <w:t>P</w:t>
      </w:r>
      <w:r w:rsidR="00F84180" w:rsidRPr="00704B08">
        <w:rPr>
          <w:rFonts w:ascii="Arial Narrow" w:hAnsi="Arial Narrow"/>
        </w:rPr>
        <w:t>rácticas)</w:t>
      </w:r>
      <w:r w:rsidR="00C64AAE" w:rsidRPr="00704B08">
        <w:rPr>
          <w:rFonts w:ascii="Arial Narrow" w:hAnsi="Arial Narrow"/>
        </w:rPr>
        <w:t>.</w:t>
      </w:r>
    </w:p>
    <w:p w14:paraId="4F8146DE" w14:textId="0A184A98" w:rsidR="009D287E" w:rsidRDefault="009D287E" w:rsidP="00CC5FDB">
      <w:pPr>
        <w:rPr>
          <w:rFonts w:eastAsia="Calibri"/>
          <w:b/>
          <w:bCs/>
        </w:rPr>
      </w:pPr>
    </w:p>
    <w:p w14:paraId="60F2678F" w14:textId="77777777" w:rsidR="00C63759" w:rsidRPr="00704B08" w:rsidRDefault="00C63759" w:rsidP="00CC5FDB">
      <w:pPr>
        <w:rPr>
          <w:rFonts w:ascii="Arial Narrow" w:eastAsia="Calibri" w:hAnsi="Arial Narrow"/>
          <w:b/>
          <w:bCs/>
        </w:rPr>
      </w:pPr>
    </w:p>
    <w:p w14:paraId="63FB9B54" w14:textId="7C7034B1" w:rsidR="001B2ACF" w:rsidRPr="00704B08" w:rsidRDefault="00AB78AD" w:rsidP="00704B08">
      <w:pPr>
        <w:spacing w:line="360" w:lineRule="auto"/>
        <w:jc w:val="both"/>
        <w:rPr>
          <w:rFonts w:eastAsia="Calibri"/>
          <w:b/>
          <w:bCs/>
        </w:rPr>
      </w:pPr>
      <w:r w:rsidRPr="00704B08">
        <w:rPr>
          <w:rFonts w:ascii="Arial Narrow" w:eastAsia="Calibri" w:hAnsi="Arial Narrow"/>
        </w:rPr>
        <w:t>Con respecto a la meta estratégica</w:t>
      </w:r>
      <w:r w:rsidR="0061552A" w:rsidRPr="00704B08">
        <w:rPr>
          <w:rFonts w:ascii="Arial Narrow" w:eastAsia="Calibri" w:hAnsi="Arial Narrow"/>
          <w:b/>
          <w:bCs/>
        </w:rPr>
        <w:t xml:space="preserve"> </w:t>
      </w:r>
      <w:r>
        <w:rPr>
          <w:rFonts w:ascii="Arial Narrow" w:eastAsia="Calibri" w:hAnsi="Arial Narrow"/>
          <w:b/>
          <w:bCs/>
        </w:rPr>
        <w:t>“</w:t>
      </w:r>
      <w:r w:rsidR="0061552A" w:rsidRPr="00704B08">
        <w:rPr>
          <w:rFonts w:ascii="Arial Narrow" w:eastAsia="Calibri" w:hAnsi="Arial Narrow"/>
          <w:b/>
          <w:bCs/>
          <w:i/>
          <w:iCs/>
        </w:rPr>
        <w:t>Que al finalizar el 2024, se haya reestructurado la Unidad de Inspección Fiscal del Ministerio Público</w:t>
      </w:r>
      <w:r>
        <w:rPr>
          <w:rFonts w:ascii="Arial Narrow" w:eastAsia="Calibri" w:hAnsi="Arial Narrow"/>
          <w:b/>
          <w:bCs/>
        </w:rPr>
        <w:t>”</w:t>
      </w:r>
      <w:r>
        <w:rPr>
          <w:rFonts w:ascii="Arial Narrow" w:hAnsi="Arial Narrow"/>
          <w:lang w:val="es-CR" w:eastAsia="es-CR"/>
        </w:rPr>
        <w:t xml:space="preserve"> se tiene que la</w:t>
      </w:r>
      <w:r w:rsidR="000D364F" w:rsidRPr="00704B08">
        <w:rPr>
          <w:rFonts w:ascii="Arial Narrow" w:hAnsi="Arial Narrow"/>
          <w:lang w:val="es-CR" w:eastAsia="es-CR"/>
        </w:rPr>
        <w:t xml:space="preserve"> Unidad de la</w:t>
      </w:r>
      <w:r w:rsidR="00CD7A1C" w:rsidRPr="00704B08">
        <w:rPr>
          <w:rFonts w:ascii="Arial Narrow" w:hAnsi="Arial Narrow"/>
          <w:lang w:val="es-CR" w:eastAsia="es-CR"/>
        </w:rPr>
        <w:t xml:space="preserve"> </w:t>
      </w:r>
      <w:r w:rsidR="000D364F" w:rsidRPr="00704B08">
        <w:rPr>
          <w:rFonts w:ascii="Arial Narrow" w:hAnsi="Arial Narrow"/>
          <w:lang w:val="es-CR" w:eastAsia="es-CR"/>
        </w:rPr>
        <w:t xml:space="preserve">Inspección Fiscal </w:t>
      </w:r>
      <w:r w:rsidR="00F51E63" w:rsidRPr="00704B08">
        <w:rPr>
          <w:rFonts w:ascii="Arial Narrow" w:hAnsi="Arial Narrow"/>
          <w:lang w:val="es-CR" w:eastAsia="es-CR"/>
        </w:rPr>
        <w:t>ha desarrollado</w:t>
      </w:r>
      <w:r w:rsidR="006B2739" w:rsidRPr="009D5823">
        <w:rPr>
          <w:rFonts w:ascii="Arial Narrow" w:hAnsi="Arial Narrow"/>
          <w:lang w:val="es-CR" w:eastAsia="es-CR"/>
        </w:rPr>
        <w:t xml:space="preserve"> en el año 2019 y 2020 </w:t>
      </w:r>
      <w:r w:rsidR="00F51E63" w:rsidRPr="00704B08">
        <w:rPr>
          <w:rFonts w:ascii="Arial Narrow" w:hAnsi="Arial Narrow"/>
          <w:lang w:val="es-CR" w:eastAsia="es-CR"/>
        </w:rPr>
        <w:t xml:space="preserve">lo siguiente: </w:t>
      </w:r>
      <w:r w:rsidR="00346857" w:rsidRPr="00704B08">
        <w:rPr>
          <w:rFonts w:ascii="Arial Narrow" w:hAnsi="Arial Narrow"/>
          <w:lang w:val="es-CR" w:eastAsia="es-CR"/>
        </w:rPr>
        <w:t xml:space="preserve"> </w:t>
      </w:r>
      <w:r w:rsidR="00DB7B3B">
        <w:rPr>
          <w:rFonts w:ascii="Arial Narrow" w:hAnsi="Arial Narrow"/>
          <w:lang w:val="es-CR" w:eastAsia="es-CR"/>
        </w:rPr>
        <w:t>I</w:t>
      </w:r>
      <w:r w:rsidR="009277DE" w:rsidRPr="00704B08">
        <w:rPr>
          <w:rFonts w:ascii="Arial Narrow" w:hAnsi="Arial Narrow"/>
          <w:lang w:val="es-CR" w:eastAsia="es-CR"/>
        </w:rPr>
        <w:t>mplementó</w:t>
      </w:r>
      <w:r w:rsidR="00346857" w:rsidRPr="00704B08">
        <w:rPr>
          <w:rFonts w:ascii="Arial Narrow" w:hAnsi="Arial Narrow"/>
          <w:lang w:val="es-CR" w:eastAsia="es-CR"/>
        </w:rPr>
        <w:t xml:space="preserve"> un registro de control interno</w:t>
      </w:r>
      <w:r w:rsidR="003B29E3" w:rsidRPr="00704B08">
        <w:rPr>
          <w:rFonts w:ascii="Arial Narrow" w:hAnsi="Arial Narrow"/>
          <w:lang w:val="es-CR" w:eastAsia="es-CR"/>
        </w:rPr>
        <w:t xml:space="preserve"> </w:t>
      </w:r>
      <w:r w:rsidR="00346857" w:rsidRPr="00704B08">
        <w:rPr>
          <w:rFonts w:ascii="Arial Narrow" w:hAnsi="Arial Narrow"/>
          <w:lang w:val="es-CR" w:eastAsia="es-CR"/>
        </w:rPr>
        <w:t xml:space="preserve">en Excel, para el registro específico de las sanciones por faltas a la ética, probidad, fraude de activos y evidencia, </w:t>
      </w:r>
      <w:r w:rsidR="00C63759" w:rsidRPr="009D5823">
        <w:rPr>
          <w:rFonts w:ascii="Arial Narrow" w:hAnsi="Arial Narrow"/>
          <w:lang w:val="es-CR" w:eastAsia="es-CR"/>
        </w:rPr>
        <w:t xml:space="preserve">esto </w:t>
      </w:r>
      <w:r w:rsidR="00346857" w:rsidRPr="00704B08">
        <w:rPr>
          <w:rFonts w:ascii="Arial Narrow" w:hAnsi="Arial Narrow"/>
          <w:lang w:val="es-CR" w:eastAsia="es-CR"/>
        </w:rPr>
        <w:t>como parte de los ejes estratégicos del proyecto sobre régimen disciplinario</w:t>
      </w:r>
      <w:r w:rsidR="00CD7A1C" w:rsidRPr="00704B08">
        <w:rPr>
          <w:rFonts w:ascii="Arial Narrow" w:hAnsi="Arial Narrow"/>
          <w:lang w:val="es-CR" w:eastAsia="es-CR"/>
        </w:rPr>
        <w:t xml:space="preserve">; </w:t>
      </w:r>
      <w:r w:rsidR="00C63759" w:rsidRPr="009D5823">
        <w:rPr>
          <w:rFonts w:ascii="Arial Narrow" w:hAnsi="Arial Narrow"/>
          <w:lang w:val="es-CR" w:eastAsia="es-CR"/>
        </w:rPr>
        <w:t>seguido, efectuó</w:t>
      </w:r>
      <w:r w:rsidR="00CD7A1C" w:rsidRPr="00704B08">
        <w:rPr>
          <w:rFonts w:ascii="Arial Narrow" w:hAnsi="Arial Narrow"/>
          <w:lang w:val="es-CR" w:eastAsia="es-CR"/>
        </w:rPr>
        <w:t xml:space="preserve"> </w:t>
      </w:r>
      <w:r w:rsidR="009277DE" w:rsidRPr="00704B08">
        <w:rPr>
          <w:rFonts w:ascii="Arial Narrow" w:hAnsi="Arial Narrow"/>
          <w:lang w:val="es-CR" w:eastAsia="es-CR"/>
        </w:rPr>
        <w:t xml:space="preserve">una reunión </w:t>
      </w:r>
      <w:r w:rsidR="00346857" w:rsidRPr="00704B08">
        <w:rPr>
          <w:rFonts w:ascii="Arial Narrow" w:hAnsi="Arial Narrow"/>
          <w:lang w:val="es-CR" w:eastAsia="es-CR"/>
        </w:rPr>
        <w:t xml:space="preserve">con el fin </w:t>
      </w:r>
      <w:r w:rsidR="00CD7A1C" w:rsidRPr="00704B08">
        <w:rPr>
          <w:rFonts w:ascii="Arial Narrow" w:hAnsi="Arial Narrow"/>
          <w:lang w:val="es-CR" w:eastAsia="es-CR"/>
        </w:rPr>
        <w:t>de atender</w:t>
      </w:r>
      <w:r w:rsidR="00346857" w:rsidRPr="00704B08">
        <w:rPr>
          <w:rFonts w:ascii="Arial Narrow" w:hAnsi="Arial Narrow"/>
          <w:lang w:val="es-CR" w:eastAsia="es-CR"/>
        </w:rPr>
        <w:t xml:space="preserve"> las mejoras de las plantillas correspondiente</w:t>
      </w:r>
      <w:r w:rsidR="009277DE" w:rsidRPr="00704B08">
        <w:rPr>
          <w:rFonts w:ascii="Arial Narrow" w:hAnsi="Arial Narrow"/>
          <w:lang w:val="es-CR" w:eastAsia="es-CR"/>
        </w:rPr>
        <w:t>s</w:t>
      </w:r>
      <w:r w:rsidR="00346857" w:rsidRPr="00704B08">
        <w:rPr>
          <w:rFonts w:ascii="Arial Narrow" w:hAnsi="Arial Narrow"/>
          <w:lang w:val="es-CR" w:eastAsia="es-CR"/>
        </w:rPr>
        <w:t xml:space="preserve"> a la información estadística que se genera por mes, considerando el uso del sistema escritorio virtual y sigma </w:t>
      </w:r>
      <w:r w:rsidR="00346857" w:rsidRPr="00704B08">
        <w:rPr>
          <w:rFonts w:ascii="Arial Narrow" w:hAnsi="Arial Narrow"/>
        </w:rPr>
        <w:t>como parte de los proyectos sobre el fortalecimiento del régimen de consecuencias</w:t>
      </w:r>
      <w:r w:rsidR="00CD7A1C" w:rsidRPr="00704B08">
        <w:rPr>
          <w:rFonts w:ascii="Arial Narrow" w:hAnsi="Arial Narrow"/>
        </w:rPr>
        <w:t>;</w:t>
      </w:r>
      <w:r w:rsidR="009277DE" w:rsidRPr="00704B08">
        <w:rPr>
          <w:rFonts w:ascii="Arial Narrow" w:hAnsi="Arial Narrow"/>
        </w:rPr>
        <w:t xml:space="preserve"> </w:t>
      </w:r>
      <w:r w:rsidR="00C63759" w:rsidRPr="009D5823">
        <w:rPr>
          <w:rFonts w:ascii="Arial Narrow" w:hAnsi="Arial Narrow"/>
        </w:rPr>
        <w:t xml:space="preserve">también, </w:t>
      </w:r>
      <w:r w:rsidR="009277DE" w:rsidRPr="00704B08">
        <w:rPr>
          <w:rFonts w:ascii="Arial Narrow" w:hAnsi="Arial Narrow"/>
        </w:rPr>
        <w:t>implementó</w:t>
      </w:r>
      <w:r w:rsidR="000D364F" w:rsidRPr="00704B08">
        <w:rPr>
          <w:rFonts w:ascii="Arial Narrow" w:hAnsi="Arial Narrow"/>
        </w:rPr>
        <w:t xml:space="preserve"> la herramienta </w:t>
      </w:r>
      <w:r w:rsidR="009277DE" w:rsidRPr="00704B08">
        <w:rPr>
          <w:rFonts w:ascii="Arial Narrow" w:hAnsi="Arial Narrow"/>
        </w:rPr>
        <w:t>llamada “</w:t>
      </w:r>
      <w:r w:rsidR="000D364F" w:rsidRPr="00704B08">
        <w:rPr>
          <w:rFonts w:ascii="Arial Narrow" w:hAnsi="Arial Narrow"/>
        </w:rPr>
        <w:t>Teams</w:t>
      </w:r>
      <w:r w:rsidR="009277DE" w:rsidRPr="00704B08">
        <w:rPr>
          <w:rFonts w:ascii="Arial Narrow" w:hAnsi="Arial Narrow"/>
        </w:rPr>
        <w:t>”</w:t>
      </w:r>
      <w:r w:rsidR="000D364F" w:rsidRPr="00704B08">
        <w:rPr>
          <w:rFonts w:ascii="Arial Narrow" w:hAnsi="Arial Narrow"/>
        </w:rPr>
        <w:t>, para la realización de las comparecencias, debido a las restricciones</w:t>
      </w:r>
      <w:r w:rsidR="00CD7A1C" w:rsidRPr="00704B08">
        <w:rPr>
          <w:rFonts w:ascii="Arial Narrow" w:hAnsi="Arial Narrow"/>
        </w:rPr>
        <w:t xml:space="preserve"> por medio del COVID 19</w:t>
      </w:r>
      <w:r w:rsidR="00C63759">
        <w:rPr>
          <w:rFonts w:ascii="Arial Narrow" w:hAnsi="Arial Narrow"/>
        </w:rPr>
        <w:t xml:space="preserve"> </w:t>
      </w:r>
      <w:r w:rsidR="000D364F" w:rsidRPr="00704B08">
        <w:rPr>
          <w:rFonts w:ascii="Arial Narrow" w:hAnsi="Arial Narrow"/>
        </w:rPr>
        <w:t>para realizar actividades presenciales, y con el fin de dar continuidad a las investigaciones disciplinarias</w:t>
      </w:r>
      <w:r w:rsidR="00CD7A1C" w:rsidRPr="00704B08">
        <w:rPr>
          <w:rFonts w:ascii="Arial Narrow" w:hAnsi="Arial Narrow"/>
        </w:rPr>
        <w:t>;</w:t>
      </w:r>
      <w:r w:rsidR="003B29E3" w:rsidRPr="00704B08">
        <w:rPr>
          <w:rFonts w:ascii="Arial Narrow" w:hAnsi="Arial Narrow"/>
        </w:rPr>
        <w:t xml:space="preserve"> </w:t>
      </w:r>
      <w:r w:rsidR="00C941C3">
        <w:rPr>
          <w:rFonts w:ascii="Arial Narrow" w:hAnsi="Arial Narrow"/>
        </w:rPr>
        <w:t>de igual manera</w:t>
      </w:r>
      <w:r w:rsidR="00C63759">
        <w:rPr>
          <w:rFonts w:ascii="Arial Narrow" w:hAnsi="Arial Narrow"/>
        </w:rPr>
        <w:t xml:space="preserve">, </w:t>
      </w:r>
      <w:r w:rsidR="009277DE" w:rsidRPr="00704B08">
        <w:rPr>
          <w:rFonts w:ascii="Arial Narrow" w:hAnsi="Arial Narrow"/>
        </w:rPr>
        <w:t>realizó una sesión de trabajo</w:t>
      </w:r>
      <w:r w:rsidR="000D364F" w:rsidRPr="00704B08">
        <w:rPr>
          <w:rFonts w:ascii="Arial Narrow" w:hAnsi="Arial Narrow"/>
          <w:lang w:val="es-CR" w:eastAsia="es-CR"/>
        </w:rPr>
        <w:t xml:space="preserve"> con los órganos de control del Poder Judicial (Inspección Judicial, Defensa Pública</w:t>
      </w:r>
      <w:r w:rsidR="00C941C3">
        <w:rPr>
          <w:rFonts w:ascii="Arial Narrow" w:hAnsi="Arial Narrow"/>
          <w:lang w:val="es-CR" w:eastAsia="es-CR"/>
        </w:rPr>
        <w:t>,</w:t>
      </w:r>
      <w:r w:rsidR="000D364F" w:rsidRPr="00704B08">
        <w:rPr>
          <w:rFonts w:ascii="Arial Narrow" w:hAnsi="Arial Narrow"/>
          <w:lang w:val="es-CR" w:eastAsia="es-CR"/>
        </w:rPr>
        <w:t xml:space="preserve"> Inspección Fiscal) </w:t>
      </w:r>
      <w:r w:rsidR="00C941C3">
        <w:rPr>
          <w:rFonts w:ascii="Arial Narrow" w:hAnsi="Arial Narrow"/>
          <w:lang w:val="es-CR" w:eastAsia="es-CR"/>
        </w:rPr>
        <w:t>con el objetivo de verificar</w:t>
      </w:r>
      <w:r w:rsidR="000D364F" w:rsidRPr="00704B08">
        <w:rPr>
          <w:rFonts w:ascii="Arial Narrow" w:hAnsi="Arial Narrow"/>
          <w:lang w:val="es-CR" w:eastAsia="es-CR"/>
        </w:rPr>
        <w:t xml:space="preserve"> el protocolo para audiencias por Teams como parte de las políticas axiológicas y la estrategia de comunicación interna, con las distintas instancias que conocen materia disciplinaria en el Poder Judicial</w:t>
      </w:r>
      <w:r w:rsidR="009277DE" w:rsidRPr="00704B08">
        <w:rPr>
          <w:rFonts w:ascii="Arial Narrow" w:hAnsi="Arial Narrow"/>
          <w:lang w:val="es-CR" w:eastAsia="es-CR"/>
        </w:rPr>
        <w:t xml:space="preserve"> y f</w:t>
      </w:r>
      <w:r w:rsidR="001B2ACF" w:rsidRPr="00704B08">
        <w:rPr>
          <w:rFonts w:ascii="Arial Narrow" w:hAnsi="Arial Narrow"/>
          <w:lang w:val="es-CR" w:eastAsia="es-CR"/>
        </w:rPr>
        <w:t xml:space="preserve">inalmente, </w:t>
      </w:r>
      <w:r w:rsidR="009277DE" w:rsidRPr="00704B08">
        <w:rPr>
          <w:rFonts w:ascii="Arial Narrow" w:hAnsi="Arial Narrow"/>
          <w:lang w:val="es-CR" w:eastAsia="es-CR"/>
        </w:rPr>
        <w:t>realizó</w:t>
      </w:r>
      <w:r w:rsidR="001B2ACF" w:rsidRPr="00704B08">
        <w:rPr>
          <w:rFonts w:ascii="Arial Narrow" w:hAnsi="Arial Narrow"/>
          <w:lang w:val="es-CR" w:eastAsia="es-CR"/>
        </w:rPr>
        <w:t xml:space="preserve"> mejoras </w:t>
      </w:r>
      <w:r w:rsidR="009277DE" w:rsidRPr="00704B08">
        <w:rPr>
          <w:rFonts w:ascii="Arial Narrow" w:hAnsi="Arial Narrow"/>
          <w:lang w:val="es-CR" w:eastAsia="es-CR"/>
        </w:rPr>
        <w:t>en la</w:t>
      </w:r>
      <w:r w:rsidR="001B2ACF" w:rsidRPr="00704B08">
        <w:rPr>
          <w:rFonts w:ascii="Arial Narrow" w:hAnsi="Arial Narrow"/>
          <w:lang w:val="es-CR" w:eastAsia="es-CR"/>
        </w:rPr>
        <w:t xml:space="preserve"> página WEB, donde las personas usuarias internas y externas, pueden consultar información, para acceder a los servicios que brinda la oficina</w:t>
      </w:r>
      <w:r w:rsidR="009277DE" w:rsidRPr="00704B08">
        <w:rPr>
          <w:rFonts w:ascii="Arial Narrow" w:hAnsi="Arial Narrow"/>
          <w:lang w:val="es-CR" w:eastAsia="es-CR"/>
        </w:rPr>
        <w:t>.</w:t>
      </w:r>
      <w:r w:rsidR="006B2739">
        <w:rPr>
          <w:rFonts w:ascii="Arial Narrow" w:hAnsi="Arial Narrow"/>
          <w:lang w:val="es-CR" w:eastAsia="es-CR"/>
        </w:rPr>
        <w:t xml:space="preserve"> Como resultado de lo anterior se observa el cumplimiento total de la meta estratégica para el 2019 y 2020.</w:t>
      </w:r>
    </w:p>
    <w:p w14:paraId="104C7DD6" w14:textId="618427EC" w:rsidR="00831CE6" w:rsidRDefault="00831CE6" w:rsidP="00741AE4">
      <w:pPr>
        <w:tabs>
          <w:tab w:val="left" w:pos="1070"/>
        </w:tabs>
        <w:rPr>
          <w:rFonts w:eastAsia="Calibri"/>
          <w:b/>
          <w:bCs/>
        </w:rPr>
      </w:pPr>
    </w:p>
    <w:p w14:paraId="24FB91AA" w14:textId="77777777" w:rsidR="00831CE6" w:rsidRPr="00704B08" w:rsidRDefault="00831CE6" w:rsidP="00704B08">
      <w:pPr>
        <w:tabs>
          <w:tab w:val="left" w:pos="1070"/>
        </w:tabs>
        <w:jc w:val="both"/>
        <w:rPr>
          <w:rFonts w:ascii="Arial Narrow" w:eastAsia="Calibri" w:hAnsi="Arial Narrow"/>
          <w:b/>
          <w:bCs/>
        </w:rPr>
      </w:pPr>
    </w:p>
    <w:p w14:paraId="32D54300" w14:textId="0F7DEB2C" w:rsidR="0061552A" w:rsidRPr="00704B08" w:rsidRDefault="00AB78AD" w:rsidP="00704B08">
      <w:pPr>
        <w:spacing w:line="360" w:lineRule="auto"/>
        <w:jc w:val="both"/>
        <w:rPr>
          <w:rFonts w:ascii="Arial Narrow" w:hAnsi="Arial Narrow"/>
          <w:b/>
          <w:bCs/>
          <w:noProof/>
        </w:rPr>
      </w:pPr>
      <w:r>
        <w:rPr>
          <w:rFonts w:ascii="Arial Narrow" w:eastAsia="Calibri" w:hAnsi="Arial Narrow"/>
        </w:rPr>
        <w:t xml:space="preserve">Por su parte, </w:t>
      </w:r>
      <w:r w:rsidRPr="002E0B96">
        <w:rPr>
          <w:rFonts w:ascii="Arial Narrow" w:eastAsia="Calibri" w:hAnsi="Arial Narrow"/>
        </w:rPr>
        <w:t>la meta estratégica</w:t>
      </w:r>
      <w:r w:rsidRPr="002E0B96">
        <w:rPr>
          <w:rFonts w:ascii="Arial Narrow" w:eastAsia="Calibri" w:hAnsi="Arial Narrow"/>
          <w:b/>
          <w:bCs/>
        </w:rPr>
        <w:t xml:space="preserve"> </w:t>
      </w:r>
      <w:r>
        <w:rPr>
          <w:rFonts w:ascii="Arial Narrow" w:eastAsia="Calibri" w:hAnsi="Arial Narrow"/>
          <w:b/>
          <w:bCs/>
        </w:rPr>
        <w:t>“</w:t>
      </w:r>
      <w:r w:rsidR="0061552A" w:rsidRPr="00704B08">
        <w:rPr>
          <w:rFonts w:ascii="Arial Narrow" w:hAnsi="Arial Narrow"/>
          <w:b/>
          <w:bCs/>
          <w:i/>
          <w:iCs/>
          <w:noProof/>
        </w:rPr>
        <w:t xml:space="preserve">Que al finalizar el 2024, se haya establecido e implementado un modelo de supervisión administrativa y técnica de la gestión de las Fiscalías, que contribuya a </w:t>
      </w:r>
      <w:r w:rsidR="0061552A" w:rsidRPr="00704B08">
        <w:rPr>
          <w:rFonts w:ascii="Arial Narrow" w:hAnsi="Arial Narrow"/>
          <w:b/>
          <w:bCs/>
          <w:i/>
          <w:iCs/>
          <w:noProof/>
        </w:rPr>
        <w:lastRenderedPageBreak/>
        <w:t>mejorar el servicio público</w:t>
      </w:r>
      <w:r>
        <w:rPr>
          <w:rFonts w:ascii="Arial Narrow" w:hAnsi="Arial Narrow"/>
          <w:b/>
          <w:bCs/>
          <w:i/>
          <w:iCs/>
          <w:noProof/>
        </w:rPr>
        <w:t>”</w:t>
      </w:r>
      <w:r w:rsidR="006B2739" w:rsidRPr="006B2739">
        <w:rPr>
          <w:rFonts w:ascii="Arial Narrow" w:hAnsi="Arial Narrow"/>
          <w:b/>
          <w:bCs/>
          <w:noProof/>
        </w:rPr>
        <w:t xml:space="preserve"> </w:t>
      </w:r>
      <w:r w:rsidR="00C46923" w:rsidRPr="00704B08">
        <w:rPr>
          <w:rFonts w:ascii="Arial Narrow" w:hAnsi="Arial Narrow"/>
          <w:lang w:val="es-CR" w:eastAsia="es-CR"/>
        </w:rPr>
        <w:t xml:space="preserve">la Unidad de la Inspección Judicial </w:t>
      </w:r>
      <w:r w:rsidR="00831CE6" w:rsidRPr="00704B08">
        <w:rPr>
          <w:rFonts w:ascii="Arial Narrow" w:hAnsi="Arial Narrow"/>
          <w:lang w:val="es-CR" w:eastAsia="es-CR"/>
        </w:rPr>
        <w:t>comunica por medio el sistema PAO</w:t>
      </w:r>
      <w:r>
        <w:rPr>
          <w:rFonts w:ascii="Arial Narrow" w:hAnsi="Arial Narrow"/>
          <w:lang w:val="es-CR" w:eastAsia="es-CR"/>
        </w:rPr>
        <w:t xml:space="preserve"> que para los años 2019 y 2020</w:t>
      </w:r>
      <w:r w:rsidR="00831CE6" w:rsidRPr="00704B08">
        <w:rPr>
          <w:rFonts w:ascii="Arial Narrow" w:hAnsi="Arial Narrow"/>
          <w:lang w:val="es-CR" w:eastAsia="es-CR"/>
        </w:rPr>
        <w:t xml:space="preserve"> </w:t>
      </w:r>
      <w:r w:rsidR="00C46923" w:rsidRPr="00704B08">
        <w:rPr>
          <w:rFonts w:ascii="Arial Narrow" w:hAnsi="Arial Narrow"/>
          <w:lang w:val="es-CR" w:eastAsia="es-CR"/>
        </w:rPr>
        <w:t xml:space="preserve">elaboró una propuesta de modelo </w:t>
      </w:r>
      <w:r w:rsidR="00831CE6" w:rsidRPr="00704B08">
        <w:rPr>
          <w:rFonts w:ascii="Arial Narrow" w:hAnsi="Arial Narrow"/>
          <w:lang w:val="es-CR" w:eastAsia="es-CR"/>
        </w:rPr>
        <w:t xml:space="preserve">para </w:t>
      </w:r>
      <w:r w:rsidR="00C46923" w:rsidRPr="00704B08">
        <w:rPr>
          <w:rFonts w:ascii="Arial Narrow" w:hAnsi="Arial Narrow"/>
          <w:lang w:val="es-CR" w:eastAsia="es-CR"/>
        </w:rPr>
        <w:t>i</w:t>
      </w:r>
      <w:r w:rsidR="00F51E63" w:rsidRPr="00704B08">
        <w:rPr>
          <w:rFonts w:ascii="Arial Narrow" w:hAnsi="Arial Narrow"/>
          <w:lang w:val="es-CR" w:eastAsia="es-CR"/>
        </w:rPr>
        <w:t>mplementar y dar seguimiento al modelo de supervisión administrativa y técnica de la gestión de las Fiscalías.</w:t>
      </w:r>
      <w:r w:rsidR="00C46923" w:rsidRPr="00704B08">
        <w:rPr>
          <w:rFonts w:ascii="Arial Narrow" w:hAnsi="Arial Narrow"/>
          <w:lang w:val="es-CR" w:eastAsia="es-CR"/>
        </w:rPr>
        <w:t xml:space="preserve"> </w:t>
      </w:r>
      <w:r w:rsidR="0042685F">
        <w:rPr>
          <w:rFonts w:ascii="Arial Narrow" w:hAnsi="Arial Narrow"/>
          <w:lang w:val="es-CR" w:eastAsia="es-CR"/>
        </w:rPr>
        <w:t>De lo anterior, se muestra un cumplimiento de un 100% en ambos años y un 20% en el cumplimiento acumulado.</w:t>
      </w:r>
    </w:p>
    <w:p w14:paraId="4F6A62D6" w14:textId="657BBFC2" w:rsidR="00C46923" w:rsidRDefault="00C46923" w:rsidP="00CC5FDB"/>
    <w:p w14:paraId="365CC061" w14:textId="77777777" w:rsidR="009D5823" w:rsidRDefault="009D5823" w:rsidP="00CC5FDB">
      <w:pPr>
        <w:sectPr w:rsidR="009D5823" w:rsidSect="009D5823">
          <w:pgSz w:w="12242" w:h="15842" w:code="1"/>
          <w:pgMar w:top="1701" w:right="1417" w:bottom="1701" w:left="1417" w:header="709" w:footer="709" w:gutter="0"/>
          <w:cols w:space="708"/>
          <w:docGrid w:linePitch="360"/>
        </w:sectPr>
      </w:pPr>
    </w:p>
    <w:p w14:paraId="577858D5" w14:textId="49B16AD8" w:rsidR="0042685F" w:rsidRDefault="0042685F" w:rsidP="00CC5FDB"/>
    <w:p w14:paraId="4D372896" w14:textId="509891CA" w:rsidR="0042685F" w:rsidRDefault="0042685F" w:rsidP="00CC5FDB"/>
    <w:p w14:paraId="081DE421" w14:textId="77777777" w:rsidR="0042685F" w:rsidRDefault="0042685F" w:rsidP="00CC5FDB"/>
    <w:p w14:paraId="16C6101D" w14:textId="6CB3A789" w:rsidR="0042685F" w:rsidRDefault="0042685F" w:rsidP="0042685F">
      <w:pPr>
        <w:pStyle w:val="Descripcin"/>
        <w:jc w:val="center"/>
        <w:rPr>
          <w:rFonts w:ascii="Arial Narrow" w:eastAsia="Calibri" w:hAnsi="Arial Narrow"/>
          <w:sz w:val="24"/>
          <w:szCs w:val="24"/>
        </w:rPr>
      </w:pPr>
      <w:bookmarkStart w:id="53" w:name="_Toc76062253"/>
      <w:r w:rsidRPr="00484CC1">
        <w:rPr>
          <w:rFonts w:ascii="Arial Narrow" w:hAnsi="Arial Narrow"/>
          <w:sz w:val="24"/>
          <w:szCs w:val="24"/>
        </w:rPr>
        <w:t>Cuadro</w:t>
      </w:r>
      <w:r>
        <w:rPr>
          <w:rFonts w:ascii="Arial Narrow" w:hAnsi="Arial Narrow"/>
          <w:sz w:val="24"/>
          <w:szCs w:val="24"/>
        </w:rPr>
        <w:t xml:space="preserve"> </w:t>
      </w:r>
      <w:r w:rsidRPr="00484CC1">
        <w:rPr>
          <w:rFonts w:ascii="Arial Narrow" w:hAnsi="Arial Narrow"/>
          <w:sz w:val="24"/>
          <w:szCs w:val="24"/>
        </w:rPr>
        <w:fldChar w:fldCharType="begin"/>
      </w:r>
      <w:r w:rsidRPr="00484CC1">
        <w:rPr>
          <w:rFonts w:ascii="Arial Narrow" w:hAnsi="Arial Narrow"/>
          <w:sz w:val="24"/>
          <w:szCs w:val="24"/>
        </w:rPr>
        <w:instrText xml:space="preserve"> SEQ Cuadro_No. \* ARABIC </w:instrText>
      </w:r>
      <w:r w:rsidRPr="00484CC1">
        <w:rPr>
          <w:rFonts w:ascii="Arial Narrow" w:hAnsi="Arial Narrow"/>
          <w:sz w:val="24"/>
          <w:szCs w:val="24"/>
        </w:rPr>
        <w:fldChar w:fldCharType="separate"/>
      </w:r>
      <w:r w:rsidR="009D5823">
        <w:rPr>
          <w:rFonts w:ascii="Arial Narrow" w:hAnsi="Arial Narrow"/>
          <w:noProof/>
          <w:sz w:val="24"/>
          <w:szCs w:val="24"/>
        </w:rPr>
        <w:t>30</w:t>
      </w:r>
      <w:r w:rsidRPr="00484CC1">
        <w:rPr>
          <w:rFonts w:ascii="Arial Narrow" w:hAnsi="Arial Narrow"/>
          <w:sz w:val="24"/>
          <w:szCs w:val="24"/>
        </w:rPr>
        <w:fldChar w:fldCharType="end"/>
      </w:r>
      <w:r w:rsidRPr="00484CC1">
        <w:rPr>
          <w:rFonts w:ascii="Arial Narrow" w:hAnsi="Arial Narrow"/>
          <w:sz w:val="24"/>
          <w:szCs w:val="24"/>
        </w:rPr>
        <w:t xml:space="preserve"> </w:t>
      </w:r>
      <w:r w:rsidRPr="00D657CE">
        <w:rPr>
          <w:rFonts w:ascii="Arial Narrow" w:eastAsia="Calibri" w:hAnsi="Arial Narrow"/>
          <w:sz w:val="24"/>
          <w:szCs w:val="24"/>
        </w:rPr>
        <w:t xml:space="preserve">Metas estratégicas de </w:t>
      </w:r>
      <w:r>
        <w:rPr>
          <w:rFonts w:ascii="Arial Narrow" w:eastAsia="Calibri" w:hAnsi="Arial Narrow"/>
          <w:sz w:val="24"/>
          <w:szCs w:val="24"/>
        </w:rPr>
        <w:t xml:space="preserve">Probidad y anticorrupción </w:t>
      </w:r>
      <w:r w:rsidRPr="00D657CE">
        <w:rPr>
          <w:rFonts w:ascii="Arial Narrow" w:eastAsia="Calibri" w:hAnsi="Arial Narrow"/>
          <w:sz w:val="24"/>
          <w:szCs w:val="24"/>
        </w:rPr>
        <w:t>y su cumplimiento para el 2019</w:t>
      </w:r>
      <w:r>
        <w:rPr>
          <w:rFonts w:ascii="Arial Narrow" w:eastAsia="Calibri" w:hAnsi="Arial Narrow"/>
          <w:sz w:val="24"/>
          <w:szCs w:val="24"/>
        </w:rPr>
        <w:t xml:space="preserve"> y 2020.</w:t>
      </w:r>
      <w:bookmarkEnd w:id="53"/>
    </w:p>
    <w:p w14:paraId="65E17EB0" w14:textId="77777777" w:rsidR="0042685F" w:rsidRDefault="0042685F" w:rsidP="00CC5FDB"/>
    <w:p w14:paraId="27B33CC0" w14:textId="5B2D2BEF" w:rsidR="00C46923" w:rsidRDefault="00071801" w:rsidP="00CC5FDB">
      <w:r>
        <w:rPr>
          <w:noProof/>
          <w:lang w:val="es-CR" w:eastAsia="es-CR"/>
        </w:rPr>
        <w:drawing>
          <wp:inline distT="0" distB="0" distL="0" distR="0" wp14:anchorId="6EFB5952" wp14:editId="17E3FCD2">
            <wp:extent cx="7861300" cy="3574155"/>
            <wp:effectExtent l="19050" t="19050" r="25400" b="26670"/>
            <wp:docPr id="164" name="Imagen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2"/>
                    <a:srcRect l="482" r="1"/>
                    <a:stretch/>
                  </pic:blipFill>
                  <pic:spPr bwMode="auto">
                    <a:xfrm>
                      <a:off x="0" y="0"/>
                      <a:ext cx="7868460" cy="3577410"/>
                    </a:xfrm>
                    <a:prstGeom prst="rect">
                      <a:avLst/>
                    </a:prstGeom>
                    <a:ln w="9525">
                      <a:solidFill>
                        <a:srgbClr val="00B0F0"/>
                      </a:solidFill>
                    </a:ln>
                    <a:extLst>
                      <a:ext uri="{53640926-AAD7-44D8-BBD7-CCE9431645EC}">
                        <a14:shadowObscured xmlns:a14="http://schemas.microsoft.com/office/drawing/2010/main"/>
                      </a:ext>
                    </a:extLst>
                  </pic:spPr>
                </pic:pic>
              </a:graphicData>
            </a:graphic>
          </wp:inline>
        </w:drawing>
      </w:r>
    </w:p>
    <w:p w14:paraId="2D2951B2" w14:textId="1F7B1E31" w:rsidR="00CC5FDB" w:rsidRDefault="00CC5FDB" w:rsidP="00CC5FDB">
      <w:pPr>
        <w:rPr>
          <w:rFonts w:eastAsia="Calibri"/>
        </w:rPr>
      </w:pPr>
    </w:p>
    <w:p w14:paraId="654B72B6" w14:textId="0CB1CEB6" w:rsidR="00D2246B" w:rsidRDefault="00D718F0" w:rsidP="00D2246B">
      <w:pPr>
        <w:ind w:left="-142"/>
        <w:rPr>
          <w:rFonts w:ascii="Arial Narrow" w:eastAsia="Calibri" w:hAnsi="Arial Narrow"/>
          <w:sz w:val="18"/>
          <w:szCs w:val="18"/>
          <w:lang w:eastAsia="en-US"/>
        </w:rPr>
      </w:pPr>
      <w:r>
        <w:rPr>
          <w:rFonts w:ascii="Arial Narrow" w:eastAsia="Calibri" w:hAnsi="Arial Narrow"/>
          <w:sz w:val="18"/>
          <w:szCs w:val="18"/>
          <w:lang w:eastAsia="en-US"/>
        </w:rPr>
        <w:t xml:space="preserve">     </w:t>
      </w:r>
      <w:r w:rsidR="00D2246B" w:rsidRPr="000B4845">
        <w:rPr>
          <w:rFonts w:ascii="Arial Narrow" w:eastAsia="Calibri" w:hAnsi="Arial Narrow"/>
          <w:sz w:val="18"/>
          <w:szCs w:val="18"/>
          <w:lang w:eastAsia="en-US"/>
        </w:rPr>
        <w:t>Fuente: Sistema PEI al 24 de enero del 2020 (año 2019)</w:t>
      </w:r>
      <w:r w:rsidR="00D2246B">
        <w:rPr>
          <w:rFonts w:ascii="Arial Narrow" w:eastAsia="Calibri" w:hAnsi="Arial Narrow"/>
          <w:sz w:val="18"/>
          <w:szCs w:val="18"/>
          <w:lang w:eastAsia="en-US"/>
        </w:rPr>
        <w:t xml:space="preserve"> y 04 de marzo del 2021 (año 2020).</w:t>
      </w:r>
    </w:p>
    <w:p w14:paraId="6105D883" w14:textId="4578BC75" w:rsidR="00167677" w:rsidRDefault="00167677" w:rsidP="00CC5FDB">
      <w:pPr>
        <w:rPr>
          <w:rFonts w:eastAsia="Calibri"/>
          <w:b/>
          <w:bCs/>
        </w:rPr>
      </w:pPr>
    </w:p>
    <w:p w14:paraId="1E7C9933" w14:textId="77777777" w:rsidR="009D5823" w:rsidRDefault="009D5823" w:rsidP="00CC5FDB">
      <w:pPr>
        <w:rPr>
          <w:rFonts w:eastAsia="Calibri"/>
          <w:b/>
          <w:bCs/>
        </w:rPr>
        <w:sectPr w:rsidR="009D5823" w:rsidSect="009D5823">
          <w:pgSz w:w="15842" w:h="12242" w:orient="landscape" w:code="1"/>
          <w:pgMar w:top="1417" w:right="1701" w:bottom="1417" w:left="1701" w:header="709" w:footer="709" w:gutter="0"/>
          <w:cols w:space="708"/>
          <w:docGrid w:linePitch="360"/>
        </w:sectPr>
      </w:pPr>
    </w:p>
    <w:p w14:paraId="1C35A21A" w14:textId="77777777" w:rsidR="0042685F" w:rsidRDefault="0042685F" w:rsidP="00CC5FDB">
      <w:pPr>
        <w:rPr>
          <w:rFonts w:eastAsia="Calibri"/>
          <w:b/>
          <w:bCs/>
        </w:rPr>
      </w:pPr>
    </w:p>
    <w:p w14:paraId="574D101D" w14:textId="77A27524" w:rsidR="00AB459A" w:rsidRPr="00704B08" w:rsidRDefault="0098222F" w:rsidP="00704B08">
      <w:pPr>
        <w:spacing w:line="360" w:lineRule="auto"/>
        <w:jc w:val="both"/>
        <w:rPr>
          <w:rFonts w:ascii="Arial Narrow" w:eastAsia="Calibri" w:hAnsi="Arial Narrow"/>
          <w:b/>
          <w:bCs/>
        </w:rPr>
      </w:pPr>
      <w:r w:rsidRPr="002E0B96">
        <w:rPr>
          <w:rFonts w:ascii="Arial Narrow" w:eastAsia="Calibri" w:hAnsi="Arial Narrow"/>
        </w:rPr>
        <w:t>Con respecto a la meta estratégica</w:t>
      </w:r>
      <w:r w:rsidRPr="002E0B96">
        <w:rPr>
          <w:rFonts w:ascii="Arial Narrow" w:eastAsia="Calibri" w:hAnsi="Arial Narrow"/>
          <w:b/>
          <w:bCs/>
        </w:rPr>
        <w:t xml:space="preserve"> </w:t>
      </w:r>
      <w:r>
        <w:rPr>
          <w:rFonts w:ascii="Arial Narrow" w:eastAsia="Calibri" w:hAnsi="Arial Narrow"/>
          <w:b/>
          <w:bCs/>
        </w:rPr>
        <w:t>“</w:t>
      </w:r>
      <w:r w:rsidR="0061552A" w:rsidRPr="00704B08">
        <w:rPr>
          <w:rFonts w:ascii="Arial Narrow" w:eastAsia="Calibri" w:hAnsi="Arial Narrow"/>
          <w:b/>
          <w:bCs/>
          <w:i/>
          <w:iCs/>
        </w:rPr>
        <w:t>Que al finalizar el 2024, se haya implementado los mecanismos definidos para mejorar los procesos de control sobre el tema de corrupción, tráfico de influencias y conflictos de intereses</w:t>
      </w:r>
      <w:r>
        <w:rPr>
          <w:rFonts w:ascii="Arial Narrow" w:eastAsia="Calibri" w:hAnsi="Arial Narrow"/>
          <w:b/>
          <w:bCs/>
        </w:rPr>
        <w:t xml:space="preserve">” </w:t>
      </w:r>
      <w:r>
        <w:rPr>
          <w:rFonts w:ascii="Arial Narrow" w:eastAsia="Calibri" w:hAnsi="Arial Narrow"/>
        </w:rPr>
        <w:t>s</w:t>
      </w:r>
      <w:r w:rsidR="00AB459A" w:rsidRPr="002A3649">
        <w:rPr>
          <w:rFonts w:ascii="Arial Narrow" w:hAnsi="Arial Narrow"/>
          <w:lang w:val="es-CR" w:eastAsia="es-CR"/>
        </w:rPr>
        <w:t>e</w:t>
      </w:r>
      <w:r w:rsidR="00AB459A" w:rsidRPr="00704B08">
        <w:rPr>
          <w:rFonts w:ascii="Arial Narrow" w:hAnsi="Arial Narrow"/>
          <w:lang w:val="es-CR" w:eastAsia="es-CR"/>
        </w:rPr>
        <w:t xml:space="preserve"> observa que </w:t>
      </w:r>
      <w:r w:rsidR="0026099A">
        <w:rPr>
          <w:rFonts w:ascii="Arial Narrow" w:hAnsi="Arial Narrow"/>
          <w:lang w:val="es-CR" w:eastAsia="es-CR"/>
        </w:rPr>
        <w:t>e</w:t>
      </w:r>
      <w:r w:rsidR="0026099A" w:rsidRPr="002A3649">
        <w:rPr>
          <w:rFonts w:ascii="Arial Narrow" w:hAnsi="Arial Narrow"/>
          <w:lang w:val="es-CR" w:eastAsia="es-CR"/>
        </w:rPr>
        <w:t xml:space="preserve">l Organismo de Investigación </w:t>
      </w:r>
      <w:r w:rsidR="0026099A" w:rsidRPr="0026099A">
        <w:rPr>
          <w:rFonts w:ascii="Arial Narrow" w:hAnsi="Arial Narrow"/>
          <w:lang w:val="es-CR" w:eastAsia="es-CR"/>
        </w:rPr>
        <w:t>Judicial cuenta</w:t>
      </w:r>
      <w:r w:rsidR="00AB459A" w:rsidRPr="00704B08">
        <w:rPr>
          <w:rFonts w:ascii="Arial Narrow" w:hAnsi="Arial Narrow"/>
          <w:lang w:val="es-CR" w:eastAsia="es-CR"/>
        </w:rPr>
        <w:t xml:space="preserve"> con la información solicitada en est</w:t>
      </w:r>
      <w:r w:rsidR="0026099A" w:rsidRPr="002A3649">
        <w:rPr>
          <w:rFonts w:ascii="Arial Narrow" w:hAnsi="Arial Narrow"/>
          <w:lang w:val="es-CR" w:eastAsia="es-CR"/>
        </w:rPr>
        <w:t>a meta estratégica</w:t>
      </w:r>
      <w:r w:rsidR="0042685F">
        <w:rPr>
          <w:rFonts w:ascii="Arial Narrow" w:hAnsi="Arial Narrow"/>
          <w:lang w:val="es-CR" w:eastAsia="es-CR"/>
        </w:rPr>
        <w:t xml:space="preserve"> para el año 2019 y 2020.</w:t>
      </w:r>
      <w:r w:rsidR="0026099A" w:rsidRPr="0026099A">
        <w:rPr>
          <w:rFonts w:ascii="Arial Narrow" w:hAnsi="Arial Narrow"/>
          <w:lang w:val="es-CR" w:eastAsia="es-CR"/>
        </w:rPr>
        <w:t xml:space="preserve"> Al respecto</w:t>
      </w:r>
      <w:r w:rsidR="005C4C02">
        <w:rPr>
          <w:rFonts w:ascii="Arial Narrow" w:hAnsi="Arial Narrow"/>
          <w:lang w:val="es-CR" w:eastAsia="es-CR"/>
        </w:rPr>
        <w:t>,</w:t>
      </w:r>
      <w:r w:rsidR="0026099A" w:rsidRPr="0026099A">
        <w:rPr>
          <w:rFonts w:ascii="Arial Narrow" w:hAnsi="Arial Narrow"/>
          <w:lang w:val="es-CR" w:eastAsia="es-CR"/>
        </w:rPr>
        <w:t xml:space="preserve"> se tiene el </w:t>
      </w:r>
      <w:r w:rsidR="00167677" w:rsidRPr="00704B08">
        <w:rPr>
          <w:rFonts w:ascii="Arial Narrow" w:hAnsi="Arial Narrow"/>
          <w:lang w:val="es-CR" w:eastAsia="es-CR"/>
        </w:rPr>
        <w:t>diseñ</w:t>
      </w:r>
      <w:r w:rsidR="0026099A" w:rsidRPr="002A3649">
        <w:rPr>
          <w:rFonts w:ascii="Arial Narrow" w:hAnsi="Arial Narrow"/>
          <w:lang w:val="es-CR" w:eastAsia="es-CR"/>
        </w:rPr>
        <w:t>o d</w:t>
      </w:r>
      <w:r w:rsidR="0026099A" w:rsidRPr="0026099A">
        <w:rPr>
          <w:rFonts w:ascii="Arial Narrow" w:hAnsi="Arial Narrow"/>
          <w:lang w:val="es-CR" w:eastAsia="es-CR"/>
        </w:rPr>
        <w:t xml:space="preserve">el </w:t>
      </w:r>
      <w:r w:rsidR="00B4145B" w:rsidRPr="0026099A">
        <w:rPr>
          <w:rFonts w:ascii="Arial Narrow" w:hAnsi="Arial Narrow"/>
          <w:lang w:val="es-CR" w:eastAsia="es-CR"/>
        </w:rPr>
        <w:t>p</w:t>
      </w:r>
      <w:r w:rsidR="00167677" w:rsidRPr="00704B08">
        <w:rPr>
          <w:rFonts w:ascii="Arial Narrow" w:hAnsi="Arial Narrow"/>
          <w:lang w:val="es-CR" w:eastAsia="es-CR"/>
        </w:rPr>
        <w:t>lan</w:t>
      </w:r>
      <w:r w:rsidR="0026099A" w:rsidRPr="002A3649">
        <w:rPr>
          <w:rFonts w:ascii="Arial Narrow" w:hAnsi="Arial Narrow"/>
          <w:lang w:val="es-CR" w:eastAsia="es-CR"/>
        </w:rPr>
        <w:t xml:space="preserve"> de</w:t>
      </w:r>
      <w:r w:rsidR="00167677" w:rsidRPr="00704B08">
        <w:rPr>
          <w:rFonts w:ascii="Arial Narrow" w:hAnsi="Arial Narrow"/>
          <w:lang w:val="es-CR" w:eastAsia="es-CR"/>
        </w:rPr>
        <w:t xml:space="preserve"> Anticorrupción de</w:t>
      </w:r>
      <w:r w:rsidR="005C4C02">
        <w:rPr>
          <w:rFonts w:ascii="Arial Narrow" w:hAnsi="Arial Narrow"/>
          <w:lang w:val="es-CR" w:eastAsia="es-CR"/>
        </w:rPr>
        <w:t>l</w:t>
      </w:r>
      <w:r w:rsidR="00167677" w:rsidRPr="00704B08">
        <w:rPr>
          <w:rFonts w:ascii="Arial Narrow" w:hAnsi="Arial Narrow"/>
          <w:lang w:val="es-CR" w:eastAsia="es-CR"/>
        </w:rPr>
        <w:t xml:space="preserve"> OIJ</w:t>
      </w:r>
      <w:r w:rsidR="0042685F">
        <w:rPr>
          <w:rFonts w:ascii="Arial Narrow" w:hAnsi="Arial Narrow"/>
          <w:lang w:val="es-CR" w:eastAsia="es-CR"/>
        </w:rPr>
        <w:t xml:space="preserve"> 2019-2020 y </w:t>
      </w:r>
      <w:r w:rsidR="0042685F" w:rsidRPr="0026099A">
        <w:rPr>
          <w:rFonts w:ascii="Arial Narrow" w:hAnsi="Arial Narrow"/>
          <w:lang w:val="es-CR" w:eastAsia="es-CR"/>
        </w:rPr>
        <w:t>2020</w:t>
      </w:r>
      <w:r w:rsidR="00167677" w:rsidRPr="00704B08">
        <w:rPr>
          <w:rFonts w:ascii="Arial Narrow" w:hAnsi="Arial Narrow"/>
          <w:lang w:val="es-CR" w:eastAsia="es-CR"/>
        </w:rPr>
        <w:t xml:space="preserve">-2021, el cual </w:t>
      </w:r>
      <w:r w:rsidR="00AB459A" w:rsidRPr="002A3649">
        <w:rPr>
          <w:rFonts w:ascii="Arial Narrow" w:hAnsi="Arial Narrow"/>
          <w:lang w:val="es-CR" w:eastAsia="es-CR"/>
        </w:rPr>
        <w:t>fue</w:t>
      </w:r>
      <w:r w:rsidR="00167677" w:rsidRPr="00704B08">
        <w:rPr>
          <w:rFonts w:ascii="Arial Narrow" w:hAnsi="Arial Narrow"/>
          <w:lang w:val="es-CR" w:eastAsia="es-CR"/>
        </w:rPr>
        <w:t xml:space="preserve"> socializado por </w:t>
      </w:r>
      <w:r w:rsidR="0026099A" w:rsidRPr="002A3649">
        <w:rPr>
          <w:rFonts w:ascii="Arial Narrow" w:hAnsi="Arial Narrow"/>
          <w:lang w:val="es-CR" w:eastAsia="es-CR"/>
        </w:rPr>
        <w:t>dicha Dirección de</w:t>
      </w:r>
      <w:r w:rsidR="00167677" w:rsidRPr="00704B08">
        <w:rPr>
          <w:rFonts w:ascii="Arial Narrow" w:hAnsi="Arial Narrow"/>
          <w:lang w:val="es-CR" w:eastAsia="es-CR"/>
        </w:rPr>
        <w:t xml:space="preserve"> manera digital para todas las dependencias de la institución.</w:t>
      </w:r>
      <w:r w:rsidR="0026099A" w:rsidRPr="002A3649">
        <w:rPr>
          <w:rFonts w:ascii="Arial Narrow" w:eastAsia="Calibri" w:hAnsi="Arial Narrow"/>
        </w:rPr>
        <w:t xml:space="preserve"> </w:t>
      </w:r>
      <w:r w:rsidR="00AB459A" w:rsidRPr="00704B08">
        <w:rPr>
          <w:rFonts w:ascii="Arial Narrow" w:eastAsia="Calibri" w:hAnsi="Arial Narrow"/>
        </w:rPr>
        <w:t xml:space="preserve">Por otra parte, </w:t>
      </w:r>
      <w:r w:rsidR="00AB459A" w:rsidRPr="002A3649">
        <w:rPr>
          <w:rFonts w:ascii="Arial Narrow" w:hAnsi="Arial Narrow"/>
        </w:rPr>
        <w:t>s</w:t>
      </w:r>
      <w:r w:rsidR="00AB459A" w:rsidRPr="00704B08">
        <w:rPr>
          <w:rFonts w:ascii="Arial Narrow" w:hAnsi="Arial Narrow"/>
        </w:rPr>
        <w:t xml:space="preserve">e impartió </w:t>
      </w:r>
      <w:r w:rsidR="00AB459A" w:rsidRPr="002A3649">
        <w:rPr>
          <w:rFonts w:ascii="Arial Narrow" w:hAnsi="Arial Narrow"/>
        </w:rPr>
        <w:t xml:space="preserve">la </w:t>
      </w:r>
      <w:r w:rsidR="00AB459A" w:rsidRPr="00704B08">
        <w:rPr>
          <w:rFonts w:ascii="Arial Narrow" w:hAnsi="Arial Narrow"/>
        </w:rPr>
        <w:t xml:space="preserve">charla </w:t>
      </w:r>
      <w:r w:rsidR="00AB459A" w:rsidRPr="002A3649">
        <w:rPr>
          <w:rFonts w:ascii="Arial Narrow" w:hAnsi="Arial Narrow"/>
        </w:rPr>
        <w:t xml:space="preserve">llamada </w:t>
      </w:r>
      <w:r w:rsidR="00AB459A" w:rsidRPr="0026099A">
        <w:rPr>
          <w:rFonts w:ascii="Arial Narrow" w:hAnsi="Arial Narrow"/>
        </w:rPr>
        <w:t>“</w:t>
      </w:r>
      <w:r w:rsidR="00AB459A" w:rsidRPr="00704B08">
        <w:rPr>
          <w:rFonts w:ascii="Arial Narrow" w:hAnsi="Arial Narrow"/>
          <w:i/>
          <w:iCs/>
        </w:rPr>
        <w:t>Regulación para la prevención, identificación y la gestión adecuada de los conflictos de intereses en el Poder Judicial”</w:t>
      </w:r>
      <w:r w:rsidR="00AB459A" w:rsidRPr="002A3649">
        <w:rPr>
          <w:rFonts w:ascii="Arial Narrow" w:hAnsi="Arial Narrow"/>
        </w:rPr>
        <w:t xml:space="preserve"> </w:t>
      </w:r>
      <w:r w:rsidR="00AB459A" w:rsidRPr="00704B08">
        <w:rPr>
          <w:rFonts w:ascii="Arial Narrow" w:hAnsi="Arial Narrow"/>
        </w:rPr>
        <w:t>a las jefaturas de OIJ el 06 de marzo del 20</w:t>
      </w:r>
      <w:r w:rsidR="0026099A" w:rsidRPr="002A3649">
        <w:rPr>
          <w:rFonts w:ascii="Arial Narrow" w:hAnsi="Arial Narrow"/>
        </w:rPr>
        <w:t xml:space="preserve">20 y finalmente, </w:t>
      </w:r>
      <w:r w:rsidR="0026099A">
        <w:rPr>
          <w:rFonts w:ascii="Arial Narrow" w:hAnsi="Arial Narrow"/>
        </w:rPr>
        <w:t xml:space="preserve">se </w:t>
      </w:r>
      <w:r w:rsidR="00AB459A" w:rsidRPr="002A3649">
        <w:rPr>
          <w:rFonts w:ascii="Arial Narrow" w:hAnsi="Arial Narrow"/>
          <w:lang w:val="es-CR" w:eastAsia="es-CR"/>
        </w:rPr>
        <w:t>r</w:t>
      </w:r>
      <w:r w:rsidR="00AB459A" w:rsidRPr="00704B08">
        <w:rPr>
          <w:rFonts w:ascii="Arial Narrow" w:hAnsi="Arial Narrow"/>
          <w:lang w:val="es-CR" w:eastAsia="es-CR"/>
        </w:rPr>
        <w:t>ealizaron 10 capsulas informativas que se publicaron por medio de correos masivos a lo interno de la institución</w:t>
      </w:r>
      <w:r w:rsidR="00AB459A" w:rsidRPr="002A3649">
        <w:rPr>
          <w:rFonts w:ascii="Arial Narrow" w:hAnsi="Arial Narrow"/>
          <w:lang w:val="es-CR" w:eastAsia="es-CR"/>
        </w:rPr>
        <w:t xml:space="preserve"> </w:t>
      </w:r>
      <w:r w:rsidR="00AB459A" w:rsidRPr="00704B08">
        <w:rPr>
          <w:rFonts w:ascii="Arial Narrow" w:hAnsi="Arial Narrow"/>
          <w:lang w:val="es-CR" w:eastAsia="es-CR"/>
        </w:rPr>
        <w:t xml:space="preserve">correspondientes a </w:t>
      </w:r>
      <w:r w:rsidR="00AB459A" w:rsidRPr="002A3649">
        <w:rPr>
          <w:rFonts w:ascii="Arial Narrow" w:hAnsi="Arial Narrow"/>
          <w:lang w:val="es-CR" w:eastAsia="es-CR"/>
        </w:rPr>
        <w:t xml:space="preserve">la </w:t>
      </w:r>
      <w:r w:rsidR="00AB459A" w:rsidRPr="00704B08">
        <w:rPr>
          <w:rFonts w:ascii="Arial Narrow" w:hAnsi="Arial Narrow"/>
          <w:lang w:val="es-CR" w:eastAsia="es-CR"/>
        </w:rPr>
        <w:t>orientación sobre probidad</w:t>
      </w:r>
      <w:r w:rsidR="00AB459A" w:rsidRPr="002A3649">
        <w:rPr>
          <w:rFonts w:ascii="Arial Narrow" w:hAnsi="Arial Narrow"/>
          <w:lang w:val="es-CR" w:eastAsia="es-CR"/>
        </w:rPr>
        <w:t>.</w:t>
      </w:r>
    </w:p>
    <w:p w14:paraId="0E21C11D" w14:textId="77777777" w:rsidR="000442F4" w:rsidRPr="00704B08" w:rsidRDefault="000442F4" w:rsidP="00CC5FDB">
      <w:pPr>
        <w:rPr>
          <w:rFonts w:eastAsia="Calibri"/>
          <w:b/>
          <w:bCs/>
        </w:rPr>
      </w:pPr>
    </w:p>
    <w:p w14:paraId="22479669" w14:textId="6C315981" w:rsidR="00016790" w:rsidRDefault="0098222F">
      <w:pPr>
        <w:spacing w:line="360" w:lineRule="auto"/>
        <w:jc w:val="both"/>
        <w:rPr>
          <w:rFonts w:ascii="Arial Narrow" w:eastAsia="Calibri" w:hAnsi="Arial Narrow"/>
        </w:rPr>
      </w:pPr>
      <w:r>
        <w:rPr>
          <w:rFonts w:ascii="Arial Narrow" w:eastAsia="Calibri" w:hAnsi="Arial Narrow"/>
        </w:rPr>
        <w:t xml:space="preserve">Por otra parte, </w:t>
      </w:r>
      <w:r w:rsidRPr="002E0B96">
        <w:rPr>
          <w:rFonts w:ascii="Arial Narrow" w:eastAsia="Calibri" w:hAnsi="Arial Narrow"/>
        </w:rPr>
        <w:t xml:space="preserve"> la meta estratégica</w:t>
      </w:r>
      <w:r w:rsidRPr="002E0B96">
        <w:rPr>
          <w:rFonts w:ascii="Arial Narrow" w:eastAsia="Calibri" w:hAnsi="Arial Narrow"/>
          <w:b/>
          <w:bCs/>
        </w:rPr>
        <w:t xml:space="preserve"> </w:t>
      </w:r>
      <w:r>
        <w:rPr>
          <w:rFonts w:ascii="Arial Narrow" w:eastAsia="Calibri" w:hAnsi="Arial Narrow"/>
          <w:b/>
          <w:bCs/>
        </w:rPr>
        <w:t>“</w:t>
      </w:r>
      <w:r w:rsidR="0061552A" w:rsidRPr="00704B08">
        <w:rPr>
          <w:rFonts w:ascii="Arial Narrow" w:hAnsi="Arial Narrow"/>
          <w:b/>
          <w:bCs/>
          <w:i/>
          <w:iCs/>
          <w:noProof/>
        </w:rPr>
        <w:t>Que al finalizar el 2024, se hayan implementado el proyecto de reducción de las brechas de riesgo en torno a la prevención y control de la corrupción, el fraude y las faltas a la ética y probidad, según lo definido por la Nacional Center of State Courts (NCSC</w:t>
      </w:r>
      <w:r w:rsidR="0061552A" w:rsidRPr="00704B08">
        <w:rPr>
          <w:rFonts w:ascii="Arial Narrow" w:hAnsi="Arial Narrow"/>
          <w:b/>
          <w:bCs/>
          <w:noProof/>
        </w:rPr>
        <w:t>)</w:t>
      </w:r>
      <w:r>
        <w:rPr>
          <w:rFonts w:ascii="Arial Narrow" w:hAnsi="Arial Narrow"/>
          <w:b/>
          <w:bCs/>
          <w:noProof/>
        </w:rPr>
        <w:t xml:space="preserve">”, </w:t>
      </w:r>
      <w:r w:rsidR="0042685F">
        <w:rPr>
          <w:rFonts w:ascii="Arial Narrow" w:hAnsi="Arial Narrow"/>
          <w:b/>
          <w:bCs/>
          <w:noProof/>
        </w:rPr>
        <w:t xml:space="preserve"> </w:t>
      </w:r>
      <w:r>
        <w:rPr>
          <w:rFonts w:ascii="Arial Narrow" w:eastAsia="Calibri" w:hAnsi="Arial Narrow"/>
        </w:rPr>
        <w:t>s</w:t>
      </w:r>
      <w:r w:rsidR="0053129A" w:rsidRPr="002A3649">
        <w:rPr>
          <w:rFonts w:ascii="Arial Narrow" w:eastAsia="Calibri" w:hAnsi="Arial Narrow"/>
        </w:rPr>
        <w:t>egún los registros del Plan Estratégico Institucional para el año 2019</w:t>
      </w:r>
      <w:r w:rsidR="0053129A" w:rsidRPr="0053129A">
        <w:rPr>
          <w:rFonts w:ascii="Arial Narrow" w:eastAsia="Calibri" w:hAnsi="Arial Narrow"/>
        </w:rPr>
        <w:t xml:space="preserve">, </w:t>
      </w:r>
      <w:r w:rsidR="0026099A" w:rsidRPr="0053129A">
        <w:rPr>
          <w:rFonts w:ascii="Arial Narrow" w:eastAsia="Calibri" w:hAnsi="Arial Narrow"/>
        </w:rPr>
        <w:t>en la Matriz del PEI 2019-2024 se incluy</w:t>
      </w:r>
      <w:r w:rsidR="00380532" w:rsidRPr="0053129A">
        <w:rPr>
          <w:rFonts w:ascii="Arial Narrow" w:eastAsia="Calibri" w:hAnsi="Arial Narrow"/>
        </w:rPr>
        <w:t>ó esta</w:t>
      </w:r>
      <w:r w:rsidR="0026099A" w:rsidRPr="0053129A">
        <w:rPr>
          <w:rFonts w:ascii="Arial Narrow" w:eastAsia="Calibri" w:hAnsi="Arial Narrow"/>
        </w:rPr>
        <w:t xml:space="preserve"> meta estratégica </w:t>
      </w:r>
      <w:r w:rsidR="00380532" w:rsidRPr="0053129A">
        <w:rPr>
          <w:rFonts w:ascii="Arial Narrow" w:eastAsia="Calibri" w:hAnsi="Arial Narrow"/>
        </w:rPr>
        <w:t>l</w:t>
      </w:r>
      <w:r w:rsidR="0026099A" w:rsidRPr="0053129A">
        <w:rPr>
          <w:rFonts w:ascii="Arial Narrow" w:eastAsia="Calibri" w:hAnsi="Arial Narrow"/>
        </w:rPr>
        <w:t>a cual de acuerdo con la revisión efectuada se logró determinar que se asoció al PAO de la Oficina de Control Interno, Transparencia y Anticorrupción. Sin embargo, debido a que, aunque fue cargada al PAO para el 2019, fue cancelada posteriormente, con motivo del acuerdo de Consejo Superior del Poder Judicial, en la sesión 45-19, articulo XCII, donde se dio una creación de una nueva oficina, con otras funciones y, por lo tanto, el cumplimiento de la meta estratégica ya no estaba acorde a la oficina de Control Interno, sino a la Oficina de Cumplimiento.</w:t>
      </w:r>
      <w:r>
        <w:rPr>
          <w:rFonts w:ascii="Arial Narrow" w:eastAsia="Calibri" w:hAnsi="Arial Narrow"/>
        </w:rPr>
        <w:t xml:space="preserve">  </w:t>
      </w:r>
      <w:r w:rsidR="0026099A" w:rsidRPr="0053129A">
        <w:rPr>
          <w:rFonts w:ascii="Arial Narrow" w:eastAsia="Calibri" w:hAnsi="Arial Narrow"/>
        </w:rPr>
        <w:t xml:space="preserve">Para el año 2020 </w:t>
      </w:r>
      <w:r w:rsidR="00380532" w:rsidRPr="0053129A">
        <w:rPr>
          <w:rFonts w:ascii="Arial Narrow" w:eastAsia="Calibri" w:hAnsi="Arial Narrow"/>
        </w:rPr>
        <w:t xml:space="preserve">se tiene que la Oficina de Cumplimiento realizó </w:t>
      </w:r>
      <w:r w:rsidR="00380532" w:rsidRPr="00704B08">
        <w:rPr>
          <w:rFonts w:ascii="Arial Narrow" w:eastAsia="Calibri" w:hAnsi="Arial Narrow"/>
        </w:rPr>
        <w:t xml:space="preserve">una programación de trabajo con acciones del proyecto en función de la prevención y control de la corrupción. Entre </w:t>
      </w:r>
      <w:r w:rsidR="0053129A">
        <w:rPr>
          <w:rFonts w:ascii="Arial Narrow" w:eastAsia="Calibri" w:hAnsi="Arial Narrow"/>
        </w:rPr>
        <w:t>las</w:t>
      </w:r>
      <w:r w:rsidR="00380532" w:rsidRPr="00704B08">
        <w:rPr>
          <w:rFonts w:ascii="Arial Narrow" w:eastAsia="Calibri" w:hAnsi="Arial Narrow"/>
        </w:rPr>
        <w:t xml:space="preserve"> acciones </w:t>
      </w:r>
      <w:r w:rsidR="0053129A">
        <w:rPr>
          <w:rFonts w:ascii="Arial Narrow" w:eastAsia="Calibri" w:hAnsi="Arial Narrow"/>
        </w:rPr>
        <w:t xml:space="preserve">realizadas </w:t>
      </w:r>
      <w:r w:rsidR="00380532" w:rsidRPr="00704B08">
        <w:rPr>
          <w:rFonts w:ascii="Arial Narrow" w:eastAsia="Calibri" w:hAnsi="Arial Narrow"/>
        </w:rPr>
        <w:t>se encuentra</w:t>
      </w:r>
      <w:r w:rsidR="0053129A">
        <w:rPr>
          <w:rFonts w:ascii="Arial Narrow" w:eastAsia="Calibri" w:hAnsi="Arial Narrow"/>
        </w:rPr>
        <w:t>n</w:t>
      </w:r>
      <w:r w:rsidR="00380532" w:rsidRPr="00704B08">
        <w:rPr>
          <w:rFonts w:ascii="Arial Narrow" w:eastAsia="Calibri" w:hAnsi="Arial Narrow"/>
        </w:rPr>
        <w:t xml:space="preserve">: Metodología </w:t>
      </w:r>
      <w:r w:rsidR="00522044">
        <w:rPr>
          <w:rFonts w:ascii="Arial Narrow" w:eastAsia="Calibri" w:hAnsi="Arial Narrow"/>
        </w:rPr>
        <w:t>de r</w:t>
      </w:r>
      <w:r w:rsidR="00380532" w:rsidRPr="00704B08">
        <w:rPr>
          <w:rFonts w:ascii="Arial Narrow" w:eastAsia="Calibri" w:hAnsi="Arial Narrow"/>
        </w:rPr>
        <w:t xml:space="preserve">iesgo de </w:t>
      </w:r>
      <w:r w:rsidR="00522044">
        <w:rPr>
          <w:rFonts w:ascii="Arial Narrow" w:eastAsia="Calibri" w:hAnsi="Arial Narrow"/>
        </w:rPr>
        <w:t>c</w:t>
      </w:r>
      <w:r w:rsidR="00380532" w:rsidRPr="00704B08">
        <w:rPr>
          <w:rFonts w:ascii="Arial Narrow" w:eastAsia="Calibri" w:hAnsi="Arial Narrow"/>
        </w:rPr>
        <w:t xml:space="preserve">orrupción, </w:t>
      </w:r>
      <w:r w:rsidR="00522044">
        <w:rPr>
          <w:rFonts w:ascii="Arial Narrow" w:eastAsia="Calibri" w:hAnsi="Arial Narrow"/>
        </w:rPr>
        <w:t>h</w:t>
      </w:r>
      <w:r w:rsidR="00380532" w:rsidRPr="00704B08">
        <w:rPr>
          <w:rFonts w:ascii="Arial Narrow" w:eastAsia="Calibri" w:hAnsi="Arial Narrow"/>
        </w:rPr>
        <w:t>erramienta</w:t>
      </w:r>
      <w:r w:rsidR="00522044">
        <w:rPr>
          <w:rFonts w:ascii="Arial Narrow" w:eastAsia="Calibri" w:hAnsi="Arial Narrow"/>
        </w:rPr>
        <w:t>s</w:t>
      </w:r>
      <w:r w:rsidR="00380532" w:rsidRPr="00704B08">
        <w:rPr>
          <w:rFonts w:ascii="Arial Narrow" w:eastAsia="Calibri" w:hAnsi="Arial Narrow"/>
        </w:rPr>
        <w:t xml:space="preserve"> </w:t>
      </w:r>
      <w:r w:rsidR="00522044">
        <w:rPr>
          <w:rFonts w:ascii="Arial Narrow" w:eastAsia="Calibri" w:hAnsi="Arial Narrow"/>
        </w:rPr>
        <w:t>c</w:t>
      </w:r>
      <w:r w:rsidR="00380532" w:rsidRPr="00704B08">
        <w:rPr>
          <w:rFonts w:ascii="Arial Narrow" w:eastAsia="Calibri" w:hAnsi="Arial Narrow"/>
        </w:rPr>
        <w:t xml:space="preserve">onflicto de </w:t>
      </w:r>
      <w:r w:rsidR="00522044">
        <w:rPr>
          <w:rFonts w:ascii="Arial Narrow" w:eastAsia="Calibri" w:hAnsi="Arial Narrow"/>
        </w:rPr>
        <w:t>i</w:t>
      </w:r>
      <w:r w:rsidR="00380532" w:rsidRPr="00704B08">
        <w:rPr>
          <w:rFonts w:ascii="Arial Narrow" w:eastAsia="Calibri" w:hAnsi="Arial Narrow"/>
        </w:rPr>
        <w:t xml:space="preserve">nterés, </w:t>
      </w:r>
      <w:r w:rsidR="00522044">
        <w:rPr>
          <w:rFonts w:ascii="Arial Narrow" w:eastAsia="Calibri" w:hAnsi="Arial Narrow"/>
        </w:rPr>
        <w:t>p</w:t>
      </w:r>
      <w:r w:rsidR="00380532" w:rsidRPr="00704B08">
        <w:rPr>
          <w:rFonts w:ascii="Arial Narrow" w:eastAsia="Calibri" w:hAnsi="Arial Narrow"/>
        </w:rPr>
        <w:t xml:space="preserve">olítica </w:t>
      </w:r>
      <w:r w:rsidR="00522044">
        <w:rPr>
          <w:rFonts w:ascii="Arial Narrow" w:eastAsia="Calibri" w:hAnsi="Arial Narrow"/>
        </w:rPr>
        <w:t>i</w:t>
      </w:r>
      <w:r w:rsidR="00380532" w:rsidRPr="00704B08">
        <w:rPr>
          <w:rFonts w:ascii="Arial Narrow" w:eastAsia="Calibri" w:hAnsi="Arial Narrow"/>
        </w:rPr>
        <w:t xml:space="preserve">nstitucional de </w:t>
      </w:r>
      <w:r w:rsidR="00522044">
        <w:rPr>
          <w:rFonts w:ascii="Arial Narrow" w:eastAsia="Calibri" w:hAnsi="Arial Narrow"/>
        </w:rPr>
        <w:t>c</w:t>
      </w:r>
      <w:r w:rsidR="00380532" w:rsidRPr="00704B08">
        <w:rPr>
          <w:rFonts w:ascii="Arial Narrow" w:eastAsia="Calibri" w:hAnsi="Arial Narrow"/>
        </w:rPr>
        <w:t>orrupción</w:t>
      </w:r>
      <w:r w:rsidR="00522044">
        <w:rPr>
          <w:rFonts w:ascii="Arial Narrow" w:eastAsia="Calibri" w:hAnsi="Arial Narrow"/>
        </w:rPr>
        <w:t xml:space="preserve"> y o</w:t>
      </w:r>
      <w:r w:rsidR="00380532" w:rsidRPr="00704B08">
        <w:rPr>
          <w:rFonts w:ascii="Arial Narrow" w:eastAsia="Calibri" w:hAnsi="Arial Narrow"/>
        </w:rPr>
        <w:t xml:space="preserve">bservatorio </w:t>
      </w:r>
      <w:r w:rsidR="00522044">
        <w:rPr>
          <w:rFonts w:ascii="Arial Narrow" w:eastAsia="Calibri" w:hAnsi="Arial Narrow"/>
        </w:rPr>
        <w:t>a</w:t>
      </w:r>
      <w:r w:rsidR="00380532" w:rsidRPr="00704B08">
        <w:rPr>
          <w:rFonts w:ascii="Arial Narrow" w:eastAsia="Calibri" w:hAnsi="Arial Narrow"/>
        </w:rPr>
        <w:t>nticorrupción</w:t>
      </w:r>
      <w:r w:rsidR="0053129A">
        <w:rPr>
          <w:rFonts w:ascii="Arial Narrow" w:eastAsia="Calibri" w:hAnsi="Arial Narrow"/>
        </w:rPr>
        <w:t>.</w:t>
      </w:r>
      <w:r w:rsidR="00380532" w:rsidRPr="00704B08">
        <w:rPr>
          <w:rFonts w:ascii="Arial Narrow" w:eastAsia="Calibri" w:hAnsi="Arial Narrow"/>
        </w:rPr>
        <w:t xml:space="preserve"> </w:t>
      </w:r>
      <w:r w:rsidR="00522044">
        <w:rPr>
          <w:rFonts w:ascii="Arial Narrow" w:eastAsia="Calibri" w:hAnsi="Arial Narrow"/>
        </w:rPr>
        <w:t>Esta</w:t>
      </w:r>
      <w:r w:rsidR="00380532" w:rsidRPr="00704B08">
        <w:rPr>
          <w:rFonts w:ascii="Arial Narrow" w:eastAsia="Calibri" w:hAnsi="Arial Narrow"/>
        </w:rPr>
        <w:t xml:space="preserve"> programación se realizó para la ejecución de las acciones hasta el 2024</w:t>
      </w:r>
      <w:r w:rsidR="0053129A">
        <w:rPr>
          <w:rFonts w:ascii="Arial Narrow" w:eastAsia="Calibri" w:hAnsi="Arial Narrow"/>
        </w:rPr>
        <w:t xml:space="preserve"> </w:t>
      </w:r>
      <w:r w:rsidR="00522044">
        <w:rPr>
          <w:rFonts w:ascii="Arial Narrow" w:eastAsia="Calibri" w:hAnsi="Arial Narrow"/>
        </w:rPr>
        <w:t>y</w:t>
      </w:r>
      <w:r w:rsidR="0053129A">
        <w:rPr>
          <w:rFonts w:ascii="Arial Narrow" w:eastAsia="Calibri" w:hAnsi="Arial Narrow"/>
        </w:rPr>
        <w:t xml:space="preserve"> el </w:t>
      </w:r>
      <w:r w:rsidR="00380532" w:rsidRPr="00704B08">
        <w:rPr>
          <w:rFonts w:ascii="Arial Narrow" w:eastAsia="Calibri" w:hAnsi="Arial Narrow"/>
        </w:rPr>
        <w:t xml:space="preserve">avance para el 2020 se ubica en los proyectos de </w:t>
      </w:r>
      <w:r w:rsidR="00522044">
        <w:rPr>
          <w:rFonts w:ascii="Arial Narrow" w:eastAsia="Calibri" w:hAnsi="Arial Narrow"/>
        </w:rPr>
        <w:t>m</w:t>
      </w:r>
      <w:r w:rsidR="00380532" w:rsidRPr="00704B08">
        <w:rPr>
          <w:rFonts w:ascii="Arial Narrow" w:eastAsia="Calibri" w:hAnsi="Arial Narrow"/>
        </w:rPr>
        <w:t xml:space="preserve">etodología de riesgo, política de anticorrupción y </w:t>
      </w:r>
      <w:r w:rsidR="00522044">
        <w:rPr>
          <w:rFonts w:ascii="Arial Narrow" w:eastAsia="Calibri" w:hAnsi="Arial Narrow"/>
        </w:rPr>
        <w:t>s</w:t>
      </w:r>
      <w:r w:rsidR="00380532" w:rsidRPr="00704B08">
        <w:rPr>
          <w:rFonts w:ascii="Arial Narrow" w:eastAsia="Calibri" w:hAnsi="Arial Narrow"/>
        </w:rPr>
        <w:t xml:space="preserve">eguridad de </w:t>
      </w:r>
      <w:r w:rsidR="00522044">
        <w:rPr>
          <w:rFonts w:ascii="Arial Narrow" w:eastAsia="Calibri" w:hAnsi="Arial Narrow"/>
        </w:rPr>
        <w:t>e</w:t>
      </w:r>
      <w:r w:rsidR="00380532" w:rsidRPr="00704B08">
        <w:rPr>
          <w:rFonts w:ascii="Arial Narrow" w:eastAsia="Calibri" w:hAnsi="Arial Narrow"/>
        </w:rPr>
        <w:t>xpedientes</w:t>
      </w:r>
      <w:r w:rsidR="0053129A">
        <w:rPr>
          <w:rFonts w:ascii="Arial Narrow" w:eastAsia="Calibri" w:hAnsi="Arial Narrow"/>
        </w:rPr>
        <w:t xml:space="preserve"> de acuerdo </w:t>
      </w:r>
      <w:r w:rsidR="00DB7B3B">
        <w:rPr>
          <w:rFonts w:ascii="Arial Narrow" w:eastAsia="Calibri" w:hAnsi="Arial Narrow"/>
        </w:rPr>
        <w:t>con</w:t>
      </w:r>
      <w:r w:rsidR="0053129A">
        <w:rPr>
          <w:rFonts w:ascii="Arial Narrow" w:eastAsia="Calibri" w:hAnsi="Arial Narrow"/>
        </w:rPr>
        <w:t xml:space="preserve"> lo establecido en el cronogram</w:t>
      </w:r>
      <w:r w:rsidR="00522044">
        <w:rPr>
          <w:rFonts w:ascii="Arial Narrow" w:eastAsia="Calibri" w:hAnsi="Arial Narrow"/>
        </w:rPr>
        <w:t>a.</w:t>
      </w:r>
    </w:p>
    <w:p w14:paraId="436393C2" w14:textId="1A599D89" w:rsidR="00380532" w:rsidRDefault="00380532">
      <w:pPr>
        <w:spacing w:line="360" w:lineRule="auto"/>
        <w:jc w:val="both"/>
        <w:rPr>
          <w:rFonts w:ascii="Times New Roman" w:hAnsi="Times New Roman"/>
          <w:lang w:val="es-CR" w:eastAsia="es-CR"/>
        </w:rPr>
      </w:pPr>
    </w:p>
    <w:p w14:paraId="7AFD4537" w14:textId="615554E0" w:rsidR="005C4C02" w:rsidRDefault="005C4C02">
      <w:pPr>
        <w:spacing w:line="360" w:lineRule="auto"/>
        <w:jc w:val="both"/>
        <w:rPr>
          <w:rFonts w:ascii="Times New Roman" w:hAnsi="Times New Roman"/>
          <w:lang w:val="es-CR" w:eastAsia="es-CR"/>
        </w:rPr>
      </w:pPr>
    </w:p>
    <w:p w14:paraId="21A605FF" w14:textId="77777777" w:rsidR="005C4C02" w:rsidRPr="00380532" w:rsidRDefault="005C4C02" w:rsidP="00704B08">
      <w:pPr>
        <w:spacing w:line="360" w:lineRule="auto"/>
        <w:jc w:val="both"/>
        <w:rPr>
          <w:rFonts w:ascii="Times New Roman" w:hAnsi="Times New Roman"/>
          <w:vanish/>
          <w:lang w:val="es-CR" w:eastAsia="es-CR"/>
        </w:rPr>
      </w:pPr>
    </w:p>
    <w:p w14:paraId="25728450" w14:textId="7E5D547E" w:rsidR="000B4067" w:rsidRPr="00704B08" w:rsidRDefault="0098222F" w:rsidP="00704B08">
      <w:pPr>
        <w:spacing w:line="360" w:lineRule="auto"/>
        <w:jc w:val="both"/>
        <w:rPr>
          <w:rFonts w:ascii="Arial Narrow" w:hAnsi="Arial Narrow"/>
          <w:b/>
          <w:bCs/>
          <w:noProof/>
        </w:rPr>
      </w:pPr>
      <w:r>
        <w:rPr>
          <w:rFonts w:ascii="Arial Narrow" w:eastAsia="Calibri" w:hAnsi="Arial Narrow"/>
        </w:rPr>
        <w:t>L</w:t>
      </w:r>
      <w:r w:rsidRPr="002E0B96">
        <w:rPr>
          <w:rFonts w:ascii="Arial Narrow" w:eastAsia="Calibri" w:hAnsi="Arial Narrow"/>
        </w:rPr>
        <w:t>a meta estratégica</w:t>
      </w:r>
      <w:r w:rsidRPr="002E0B96">
        <w:rPr>
          <w:rFonts w:ascii="Arial Narrow" w:eastAsia="Calibri" w:hAnsi="Arial Narrow"/>
          <w:b/>
          <w:bCs/>
        </w:rPr>
        <w:t xml:space="preserve"> </w:t>
      </w:r>
      <w:r>
        <w:rPr>
          <w:rFonts w:ascii="Arial Narrow" w:eastAsia="Calibri" w:hAnsi="Arial Narrow"/>
          <w:b/>
          <w:bCs/>
        </w:rPr>
        <w:t>“</w:t>
      </w:r>
      <w:r w:rsidR="0061552A" w:rsidRPr="00704B08">
        <w:rPr>
          <w:rFonts w:ascii="Arial Narrow" w:hAnsi="Arial Narrow"/>
          <w:b/>
          <w:bCs/>
          <w:i/>
          <w:iCs/>
          <w:noProof/>
        </w:rPr>
        <w:t>Que al finalizar el 2024, se haya presentado y gestionado la aprobación de la reforma legal sobre el régimen disciplinario para magistrados y magistradas</w:t>
      </w:r>
      <w:r>
        <w:rPr>
          <w:rFonts w:ascii="Arial Narrow" w:hAnsi="Arial Narrow"/>
          <w:b/>
          <w:bCs/>
          <w:noProof/>
        </w:rPr>
        <w:t xml:space="preserve">”, </w:t>
      </w:r>
      <w:r w:rsidR="000B4067" w:rsidRPr="00704B08">
        <w:rPr>
          <w:rFonts w:ascii="Arial Narrow" w:hAnsi="Arial Narrow"/>
        </w:rPr>
        <w:t xml:space="preserve">se tiene lo siguiente: </w:t>
      </w:r>
      <w:r w:rsidR="00576491" w:rsidRPr="00704B08">
        <w:rPr>
          <w:rFonts w:ascii="Arial Narrow" w:hAnsi="Arial Narrow"/>
        </w:rPr>
        <w:t xml:space="preserve">Para el año 2019 se presentó ante Corte Plena el Código de Ética Judicial y fue aprobado en la sesión 44-2019 celebrada el 21 de octubre de 2019, artículo XVIII. </w:t>
      </w:r>
      <w:r w:rsidR="00576491" w:rsidRPr="00704B08">
        <w:rPr>
          <w:rFonts w:ascii="Arial Narrow" w:eastAsia="Calibri" w:hAnsi="Arial Narrow"/>
          <w:color w:val="000000"/>
          <w:lang w:val="es-ES"/>
        </w:rPr>
        <w:t xml:space="preserve">En cuanto al año 2020 </w:t>
      </w:r>
      <w:r w:rsidR="000B4067" w:rsidRPr="005C4C02">
        <w:rPr>
          <w:rFonts w:ascii="Arial Narrow" w:eastAsia="Calibri" w:hAnsi="Arial Narrow"/>
          <w:color w:val="000000"/>
          <w:lang w:val="es-ES"/>
        </w:rPr>
        <w:t xml:space="preserve">el Despacho de la Presidencia indica por medio del sistema PAO que </w:t>
      </w:r>
      <w:r w:rsidR="00576491" w:rsidRPr="00704B08">
        <w:rPr>
          <w:rFonts w:ascii="Arial Narrow" w:eastAsia="Calibri" w:hAnsi="Arial Narrow"/>
          <w:color w:val="000000"/>
          <w:lang w:val="es-ES"/>
        </w:rPr>
        <w:t xml:space="preserve">se remitió a Corte </w:t>
      </w:r>
      <w:r w:rsidR="000B4067" w:rsidRPr="00704B08">
        <w:rPr>
          <w:rFonts w:ascii="Arial Narrow" w:eastAsia="Calibri" w:hAnsi="Arial Narrow"/>
          <w:color w:val="000000"/>
          <w:lang w:val="es-ES"/>
        </w:rPr>
        <w:t>Plena la</w:t>
      </w:r>
      <w:r w:rsidR="00576491" w:rsidRPr="00704B08">
        <w:rPr>
          <w:rFonts w:ascii="Arial Narrow" w:eastAsia="Calibri" w:hAnsi="Arial Narrow"/>
          <w:color w:val="000000"/>
          <w:lang w:val="es-ES"/>
        </w:rPr>
        <w:t xml:space="preserve"> </w:t>
      </w:r>
      <w:r w:rsidR="00576491" w:rsidRPr="00704B08">
        <w:rPr>
          <w:rFonts w:ascii="Arial Narrow" w:eastAsia="Calibri" w:hAnsi="Arial Narrow"/>
          <w:color w:val="000000"/>
          <w:lang w:val="es-CR" w:eastAsia="es-CR"/>
        </w:rPr>
        <w:t>propuesta de proyecto denominad</w:t>
      </w:r>
      <w:r w:rsidR="000B4067" w:rsidRPr="005C4C02">
        <w:rPr>
          <w:rFonts w:ascii="Arial Narrow" w:eastAsia="Calibri" w:hAnsi="Arial Narrow"/>
          <w:color w:val="000000"/>
          <w:lang w:val="es-CR" w:eastAsia="es-CR"/>
        </w:rPr>
        <w:t>a</w:t>
      </w:r>
      <w:r w:rsidR="00576491" w:rsidRPr="00704B08">
        <w:rPr>
          <w:rFonts w:ascii="Arial Narrow" w:eastAsia="Calibri" w:hAnsi="Arial Narrow"/>
          <w:color w:val="000000"/>
          <w:lang w:val="es-CR" w:eastAsia="es-CR"/>
        </w:rPr>
        <w:t xml:space="preserve">: </w:t>
      </w:r>
      <w:r w:rsidR="00576491" w:rsidRPr="00704B08">
        <w:rPr>
          <w:rFonts w:ascii="Arial Narrow" w:eastAsia="Calibri" w:hAnsi="Arial Narrow"/>
          <w:i/>
          <w:iCs/>
          <w:color w:val="000000"/>
          <w:lang w:val="es-CR" w:eastAsia="es-CR"/>
        </w:rPr>
        <w:t xml:space="preserve">“Reglas prácticas para el ejercicio del régimen disciplinario por la Corte Plena” </w:t>
      </w:r>
      <w:r w:rsidR="00576491" w:rsidRPr="00704B08">
        <w:rPr>
          <w:rFonts w:ascii="Arial Narrow" w:eastAsia="Calibri" w:hAnsi="Arial Narrow"/>
          <w:color w:val="000000"/>
          <w:lang w:val="es-CR" w:eastAsia="es-CR"/>
        </w:rPr>
        <w:t xml:space="preserve">donde por medio del oficio </w:t>
      </w:r>
      <w:r w:rsidR="000B4067" w:rsidRPr="00704B08">
        <w:rPr>
          <w:rFonts w:ascii="Arial Narrow" w:eastAsia="Calibri" w:hAnsi="Arial Narrow"/>
          <w:color w:val="000000"/>
          <w:lang w:val="es-CR" w:eastAsia="es-CR"/>
        </w:rPr>
        <w:t>11127-2020</w:t>
      </w:r>
      <w:r w:rsidR="000B4067" w:rsidRPr="00704B08">
        <w:rPr>
          <w:rFonts w:ascii="Arial Narrow" w:hAnsi="Arial Narrow"/>
        </w:rPr>
        <w:t xml:space="preserve"> ,en la sesión 66-2020 celebrada el 9 de noviembre</w:t>
      </w:r>
      <w:r w:rsidR="00DB7B3B">
        <w:rPr>
          <w:rFonts w:ascii="Arial Narrow" w:hAnsi="Arial Narrow"/>
        </w:rPr>
        <w:t xml:space="preserve"> </w:t>
      </w:r>
      <w:r w:rsidR="000B4067" w:rsidRPr="00704B08">
        <w:rPr>
          <w:rFonts w:ascii="Arial Narrow" w:hAnsi="Arial Narrow"/>
        </w:rPr>
        <w:t xml:space="preserve">2020 </w:t>
      </w:r>
      <w:r w:rsidR="000B4067" w:rsidRPr="005C4C02">
        <w:rPr>
          <w:rFonts w:ascii="Arial Narrow" w:hAnsi="Arial Narrow"/>
        </w:rPr>
        <w:t xml:space="preserve"> se </w:t>
      </w:r>
      <w:r w:rsidR="000B4067" w:rsidRPr="00704B08">
        <w:rPr>
          <w:rFonts w:ascii="Arial Narrow" w:hAnsi="Arial Narrow"/>
        </w:rPr>
        <w:t>acordó</w:t>
      </w:r>
      <w:r w:rsidR="000B4067" w:rsidRPr="00704B08">
        <w:rPr>
          <w:rFonts w:ascii="Arial Narrow" w:hAnsi="Arial Narrow"/>
          <w:bCs/>
        </w:rPr>
        <w:t xml:space="preserve">: </w:t>
      </w:r>
      <w:r w:rsidR="000B4067" w:rsidRPr="00704B08">
        <w:rPr>
          <w:rFonts w:ascii="Arial Narrow" w:hAnsi="Arial Narrow"/>
          <w:bCs/>
          <w:i/>
          <w:iCs/>
        </w:rPr>
        <w:t>“</w:t>
      </w:r>
      <w:r w:rsidR="000B4067" w:rsidRPr="00704B08">
        <w:rPr>
          <w:rFonts w:ascii="Arial Narrow" w:eastAsia="Calibri" w:hAnsi="Arial Narrow"/>
          <w:i/>
          <w:iCs/>
          <w:color w:val="000000"/>
          <w:lang w:val="es-ES"/>
        </w:rPr>
        <w:t xml:space="preserve">Tener por recibida la comunicación del magistrado Sánchez, en su calidad de Coordinador del Grupo de Régimen Disciplinario, en que remite la </w:t>
      </w:r>
      <w:r w:rsidR="000B4067" w:rsidRPr="00704B08">
        <w:rPr>
          <w:rFonts w:ascii="Arial Narrow" w:eastAsia="Calibri" w:hAnsi="Arial Narrow"/>
          <w:i/>
          <w:iCs/>
          <w:color w:val="000000"/>
          <w:lang w:val="es-CR" w:eastAsia="es-CR"/>
        </w:rPr>
        <w:t xml:space="preserve">propuesta de proyecto denominado: “Reglas prácticas para el ejercicio del régimen disciplinario por la Corte Plena” </w:t>
      </w:r>
      <w:r w:rsidR="000B4067" w:rsidRPr="00704B08">
        <w:rPr>
          <w:rFonts w:ascii="Arial Narrow" w:eastAsia="Calibri" w:hAnsi="Arial Narrow"/>
          <w:i/>
          <w:iCs/>
          <w:color w:val="000000"/>
          <w:lang w:val="es-ES"/>
        </w:rPr>
        <w:t>y remitirlo al Despacho de la Presidencia para que se siga el procedimiento establecido  en el</w:t>
      </w:r>
      <w:r w:rsidR="000B4067" w:rsidRPr="00704B08">
        <w:rPr>
          <w:rFonts w:ascii="Arial Narrow" w:eastAsia="Calibri" w:hAnsi="Arial Narrow"/>
          <w:i/>
          <w:iCs/>
          <w:color w:val="1F3864"/>
          <w:lang w:val="es-ES"/>
        </w:rPr>
        <w:t xml:space="preserve"> </w:t>
      </w:r>
      <w:r w:rsidR="000B4067" w:rsidRPr="00704B08">
        <w:rPr>
          <w:rFonts w:ascii="Arial Narrow" w:eastAsia="Calibri" w:hAnsi="Arial Narrow"/>
          <w:i/>
          <w:iCs/>
          <w:lang w:val="es-ES"/>
        </w:rPr>
        <w:t>Reglamento para el Conocimiento, Discusión y Aprobación del Programa PR1-PC-17 para la Definición e Implementación de Medidas Urgentes y Necesarias de Reforma en el Poder Judicial de Costa Rica, respecto al cronograma que debe definir la Presidencia para el conocimiento del producto y la consulta a</w:t>
      </w:r>
      <w:r w:rsidR="000B4067" w:rsidRPr="00704B08">
        <w:rPr>
          <w:rFonts w:ascii="Arial Narrow" w:eastAsia="Calibri" w:hAnsi="Arial Narrow"/>
          <w:i/>
          <w:iCs/>
          <w:color w:val="000000"/>
          <w:lang w:val="es-ES"/>
        </w:rPr>
        <w:t xml:space="preserve"> las señoras magistradas y de los señores magistrados para su análisis y observaciones que a bien tengan remitir a la  Presidencia de la Corte Suprema de Justicia, conforme al artículo 6, inciso II) del citado reglamento.”</w:t>
      </w:r>
      <w:r w:rsidR="00D718F0">
        <w:rPr>
          <w:rFonts w:ascii="Arial Narrow" w:eastAsia="Calibri" w:hAnsi="Arial Narrow"/>
          <w:i/>
          <w:iCs/>
          <w:color w:val="000000"/>
          <w:lang w:val="es-ES"/>
        </w:rPr>
        <w:t xml:space="preserve"> </w:t>
      </w:r>
      <w:r w:rsidR="00D718F0" w:rsidRPr="00704B08">
        <w:rPr>
          <w:rFonts w:ascii="Arial Narrow" w:eastAsia="Calibri" w:hAnsi="Arial Narrow"/>
          <w:color w:val="000000"/>
          <w:lang w:val="es-ES"/>
        </w:rPr>
        <w:t xml:space="preserve">Es por lo anterior que se da un </w:t>
      </w:r>
      <w:r w:rsidR="00D718F0" w:rsidRPr="00D718F0">
        <w:rPr>
          <w:rFonts w:ascii="Arial Narrow" w:eastAsia="Calibri" w:hAnsi="Arial Narrow"/>
          <w:color w:val="000000"/>
          <w:lang w:val="es-ES"/>
        </w:rPr>
        <w:t>cumplimento</w:t>
      </w:r>
      <w:r w:rsidR="00D718F0" w:rsidRPr="00704B08">
        <w:rPr>
          <w:rFonts w:ascii="Arial Narrow" w:eastAsia="Calibri" w:hAnsi="Arial Narrow"/>
          <w:color w:val="000000"/>
          <w:lang w:val="es-ES"/>
        </w:rPr>
        <w:t xml:space="preserve"> del 100% para ambos años (2019 y</w:t>
      </w:r>
      <w:r>
        <w:rPr>
          <w:rFonts w:ascii="Arial Narrow" w:eastAsia="Calibri" w:hAnsi="Arial Narrow"/>
          <w:color w:val="000000"/>
          <w:lang w:val="es-ES"/>
        </w:rPr>
        <w:t xml:space="preserve"> </w:t>
      </w:r>
      <w:r w:rsidR="00D718F0" w:rsidRPr="00704B08">
        <w:rPr>
          <w:rFonts w:ascii="Arial Narrow" w:eastAsia="Calibri" w:hAnsi="Arial Narrow"/>
          <w:color w:val="000000"/>
          <w:lang w:val="es-ES"/>
        </w:rPr>
        <w:t>2020) y un cumplimiento acumulado del 20%.</w:t>
      </w:r>
    </w:p>
    <w:p w14:paraId="0D715E78" w14:textId="0B2B4477" w:rsidR="000B4067" w:rsidRDefault="000B4067" w:rsidP="00CC5FDB">
      <w:pPr>
        <w:rPr>
          <w:bCs/>
        </w:rPr>
      </w:pPr>
    </w:p>
    <w:p w14:paraId="15EE3059" w14:textId="484121AE" w:rsidR="0042685F" w:rsidRDefault="0042685F" w:rsidP="00CC5FDB">
      <w:pPr>
        <w:rPr>
          <w:bCs/>
        </w:rPr>
      </w:pPr>
    </w:p>
    <w:p w14:paraId="05B5E196" w14:textId="4F7A5D2B" w:rsidR="0042685F" w:rsidRDefault="0042685F" w:rsidP="00CC5FDB">
      <w:pPr>
        <w:rPr>
          <w:bCs/>
        </w:rPr>
      </w:pPr>
    </w:p>
    <w:p w14:paraId="24551549" w14:textId="6F1E631D" w:rsidR="0098222F" w:rsidRDefault="0098222F" w:rsidP="00CC5FDB">
      <w:pPr>
        <w:rPr>
          <w:bCs/>
        </w:rPr>
      </w:pPr>
    </w:p>
    <w:p w14:paraId="7BCD4851" w14:textId="0D5C4424" w:rsidR="0098222F" w:rsidRDefault="0098222F" w:rsidP="00CC5FDB">
      <w:pPr>
        <w:rPr>
          <w:bCs/>
        </w:rPr>
      </w:pPr>
    </w:p>
    <w:p w14:paraId="27AEBE2B" w14:textId="39BBAB8E" w:rsidR="0098222F" w:rsidRDefault="0098222F" w:rsidP="00CC5FDB">
      <w:pPr>
        <w:rPr>
          <w:bCs/>
        </w:rPr>
      </w:pPr>
    </w:p>
    <w:p w14:paraId="329C1A63" w14:textId="77777777" w:rsidR="009D5823" w:rsidRDefault="009D5823" w:rsidP="00CC5FDB">
      <w:pPr>
        <w:rPr>
          <w:bCs/>
        </w:rPr>
        <w:sectPr w:rsidR="009D5823" w:rsidSect="009D5823">
          <w:pgSz w:w="12242" w:h="15842" w:code="1"/>
          <w:pgMar w:top="1701" w:right="1417" w:bottom="1701" w:left="1417" w:header="709" w:footer="709" w:gutter="0"/>
          <w:cols w:space="708"/>
          <w:docGrid w:linePitch="360"/>
        </w:sectPr>
      </w:pPr>
    </w:p>
    <w:p w14:paraId="2959A210" w14:textId="6EAB0F29" w:rsidR="0042685F" w:rsidRDefault="0042685F" w:rsidP="00CC5FDB">
      <w:pPr>
        <w:rPr>
          <w:bCs/>
        </w:rPr>
      </w:pPr>
    </w:p>
    <w:p w14:paraId="33717F72" w14:textId="77777777" w:rsidR="0042685F" w:rsidRDefault="0042685F" w:rsidP="00CC5FDB">
      <w:pPr>
        <w:rPr>
          <w:bCs/>
        </w:rPr>
      </w:pPr>
    </w:p>
    <w:p w14:paraId="20B998E5" w14:textId="2CC339C9" w:rsidR="0042685F" w:rsidRDefault="0042685F" w:rsidP="0042685F">
      <w:pPr>
        <w:pStyle w:val="Descripcin"/>
        <w:jc w:val="center"/>
        <w:rPr>
          <w:rFonts w:ascii="Arial Narrow" w:eastAsia="Calibri" w:hAnsi="Arial Narrow"/>
          <w:sz w:val="24"/>
          <w:szCs w:val="24"/>
        </w:rPr>
      </w:pPr>
      <w:bookmarkStart w:id="54" w:name="_Toc76062254"/>
      <w:r w:rsidRPr="00484CC1">
        <w:rPr>
          <w:rFonts w:ascii="Arial Narrow" w:hAnsi="Arial Narrow"/>
          <w:sz w:val="24"/>
          <w:szCs w:val="24"/>
        </w:rPr>
        <w:t>Cuadro</w:t>
      </w:r>
      <w:r>
        <w:rPr>
          <w:rFonts w:ascii="Arial Narrow" w:hAnsi="Arial Narrow"/>
          <w:sz w:val="24"/>
          <w:szCs w:val="24"/>
        </w:rPr>
        <w:t xml:space="preserve"> </w:t>
      </w:r>
      <w:r w:rsidRPr="00484CC1">
        <w:rPr>
          <w:rFonts w:ascii="Arial Narrow" w:hAnsi="Arial Narrow"/>
          <w:sz w:val="24"/>
          <w:szCs w:val="24"/>
        </w:rPr>
        <w:fldChar w:fldCharType="begin"/>
      </w:r>
      <w:r w:rsidRPr="00484CC1">
        <w:rPr>
          <w:rFonts w:ascii="Arial Narrow" w:hAnsi="Arial Narrow"/>
          <w:sz w:val="24"/>
          <w:szCs w:val="24"/>
        </w:rPr>
        <w:instrText xml:space="preserve"> SEQ Cuadro_No. \* ARABIC </w:instrText>
      </w:r>
      <w:r w:rsidRPr="00484CC1">
        <w:rPr>
          <w:rFonts w:ascii="Arial Narrow" w:hAnsi="Arial Narrow"/>
          <w:sz w:val="24"/>
          <w:szCs w:val="24"/>
        </w:rPr>
        <w:fldChar w:fldCharType="separate"/>
      </w:r>
      <w:r w:rsidR="009D5823">
        <w:rPr>
          <w:rFonts w:ascii="Arial Narrow" w:hAnsi="Arial Narrow"/>
          <w:noProof/>
          <w:sz w:val="24"/>
          <w:szCs w:val="24"/>
        </w:rPr>
        <w:t>31</w:t>
      </w:r>
      <w:r w:rsidRPr="00484CC1">
        <w:rPr>
          <w:rFonts w:ascii="Arial Narrow" w:hAnsi="Arial Narrow"/>
          <w:sz w:val="24"/>
          <w:szCs w:val="24"/>
        </w:rPr>
        <w:fldChar w:fldCharType="end"/>
      </w:r>
      <w:r w:rsidRPr="00484CC1">
        <w:rPr>
          <w:rFonts w:ascii="Arial Narrow" w:hAnsi="Arial Narrow"/>
          <w:sz w:val="24"/>
          <w:szCs w:val="24"/>
        </w:rPr>
        <w:t xml:space="preserve"> </w:t>
      </w:r>
      <w:r w:rsidRPr="00D657CE">
        <w:rPr>
          <w:rFonts w:ascii="Arial Narrow" w:eastAsia="Calibri" w:hAnsi="Arial Narrow"/>
          <w:sz w:val="24"/>
          <w:szCs w:val="24"/>
        </w:rPr>
        <w:t xml:space="preserve">Metas estratégicas de </w:t>
      </w:r>
      <w:r>
        <w:rPr>
          <w:rFonts w:ascii="Arial Narrow" w:eastAsia="Calibri" w:hAnsi="Arial Narrow"/>
          <w:sz w:val="24"/>
          <w:szCs w:val="24"/>
        </w:rPr>
        <w:t xml:space="preserve">Probidad y anticorrupción </w:t>
      </w:r>
      <w:r w:rsidRPr="00D657CE">
        <w:rPr>
          <w:rFonts w:ascii="Arial Narrow" w:eastAsia="Calibri" w:hAnsi="Arial Narrow"/>
          <w:sz w:val="24"/>
          <w:szCs w:val="24"/>
        </w:rPr>
        <w:t>y su cumplimiento para el 2019</w:t>
      </w:r>
      <w:r>
        <w:rPr>
          <w:rFonts w:ascii="Arial Narrow" w:eastAsia="Calibri" w:hAnsi="Arial Narrow"/>
          <w:sz w:val="24"/>
          <w:szCs w:val="24"/>
        </w:rPr>
        <w:t xml:space="preserve"> y 2020.</w:t>
      </w:r>
      <w:bookmarkEnd w:id="54"/>
    </w:p>
    <w:p w14:paraId="7F53D6C1" w14:textId="77777777" w:rsidR="0090031A" w:rsidRDefault="0090031A" w:rsidP="00CC5FDB">
      <w:pPr>
        <w:rPr>
          <w:noProof/>
        </w:rPr>
      </w:pPr>
    </w:p>
    <w:p w14:paraId="06F77412" w14:textId="77777777" w:rsidR="0042685F" w:rsidRDefault="0090031A" w:rsidP="0042685F">
      <w:pPr>
        <w:jc w:val="center"/>
        <w:rPr>
          <w:bCs/>
        </w:rPr>
      </w:pPr>
      <w:r>
        <w:rPr>
          <w:noProof/>
          <w:lang w:val="es-CR" w:eastAsia="es-CR"/>
        </w:rPr>
        <w:drawing>
          <wp:inline distT="0" distB="0" distL="0" distR="0" wp14:anchorId="44996274" wp14:editId="64AD5E04">
            <wp:extent cx="7065347" cy="2763323"/>
            <wp:effectExtent l="57150" t="57150" r="97790" b="94615"/>
            <wp:docPr id="165" name="Imagen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3"/>
                    <a:srcRect l="402"/>
                    <a:stretch/>
                  </pic:blipFill>
                  <pic:spPr bwMode="auto">
                    <a:xfrm>
                      <a:off x="0" y="0"/>
                      <a:ext cx="7079969" cy="2769042"/>
                    </a:xfrm>
                    <a:prstGeom prst="rect">
                      <a:avLst/>
                    </a:prstGeom>
                    <a:ln w="9525" cap="sq">
                      <a:solidFill>
                        <a:srgbClr val="00B0F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571DADCC" w14:textId="01420539" w:rsidR="00D2246B" w:rsidRPr="00704B08" w:rsidRDefault="0042685F" w:rsidP="00704B08">
      <w:pPr>
        <w:rPr>
          <w:bCs/>
        </w:rPr>
      </w:pPr>
      <w:r>
        <w:rPr>
          <w:rFonts w:ascii="Arial Narrow" w:eastAsia="Calibri" w:hAnsi="Arial Narrow"/>
          <w:sz w:val="18"/>
          <w:szCs w:val="18"/>
          <w:lang w:eastAsia="en-US"/>
        </w:rPr>
        <w:t xml:space="preserve">                </w:t>
      </w:r>
      <w:r w:rsidR="00D2246B" w:rsidRPr="000B4845">
        <w:rPr>
          <w:rFonts w:ascii="Arial Narrow" w:eastAsia="Calibri" w:hAnsi="Arial Narrow"/>
          <w:sz w:val="18"/>
          <w:szCs w:val="18"/>
          <w:lang w:eastAsia="en-US"/>
        </w:rPr>
        <w:t>Fuente: Sistema PEI al 24 de enero del 2020 (año 2019)</w:t>
      </w:r>
      <w:r w:rsidR="00D2246B">
        <w:rPr>
          <w:rFonts w:ascii="Arial Narrow" w:eastAsia="Calibri" w:hAnsi="Arial Narrow"/>
          <w:sz w:val="18"/>
          <w:szCs w:val="18"/>
          <w:lang w:eastAsia="en-US"/>
        </w:rPr>
        <w:t xml:space="preserve"> y 04 de marzo del 2021 (año 2020).</w:t>
      </w:r>
    </w:p>
    <w:p w14:paraId="57991DC2" w14:textId="68E32664" w:rsidR="003E5AA3" w:rsidRDefault="003E5AA3" w:rsidP="00704B08">
      <w:pPr>
        <w:jc w:val="both"/>
        <w:rPr>
          <w:noProof/>
        </w:rPr>
      </w:pPr>
    </w:p>
    <w:p w14:paraId="1C54EF9E" w14:textId="77777777" w:rsidR="009D5823" w:rsidRDefault="009D5823" w:rsidP="00803EF6">
      <w:pPr>
        <w:spacing w:line="360" w:lineRule="auto"/>
        <w:jc w:val="both"/>
        <w:rPr>
          <w:rFonts w:ascii="Arial Narrow" w:hAnsi="Arial Narrow"/>
          <w:noProof/>
        </w:rPr>
        <w:sectPr w:rsidR="009D5823" w:rsidSect="009D5823">
          <w:pgSz w:w="15842" w:h="12242" w:orient="landscape" w:code="1"/>
          <w:pgMar w:top="1417" w:right="1701" w:bottom="1417" w:left="1701" w:header="709" w:footer="709" w:gutter="0"/>
          <w:cols w:space="708"/>
          <w:docGrid w:linePitch="360"/>
        </w:sectPr>
      </w:pPr>
    </w:p>
    <w:p w14:paraId="7B979837" w14:textId="2E7C32CE" w:rsidR="00DB7B3B" w:rsidRDefault="00DB7B3B" w:rsidP="00704B08">
      <w:pPr>
        <w:spacing w:line="360" w:lineRule="auto"/>
        <w:jc w:val="both"/>
        <w:rPr>
          <w:rFonts w:ascii="Arial Narrow" w:eastAsia="Calibri" w:hAnsi="Arial Narrow"/>
        </w:rPr>
      </w:pPr>
    </w:p>
    <w:p w14:paraId="6DB5E4EC" w14:textId="761C14A3" w:rsidR="00DB7B3B" w:rsidRDefault="00DB7B3B" w:rsidP="00704B08">
      <w:pPr>
        <w:spacing w:line="360" w:lineRule="auto"/>
        <w:jc w:val="both"/>
        <w:rPr>
          <w:rFonts w:ascii="Arial Narrow" w:eastAsia="Calibri" w:hAnsi="Arial Narrow"/>
        </w:rPr>
      </w:pPr>
    </w:p>
    <w:p w14:paraId="2E50A86D" w14:textId="675A3723" w:rsidR="00DB7B3B" w:rsidRDefault="00DB7B3B" w:rsidP="00704B08">
      <w:pPr>
        <w:spacing w:line="360" w:lineRule="auto"/>
        <w:jc w:val="both"/>
        <w:rPr>
          <w:rFonts w:ascii="Arial Narrow" w:eastAsia="Calibri" w:hAnsi="Arial Narrow"/>
        </w:rPr>
      </w:pPr>
    </w:p>
    <w:p w14:paraId="0B0215E1" w14:textId="77777777" w:rsidR="00DB7B3B" w:rsidRDefault="00DB7B3B" w:rsidP="00704B08">
      <w:pPr>
        <w:spacing w:line="360" w:lineRule="auto"/>
        <w:jc w:val="both"/>
        <w:rPr>
          <w:rFonts w:ascii="Arial Narrow" w:eastAsia="Calibri" w:hAnsi="Arial Narrow"/>
        </w:rPr>
      </w:pPr>
    </w:p>
    <w:p w14:paraId="371B0747" w14:textId="4B506F05" w:rsidR="00803EF6" w:rsidRPr="00803EF6" w:rsidRDefault="0098222F" w:rsidP="00704B08">
      <w:pPr>
        <w:spacing w:line="360" w:lineRule="auto"/>
        <w:jc w:val="both"/>
        <w:rPr>
          <w:rFonts w:ascii="Arial Narrow" w:hAnsi="Arial Narrow"/>
          <w:lang w:val="es-CR" w:eastAsia="es-CR"/>
        </w:rPr>
      </w:pPr>
      <w:r w:rsidRPr="002E0B96">
        <w:rPr>
          <w:rFonts w:ascii="Arial Narrow" w:eastAsia="Calibri" w:hAnsi="Arial Narrow"/>
        </w:rPr>
        <w:t>Con respecto a la meta estratégica</w:t>
      </w:r>
      <w:r w:rsidRPr="002E0B96">
        <w:rPr>
          <w:rFonts w:ascii="Arial Narrow" w:eastAsia="Calibri" w:hAnsi="Arial Narrow"/>
          <w:b/>
          <w:bCs/>
        </w:rPr>
        <w:t xml:space="preserve"> </w:t>
      </w:r>
      <w:r>
        <w:rPr>
          <w:rFonts w:ascii="Arial Narrow" w:eastAsia="Calibri" w:hAnsi="Arial Narrow"/>
          <w:b/>
          <w:bCs/>
        </w:rPr>
        <w:t>“</w:t>
      </w:r>
      <w:r w:rsidR="00522044" w:rsidRPr="00704B08">
        <w:rPr>
          <w:rFonts w:ascii="Arial Narrow" w:hAnsi="Arial Narrow"/>
          <w:b/>
          <w:bCs/>
          <w:i/>
          <w:iCs/>
          <w:lang w:val="es-CR" w:eastAsia="es-CR"/>
        </w:rPr>
        <w:t>Que al finalizar el 2024, se haya aprobado el reglamento sobre protocolos de conducta para el personal judicial y revisión del marco ético institucional</w:t>
      </w:r>
      <w:r>
        <w:rPr>
          <w:rFonts w:ascii="Arial Narrow" w:hAnsi="Arial Narrow"/>
          <w:b/>
          <w:bCs/>
          <w:lang w:val="es-CR" w:eastAsia="es-CR"/>
        </w:rPr>
        <w:t>”</w:t>
      </w:r>
      <w:r w:rsidR="00AD0ED9">
        <w:rPr>
          <w:rFonts w:ascii="Arial Narrow" w:hAnsi="Arial Narrow"/>
          <w:b/>
          <w:bCs/>
          <w:lang w:val="es-CR" w:eastAsia="es-CR"/>
        </w:rPr>
        <w:t xml:space="preserve"> </w:t>
      </w:r>
      <w:r w:rsidR="00803EF6" w:rsidRPr="00704B08">
        <w:rPr>
          <w:rFonts w:ascii="Arial Narrow" w:hAnsi="Arial Narrow"/>
          <w:lang w:val="es-CR" w:eastAsia="es-CR"/>
        </w:rPr>
        <w:t>c</w:t>
      </w:r>
      <w:r w:rsidR="00803EF6" w:rsidRPr="00803EF6">
        <w:rPr>
          <w:rFonts w:ascii="Arial Narrow" w:hAnsi="Arial Narrow"/>
          <w:lang w:val="es-CR" w:eastAsia="es-CR"/>
        </w:rPr>
        <w:t>on el objeti</w:t>
      </w:r>
      <w:r w:rsidR="00803EF6">
        <w:rPr>
          <w:rFonts w:ascii="Arial Narrow" w:hAnsi="Arial Narrow"/>
          <w:lang w:val="es-CR" w:eastAsia="es-CR"/>
        </w:rPr>
        <w:t>v</w:t>
      </w:r>
      <w:r w:rsidR="00803EF6" w:rsidRPr="00803EF6">
        <w:rPr>
          <w:rFonts w:ascii="Arial Narrow" w:hAnsi="Arial Narrow"/>
          <w:lang w:val="es-CR" w:eastAsia="es-CR"/>
        </w:rPr>
        <w:t>o de regular la conducta de las personas servidoras judiciales y darles a conocer principios que guíen sus actuaciones, el Despacho de la Presidencia en el año 2019 colaboró en la presentación al órgano aprobador el reglamento llamado “Regulación para la prevención, identificación y la gestión adecuada de los conflictos de intereses en el Poder Judicial”, el cual fue aprobado por Corte Plena, en sesión 14-19 celebrada el 1 de abril de 2019, artículo XIII. Para el año 2020 se adjunta en el sistema PAO el informe de cierre del Proyecto del reglamento sobre la regulación para la prevención, identificación y la gestión adecuada de los conflictos de intereses en el Poder Judicial y el acta de la creación de la oficina de cumplimiento. Se da un cumplimiento total de la meta estratégica para los años 2019 y 2020, reflejando un20% en el porcentaje de cumplimiento acumulado</w:t>
      </w:r>
      <w:r w:rsidR="009D5823">
        <w:rPr>
          <w:rFonts w:ascii="Arial Narrow" w:hAnsi="Arial Narrow"/>
          <w:lang w:val="es-CR" w:eastAsia="es-CR"/>
        </w:rPr>
        <w:t>.</w:t>
      </w:r>
    </w:p>
    <w:p w14:paraId="3996C73E" w14:textId="77777777" w:rsidR="00522044" w:rsidRPr="00704B08" w:rsidRDefault="00522044" w:rsidP="00CC5FDB">
      <w:pPr>
        <w:rPr>
          <w:rFonts w:ascii="Arial Narrow" w:hAnsi="Arial Narrow"/>
          <w:noProof/>
        </w:rPr>
      </w:pPr>
    </w:p>
    <w:p w14:paraId="4BB77581" w14:textId="58247E03" w:rsidR="00CC5FDB" w:rsidRPr="00704B08" w:rsidRDefault="00AD0ED9" w:rsidP="00704B08">
      <w:pPr>
        <w:spacing w:line="360" w:lineRule="auto"/>
        <w:jc w:val="both"/>
        <w:rPr>
          <w:rFonts w:ascii="Arial Narrow" w:eastAsia="Calibri" w:hAnsi="Arial Narrow"/>
          <w:b/>
          <w:bCs/>
        </w:rPr>
      </w:pPr>
      <w:r w:rsidRPr="00704B08">
        <w:rPr>
          <w:rFonts w:ascii="Arial Narrow" w:eastAsia="Calibri" w:hAnsi="Arial Narrow"/>
        </w:rPr>
        <w:t>Por otra parte</w:t>
      </w:r>
      <w:r>
        <w:rPr>
          <w:rFonts w:ascii="Arial Narrow" w:eastAsia="Calibri" w:hAnsi="Arial Narrow"/>
        </w:rPr>
        <w:t>, p</w:t>
      </w:r>
      <w:r w:rsidRPr="00A618D8">
        <w:rPr>
          <w:rFonts w:ascii="Arial Narrow" w:eastAsia="Book Antiqua" w:hAnsi="Arial Narrow" w:cs="Book Antiqua"/>
          <w:color w:val="000000" w:themeColor="text1"/>
          <w:lang w:val="es-CR"/>
        </w:rPr>
        <w:t xml:space="preserve">ara </w:t>
      </w:r>
      <w:r>
        <w:rPr>
          <w:rFonts w:ascii="Arial Narrow" w:eastAsia="Book Antiqua" w:hAnsi="Arial Narrow" w:cs="Book Antiqua"/>
          <w:color w:val="000000" w:themeColor="text1"/>
          <w:lang w:val="es-CR"/>
        </w:rPr>
        <w:t>la</w:t>
      </w:r>
      <w:r w:rsidRPr="00A618D8">
        <w:rPr>
          <w:rFonts w:ascii="Arial Narrow" w:eastAsia="Book Antiqua" w:hAnsi="Arial Narrow" w:cs="Book Antiqua"/>
          <w:color w:val="000000" w:themeColor="text1"/>
          <w:lang w:val="es-CR"/>
        </w:rPr>
        <w:t xml:space="preserve"> meta estratégica</w:t>
      </w:r>
      <w:r>
        <w:rPr>
          <w:rFonts w:ascii="Arial Narrow" w:eastAsia="Book Antiqua" w:hAnsi="Arial Narrow" w:cs="Book Antiqua"/>
          <w:color w:val="000000" w:themeColor="text1"/>
          <w:lang w:val="es-CR"/>
        </w:rPr>
        <w:t xml:space="preserve"> </w:t>
      </w:r>
      <w:r w:rsidR="0098222F">
        <w:rPr>
          <w:rFonts w:ascii="Arial Narrow" w:eastAsia="Book Antiqua" w:hAnsi="Arial Narrow" w:cs="Book Antiqua"/>
          <w:color w:val="000000" w:themeColor="text1"/>
          <w:lang w:val="es-CR"/>
        </w:rPr>
        <w:t>“</w:t>
      </w:r>
      <w:r w:rsidR="0061552A" w:rsidRPr="00704B08">
        <w:rPr>
          <w:rFonts w:ascii="Arial Narrow" w:eastAsia="Calibri" w:hAnsi="Arial Narrow"/>
          <w:b/>
          <w:bCs/>
          <w:i/>
          <w:iCs/>
        </w:rPr>
        <w:t>Que al finalizar el 2024, se haya implementado el plan definido de la política axiológica</w:t>
      </w:r>
      <w:r w:rsidR="0098222F">
        <w:rPr>
          <w:rFonts w:ascii="Arial Narrow" w:eastAsia="Calibri" w:hAnsi="Arial Narrow"/>
          <w:b/>
          <w:bCs/>
        </w:rPr>
        <w:t>”</w:t>
      </w:r>
      <w:r>
        <w:rPr>
          <w:rFonts w:ascii="Arial Narrow" w:eastAsia="Calibri" w:hAnsi="Arial Narrow"/>
          <w:b/>
          <w:bCs/>
        </w:rPr>
        <w:t xml:space="preserve"> </w:t>
      </w:r>
      <w:r w:rsidR="006608F5" w:rsidRPr="00704B08">
        <w:rPr>
          <w:rFonts w:ascii="Arial Narrow" w:eastAsia="Book Antiqua" w:hAnsi="Arial Narrow" w:cs="Book Antiqua"/>
          <w:color w:val="000000" w:themeColor="text1"/>
          <w:lang w:val="es-CR"/>
        </w:rPr>
        <w:t xml:space="preserve">se tiene que para el año 2019 la Secretaría Técnica de Ética y Valores presentó el plan de acción para la implementación de la Política Axiológica para los 6 años siguientes. En cuanto al año 2020 se observa por medio del sistema </w:t>
      </w:r>
      <w:r w:rsidR="00D2246B" w:rsidRPr="00704B08">
        <w:rPr>
          <w:rFonts w:ascii="Arial Narrow" w:eastAsia="Book Antiqua" w:hAnsi="Arial Narrow" w:cs="Book Antiqua"/>
          <w:color w:val="000000" w:themeColor="text1"/>
          <w:lang w:val="es-CR"/>
        </w:rPr>
        <w:t xml:space="preserve">PAO se adjuntó </w:t>
      </w:r>
      <w:r w:rsidR="000A17AF" w:rsidRPr="00704B08">
        <w:rPr>
          <w:rFonts w:ascii="Arial Narrow" w:eastAsia="Book Antiqua" w:hAnsi="Arial Narrow" w:cs="Book Antiqua"/>
          <w:color w:val="000000" w:themeColor="text1"/>
          <w:lang w:val="es-CR"/>
        </w:rPr>
        <w:t xml:space="preserve">el </w:t>
      </w:r>
      <w:r w:rsidR="00D2246B" w:rsidRPr="00704B08">
        <w:rPr>
          <w:rFonts w:ascii="Arial Narrow" w:eastAsia="Book Antiqua" w:hAnsi="Arial Narrow" w:cs="Book Antiqua"/>
          <w:color w:val="000000" w:themeColor="text1"/>
          <w:lang w:val="es-CR"/>
        </w:rPr>
        <w:t xml:space="preserve">borrador del </w:t>
      </w:r>
      <w:r w:rsidR="000A17AF" w:rsidRPr="00704B08">
        <w:rPr>
          <w:rFonts w:ascii="Arial Narrow" w:eastAsia="Book Antiqua" w:hAnsi="Arial Narrow" w:cs="Book Antiqua"/>
          <w:color w:val="000000" w:themeColor="text1"/>
          <w:lang w:val="es-CR"/>
        </w:rPr>
        <w:t>informe de avance del año 2019</w:t>
      </w:r>
      <w:r w:rsidR="00737550" w:rsidRPr="00704B08">
        <w:rPr>
          <w:rFonts w:ascii="Arial Narrow" w:eastAsia="Book Antiqua" w:hAnsi="Arial Narrow" w:cs="Book Antiqua"/>
          <w:color w:val="000000" w:themeColor="text1"/>
          <w:lang w:val="es-CR"/>
        </w:rPr>
        <w:t xml:space="preserve"> donde comunican la rendición de </w:t>
      </w:r>
      <w:r w:rsidR="00737550" w:rsidRPr="00704B08">
        <w:rPr>
          <w:rFonts w:ascii="Arial Narrow" w:eastAsia="Book Antiqua" w:hAnsi="Arial Narrow" w:cs="Book Antiqua"/>
          <w:color w:val="000000" w:themeColor="text1"/>
          <w:lang w:val="es"/>
        </w:rPr>
        <w:t xml:space="preserve">avances de los planes de acción de los objetivos y metas del año 2019 sobre lo que manifestaron las diferentes oficinas involucradas en la Política Axiológica, los cuales fueron presentados por eje y área de gestión responsable. Cabe aclarar que algunas metas están proyectadas para el año 2026, por lo que </w:t>
      </w:r>
      <w:r w:rsidR="00737550" w:rsidRPr="00737550">
        <w:rPr>
          <w:rFonts w:ascii="Arial Narrow" w:eastAsia="Book Antiqua" w:hAnsi="Arial Narrow" w:cs="Book Antiqua"/>
          <w:color w:val="000000" w:themeColor="text1"/>
          <w:lang w:val="es"/>
        </w:rPr>
        <w:t>se indicaron</w:t>
      </w:r>
      <w:r w:rsidR="00737550" w:rsidRPr="00704B08">
        <w:rPr>
          <w:rFonts w:ascii="Arial Narrow" w:eastAsia="Book Antiqua" w:hAnsi="Arial Narrow" w:cs="Book Antiqua"/>
          <w:color w:val="000000" w:themeColor="text1"/>
          <w:lang w:val="es"/>
        </w:rPr>
        <w:t xml:space="preserve"> los avances que realizaron las oficinas de </w:t>
      </w:r>
      <w:r w:rsidR="00DB7B3B">
        <w:rPr>
          <w:rFonts w:ascii="Arial Narrow" w:eastAsia="Book Antiqua" w:hAnsi="Arial Narrow" w:cs="Book Antiqua"/>
          <w:color w:val="000000" w:themeColor="text1"/>
          <w:lang w:val="es"/>
        </w:rPr>
        <w:t>éstas</w:t>
      </w:r>
      <w:r w:rsidR="00737550" w:rsidRPr="00704B08">
        <w:rPr>
          <w:rFonts w:ascii="Arial Narrow" w:eastAsia="Book Antiqua" w:hAnsi="Arial Narrow" w:cs="Book Antiqua"/>
          <w:color w:val="000000" w:themeColor="text1"/>
          <w:lang w:val="es"/>
        </w:rPr>
        <w:t xml:space="preserve"> durante el 2019. </w:t>
      </w:r>
      <w:r w:rsidR="00D2246B" w:rsidRPr="00737550">
        <w:rPr>
          <w:rFonts w:ascii="Arial Narrow" w:eastAsia="Book Antiqua" w:hAnsi="Arial Narrow" w:cs="Book Antiqua"/>
          <w:color w:val="000000" w:themeColor="text1"/>
          <w:lang w:val="es-CR"/>
        </w:rPr>
        <w:t>Es importante mencionar</w:t>
      </w:r>
      <w:r w:rsidR="000A17AF" w:rsidRPr="00704B08">
        <w:rPr>
          <w:rFonts w:ascii="Arial Narrow" w:eastAsia="Book Antiqua" w:hAnsi="Arial Narrow" w:cs="Book Antiqua"/>
          <w:color w:val="000000" w:themeColor="text1"/>
          <w:lang w:val="es-CR"/>
        </w:rPr>
        <w:t xml:space="preserve"> que el seguimiento de la Política Axiológica se efectúa por año vencido.</w:t>
      </w:r>
    </w:p>
    <w:p w14:paraId="7E1FEE0C" w14:textId="6A0E1C3F" w:rsidR="001B6E23" w:rsidRDefault="001B6E23" w:rsidP="00C43708">
      <w:pPr>
        <w:rPr>
          <w:rFonts w:eastAsia="Calibri"/>
          <w:lang w:eastAsia="en-US"/>
        </w:rPr>
      </w:pPr>
    </w:p>
    <w:p w14:paraId="3A5E8FFA" w14:textId="58C643A8" w:rsidR="00DB7B3B" w:rsidRDefault="00DB7B3B" w:rsidP="00C43708">
      <w:pPr>
        <w:rPr>
          <w:rFonts w:eastAsia="Calibri"/>
          <w:lang w:eastAsia="en-US"/>
        </w:rPr>
      </w:pPr>
    </w:p>
    <w:p w14:paraId="491E7C11" w14:textId="010A8AAD" w:rsidR="00DB7B3B" w:rsidRDefault="00DB7B3B" w:rsidP="00C43708">
      <w:pPr>
        <w:rPr>
          <w:rFonts w:eastAsia="Calibri"/>
          <w:lang w:eastAsia="en-US"/>
        </w:rPr>
      </w:pPr>
    </w:p>
    <w:p w14:paraId="0C76B477" w14:textId="0A4C25D3" w:rsidR="00DB7B3B" w:rsidRDefault="00DB7B3B" w:rsidP="00C43708">
      <w:pPr>
        <w:rPr>
          <w:rFonts w:eastAsia="Calibri"/>
          <w:lang w:eastAsia="en-US"/>
        </w:rPr>
      </w:pPr>
    </w:p>
    <w:p w14:paraId="2653C47B" w14:textId="77777777" w:rsidR="00DB7B3B" w:rsidRPr="009D5823" w:rsidRDefault="00DB7B3B" w:rsidP="00C43708">
      <w:pPr>
        <w:rPr>
          <w:rFonts w:eastAsia="Calibri"/>
          <w:lang w:eastAsia="en-US"/>
        </w:rPr>
      </w:pPr>
    </w:p>
    <w:p w14:paraId="222AE827" w14:textId="77777777" w:rsidR="00DB7B3B" w:rsidRDefault="00DB7B3B" w:rsidP="00EE6C8B">
      <w:pPr>
        <w:spacing w:line="360" w:lineRule="auto"/>
        <w:jc w:val="both"/>
        <w:rPr>
          <w:rFonts w:ascii="Arial Narrow" w:eastAsia="Calibri" w:hAnsi="Arial Narrow"/>
        </w:rPr>
      </w:pPr>
      <w:bookmarkStart w:id="55" w:name="_Hlk53475150"/>
      <w:bookmarkStart w:id="56" w:name="_Hlk54877746"/>
    </w:p>
    <w:p w14:paraId="4F72B973" w14:textId="77777777" w:rsidR="00DB7B3B" w:rsidRDefault="00DB7B3B" w:rsidP="00EE6C8B">
      <w:pPr>
        <w:spacing w:line="360" w:lineRule="auto"/>
        <w:jc w:val="both"/>
        <w:rPr>
          <w:rFonts w:ascii="Arial Narrow" w:eastAsia="Calibri" w:hAnsi="Arial Narrow"/>
        </w:rPr>
      </w:pPr>
    </w:p>
    <w:p w14:paraId="3085A276" w14:textId="6318F4C3" w:rsidR="00EE6C8B" w:rsidRDefault="00AD0ED9" w:rsidP="00EE6C8B">
      <w:pPr>
        <w:spacing w:line="360" w:lineRule="auto"/>
        <w:jc w:val="both"/>
        <w:rPr>
          <w:rFonts w:ascii="Arial Narrow" w:eastAsia="Calibri" w:hAnsi="Arial Narrow"/>
        </w:rPr>
      </w:pPr>
      <w:r w:rsidRPr="00704B08">
        <w:rPr>
          <w:rFonts w:ascii="Arial Narrow" w:eastAsia="Calibri" w:hAnsi="Arial Narrow"/>
        </w:rPr>
        <w:t>Finalmente e</w:t>
      </w:r>
      <w:r w:rsidR="00296A57" w:rsidRPr="009D5823">
        <w:rPr>
          <w:rFonts w:ascii="Arial Narrow" w:eastAsia="Calibri" w:hAnsi="Arial Narrow"/>
        </w:rPr>
        <w:t xml:space="preserve">s importante señalar que en la Matriz del PEI 2019-2024 adicionalmente se incluye la meta estratégica </w:t>
      </w:r>
      <w:r w:rsidR="001B6E23" w:rsidRPr="009D5823">
        <w:rPr>
          <w:rFonts w:ascii="Arial Narrow" w:eastAsia="Calibri" w:hAnsi="Arial Narrow"/>
        </w:rPr>
        <w:t>“</w:t>
      </w:r>
      <w:r w:rsidR="00113750" w:rsidRPr="009D5823">
        <w:rPr>
          <w:rFonts w:ascii="Arial Narrow" w:eastAsia="Calibri" w:hAnsi="Arial Narrow"/>
          <w:b/>
          <w:bCs/>
          <w:i/>
          <w:iCs/>
        </w:rPr>
        <w:t>Que al finalizar el 2024, se haya completado la implementación del Sistema de Gestión de Despachos Judiciales y Escritorio Virtual en todos los órganos de control en materia Disciplinaria.</w:t>
      </w:r>
      <w:r w:rsidR="00DB7B3B">
        <w:rPr>
          <w:rFonts w:ascii="Arial Narrow" w:eastAsia="Calibri" w:hAnsi="Arial Narrow"/>
          <w:b/>
          <w:bCs/>
          <w:i/>
          <w:iCs/>
        </w:rPr>
        <w:t xml:space="preserve"> </w:t>
      </w:r>
      <w:r w:rsidR="001B6E23" w:rsidRPr="009D5823">
        <w:rPr>
          <w:rFonts w:ascii="Arial Narrow" w:eastAsia="Calibri" w:hAnsi="Arial Narrow"/>
          <w:b/>
          <w:bCs/>
          <w:i/>
          <w:iCs/>
        </w:rPr>
        <w:t xml:space="preserve"> Indicador: </w:t>
      </w:r>
      <w:r w:rsidR="00113750" w:rsidRPr="009D5823">
        <w:rPr>
          <w:rFonts w:ascii="Arial Narrow" w:eastAsia="Calibri" w:hAnsi="Arial Narrow"/>
          <w:b/>
          <w:bCs/>
          <w:i/>
          <w:iCs/>
        </w:rPr>
        <w:t>% de avance en la implementación del Sistema de Gestión y Escritorio Virtual en todos los órganos disciplinarios”</w:t>
      </w:r>
      <w:r w:rsidR="00F15ADB" w:rsidRPr="009D5823">
        <w:rPr>
          <w:rFonts w:ascii="Arial Narrow" w:eastAsia="Calibri" w:hAnsi="Arial Narrow"/>
        </w:rPr>
        <w:t xml:space="preserve">, </w:t>
      </w:r>
      <w:r w:rsidR="0092765F" w:rsidRPr="009D5823">
        <w:rPr>
          <w:rFonts w:ascii="Arial Narrow" w:eastAsia="Calibri" w:hAnsi="Arial Narrow"/>
        </w:rPr>
        <w:t>se logr</w:t>
      </w:r>
      <w:r w:rsidR="00493DA1" w:rsidRPr="009D5823">
        <w:rPr>
          <w:rFonts w:ascii="Arial Narrow" w:eastAsia="Calibri" w:hAnsi="Arial Narrow"/>
        </w:rPr>
        <w:t>ó</w:t>
      </w:r>
      <w:r w:rsidR="0092765F" w:rsidRPr="009D5823">
        <w:rPr>
          <w:rFonts w:ascii="Arial Narrow" w:eastAsia="Calibri" w:hAnsi="Arial Narrow"/>
        </w:rPr>
        <w:t xml:space="preserve"> verificar que esta </w:t>
      </w:r>
      <w:r w:rsidR="00493DA1" w:rsidRPr="009D5823">
        <w:rPr>
          <w:rFonts w:ascii="Arial Narrow" w:eastAsia="Calibri" w:hAnsi="Arial Narrow"/>
        </w:rPr>
        <w:t xml:space="preserve">meta esta </w:t>
      </w:r>
      <w:r w:rsidR="0092765F" w:rsidRPr="009D5823">
        <w:rPr>
          <w:rFonts w:ascii="Arial Narrow" w:eastAsia="Calibri" w:hAnsi="Arial Narrow"/>
        </w:rPr>
        <w:t xml:space="preserve">formulada </w:t>
      </w:r>
      <w:r w:rsidR="00493DA1" w:rsidRPr="009D5823">
        <w:rPr>
          <w:rFonts w:ascii="Arial Narrow" w:eastAsia="Calibri" w:hAnsi="Arial Narrow"/>
        </w:rPr>
        <w:t xml:space="preserve">para el 2021 y </w:t>
      </w:r>
      <w:r w:rsidR="0092765F" w:rsidRPr="009D5823">
        <w:rPr>
          <w:rFonts w:ascii="Arial Narrow" w:eastAsia="Calibri" w:hAnsi="Arial Narrow"/>
        </w:rPr>
        <w:t xml:space="preserve">se tiene previsto </w:t>
      </w:r>
      <w:r w:rsidR="00493DA1" w:rsidRPr="009D5823">
        <w:rPr>
          <w:rFonts w:ascii="Arial Narrow" w:eastAsia="Calibri" w:hAnsi="Arial Narrow"/>
        </w:rPr>
        <w:t>su vinculación</w:t>
      </w:r>
      <w:r w:rsidR="0092765F" w:rsidRPr="009D5823">
        <w:rPr>
          <w:rFonts w:ascii="Arial Narrow" w:eastAsia="Calibri" w:hAnsi="Arial Narrow"/>
        </w:rPr>
        <w:t xml:space="preserve"> en los PAOs de</w:t>
      </w:r>
      <w:r w:rsidR="00493DA1" w:rsidRPr="009D5823">
        <w:rPr>
          <w:rFonts w:ascii="Arial Narrow" w:eastAsia="Calibri" w:hAnsi="Arial Narrow"/>
        </w:rPr>
        <w:t xml:space="preserve"> ese año</w:t>
      </w:r>
      <w:r w:rsidR="0092765F" w:rsidRPr="009D5823">
        <w:rPr>
          <w:rFonts w:ascii="Arial Narrow" w:eastAsia="Calibri" w:hAnsi="Arial Narrow"/>
        </w:rPr>
        <w:t>.</w:t>
      </w:r>
      <w:r w:rsidR="00EE6C8B" w:rsidRPr="009D5823">
        <w:rPr>
          <w:rFonts w:ascii="Arial Narrow" w:eastAsia="Calibri" w:hAnsi="Arial Narrow"/>
        </w:rPr>
        <w:t xml:space="preserve"> Como labores adicionales a la meta estratégica detallada y que se han realizado se plasma en el informe 1333-PLA-EV-2020 sobre el seguimiento a los indicadores del Estado de la Justicia y en el cual la Inspección Judicial ha realizado esfuerzos como la inclusión de variable de corrupción en los reportes de la instancia competente (Tribunal de la Inspección Judicial, Comisión de Transparencia o Comisión de Narcotráfico), según los mismos indicadores generales recomendados para los casos disciplinarios. A su vez, se registra la inclusión de datos estadísticos sobre la cantidad de visitas realizadas a oficinas y despachos judiciales, así como de los hallazgos obtenidos a partir de ellas, finalmente se ha trabajado en la mejora del Escritorio Virtual que permita medir la incorporación de indicadores trazables por caso, que incluyan variables como: personal denunciado según categoría de puesto, inicio de los procedimientos, resolución y apelación o consulta, entre otros.</w:t>
      </w:r>
    </w:p>
    <w:p w14:paraId="35215EE3" w14:textId="77777777" w:rsidR="00BB3C4F" w:rsidRDefault="00BB3C4F" w:rsidP="00113750">
      <w:pPr>
        <w:spacing w:line="360" w:lineRule="auto"/>
        <w:jc w:val="both"/>
        <w:rPr>
          <w:rFonts w:ascii="Arial Narrow" w:eastAsia="Calibri" w:hAnsi="Arial Narrow"/>
        </w:rPr>
      </w:pPr>
      <w:bookmarkStart w:id="57" w:name="_Hlk54877880"/>
      <w:bookmarkStart w:id="58" w:name="_Hlk53475160"/>
      <w:bookmarkEnd w:id="55"/>
      <w:bookmarkEnd w:id="56"/>
    </w:p>
    <w:p w14:paraId="5955A391" w14:textId="01181F0F" w:rsidR="00C43708" w:rsidRPr="00704B08" w:rsidRDefault="000D7411" w:rsidP="007F2B44">
      <w:pPr>
        <w:pStyle w:val="Ttulo4"/>
        <w:numPr>
          <w:ilvl w:val="0"/>
          <w:numId w:val="62"/>
        </w:numPr>
        <w:rPr>
          <w:rFonts w:ascii="Arial Narrow" w:eastAsia="Calibri" w:hAnsi="Arial Narrow"/>
        </w:rPr>
      </w:pPr>
      <w:bookmarkStart w:id="59" w:name="_Toc52979164"/>
      <w:bookmarkEnd w:id="57"/>
      <w:bookmarkEnd w:id="58"/>
      <w:bookmarkEnd w:id="59"/>
      <w:r>
        <w:rPr>
          <w:rFonts w:ascii="Arial Narrow" w:eastAsia="Calibri" w:hAnsi="Arial Narrow"/>
        </w:rPr>
        <w:t xml:space="preserve">5.2.3. </w:t>
      </w:r>
      <w:r w:rsidR="00C43708" w:rsidRPr="00704B08">
        <w:rPr>
          <w:rFonts w:ascii="Arial Narrow" w:eastAsia="Calibri" w:hAnsi="Arial Narrow"/>
        </w:rPr>
        <w:t>Colaboración interna y externa</w:t>
      </w:r>
    </w:p>
    <w:p w14:paraId="286FB50D" w14:textId="04F7F019" w:rsidR="007F2B44" w:rsidRDefault="007F2B44" w:rsidP="00704B08">
      <w:pPr>
        <w:spacing w:line="360" w:lineRule="auto"/>
        <w:rPr>
          <w:rFonts w:eastAsia="Calibri"/>
        </w:rPr>
      </w:pPr>
    </w:p>
    <w:p w14:paraId="428C79FA" w14:textId="74104035" w:rsidR="009D5823" w:rsidRDefault="00D85CAC" w:rsidP="00DB7B3B">
      <w:pPr>
        <w:spacing w:line="360" w:lineRule="auto"/>
        <w:jc w:val="both"/>
        <w:rPr>
          <w:rFonts w:ascii="Arial Narrow" w:eastAsia="Calibri" w:hAnsi="Arial Narrow"/>
        </w:rPr>
        <w:sectPr w:rsidR="009D5823" w:rsidSect="009D5823">
          <w:pgSz w:w="12242" w:h="15842" w:code="1"/>
          <w:pgMar w:top="1701" w:right="1417" w:bottom="1701" w:left="1417" w:header="709" w:footer="709" w:gutter="0"/>
          <w:cols w:space="708"/>
          <w:docGrid w:linePitch="360"/>
        </w:sectPr>
      </w:pPr>
      <w:r w:rsidRPr="00272F17">
        <w:rPr>
          <w:rFonts w:ascii="Arial Narrow" w:eastAsia="Calibri" w:hAnsi="Arial Narrow"/>
        </w:rPr>
        <w:t xml:space="preserve">Sobre la acción estratégica de Colaboración Interna y Externa, se tienen </w:t>
      </w:r>
      <w:r w:rsidR="006344C7">
        <w:rPr>
          <w:rFonts w:ascii="Arial Narrow" w:eastAsia="Calibri" w:hAnsi="Arial Narrow"/>
        </w:rPr>
        <w:t>8</w:t>
      </w:r>
      <w:r w:rsidRPr="00272F17">
        <w:rPr>
          <w:rFonts w:ascii="Arial Narrow" w:eastAsia="Calibri" w:hAnsi="Arial Narrow"/>
        </w:rPr>
        <w:t xml:space="preserve"> metas estratégicas asociadas, de las</w:t>
      </w:r>
      <w:r w:rsidR="002D2458">
        <w:rPr>
          <w:rFonts w:ascii="Arial Narrow" w:eastAsia="Calibri" w:hAnsi="Arial Narrow"/>
        </w:rPr>
        <w:t xml:space="preserve"> una fue</w:t>
      </w:r>
      <w:r w:rsidRPr="00272F17">
        <w:rPr>
          <w:rFonts w:ascii="Arial Narrow" w:eastAsia="Calibri" w:hAnsi="Arial Narrow"/>
        </w:rPr>
        <w:t xml:space="preserve"> completada</w:t>
      </w:r>
      <w:r w:rsidR="002D2458">
        <w:rPr>
          <w:rFonts w:ascii="Arial Narrow" w:eastAsia="Calibri" w:hAnsi="Arial Narrow"/>
        </w:rPr>
        <w:t xml:space="preserve"> parcialmente</w:t>
      </w:r>
      <w:r w:rsidRPr="00272F17">
        <w:rPr>
          <w:rFonts w:ascii="Arial Narrow" w:eastAsia="Calibri" w:hAnsi="Arial Narrow"/>
        </w:rPr>
        <w:t xml:space="preserve">. </w:t>
      </w:r>
      <w:r w:rsidR="00AD0ED9">
        <w:rPr>
          <w:rFonts w:ascii="Arial Narrow" w:eastAsia="Calibri" w:hAnsi="Arial Narrow"/>
        </w:rPr>
        <w:t>A continuación</w:t>
      </w:r>
      <w:r w:rsidR="00DB7B3B">
        <w:rPr>
          <w:rFonts w:ascii="Arial Narrow" w:eastAsia="Calibri" w:hAnsi="Arial Narrow"/>
        </w:rPr>
        <w:t>,</w:t>
      </w:r>
      <w:r w:rsidR="00AD0ED9">
        <w:rPr>
          <w:rFonts w:ascii="Arial Narrow" w:eastAsia="Calibri" w:hAnsi="Arial Narrow"/>
        </w:rPr>
        <w:t xml:space="preserve"> s</w:t>
      </w:r>
      <w:r w:rsidR="00C43708" w:rsidRPr="000B4845">
        <w:rPr>
          <w:rFonts w:ascii="Arial Narrow" w:eastAsia="Calibri" w:hAnsi="Arial Narrow"/>
        </w:rPr>
        <w:t>e muestran las metas estratégicas y su</w:t>
      </w:r>
      <w:r w:rsidR="00DB7B3B">
        <w:rPr>
          <w:rFonts w:ascii="Arial Narrow" w:eastAsia="Calibri" w:hAnsi="Arial Narrow"/>
        </w:rPr>
        <w:t xml:space="preserve"> </w:t>
      </w:r>
      <w:r w:rsidR="00C43708" w:rsidRPr="000B4845">
        <w:rPr>
          <w:rFonts w:ascii="Arial Narrow" w:eastAsia="Calibri" w:hAnsi="Arial Narrow"/>
        </w:rPr>
        <w:t>cumplimiento para el 2019</w:t>
      </w:r>
      <w:r w:rsidR="00E50993">
        <w:rPr>
          <w:rFonts w:ascii="Arial Narrow" w:eastAsia="Calibri" w:hAnsi="Arial Narrow"/>
        </w:rPr>
        <w:t xml:space="preserve"> y 2020</w:t>
      </w:r>
      <w:r w:rsidR="008B0FDD">
        <w:rPr>
          <w:rFonts w:ascii="Arial Narrow" w:eastAsia="Calibri" w:hAnsi="Arial Narrow"/>
        </w:rPr>
        <w:t>:</w:t>
      </w:r>
    </w:p>
    <w:p w14:paraId="43CFE023" w14:textId="4F4C70B4" w:rsidR="00C43708" w:rsidRDefault="00C43708" w:rsidP="00704B08">
      <w:pPr>
        <w:spacing w:line="360" w:lineRule="auto"/>
        <w:rPr>
          <w:rFonts w:ascii="Arial Narrow" w:eastAsia="Calibri" w:hAnsi="Arial Narrow"/>
        </w:rPr>
      </w:pPr>
    </w:p>
    <w:p w14:paraId="2D1BF38F" w14:textId="77777777" w:rsidR="00AD0ED9" w:rsidRPr="000B4845" w:rsidRDefault="00AD0ED9" w:rsidP="00C43708">
      <w:pPr>
        <w:rPr>
          <w:rFonts w:ascii="Arial Narrow" w:eastAsia="Calibri" w:hAnsi="Arial Narrow"/>
        </w:rPr>
      </w:pPr>
    </w:p>
    <w:p w14:paraId="45B86284" w14:textId="167A20B2" w:rsidR="0098222F" w:rsidRDefault="0098222F" w:rsidP="0098222F">
      <w:pPr>
        <w:pStyle w:val="Descripcin"/>
        <w:jc w:val="center"/>
        <w:rPr>
          <w:rFonts w:ascii="Arial Narrow" w:eastAsia="Calibri" w:hAnsi="Arial Narrow"/>
          <w:sz w:val="24"/>
          <w:szCs w:val="24"/>
        </w:rPr>
      </w:pPr>
      <w:bookmarkStart w:id="60" w:name="_Toc76062255"/>
      <w:r w:rsidRPr="00484CC1">
        <w:rPr>
          <w:rFonts w:ascii="Arial Narrow" w:hAnsi="Arial Narrow"/>
          <w:sz w:val="24"/>
          <w:szCs w:val="24"/>
        </w:rPr>
        <w:t>Cuadro</w:t>
      </w:r>
      <w:r>
        <w:rPr>
          <w:rFonts w:ascii="Arial Narrow" w:hAnsi="Arial Narrow"/>
          <w:sz w:val="24"/>
          <w:szCs w:val="24"/>
        </w:rPr>
        <w:t xml:space="preserve"> </w:t>
      </w:r>
      <w:r w:rsidRPr="00484CC1">
        <w:rPr>
          <w:rFonts w:ascii="Arial Narrow" w:hAnsi="Arial Narrow"/>
          <w:sz w:val="24"/>
          <w:szCs w:val="24"/>
        </w:rPr>
        <w:fldChar w:fldCharType="begin"/>
      </w:r>
      <w:r w:rsidRPr="00484CC1">
        <w:rPr>
          <w:rFonts w:ascii="Arial Narrow" w:hAnsi="Arial Narrow"/>
          <w:sz w:val="24"/>
          <w:szCs w:val="24"/>
        </w:rPr>
        <w:instrText xml:space="preserve"> SEQ Cuadro_No. \* ARABIC </w:instrText>
      </w:r>
      <w:r w:rsidRPr="00484CC1">
        <w:rPr>
          <w:rFonts w:ascii="Arial Narrow" w:hAnsi="Arial Narrow"/>
          <w:sz w:val="24"/>
          <w:szCs w:val="24"/>
        </w:rPr>
        <w:fldChar w:fldCharType="separate"/>
      </w:r>
      <w:r w:rsidR="009D5823">
        <w:rPr>
          <w:rFonts w:ascii="Arial Narrow" w:hAnsi="Arial Narrow"/>
          <w:noProof/>
          <w:sz w:val="24"/>
          <w:szCs w:val="24"/>
        </w:rPr>
        <w:t>32</w:t>
      </w:r>
      <w:r w:rsidRPr="00484CC1">
        <w:rPr>
          <w:rFonts w:ascii="Arial Narrow" w:hAnsi="Arial Narrow"/>
          <w:sz w:val="24"/>
          <w:szCs w:val="24"/>
        </w:rPr>
        <w:fldChar w:fldCharType="end"/>
      </w:r>
      <w:r w:rsidRPr="00484CC1">
        <w:rPr>
          <w:rFonts w:ascii="Arial Narrow" w:hAnsi="Arial Narrow"/>
          <w:sz w:val="24"/>
          <w:szCs w:val="24"/>
        </w:rPr>
        <w:t xml:space="preserve"> </w:t>
      </w:r>
      <w:r w:rsidRPr="00D657CE">
        <w:rPr>
          <w:rFonts w:ascii="Arial Narrow" w:eastAsia="Calibri" w:hAnsi="Arial Narrow"/>
          <w:sz w:val="24"/>
          <w:szCs w:val="24"/>
        </w:rPr>
        <w:t xml:space="preserve">Metas estratégicas de </w:t>
      </w:r>
      <w:r>
        <w:rPr>
          <w:rFonts w:ascii="Arial Narrow" w:eastAsia="Calibri" w:hAnsi="Arial Narrow"/>
          <w:sz w:val="24"/>
          <w:szCs w:val="24"/>
        </w:rPr>
        <w:t xml:space="preserve">Probidad y anticorrupción </w:t>
      </w:r>
      <w:r w:rsidRPr="00D657CE">
        <w:rPr>
          <w:rFonts w:ascii="Arial Narrow" w:eastAsia="Calibri" w:hAnsi="Arial Narrow"/>
          <w:sz w:val="24"/>
          <w:szCs w:val="24"/>
        </w:rPr>
        <w:t>y su cumplimiento para el 2019</w:t>
      </w:r>
      <w:r>
        <w:rPr>
          <w:rFonts w:ascii="Arial Narrow" w:eastAsia="Calibri" w:hAnsi="Arial Narrow"/>
          <w:sz w:val="24"/>
          <w:szCs w:val="24"/>
        </w:rPr>
        <w:t xml:space="preserve"> y 2020.</w:t>
      </w:r>
      <w:bookmarkEnd w:id="60"/>
    </w:p>
    <w:p w14:paraId="19C2C4A2" w14:textId="20C388D1" w:rsidR="00E50993" w:rsidRDefault="00E50993" w:rsidP="00E50993">
      <w:pPr>
        <w:rPr>
          <w:rFonts w:eastAsia="Calibri"/>
        </w:rPr>
      </w:pPr>
    </w:p>
    <w:p w14:paraId="1308C974" w14:textId="71F4F872" w:rsidR="00F9090D" w:rsidRDefault="002D2458" w:rsidP="00704B08">
      <w:pPr>
        <w:jc w:val="center"/>
        <w:rPr>
          <w:rFonts w:eastAsia="Calibri"/>
        </w:rPr>
      </w:pPr>
      <w:r>
        <w:rPr>
          <w:noProof/>
          <w:lang w:val="es-CR" w:eastAsia="es-CR"/>
        </w:rPr>
        <w:drawing>
          <wp:inline distT="0" distB="0" distL="0" distR="0" wp14:anchorId="5DEC2B5E" wp14:editId="4B596972">
            <wp:extent cx="7527290" cy="3193961"/>
            <wp:effectExtent l="0" t="0" r="0" b="6985"/>
            <wp:docPr id="168" name="Imagen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7531278" cy="3195653"/>
                    </a:xfrm>
                    <a:prstGeom prst="rect">
                      <a:avLst/>
                    </a:prstGeom>
                  </pic:spPr>
                </pic:pic>
              </a:graphicData>
            </a:graphic>
          </wp:inline>
        </w:drawing>
      </w:r>
    </w:p>
    <w:p w14:paraId="2AA5F536" w14:textId="77777777" w:rsidR="006344C7" w:rsidRPr="00A618D8" w:rsidRDefault="006344C7" w:rsidP="006344C7">
      <w:pPr>
        <w:rPr>
          <w:bCs/>
        </w:rPr>
      </w:pPr>
      <w:r>
        <w:rPr>
          <w:rFonts w:ascii="Arial Narrow" w:eastAsia="Calibri" w:hAnsi="Arial Narrow"/>
          <w:sz w:val="18"/>
          <w:szCs w:val="18"/>
          <w:lang w:eastAsia="en-US"/>
        </w:rPr>
        <w:t xml:space="preserve">           </w:t>
      </w:r>
      <w:r w:rsidRPr="000B4845">
        <w:rPr>
          <w:rFonts w:ascii="Arial Narrow" w:eastAsia="Calibri" w:hAnsi="Arial Narrow"/>
          <w:sz w:val="18"/>
          <w:szCs w:val="18"/>
          <w:lang w:eastAsia="en-US"/>
        </w:rPr>
        <w:t>Fuente: Sistema PEI al 24 de enero del 2020 (año 2019)</w:t>
      </w:r>
      <w:r>
        <w:rPr>
          <w:rFonts w:ascii="Arial Narrow" w:eastAsia="Calibri" w:hAnsi="Arial Narrow"/>
          <w:sz w:val="18"/>
          <w:szCs w:val="18"/>
          <w:lang w:eastAsia="en-US"/>
        </w:rPr>
        <w:t xml:space="preserve"> y 04 de marzo del 2021 (año 2020).</w:t>
      </w:r>
    </w:p>
    <w:p w14:paraId="690C1494" w14:textId="77777777" w:rsidR="009D5823" w:rsidRDefault="009D5823" w:rsidP="00E50993">
      <w:pPr>
        <w:rPr>
          <w:rFonts w:eastAsia="Calibri"/>
          <w:b/>
          <w:bCs/>
        </w:rPr>
        <w:sectPr w:rsidR="009D5823" w:rsidSect="009D5823">
          <w:pgSz w:w="15842" w:h="12242" w:orient="landscape" w:code="1"/>
          <w:pgMar w:top="1417" w:right="1701" w:bottom="1417" w:left="1701" w:header="709" w:footer="709" w:gutter="0"/>
          <w:cols w:space="708"/>
          <w:docGrid w:linePitch="360"/>
        </w:sectPr>
      </w:pPr>
    </w:p>
    <w:p w14:paraId="4DBB4338" w14:textId="7F415E18" w:rsidR="00F9090D" w:rsidRDefault="00F9090D" w:rsidP="00E50993">
      <w:pPr>
        <w:rPr>
          <w:rFonts w:eastAsia="Calibri"/>
          <w:b/>
          <w:bCs/>
        </w:rPr>
      </w:pPr>
    </w:p>
    <w:p w14:paraId="09C3BF73" w14:textId="544F5B69" w:rsidR="00DB7B3B" w:rsidRDefault="00DB7B3B" w:rsidP="00E50993">
      <w:pPr>
        <w:rPr>
          <w:rFonts w:eastAsia="Calibri"/>
          <w:b/>
          <w:bCs/>
        </w:rPr>
      </w:pPr>
    </w:p>
    <w:p w14:paraId="0372A55D" w14:textId="77777777" w:rsidR="00DB7B3B" w:rsidRPr="00704B08" w:rsidRDefault="00DB7B3B" w:rsidP="00E50993">
      <w:pPr>
        <w:rPr>
          <w:rFonts w:eastAsia="Calibri"/>
          <w:b/>
          <w:bCs/>
        </w:rPr>
      </w:pPr>
    </w:p>
    <w:p w14:paraId="34B88B36" w14:textId="5A0A342F" w:rsidR="00F472D5" w:rsidRPr="00704B08" w:rsidRDefault="000717FB" w:rsidP="00704B08">
      <w:pPr>
        <w:spacing w:line="360" w:lineRule="auto"/>
        <w:jc w:val="both"/>
        <w:rPr>
          <w:rFonts w:ascii="Arial Narrow" w:hAnsi="Arial Narrow"/>
          <w:b/>
          <w:bCs/>
          <w:noProof/>
        </w:rPr>
      </w:pPr>
      <w:r>
        <w:rPr>
          <w:rFonts w:ascii="Arial Narrow" w:eastAsia="Book Antiqua" w:hAnsi="Arial Narrow" w:cs="Book Antiqua"/>
          <w:color w:val="000000" w:themeColor="text1"/>
          <w:lang w:val="es-CR"/>
        </w:rPr>
        <w:t>L</w:t>
      </w:r>
      <w:r w:rsidR="0098222F">
        <w:rPr>
          <w:rFonts w:ascii="Arial Narrow" w:eastAsia="Book Antiqua" w:hAnsi="Arial Narrow" w:cs="Book Antiqua"/>
          <w:color w:val="000000" w:themeColor="text1"/>
          <w:lang w:val="es-CR"/>
        </w:rPr>
        <w:t>a</w:t>
      </w:r>
      <w:r w:rsidR="0098222F" w:rsidRPr="00A618D8">
        <w:rPr>
          <w:rFonts w:ascii="Arial Narrow" w:eastAsia="Book Antiqua" w:hAnsi="Arial Narrow" w:cs="Book Antiqua"/>
          <w:color w:val="000000" w:themeColor="text1"/>
          <w:lang w:val="es-CR"/>
        </w:rPr>
        <w:t xml:space="preserve"> meta estratégica</w:t>
      </w:r>
      <w:r w:rsidR="0098222F">
        <w:rPr>
          <w:rFonts w:ascii="Arial Narrow" w:eastAsia="Book Antiqua" w:hAnsi="Arial Narrow" w:cs="Book Antiqua"/>
          <w:color w:val="000000" w:themeColor="text1"/>
          <w:lang w:val="es-CR"/>
        </w:rPr>
        <w:t xml:space="preserve"> </w:t>
      </w:r>
      <w:r w:rsidR="0098222F">
        <w:rPr>
          <w:rFonts w:ascii="Arial Narrow" w:hAnsi="Arial Narrow"/>
          <w:b/>
          <w:bCs/>
          <w:noProof/>
        </w:rPr>
        <w:t>“</w:t>
      </w:r>
      <w:r w:rsidR="005220CE" w:rsidRPr="00704B08">
        <w:rPr>
          <w:rFonts w:ascii="Arial Narrow" w:hAnsi="Arial Narrow"/>
          <w:b/>
          <w:bCs/>
          <w:i/>
          <w:iCs/>
          <w:noProof/>
        </w:rPr>
        <w:t>Que al finalizar el 2024, se hayan implementado las acciones definidas correspondientes al principio de Colaboración de la Política de Justicia Abierta</w:t>
      </w:r>
      <w:r w:rsidR="0098222F">
        <w:rPr>
          <w:rFonts w:ascii="Arial Narrow" w:hAnsi="Arial Narrow"/>
          <w:b/>
          <w:bCs/>
          <w:noProof/>
        </w:rPr>
        <w:t>”</w:t>
      </w:r>
      <w:r w:rsidR="00DB7B3B">
        <w:rPr>
          <w:rFonts w:ascii="Arial Narrow" w:hAnsi="Arial Narrow"/>
          <w:b/>
          <w:bCs/>
          <w:noProof/>
        </w:rPr>
        <w:t>,</w:t>
      </w:r>
      <w:r w:rsidR="002D2458">
        <w:rPr>
          <w:rFonts w:ascii="Arial Narrow" w:hAnsi="Arial Narrow"/>
          <w:b/>
          <w:bCs/>
          <w:noProof/>
        </w:rPr>
        <w:t xml:space="preserve"> </w:t>
      </w:r>
      <w:r w:rsidR="0098222F">
        <w:rPr>
          <w:rFonts w:ascii="Arial Narrow" w:eastAsia="Calibri" w:hAnsi="Arial Narrow"/>
        </w:rPr>
        <w:t>se inform</w:t>
      </w:r>
      <w:r w:rsidR="00725483" w:rsidRPr="00725483">
        <w:rPr>
          <w:rFonts w:ascii="Arial Narrow" w:eastAsia="Calibri" w:hAnsi="Arial Narrow"/>
        </w:rPr>
        <w:t>a</w:t>
      </w:r>
      <w:r w:rsidR="0098222F">
        <w:rPr>
          <w:rFonts w:ascii="Arial Narrow" w:eastAsia="Calibri" w:hAnsi="Arial Narrow"/>
        </w:rPr>
        <w:t xml:space="preserve"> que la</w:t>
      </w:r>
      <w:r w:rsidR="00725483" w:rsidRPr="00725483">
        <w:rPr>
          <w:rFonts w:ascii="Arial Narrow" w:eastAsia="Calibri" w:hAnsi="Arial Narrow"/>
        </w:rPr>
        <w:t xml:space="preserve"> </w:t>
      </w:r>
      <w:r w:rsidR="00F472D5" w:rsidRPr="00725483">
        <w:rPr>
          <w:rFonts w:ascii="Arial Narrow" w:eastAsia="Calibri" w:hAnsi="Arial Narrow"/>
        </w:rPr>
        <w:t xml:space="preserve"> implementación de acciones definidas correspondientes al principio de Colaboración de la Política de Justicia Abierta, </w:t>
      </w:r>
      <w:r w:rsidR="00725483" w:rsidRPr="00725483">
        <w:rPr>
          <w:rFonts w:ascii="Arial Narrow" w:eastAsia="Calibri" w:hAnsi="Arial Narrow"/>
        </w:rPr>
        <w:t xml:space="preserve">se desarrolla </w:t>
      </w:r>
      <w:r w:rsidR="00F472D5" w:rsidRPr="00725483">
        <w:rPr>
          <w:rFonts w:ascii="Arial Narrow" w:eastAsia="Calibri" w:hAnsi="Arial Narrow"/>
        </w:rPr>
        <w:t xml:space="preserve">por parte de múltiples oficinas del Poder Judicial </w:t>
      </w:r>
      <w:r w:rsidR="006344C7">
        <w:rPr>
          <w:rFonts w:ascii="Arial Narrow" w:eastAsia="Calibri" w:hAnsi="Arial Narrow"/>
        </w:rPr>
        <w:t>(</w:t>
      </w:r>
      <w:r w:rsidR="00F472D5" w:rsidRPr="00725483">
        <w:rPr>
          <w:rFonts w:ascii="Arial Narrow" w:eastAsia="Calibri" w:hAnsi="Arial Narrow"/>
        </w:rPr>
        <w:t xml:space="preserve">a saber Defensa Pública, Fiscalía General, Escuela Judicial, Departamento de Prensa y Comunicación Organizacional, Comisión Nacional para el Mejoramiento de la Administración de Justicia, Oficina de Planes y Operaciones, Secretaria </w:t>
      </w:r>
      <w:r w:rsidR="00010417">
        <w:rPr>
          <w:rFonts w:ascii="Arial Narrow" w:eastAsia="Calibri" w:hAnsi="Arial Narrow"/>
        </w:rPr>
        <w:t>T</w:t>
      </w:r>
      <w:r w:rsidR="00F472D5" w:rsidRPr="00725483">
        <w:rPr>
          <w:rFonts w:ascii="Arial Narrow" w:eastAsia="Calibri" w:hAnsi="Arial Narrow"/>
        </w:rPr>
        <w:t xml:space="preserve">écnica de Género y </w:t>
      </w:r>
      <w:r w:rsidR="00010417">
        <w:rPr>
          <w:rFonts w:ascii="Arial Narrow" w:eastAsia="Calibri" w:hAnsi="Arial Narrow"/>
        </w:rPr>
        <w:t>A</w:t>
      </w:r>
      <w:r w:rsidR="00F472D5" w:rsidRPr="00725483">
        <w:rPr>
          <w:rFonts w:ascii="Arial Narrow" w:eastAsia="Calibri" w:hAnsi="Arial Narrow"/>
        </w:rPr>
        <w:t xml:space="preserve">cceso a la </w:t>
      </w:r>
      <w:r w:rsidR="00010417">
        <w:rPr>
          <w:rFonts w:ascii="Arial Narrow" w:eastAsia="Calibri" w:hAnsi="Arial Narrow"/>
        </w:rPr>
        <w:t>J</w:t>
      </w:r>
      <w:r w:rsidR="00F472D5" w:rsidRPr="00725483">
        <w:rPr>
          <w:rFonts w:ascii="Arial Narrow" w:eastAsia="Calibri" w:hAnsi="Arial Narrow"/>
        </w:rPr>
        <w:t xml:space="preserve">usticia y Comisión de </w:t>
      </w:r>
      <w:r w:rsidR="00010417">
        <w:rPr>
          <w:rFonts w:ascii="Arial Narrow" w:eastAsia="Calibri" w:hAnsi="Arial Narrow"/>
        </w:rPr>
        <w:t>T</w:t>
      </w:r>
      <w:r w:rsidR="00F472D5" w:rsidRPr="00725483">
        <w:rPr>
          <w:rFonts w:ascii="Arial Narrow" w:eastAsia="Calibri" w:hAnsi="Arial Narrow"/>
        </w:rPr>
        <w:t xml:space="preserve">ransparencia </w:t>
      </w:r>
      <w:r w:rsidR="00010417">
        <w:rPr>
          <w:rFonts w:ascii="Arial Narrow" w:eastAsia="Calibri" w:hAnsi="Arial Narrow"/>
        </w:rPr>
        <w:t>I</w:t>
      </w:r>
      <w:r w:rsidR="00F472D5" w:rsidRPr="00725483">
        <w:rPr>
          <w:rFonts w:ascii="Arial Narrow" w:eastAsia="Calibri" w:hAnsi="Arial Narrow"/>
        </w:rPr>
        <w:t>nstitucional)</w:t>
      </w:r>
      <w:r w:rsidR="00725483" w:rsidRPr="00725483">
        <w:rPr>
          <w:rFonts w:ascii="Arial Narrow" w:eastAsia="Calibri" w:hAnsi="Arial Narrow"/>
        </w:rPr>
        <w:t xml:space="preserve"> las cuales para el año 2019 reportaron un 100% de cumplimiento en las metas asignadas y para el año 2020 </w:t>
      </w:r>
      <w:r w:rsidR="006344C7">
        <w:rPr>
          <w:rFonts w:ascii="Arial Narrow" w:eastAsia="Calibri" w:hAnsi="Arial Narrow"/>
        </w:rPr>
        <w:t>de igual manera todas</w:t>
      </w:r>
      <w:r w:rsidR="00725483" w:rsidRPr="00725483">
        <w:rPr>
          <w:rFonts w:ascii="Arial Narrow" w:eastAsia="Calibri" w:hAnsi="Arial Narrow"/>
        </w:rPr>
        <w:t xml:space="preserve"> reportaron un 100%  de avance a excepción de Comisión Nacional para el Mejoramiento de la Administración de Justicia que reportó un 80%</w:t>
      </w:r>
      <w:r w:rsidR="006344C7">
        <w:rPr>
          <w:rFonts w:ascii="Arial Narrow" w:eastAsia="Calibri" w:hAnsi="Arial Narrow"/>
        </w:rPr>
        <w:t xml:space="preserve"> de avance,</w:t>
      </w:r>
      <w:r w:rsidR="00725483" w:rsidRPr="00725483">
        <w:rPr>
          <w:rFonts w:ascii="Arial Narrow" w:eastAsia="Calibri" w:hAnsi="Arial Narrow"/>
        </w:rPr>
        <w:t xml:space="preserve"> indicando por medio del sistema PAO que se inició </w:t>
      </w:r>
      <w:r w:rsidR="00725483" w:rsidRPr="00704B08">
        <w:rPr>
          <w:rFonts w:ascii="Arial Narrow" w:hAnsi="Arial Narrow"/>
        </w:rPr>
        <w:t xml:space="preserve"> un proyecto con un estudiante de Administración Pública para desarrollar el principio de colaboración</w:t>
      </w:r>
      <w:r w:rsidR="006344C7">
        <w:rPr>
          <w:rFonts w:ascii="Arial Narrow" w:hAnsi="Arial Narrow"/>
        </w:rPr>
        <w:t xml:space="preserve"> y por tal motivo no se encuentra completada sino en proceso.</w:t>
      </w:r>
    </w:p>
    <w:p w14:paraId="6560318C" w14:textId="77777777" w:rsidR="00F472D5" w:rsidRPr="00704B08" w:rsidRDefault="00F472D5" w:rsidP="00704B08">
      <w:pPr>
        <w:spacing w:line="360" w:lineRule="auto"/>
        <w:jc w:val="both"/>
        <w:rPr>
          <w:rFonts w:ascii="Arial Narrow" w:hAnsi="Arial Narrow"/>
          <w:b/>
          <w:bCs/>
          <w:noProof/>
        </w:rPr>
      </w:pPr>
    </w:p>
    <w:p w14:paraId="5E11A7C6" w14:textId="6FF29946" w:rsidR="00322D96" w:rsidRDefault="000717FB">
      <w:pPr>
        <w:spacing w:line="360" w:lineRule="auto"/>
        <w:jc w:val="both"/>
        <w:rPr>
          <w:rFonts w:ascii="Arial Narrow" w:eastAsiaTheme="minorHAnsi" w:hAnsi="Arial Narrow" w:cs="Calibri"/>
          <w:lang w:val="es-CR" w:eastAsia="es-CR"/>
        </w:rPr>
      </w:pPr>
      <w:r w:rsidRPr="002E0B96">
        <w:rPr>
          <w:rFonts w:ascii="Arial Narrow" w:eastAsia="Calibri" w:hAnsi="Arial Narrow"/>
        </w:rPr>
        <w:t>Por otra parte</w:t>
      </w:r>
      <w:r>
        <w:rPr>
          <w:rFonts w:ascii="Arial Narrow" w:eastAsia="Calibri" w:hAnsi="Arial Narrow"/>
        </w:rPr>
        <w:t>, p</w:t>
      </w:r>
      <w:r w:rsidRPr="00A618D8">
        <w:rPr>
          <w:rFonts w:ascii="Arial Narrow" w:eastAsia="Book Antiqua" w:hAnsi="Arial Narrow" w:cs="Book Antiqua"/>
          <w:color w:val="000000" w:themeColor="text1"/>
          <w:lang w:val="es-CR"/>
        </w:rPr>
        <w:t xml:space="preserve">ara </w:t>
      </w:r>
      <w:r>
        <w:rPr>
          <w:rFonts w:ascii="Arial Narrow" w:eastAsia="Book Antiqua" w:hAnsi="Arial Narrow" w:cs="Book Antiqua"/>
          <w:color w:val="000000" w:themeColor="text1"/>
          <w:lang w:val="es-CR"/>
        </w:rPr>
        <w:t>la</w:t>
      </w:r>
      <w:r w:rsidRPr="00A618D8">
        <w:rPr>
          <w:rFonts w:ascii="Arial Narrow" w:eastAsia="Book Antiqua" w:hAnsi="Arial Narrow" w:cs="Book Antiqua"/>
          <w:color w:val="000000" w:themeColor="text1"/>
          <w:lang w:val="es-CR"/>
        </w:rPr>
        <w:t xml:space="preserve"> meta estratégica</w:t>
      </w:r>
      <w:r>
        <w:rPr>
          <w:rFonts w:ascii="Arial Narrow" w:eastAsia="Book Antiqua" w:hAnsi="Arial Narrow" w:cs="Book Antiqua"/>
          <w:color w:val="000000" w:themeColor="text1"/>
          <w:lang w:val="es-CR"/>
        </w:rPr>
        <w:t xml:space="preserve"> “</w:t>
      </w:r>
      <w:r w:rsidR="005220CE" w:rsidRPr="00704B08">
        <w:rPr>
          <w:rFonts w:ascii="Arial Narrow" w:hAnsi="Arial Narrow"/>
          <w:b/>
          <w:bCs/>
          <w:i/>
          <w:iCs/>
          <w:noProof/>
        </w:rPr>
        <w:t>Que al finalizar el 2024, se hayan completado las estrategias de coordinación planteadas, para el establecimiento de los canales de cooperación interinstitucionales y los procesos de comunicación, en cuanto al abordaje de los delitos funcionales, económicos y todos aquellos  vinculados con la corrupción</w:t>
      </w:r>
      <w:r>
        <w:rPr>
          <w:rFonts w:ascii="Arial Narrow" w:hAnsi="Arial Narrow"/>
          <w:b/>
          <w:bCs/>
          <w:noProof/>
        </w:rPr>
        <w:t>”</w:t>
      </w:r>
      <w:r w:rsidR="00DB7B3B">
        <w:rPr>
          <w:rFonts w:ascii="Arial Narrow" w:hAnsi="Arial Narrow"/>
          <w:b/>
          <w:bCs/>
          <w:noProof/>
        </w:rPr>
        <w:t>,</w:t>
      </w:r>
      <w:r w:rsidR="00322D96">
        <w:rPr>
          <w:rFonts w:ascii="Arial Narrow" w:hAnsi="Arial Narrow"/>
          <w:b/>
          <w:bCs/>
          <w:noProof/>
        </w:rPr>
        <w:t xml:space="preserve"> </w:t>
      </w:r>
      <w:r>
        <w:rPr>
          <w:rFonts w:ascii="Arial Narrow" w:eastAsiaTheme="minorHAnsi" w:hAnsi="Arial Narrow" w:cs="Calibri"/>
          <w:noProof/>
          <w:lang w:val="es-CR" w:eastAsia="es-CR"/>
        </w:rPr>
        <w:t>c</w:t>
      </w:r>
      <w:r w:rsidR="00070BEC" w:rsidRPr="00704B08">
        <w:rPr>
          <w:rFonts w:ascii="Arial Narrow" w:eastAsiaTheme="minorHAnsi" w:hAnsi="Arial Narrow" w:cs="Calibri"/>
          <w:noProof/>
          <w:lang w:val="es-CR" w:eastAsia="es-CR"/>
        </w:rPr>
        <w:t>on respecto a esta meta estr</w:t>
      </w:r>
      <w:r w:rsidR="00322D96">
        <w:rPr>
          <w:rFonts w:ascii="Arial Narrow" w:hAnsi="Arial Narrow"/>
          <w:noProof/>
        </w:rPr>
        <w:t>ate</w:t>
      </w:r>
      <w:r w:rsidR="00070BEC" w:rsidRPr="00704B08">
        <w:rPr>
          <w:rFonts w:ascii="Arial Narrow" w:eastAsiaTheme="minorHAnsi" w:hAnsi="Arial Narrow" w:cs="Calibri"/>
          <w:noProof/>
          <w:lang w:val="es-CR" w:eastAsia="es-CR"/>
        </w:rPr>
        <w:t>gica se tiene que la Fiscalia General ha realizado diferentes acciones</w:t>
      </w:r>
      <w:r w:rsidR="00322D96">
        <w:rPr>
          <w:rFonts w:ascii="Arial Narrow" w:eastAsiaTheme="minorHAnsi" w:hAnsi="Arial Narrow" w:cs="Calibri"/>
          <w:noProof/>
          <w:lang w:val="es-CR" w:eastAsia="es-CR"/>
        </w:rPr>
        <w:t xml:space="preserve"> en los años 2019 y 2020</w:t>
      </w:r>
      <w:r w:rsidR="00070BEC" w:rsidRPr="00704B08">
        <w:rPr>
          <w:rFonts w:ascii="Arial Narrow" w:eastAsiaTheme="minorHAnsi" w:hAnsi="Arial Narrow" w:cs="Calibri"/>
          <w:noProof/>
          <w:lang w:val="es-CR" w:eastAsia="es-CR"/>
        </w:rPr>
        <w:t xml:space="preserve"> entre ellas: la participación en el </w:t>
      </w:r>
      <w:r w:rsidR="0055789A">
        <w:rPr>
          <w:rFonts w:ascii="Arial Narrow" w:hAnsi="Arial Narrow"/>
        </w:rPr>
        <w:t>p</w:t>
      </w:r>
      <w:r w:rsidRPr="009D5823">
        <w:rPr>
          <w:rFonts w:ascii="Arial Narrow" w:hAnsi="Arial Narrow" w:cs="Calibri"/>
          <w:lang w:val="es-CR" w:eastAsia="es-CR"/>
        </w:rPr>
        <w:t>rograma</w:t>
      </w:r>
      <w:r w:rsidR="00070BEC" w:rsidRPr="00704B08">
        <w:rPr>
          <w:rFonts w:ascii="Arial Narrow" w:hAnsi="Arial Narrow" w:cs="Calibri"/>
          <w:lang w:val="es-CR" w:eastAsia="es-CR"/>
        </w:rPr>
        <w:t xml:space="preserve"> de </w:t>
      </w:r>
      <w:r w:rsidR="0055789A">
        <w:rPr>
          <w:rFonts w:ascii="Arial Narrow" w:hAnsi="Arial Narrow"/>
        </w:rPr>
        <w:t>r</w:t>
      </w:r>
      <w:r w:rsidR="00070BEC" w:rsidRPr="00704B08">
        <w:rPr>
          <w:rFonts w:ascii="Arial Narrow" w:hAnsi="Arial Narrow" w:cs="Calibri"/>
          <w:lang w:val="es-CR" w:eastAsia="es-CR"/>
        </w:rPr>
        <w:t xml:space="preserve">adio </w:t>
      </w:r>
      <w:r w:rsidR="0055789A">
        <w:rPr>
          <w:rFonts w:ascii="Arial Narrow" w:hAnsi="Arial Narrow"/>
        </w:rPr>
        <w:t>f</w:t>
      </w:r>
      <w:r w:rsidR="00070BEC" w:rsidRPr="00704B08">
        <w:rPr>
          <w:rFonts w:ascii="Arial Narrow" w:hAnsi="Arial Narrow" w:cs="Calibri"/>
          <w:lang w:val="es-CR" w:eastAsia="es-CR"/>
        </w:rPr>
        <w:t xml:space="preserve">recuencia </w:t>
      </w:r>
      <w:r w:rsidR="0055789A">
        <w:rPr>
          <w:rFonts w:ascii="Arial Narrow" w:hAnsi="Arial Narrow"/>
        </w:rPr>
        <w:t xml:space="preserve">del </w:t>
      </w:r>
      <w:r w:rsidR="0055789A" w:rsidRPr="00704B08">
        <w:rPr>
          <w:rFonts w:ascii="Arial Narrow" w:hAnsi="Arial Narrow" w:cs="Calibri"/>
          <w:lang w:val="es-CR" w:eastAsia="es-CR"/>
        </w:rPr>
        <w:t>M</w:t>
      </w:r>
      <w:r w:rsidR="0055789A">
        <w:rPr>
          <w:rFonts w:ascii="Arial Narrow" w:hAnsi="Arial Narrow"/>
        </w:rPr>
        <w:t>inisterio Público</w:t>
      </w:r>
      <w:r w:rsidR="00070BEC" w:rsidRPr="00704B08">
        <w:rPr>
          <w:rFonts w:ascii="Arial Narrow" w:hAnsi="Arial Narrow" w:cs="Calibri"/>
          <w:lang w:val="es-CR" w:eastAsia="es-CR"/>
        </w:rPr>
        <w:t xml:space="preserve"> para tratar sobre el tema de: “Extradición: su rol dentro de los procesos penales que trascienden fronteras” así como </w:t>
      </w:r>
      <w:r w:rsidR="0055789A">
        <w:rPr>
          <w:rFonts w:ascii="Arial Narrow" w:hAnsi="Arial Narrow"/>
        </w:rPr>
        <w:t>la publicación</w:t>
      </w:r>
      <w:r w:rsidR="00070BEC" w:rsidRPr="00704B08">
        <w:rPr>
          <w:rFonts w:ascii="Arial Narrow" w:hAnsi="Arial Narrow" w:cs="Calibri"/>
          <w:lang w:val="es-CR" w:eastAsia="es-CR"/>
        </w:rPr>
        <w:t xml:space="preserve"> </w:t>
      </w:r>
      <w:r w:rsidR="0055789A">
        <w:rPr>
          <w:rFonts w:ascii="Arial Narrow" w:hAnsi="Arial Narrow"/>
        </w:rPr>
        <w:t xml:space="preserve">de </w:t>
      </w:r>
      <w:r w:rsidR="00070BEC" w:rsidRPr="00704B08">
        <w:rPr>
          <w:rFonts w:ascii="Arial Narrow" w:hAnsi="Arial Narrow" w:cs="Calibri"/>
          <w:lang w:val="es-CR" w:eastAsia="es-CR"/>
        </w:rPr>
        <w:t xml:space="preserve">una capsula informativa sobre el mismo tema; la Coordinación con OCRI para difundir seminarios y reuniones a nivel internacional; </w:t>
      </w:r>
      <w:r w:rsidR="0055789A">
        <w:rPr>
          <w:rFonts w:ascii="Arial Narrow" w:hAnsi="Arial Narrow"/>
        </w:rPr>
        <w:t xml:space="preserve">la </w:t>
      </w:r>
      <w:r w:rsidR="00070BEC" w:rsidRPr="00704B08">
        <w:rPr>
          <w:rFonts w:ascii="Arial Narrow" w:hAnsi="Arial Narrow" w:cs="Calibri"/>
          <w:lang w:val="es-CR" w:eastAsia="es-CR"/>
        </w:rPr>
        <w:t>participación en la r</w:t>
      </w:r>
      <w:r w:rsidR="00725483" w:rsidRPr="00704B08">
        <w:rPr>
          <w:rFonts w:ascii="Arial Narrow" w:eastAsiaTheme="minorHAnsi" w:hAnsi="Arial Narrow" w:cs="Calibri"/>
          <w:lang w:val="es-CR" w:eastAsia="es-CR"/>
        </w:rPr>
        <w:t>eunión anual, (realizada de manera virtual) con los Fiscales de Iberoamérica con la finalidad de fortalecer la comunicación y colaboración con los M</w:t>
      </w:r>
      <w:r w:rsidR="00070BEC" w:rsidRPr="00704B08">
        <w:rPr>
          <w:rFonts w:ascii="Arial Narrow" w:eastAsiaTheme="minorHAnsi" w:hAnsi="Arial Narrow" w:cs="Calibri"/>
          <w:lang w:val="es-CR" w:eastAsia="es-CR"/>
        </w:rPr>
        <w:t xml:space="preserve">inisterios Públicos </w:t>
      </w:r>
      <w:r w:rsidR="00725483" w:rsidRPr="00704B08">
        <w:rPr>
          <w:rFonts w:ascii="Arial Narrow" w:eastAsiaTheme="minorHAnsi" w:hAnsi="Arial Narrow" w:cs="Calibri"/>
          <w:lang w:val="es-CR" w:eastAsia="es-CR"/>
        </w:rPr>
        <w:t xml:space="preserve"> de Iberoamérica</w:t>
      </w:r>
      <w:r w:rsidR="00070BEC" w:rsidRPr="00704B08">
        <w:rPr>
          <w:rFonts w:ascii="Arial Narrow" w:eastAsiaTheme="minorHAnsi" w:hAnsi="Arial Narrow" w:cs="Calibri"/>
          <w:lang w:val="es-CR" w:eastAsia="es-CR"/>
        </w:rPr>
        <w:t xml:space="preserve">; </w:t>
      </w:r>
      <w:r w:rsidR="0055789A">
        <w:rPr>
          <w:rFonts w:ascii="Arial Narrow" w:hAnsi="Arial Narrow"/>
        </w:rPr>
        <w:t xml:space="preserve">la </w:t>
      </w:r>
      <w:r w:rsidR="00070BEC" w:rsidRPr="00704B08">
        <w:rPr>
          <w:rFonts w:ascii="Arial Narrow" w:eastAsiaTheme="minorHAnsi" w:hAnsi="Arial Narrow" w:cs="Calibri"/>
          <w:lang w:val="es-CR" w:eastAsia="es-CR"/>
        </w:rPr>
        <w:t>e</w:t>
      </w:r>
      <w:r w:rsidR="00725483" w:rsidRPr="00704B08">
        <w:rPr>
          <w:rFonts w:ascii="Arial Narrow" w:eastAsiaTheme="minorHAnsi" w:hAnsi="Arial Narrow" w:cs="Calibri"/>
          <w:lang w:val="es-CR" w:eastAsia="es-CR"/>
        </w:rPr>
        <w:t>lab</w:t>
      </w:r>
      <w:r w:rsidR="00070BEC" w:rsidRPr="00704B08">
        <w:rPr>
          <w:rFonts w:ascii="Arial Narrow" w:eastAsiaTheme="minorHAnsi" w:hAnsi="Arial Narrow" w:cs="Calibri"/>
          <w:lang w:val="es-CR" w:eastAsia="es-CR"/>
        </w:rPr>
        <w:t xml:space="preserve">oración </w:t>
      </w:r>
      <w:r w:rsidR="00725483" w:rsidRPr="00704B08">
        <w:rPr>
          <w:rFonts w:ascii="Arial Narrow" w:eastAsiaTheme="minorHAnsi" w:hAnsi="Arial Narrow" w:cs="Calibri"/>
          <w:lang w:val="es-CR" w:eastAsia="es-CR"/>
        </w:rPr>
        <w:t xml:space="preserve"> de</w:t>
      </w:r>
      <w:r w:rsidR="00070BEC" w:rsidRPr="00704B08">
        <w:rPr>
          <w:rFonts w:ascii="Arial Narrow" w:eastAsiaTheme="minorHAnsi" w:hAnsi="Arial Narrow" w:cs="Calibri"/>
          <w:lang w:val="es-CR" w:eastAsia="es-CR"/>
        </w:rPr>
        <w:t xml:space="preserve"> una </w:t>
      </w:r>
      <w:r w:rsidR="00725483" w:rsidRPr="00704B08">
        <w:rPr>
          <w:rFonts w:ascii="Arial Narrow" w:eastAsiaTheme="minorHAnsi" w:hAnsi="Arial Narrow" w:cs="Calibri"/>
          <w:lang w:val="es-CR" w:eastAsia="es-CR"/>
        </w:rPr>
        <w:t xml:space="preserve"> circular para las Fiscalía</w:t>
      </w:r>
      <w:r w:rsidR="00070BEC" w:rsidRPr="00704B08">
        <w:rPr>
          <w:rFonts w:ascii="Arial Narrow" w:eastAsiaTheme="minorHAnsi" w:hAnsi="Arial Narrow" w:cs="Calibri"/>
          <w:lang w:val="es-CR" w:eastAsia="es-CR"/>
        </w:rPr>
        <w:t>s</w:t>
      </w:r>
      <w:r w:rsidR="00725483" w:rsidRPr="00704B08">
        <w:rPr>
          <w:rFonts w:ascii="Arial Narrow" w:eastAsiaTheme="minorHAnsi" w:hAnsi="Arial Narrow" w:cs="Calibri"/>
          <w:lang w:val="es-CR" w:eastAsia="es-CR"/>
        </w:rPr>
        <w:t xml:space="preserve"> que tramitan materia de narcotráfico para informar sobre trámite que se debe realizar ante el D</w:t>
      </w:r>
      <w:r w:rsidR="00070BEC" w:rsidRPr="00704B08">
        <w:rPr>
          <w:rFonts w:ascii="Arial Narrow" w:eastAsiaTheme="minorHAnsi" w:hAnsi="Arial Narrow" w:cs="Calibri"/>
          <w:lang w:val="es-CR" w:eastAsia="es-CR"/>
        </w:rPr>
        <w:t>epartamento</w:t>
      </w:r>
      <w:r w:rsidR="00725483" w:rsidRPr="00704B08">
        <w:rPr>
          <w:rFonts w:ascii="Arial Narrow" w:eastAsiaTheme="minorHAnsi" w:hAnsi="Arial Narrow" w:cs="Calibri"/>
          <w:lang w:val="es-CR" w:eastAsia="es-CR"/>
        </w:rPr>
        <w:t xml:space="preserve"> de Justicia USA</w:t>
      </w:r>
      <w:r w:rsidR="00070BEC" w:rsidRPr="00704B08">
        <w:rPr>
          <w:rFonts w:ascii="Arial Narrow" w:eastAsiaTheme="minorHAnsi" w:hAnsi="Arial Narrow" w:cs="Calibri"/>
          <w:lang w:val="es-CR" w:eastAsia="es-CR"/>
        </w:rPr>
        <w:t>.</w:t>
      </w:r>
      <w:r w:rsidR="00322D96">
        <w:rPr>
          <w:rFonts w:ascii="Arial Narrow" w:eastAsiaTheme="minorHAnsi" w:hAnsi="Arial Narrow" w:cs="Calibri"/>
          <w:lang w:val="es-CR" w:eastAsia="es-CR"/>
        </w:rPr>
        <w:t xml:space="preserve"> Finalmente</w:t>
      </w:r>
      <w:r>
        <w:rPr>
          <w:rFonts w:ascii="Arial Narrow" w:eastAsiaTheme="minorHAnsi" w:hAnsi="Arial Narrow" w:cs="Calibri"/>
          <w:lang w:val="es-CR" w:eastAsia="es-CR"/>
        </w:rPr>
        <w:t xml:space="preserve">, </w:t>
      </w:r>
      <w:r w:rsidR="00322D96">
        <w:rPr>
          <w:rFonts w:ascii="Arial Narrow" w:eastAsiaTheme="minorHAnsi" w:hAnsi="Arial Narrow" w:cs="Calibri"/>
          <w:lang w:val="es-CR" w:eastAsia="es-CR"/>
        </w:rPr>
        <w:t>se verifica los porcentajes de avance y se tiene que para ambos años se dio un cumplimiento del 100% y un 20% en el cumplimiento acumulado.</w:t>
      </w:r>
    </w:p>
    <w:p w14:paraId="7B8346D7" w14:textId="77777777" w:rsidR="009D5823" w:rsidRDefault="009D5823">
      <w:pPr>
        <w:spacing w:line="360" w:lineRule="auto"/>
        <w:jc w:val="both"/>
        <w:rPr>
          <w:rFonts w:ascii="Arial Narrow" w:eastAsiaTheme="minorHAnsi" w:hAnsi="Arial Narrow" w:cs="Calibri"/>
          <w:lang w:val="es-CR" w:eastAsia="es-CR"/>
        </w:rPr>
        <w:sectPr w:rsidR="009D5823" w:rsidSect="009D5823">
          <w:pgSz w:w="12242" w:h="15842" w:code="1"/>
          <w:pgMar w:top="1701" w:right="1417" w:bottom="1701" w:left="1417" w:header="709" w:footer="709" w:gutter="0"/>
          <w:cols w:space="708"/>
          <w:docGrid w:linePitch="360"/>
        </w:sectPr>
      </w:pPr>
    </w:p>
    <w:p w14:paraId="2EE48D33" w14:textId="77777777" w:rsidR="00322D96" w:rsidRPr="000B4845" w:rsidRDefault="00322D96" w:rsidP="00322D96">
      <w:pPr>
        <w:rPr>
          <w:rFonts w:ascii="Arial Narrow" w:eastAsia="Calibri" w:hAnsi="Arial Narrow"/>
        </w:rPr>
      </w:pPr>
    </w:p>
    <w:p w14:paraId="1109A9CF" w14:textId="773A2C4A" w:rsidR="00322D96" w:rsidRDefault="00322D96" w:rsidP="00322D96">
      <w:pPr>
        <w:pStyle w:val="Descripcin"/>
        <w:jc w:val="center"/>
        <w:rPr>
          <w:rFonts w:ascii="Arial Narrow" w:eastAsia="Calibri" w:hAnsi="Arial Narrow"/>
          <w:sz w:val="24"/>
          <w:szCs w:val="24"/>
        </w:rPr>
      </w:pPr>
      <w:bookmarkStart w:id="61" w:name="_Toc76062256"/>
      <w:r w:rsidRPr="00484CC1">
        <w:rPr>
          <w:rFonts w:ascii="Arial Narrow" w:hAnsi="Arial Narrow"/>
          <w:sz w:val="24"/>
          <w:szCs w:val="24"/>
        </w:rPr>
        <w:t xml:space="preserve">Cuadro </w:t>
      </w:r>
      <w:r w:rsidRPr="00484CC1">
        <w:rPr>
          <w:rFonts w:ascii="Arial Narrow" w:hAnsi="Arial Narrow"/>
          <w:sz w:val="24"/>
          <w:szCs w:val="24"/>
        </w:rPr>
        <w:fldChar w:fldCharType="begin"/>
      </w:r>
      <w:r w:rsidRPr="00484CC1">
        <w:rPr>
          <w:rFonts w:ascii="Arial Narrow" w:hAnsi="Arial Narrow"/>
          <w:sz w:val="24"/>
          <w:szCs w:val="24"/>
        </w:rPr>
        <w:instrText xml:space="preserve"> SEQ Cuadro_No. \* ARABIC </w:instrText>
      </w:r>
      <w:r w:rsidRPr="00484CC1">
        <w:rPr>
          <w:rFonts w:ascii="Arial Narrow" w:hAnsi="Arial Narrow"/>
          <w:sz w:val="24"/>
          <w:szCs w:val="24"/>
        </w:rPr>
        <w:fldChar w:fldCharType="separate"/>
      </w:r>
      <w:r w:rsidR="00DB7ABA">
        <w:rPr>
          <w:rFonts w:ascii="Arial Narrow" w:hAnsi="Arial Narrow"/>
          <w:noProof/>
          <w:sz w:val="24"/>
          <w:szCs w:val="24"/>
        </w:rPr>
        <w:t>33</w:t>
      </w:r>
      <w:r w:rsidRPr="00484CC1">
        <w:rPr>
          <w:rFonts w:ascii="Arial Narrow" w:hAnsi="Arial Narrow"/>
          <w:sz w:val="24"/>
          <w:szCs w:val="24"/>
        </w:rPr>
        <w:fldChar w:fldCharType="end"/>
      </w:r>
      <w:r w:rsidRPr="00484CC1">
        <w:rPr>
          <w:rFonts w:ascii="Arial Narrow" w:hAnsi="Arial Narrow"/>
          <w:sz w:val="24"/>
          <w:szCs w:val="24"/>
        </w:rPr>
        <w:t xml:space="preserve"> </w:t>
      </w:r>
      <w:r w:rsidRPr="00D657CE">
        <w:rPr>
          <w:rFonts w:ascii="Arial Narrow" w:eastAsia="Calibri" w:hAnsi="Arial Narrow"/>
          <w:sz w:val="24"/>
          <w:szCs w:val="24"/>
        </w:rPr>
        <w:t>Metas estratégicas de Colaboración interna y externa, y su cumplimiento para el 2019</w:t>
      </w:r>
      <w:r>
        <w:rPr>
          <w:rFonts w:ascii="Arial Narrow" w:eastAsia="Calibri" w:hAnsi="Arial Narrow"/>
          <w:sz w:val="24"/>
          <w:szCs w:val="24"/>
        </w:rPr>
        <w:t xml:space="preserve"> y 2020.</w:t>
      </w:r>
      <w:bookmarkEnd w:id="61"/>
    </w:p>
    <w:p w14:paraId="2F0B86C1" w14:textId="77777777" w:rsidR="00322D96" w:rsidRDefault="00322D96">
      <w:pPr>
        <w:spacing w:line="360" w:lineRule="auto"/>
        <w:jc w:val="both"/>
        <w:rPr>
          <w:noProof/>
        </w:rPr>
      </w:pPr>
    </w:p>
    <w:p w14:paraId="4DEC0E8B" w14:textId="164D503A" w:rsidR="00322D96" w:rsidRDefault="00322D96" w:rsidP="00704B08">
      <w:pPr>
        <w:spacing w:line="360" w:lineRule="auto"/>
        <w:jc w:val="center"/>
        <w:rPr>
          <w:rFonts w:ascii="Arial Narrow" w:hAnsi="Arial Narrow"/>
          <w:b/>
          <w:bCs/>
          <w:noProof/>
        </w:rPr>
      </w:pPr>
      <w:r>
        <w:rPr>
          <w:noProof/>
          <w:lang w:val="es-CR" w:eastAsia="es-CR"/>
        </w:rPr>
        <w:drawing>
          <wp:inline distT="0" distB="0" distL="0" distR="0" wp14:anchorId="4D20CA43" wp14:editId="551F958C">
            <wp:extent cx="7251464" cy="3020364"/>
            <wp:effectExtent l="19050" t="19050" r="26035" b="27940"/>
            <wp:docPr id="169" name="Imagen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5"/>
                    <a:srcRect l="1" r="321" b="1569"/>
                    <a:stretch/>
                  </pic:blipFill>
                  <pic:spPr bwMode="auto">
                    <a:xfrm>
                      <a:off x="0" y="0"/>
                      <a:ext cx="7265352" cy="3026149"/>
                    </a:xfrm>
                    <a:prstGeom prst="rect">
                      <a:avLst/>
                    </a:prstGeom>
                    <a:ln w="9525" cap="flat" cmpd="sng" algn="ctr">
                      <a:solidFill>
                        <a:srgbClr val="00B0F0"/>
                      </a:solidFill>
                      <a:prstDash val="solid"/>
                      <a:round/>
                      <a:headEnd type="none" w="med" len="med"/>
                      <a:tailEnd type="none" w="med" len="med"/>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6D9C3967" w14:textId="77777777" w:rsidR="00322D96" w:rsidRPr="00A618D8" w:rsidRDefault="00322D96" w:rsidP="00322D96">
      <w:pPr>
        <w:rPr>
          <w:bCs/>
        </w:rPr>
      </w:pPr>
      <w:r>
        <w:rPr>
          <w:rFonts w:ascii="Arial Narrow" w:eastAsia="Calibri" w:hAnsi="Arial Narrow"/>
          <w:sz w:val="18"/>
          <w:szCs w:val="18"/>
          <w:lang w:eastAsia="en-US"/>
        </w:rPr>
        <w:t xml:space="preserve">           </w:t>
      </w:r>
      <w:r w:rsidRPr="000B4845">
        <w:rPr>
          <w:rFonts w:ascii="Arial Narrow" w:eastAsia="Calibri" w:hAnsi="Arial Narrow"/>
          <w:sz w:val="18"/>
          <w:szCs w:val="18"/>
          <w:lang w:eastAsia="en-US"/>
        </w:rPr>
        <w:t>Fuente: Sistema PEI al 24 de enero del 2020 (año 2019)</w:t>
      </w:r>
      <w:r>
        <w:rPr>
          <w:rFonts w:ascii="Arial Narrow" w:eastAsia="Calibri" w:hAnsi="Arial Narrow"/>
          <w:sz w:val="18"/>
          <w:szCs w:val="18"/>
          <w:lang w:eastAsia="en-US"/>
        </w:rPr>
        <w:t xml:space="preserve"> y 04 de marzo del 2021 (año 2020).</w:t>
      </w:r>
    </w:p>
    <w:p w14:paraId="4F96B01A" w14:textId="77777777" w:rsidR="009D5823" w:rsidRDefault="009D5823">
      <w:pPr>
        <w:spacing w:line="360" w:lineRule="auto"/>
        <w:jc w:val="both"/>
        <w:rPr>
          <w:rFonts w:ascii="Arial Narrow" w:hAnsi="Arial Narrow"/>
          <w:b/>
          <w:bCs/>
          <w:noProof/>
        </w:rPr>
        <w:sectPr w:rsidR="009D5823" w:rsidSect="009D5823">
          <w:pgSz w:w="15842" w:h="12242" w:orient="landscape" w:code="1"/>
          <w:pgMar w:top="1417" w:right="1701" w:bottom="1417" w:left="1701" w:header="709" w:footer="709" w:gutter="0"/>
          <w:cols w:space="708"/>
          <w:docGrid w:linePitch="360"/>
        </w:sectPr>
      </w:pPr>
    </w:p>
    <w:p w14:paraId="035E7CC0" w14:textId="37B90236" w:rsidR="00322D96" w:rsidRPr="00704B08" w:rsidRDefault="00322D96" w:rsidP="00704B08">
      <w:pPr>
        <w:spacing w:line="360" w:lineRule="auto"/>
        <w:jc w:val="both"/>
        <w:rPr>
          <w:rFonts w:ascii="Arial Narrow" w:hAnsi="Arial Narrow"/>
          <w:b/>
          <w:bCs/>
          <w:noProof/>
        </w:rPr>
      </w:pPr>
    </w:p>
    <w:p w14:paraId="1025E5F2" w14:textId="48EF10D5" w:rsidR="00B00FAA" w:rsidRPr="00704B08" w:rsidRDefault="000717FB">
      <w:pPr>
        <w:spacing w:line="360" w:lineRule="auto"/>
        <w:jc w:val="both"/>
        <w:rPr>
          <w:rFonts w:ascii="Arial Narrow" w:hAnsi="Arial Narrow"/>
          <w:b/>
          <w:bCs/>
          <w:noProof/>
        </w:rPr>
      </w:pPr>
      <w:r>
        <w:rPr>
          <w:rFonts w:ascii="Arial Narrow" w:eastAsia="Calibri" w:hAnsi="Arial Narrow"/>
        </w:rPr>
        <w:t>Con respecto a</w:t>
      </w:r>
      <w:r w:rsidRPr="00A618D8">
        <w:rPr>
          <w:rFonts w:ascii="Arial Narrow" w:eastAsia="Book Antiqua" w:hAnsi="Arial Narrow" w:cs="Book Antiqua"/>
          <w:color w:val="000000" w:themeColor="text1"/>
          <w:lang w:val="es-CR"/>
        </w:rPr>
        <w:t xml:space="preserve"> </w:t>
      </w:r>
      <w:r>
        <w:rPr>
          <w:rFonts w:ascii="Arial Narrow" w:eastAsia="Book Antiqua" w:hAnsi="Arial Narrow" w:cs="Book Antiqua"/>
          <w:color w:val="000000" w:themeColor="text1"/>
          <w:lang w:val="es-CR"/>
        </w:rPr>
        <w:t>la</w:t>
      </w:r>
      <w:r w:rsidRPr="00A618D8">
        <w:rPr>
          <w:rFonts w:ascii="Arial Narrow" w:eastAsia="Book Antiqua" w:hAnsi="Arial Narrow" w:cs="Book Antiqua"/>
          <w:color w:val="000000" w:themeColor="text1"/>
          <w:lang w:val="es-CR"/>
        </w:rPr>
        <w:t xml:space="preserve"> meta estratégica</w:t>
      </w:r>
      <w:r>
        <w:rPr>
          <w:rFonts w:ascii="Arial Narrow" w:eastAsia="Book Antiqua" w:hAnsi="Arial Narrow" w:cs="Book Antiqua"/>
          <w:color w:val="000000" w:themeColor="text1"/>
          <w:lang w:val="es-CR"/>
        </w:rPr>
        <w:t xml:space="preserve"> </w:t>
      </w:r>
      <w:r w:rsidRPr="00704B08">
        <w:rPr>
          <w:rFonts w:ascii="Arial Narrow" w:eastAsia="Book Antiqua" w:hAnsi="Arial Narrow" w:cs="Book Antiqua"/>
          <w:i/>
          <w:iCs/>
          <w:color w:val="000000" w:themeColor="text1"/>
          <w:lang w:val="es-CR"/>
        </w:rPr>
        <w:t>“</w:t>
      </w:r>
      <w:r w:rsidR="00F472D5" w:rsidRPr="00704B08">
        <w:rPr>
          <w:rFonts w:ascii="Arial Narrow" w:hAnsi="Arial Narrow"/>
          <w:b/>
          <w:bCs/>
          <w:i/>
          <w:iCs/>
          <w:noProof/>
        </w:rPr>
        <w:t>Que al finalizar el 2024, se haya implementado la estrategia  de coordinación de la Defensa Pública, para  incrementar y fortalecer las redes comunales e interinstitucionales identificadas, tomando en cuenta la aplicación de las medidas alternas</w:t>
      </w:r>
      <w:r>
        <w:rPr>
          <w:rFonts w:ascii="Arial Narrow" w:hAnsi="Arial Narrow"/>
          <w:b/>
          <w:bCs/>
          <w:noProof/>
        </w:rPr>
        <w:t>”</w:t>
      </w:r>
      <w:r w:rsidR="00DB7B3B">
        <w:rPr>
          <w:rFonts w:ascii="Arial Narrow" w:hAnsi="Arial Narrow"/>
          <w:b/>
          <w:bCs/>
          <w:noProof/>
        </w:rPr>
        <w:t>,</w:t>
      </w:r>
      <w:r>
        <w:rPr>
          <w:rFonts w:ascii="Arial Narrow" w:eastAsia="Calibri" w:hAnsi="Arial Narrow"/>
        </w:rPr>
        <w:t xml:space="preserve"> s</w:t>
      </w:r>
      <w:r w:rsidR="00B83019" w:rsidRPr="00D721F6">
        <w:rPr>
          <w:rFonts w:ascii="Arial Narrow" w:eastAsia="Calibri" w:hAnsi="Arial Narrow"/>
        </w:rPr>
        <w:t xml:space="preserve">e destacan </w:t>
      </w:r>
      <w:r w:rsidR="00322D96">
        <w:rPr>
          <w:rFonts w:ascii="Arial Narrow" w:eastAsia="Calibri" w:hAnsi="Arial Narrow"/>
        </w:rPr>
        <w:t xml:space="preserve">en los años analizados </w:t>
      </w:r>
      <w:r w:rsidR="00B83019" w:rsidRPr="00D721F6">
        <w:rPr>
          <w:rFonts w:ascii="Arial Narrow" w:eastAsia="Calibri" w:hAnsi="Arial Narrow"/>
        </w:rPr>
        <w:t>elementos y tareas realizadas de manera tangible como esfuerzos por parte de la Unidad de Defensa de Ejecución de la Pena de diferentes áreas con el fin de incluir al menos 10 instituciones a la red de apoyo comunitario.</w:t>
      </w:r>
      <w:r w:rsidR="00B83019" w:rsidRPr="00B83019">
        <w:rPr>
          <w:rFonts w:ascii="Arial Narrow" w:hAnsi="Arial Narrow"/>
        </w:rPr>
        <w:t xml:space="preserve"> </w:t>
      </w:r>
      <w:r w:rsidR="00D721F6">
        <w:rPr>
          <w:rFonts w:ascii="Arial Narrow" w:hAnsi="Arial Narrow"/>
        </w:rPr>
        <w:t>Además</w:t>
      </w:r>
      <w:r w:rsidR="00B83019" w:rsidRPr="00704B08">
        <w:rPr>
          <w:rFonts w:ascii="Arial Narrow" w:hAnsi="Arial Narrow"/>
        </w:rPr>
        <w:t>, se formularon y se aplicaron</w:t>
      </w:r>
      <w:r w:rsidR="00B00FAA" w:rsidRPr="00704B08">
        <w:rPr>
          <w:rFonts w:ascii="Arial Narrow" w:hAnsi="Arial Narrow"/>
        </w:rPr>
        <w:t xml:space="preserve"> directrices en todas las Defensas Públicas de Ejecución de la Pena del país</w:t>
      </w:r>
      <w:r w:rsidR="00B83019" w:rsidRPr="00704B08">
        <w:rPr>
          <w:rFonts w:ascii="Arial Narrow" w:hAnsi="Arial Narrow"/>
        </w:rPr>
        <w:t xml:space="preserve"> para el seguimiento de las metas y cumplimiento de las actividades asignadas </w:t>
      </w:r>
      <w:r w:rsidR="00322D96">
        <w:rPr>
          <w:rFonts w:ascii="Arial Narrow" w:hAnsi="Arial Narrow"/>
        </w:rPr>
        <w:t>esta</w:t>
      </w:r>
      <w:r w:rsidR="00B83019" w:rsidRPr="00704B08">
        <w:rPr>
          <w:rFonts w:ascii="Arial Narrow" w:hAnsi="Arial Narrow"/>
        </w:rPr>
        <w:t xml:space="preserve"> Unidad.</w:t>
      </w:r>
      <w:r w:rsidR="00D721F6">
        <w:rPr>
          <w:rFonts w:ascii="Arial Narrow" w:hAnsi="Arial Narrow"/>
          <w:lang w:val="es-CR" w:eastAsia="es-CR"/>
        </w:rPr>
        <w:t>Por otra parte</w:t>
      </w:r>
      <w:r w:rsidR="00B83019" w:rsidRPr="00704B08">
        <w:rPr>
          <w:rFonts w:ascii="Arial Narrow" w:hAnsi="Arial Narrow"/>
          <w:lang w:val="es-CR" w:eastAsia="es-CR"/>
        </w:rPr>
        <w:t xml:space="preserve">, </w:t>
      </w:r>
      <w:r w:rsidR="00D721F6" w:rsidRPr="00B83019">
        <w:rPr>
          <w:rFonts w:ascii="Arial Narrow" w:hAnsi="Arial Narrow"/>
          <w:lang w:val="es-CR" w:eastAsia="es-CR"/>
        </w:rPr>
        <w:t xml:space="preserve">se </w:t>
      </w:r>
      <w:r w:rsidR="00322D96">
        <w:rPr>
          <w:rFonts w:ascii="Arial Narrow" w:hAnsi="Arial Narrow"/>
          <w:lang w:val="es-CR" w:eastAsia="es-CR"/>
        </w:rPr>
        <w:t xml:space="preserve">indica que se </w:t>
      </w:r>
      <w:r w:rsidR="00D721F6" w:rsidRPr="00B83019">
        <w:rPr>
          <w:rFonts w:ascii="Arial Narrow" w:hAnsi="Arial Narrow"/>
          <w:lang w:val="es-CR" w:eastAsia="es-CR"/>
        </w:rPr>
        <w:t>trabajó</w:t>
      </w:r>
      <w:r w:rsidR="00B83019" w:rsidRPr="00704B08">
        <w:rPr>
          <w:rFonts w:ascii="Arial Narrow" w:hAnsi="Arial Narrow"/>
          <w:lang w:val="es-CR" w:eastAsia="es-CR"/>
        </w:rPr>
        <w:t xml:space="preserve"> en la construcción de un directorio </w:t>
      </w:r>
      <w:r w:rsidR="00B83019" w:rsidRPr="00704B08">
        <w:rPr>
          <w:rFonts w:ascii="Arial Narrow" w:hAnsi="Arial Narrow"/>
        </w:rPr>
        <w:t xml:space="preserve">de </w:t>
      </w:r>
      <w:r w:rsidR="00D721F6">
        <w:rPr>
          <w:rFonts w:ascii="Arial Narrow" w:hAnsi="Arial Narrow"/>
        </w:rPr>
        <w:t>i</w:t>
      </w:r>
      <w:r w:rsidR="00B83019" w:rsidRPr="00704B08">
        <w:rPr>
          <w:rFonts w:ascii="Arial Narrow" w:hAnsi="Arial Narrow"/>
        </w:rPr>
        <w:t>nstituciones de referencia para usuarios de la Unidad de Ejecución de la Pena</w:t>
      </w:r>
      <w:r w:rsidR="00B83019" w:rsidRPr="00704B08">
        <w:rPr>
          <w:rFonts w:ascii="Arial Narrow" w:hAnsi="Arial Narrow"/>
          <w:lang w:val="es-CR" w:eastAsia="es-CR"/>
        </w:rPr>
        <w:t xml:space="preserve"> el cual se alimenta por parte de dicha Unidad. </w:t>
      </w:r>
    </w:p>
    <w:p w14:paraId="5C6EFD3E" w14:textId="58ECBC76" w:rsidR="00F9090D" w:rsidRDefault="00F9090D" w:rsidP="00E50993">
      <w:pPr>
        <w:rPr>
          <w:noProof/>
        </w:rPr>
      </w:pPr>
    </w:p>
    <w:p w14:paraId="060540D3" w14:textId="48D36912" w:rsidR="00D85CAC" w:rsidRPr="00704B08" w:rsidRDefault="000717FB" w:rsidP="00704B08">
      <w:pPr>
        <w:tabs>
          <w:tab w:val="left" w:pos="1430"/>
        </w:tabs>
        <w:spacing w:line="360" w:lineRule="auto"/>
        <w:jc w:val="both"/>
        <w:rPr>
          <w:rFonts w:ascii="Arial Narrow" w:hAnsi="Arial Narrow"/>
          <w:b/>
          <w:bCs/>
          <w:noProof/>
        </w:rPr>
      </w:pPr>
      <w:r>
        <w:rPr>
          <w:rFonts w:ascii="Arial Narrow" w:eastAsia="Calibri" w:hAnsi="Arial Narrow"/>
        </w:rPr>
        <w:t>La</w:t>
      </w:r>
      <w:r w:rsidRPr="00A618D8">
        <w:rPr>
          <w:rFonts w:ascii="Arial Narrow" w:eastAsia="Book Antiqua" w:hAnsi="Arial Narrow" w:cs="Book Antiqua"/>
          <w:color w:val="000000" w:themeColor="text1"/>
          <w:lang w:val="es-CR"/>
        </w:rPr>
        <w:t xml:space="preserve"> meta estratégica</w:t>
      </w:r>
      <w:r>
        <w:rPr>
          <w:rFonts w:ascii="Arial Narrow" w:eastAsia="Book Antiqua" w:hAnsi="Arial Narrow" w:cs="Book Antiqua"/>
          <w:color w:val="000000" w:themeColor="text1"/>
          <w:lang w:val="es-CR"/>
        </w:rPr>
        <w:t xml:space="preserve"> “</w:t>
      </w:r>
      <w:r w:rsidR="005220CE" w:rsidRPr="00704B08">
        <w:rPr>
          <w:rFonts w:ascii="Arial Narrow" w:hAnsi="Arial Narrow"/>
          <w:b/>
          <w:bCs/>
          <w:i/>
          <w:iCs/>
          <w:noProof/>
        </w:rPr>
        <w:t>Que al finalizar el 2024, se hayan implementado las estrategias de coordinación interinstitucional para los servicios de atención y protección de víctimas y testigos</w:t>
      </w:r>
      <w:r>
        <w:rPr>
          <w:rFonts w:ascii="Arial Narrow" w:hAnsi="Arial Narrow"/>
          <w:b/>
          <w:bCs/>
          <w:noProof/>
        </w:rPr>
        <w:t xml:space="preserve">”, </w:t>
      </w:r>
      <w:r>
        <w:rPr>
          <w:rFonts w:ascii="Arial Narrow" w:hAnsi="Arial Narrow" w:cs="Calibri"/>
          <w:color w:val="000000"/>
          <w:lang w:val="es-CR" w:eastAsia="es-CR"/>
        </w:rPr>
        <w:t>d</w:t>
      </w:r>
      <w:r w:rsidR="00D168BA">
        <w:rPr>
          <w:rFonts w:ascii="Arial Narrow" w:hAnsi="Arial Narrow" w:cs="Calibri"/>
          <w:color w:val="000000"/>
          <w:lang w:val="es-CR" w:eastAsia="es-CR"/>
        </w:rPr>
        <w:t xml:space="preserve">e acuerdo con la información brindada por medio del sistema PAO para </w:t>
      </w:r>
      <w:r w:rsidR="00D168BA" w:rsidRPr="00704B08">
        <w:rPr>
          <w:rFonts w:ascii="Arial Narrow" w:hAnsi="Arial Narrow" w:cs="Calibri"/>
          <w:color w:val="000000"/>
          <w:lang w:val="es-CR" w:eastAsia="es-CR"/>
        </w:rPr>
        <w:t xml:space="preserve">esta Meta estratégica </w:t>
      </w:r>
      <w:r w:rsidR="00D168BA">
        <w:rPr>
          <w:rFonts w:ascii="Arial Narrow" w:hAnsi="Arial Narrow" w:cs="Calibri"/>
          <w:color w:val="000000"/>
          <w:lang w:val="es-CR" w:eastAsia="es-CR"/>
        </w:rPr>
        <w:t xml:space="preserve">se tiene que </w:t>
      </w:r>
      <w:r w:rsidR="00933E8C">
        <w:rPr>
          <w:rFonts w:ascii="Arial Narrow" w:hAnsi="Arial Narrow" w:cs="Calibri"/>
          <w:color w:val="000000"/>
          <w:lang w:val="es-CR" w:eastAsia="es-CR"/>
        </w:rPr>
        <w:t xml:space="preserve">para el año 2019 </w:t>
      </w:r>
      <w:r w:rsidR="00D168BA">
        <w:rPr>
          <w:rFonts w:ascii="Arial Narrow" w:hAnsi="Arial Narrow" w:cs="Calibri"/>
          <w:color w:val="000000"/>
          <w:lang w:val="es-CR" w:eastAsia="es-CR"/>
        </w:rPr>
        <w:t>s</w:t>
      </w:r>
      <w:r w:rsidR="00D721F6" w:rsidRPr="00704B08">
        <w:rPr>
          <w:rFonts w:ascii="Arial Narrow" w:hAnsi="Arial Narrow" w:cs="Calibri"/>
          <w:color w:val="000000"/>
          <w:lang w:val="es-CR" w:eastAsia="es-CR"/>
        </w:rPr>
        <w:t xml:space="preserve">e </w:t>
      </w:r>
      <w:r w:rsidR="00E61B05" w:rsidRPr="00D168BA">
        <w:rPr>
          <w:rFonts w:ascii="Arial Narrow" w:hAnsi="Arial Narrow" w:cs="Calibri"/>
          <w:color w:val="000000"/>
          <w:lang w:val="es-CR" w:eastAsia="es-CR"/>
        </w:rPr>
        <w:t>llevó</w:t>
      </w:r>
      <w:r w:rsidR="00D721F6" w:rsidRPr="00704B08">
        <w:rPr>
          <w:rFonts w:ascii="Arial Narrow" w:hAnsi="Arial Narrow" w:cs="Calibri"/>
          <w:color w:val="000000"/>
          <w:lang w:val="es-CR" w:eastAsia="es-CR"/>
        </w:rPr>
        <w:t xml:space="preserve"> a cabo un mapeo que permitiera identificar las redes interinstitucionales y comunales con las que </w:t>
      </w:r>
      <w:r w:rsidR="00D168BA" w:rsidRPr="00D168BA">
        <w:rPr>
          <w:rFonts w:ascii="Arial Narrow" w:hAnsi="Arial Narrow" w:cs="Calibri"/>
          <w:color w:val="000000"/>
          <w:lang w:val="es-CR" w:eastAsia="es-CR"/>
        </w:rPr>
        <w:t>trabaja y con</w:t>
      </w:r>
      <w:r w:rsidR="00D721F6" w:rsidRPr="00704B08">
        <w:rPr>
          <w:rFonts w:ascii="Arial Narrow" w:hAnsi="Arial Narrow" w:cs="Calibri"/>
          <w:color w:val="000000"/>
          <w:lang w:val="es-CR" w:eastAsia="es-CR"/>
        </w:rPr>
        <w:t xml:space="preserve"> las que requiere trabajar, </w:t>
      </w:r>
      <w:r w:rsidR="00D168BA" w:rsidRPr="00D168BA">
        <w:rPr>
          <w:rFonts w:ascii="Arial Narrow" w:hAnsi="Arial Narrow" w:cs="Calibri"/>
          <w:color w:val="000000"/>
          <w:lang w:val="es-CR" w:eastAsia="es-CR"/>
        </w:rPr>
        <w:t>así</w:t>
      </w:r>
      <w:r w:rsidR="00D721F6" w:rsidRPr="00704B08">
        <w:rPr>
          <w:rFonts w:ascii="Arial Narrow" w:hAnsi="Arial Narrow" w:cs="Calibri"/>
          <w:color w:val="000000"/>
          <w:lang w:val="es-CR" w:eastAsia="es-CR"/>
        </w:rPr>
        <w:t xml:space="preserve"> como coordinación interinstitucional.</w:t>
      </w:r>
      <w:r w:rsidR="00D85CAC">
        <w:rPr>
          <w:rFonts w:ascii="Arial Narrow" w:hAnsi="Arial Narrow" w:cs="Calibri"/>
          <w:color w:val="000000"/>
          <w:lang w:val="es-CR" w:eastAsia="es-CR"/>
        </w:rPr>
        <w:t xml:space="preserve"> </w:t>
      </w:r>
      <w:r w:rsidR="00D721F6" w:rsidRPr="00704B08">
        <w:rPr>
          <w:rFonts w:ascii="Arial Narrow" w:hAnsi="Arial Narrow" w:cs="Calibri"/>
          <w:color w:val="000000"/>
          <w:lang w:val="es-CR" w:eastAsia="es-CR"/>
        </w:rPr>
        <w:t>Sin embargo, quedó pendiente aplicar la estrategia con una institución que contribuya a los servicios que aplica la OAPVD y UPROV.</w:t>
      </w:r>
      <w:r w:rsidR="00933E8C">
        <w:rPr>
          <w:rFonts w:ascii="Arial Narrow" w:hAnsi="Arial Narrow" w:cs="Calibri"/>
          <w:color w:val="000000"/>
          <w:lang w:val="es-CR" w:eastAsia="es-CR"/>
        </w:rPr>
        <w:t xml:space="preserve"> En cuanto al año 2020</w:t>
      </w:r>
      <w:r>
        <w:rPr>
          <w:rFonts w:ascii="Arial Narrow" w:hAnsi="Arial Narrow" w:cs="Calibri"/>
          <w:color w:val="000000"/>
          <w:lang w:val="es-CR" w:eastAsia="es-CR"/>
        </w:rPr>
        <w:t>,</w:t>
      </w:r>
      <w:r w:rsidR="00933E8C">
        <w:rPr>
          <w:rFonts w:ascii="Arial Narrow" w:hAnsi="Arial Narrow" w:cs="Calibri"/>
          <w:color w:val="000000"/>
          <w:lang w:val="es-CR" w:eastAsia="es-CR"/>
        </w:rPr>
        <w:t xml:space="preserve"> </w:t>
      </w:r>
      <w:r w:rsidR="00933E8C">
        <w:rPr>
          <w:rFonts w:ascii="Arial Narrow" w:eastAsia="Calibri" w:hAnsi="Arial Narrow"/>
        </w:rPr>
        <w:t>l</w:t>
      </w:r>
      <w:r w:rsidR="00933E8C" w:rsidRPr="00933E8C">
        <w:rPr>
          <w:rFonts w:ascii="Arial Narrow" w:eastAsia="Calibri" w:hAnsi="Arial Narrow"/>
        </w:rPr>
        <w:t xml:space="preserve">a Oficina de Atención a la Víctima de Delitos </w:t>
      </w:r>
      <w:r w:rsidR="00933E8C" w:rsidRPr="00704B08">
        <w:rPr>
          <w:rFonts w:ascii="Arial Narrow" w:hAnsi="Arial Narrow"/>
        </w:rPr>
        <w:t>procedió trabajar los lineamientos necesarios para la implantación de las estrategias con el CEN CINAI, sin embargo, por tema de pandemia el documento se concluyó en diciembre 2020 quedado pendiente al cerrar año la firma final del documento Así mismo se indica por medio del sistema PAO que estableció una carta de entendimiento con la Municipalidad de Desamparados y se encuentra aplicando lo acordado desde setiembre 2020.</w:t>
      </w:r>
      <w:r w:rsidR="00722C33">
        <w:rPr>
          <w:rFonts w:ascii="Arial Narrow" w:hAnsi="Arial Narrow"/>
        </w:rPr>
        <w:t xml:space="preserve"> De acuerdo los avances reportados por medio del sistema PEI y PAO se obtiene un cumplimiento del 100% de cumplimiento y un 20% en el porcentaje acumulado. </w:t>
      </w:r>
    </w:p>
    <w:p w14:paraId="130BF27A" w14:textId="390A0FF1" w:rsidR="000175EB" w:rsidRDefault="000175EB" w:rsidP="00572D8D">
      <w:pPr>
        <w:spacing w:line="360" w:lineRule="auto"/>
        <w:jc w:val="both"/>
        <w:rPr>
          <w:rFonts w:eastAsia="Calibri"/>
        </w:rPr>
      </w:pPr>
    </w:p>
    <w:p w14:paraId="0C1F9A76" w14:textId="77777777" w:rsidR="009D5823" w:rsidRDefault="009D5823" w:rsidP="00572D8D">
      <w:pPr>
        <w:spacing w:line="360" w:lineRule="auto"/>
        <w:jc w:val="both"/>
        <w:rPr>
          <w:rFonts w:eastAsia="Calibri"/>
        </w:rPr>
        <w:sectPr w:rsidR="009D5823" w:rsidSect="009D5823">
          <w:pgSz w:w="12242" w:h="15842" w:code="1"/>
          <w:pgMar w:top="1701" w:right="1417" w:bottom="1701" w:left="1417" w:header="709" w:footer="709" w:gutter="0"/>
          <w:cols w:space="708"/>
          <w:docGrid w:linePitch="360"/>
        </w:sectPr>
      </w:pPr>
    </w:p>
    <w:p w14:paraId="65E4304F" w14:textId="77777777" w:rsidR="000175EB" w:rsidRDefault="000175EB" w:rsidP="00572D8D">
      <w:pPr>
        <w:spacing w:line="360" w:lineRule="auto"/>
        <w:jc w:val="both"/>
        <w:rPr>
          <w:rFonts w:eastAsia="Calibri"/>
        </w:rPr>
      </w:pPr>
    </w:p>
    <w:p w14:paraId="4D8E3003" w14:textId="6EAC9282" w:rsidR="00722C33" w:rsidRDefault="00722C33" w:rsidP="00722C33">
      <w:pPr>
        <w:pStyle w:val="Descripcin"/>
        <w:jc w:val="center"/>
        <w:rPr>
          <w:rFonts w:ascii="Arial Narrow" w:eastAsia="Calibri" w:hAnsi="Arial Narrow"/>
          <w:sz w:val="24"/>
          <w:szCs w:val="24"/>
        </w:rPr>
      </w:pPr>
      <w:bookmarkStart w:id="62" w:name="_Toc76062257"/>
      <w:r w:rsidRPr="00484CC1">
        <w:rPr>
          <w:rFonts w:ascii="Arial Narrow" w:hAnsi="Arial Narrow"/>
          <w:sz w:val="24"/>
          <w:szCs w:val="24"/>
        </w:rPr>
        <w:t xml:space="preserve">Cuadro </w:t>
      </w:r>
      <w:r w:rsidRPr="00484CC1">
        <w:rPr>
          <w:rFonts w:ascii="Arial Narrow" w:hAnsi="Arial Narrow"/>
          <w:sz w:val="24"/>
          <w:szCs w:val="24"/>
        </w:rPr>
        <w:fldChar w:fldCharType="begin"/>
      </w:r>
      <w:r w:rsidRPr="00484CC1">
        <w:rPr>
          <w:rFonts w:ascii="Arial Narrow" w:hAnsi="Arial Narrow"/>
          <w:sz w:val="24"/>
          <w:szCs w:val="24"/>
        </w:rPr>
        <w:instrText xml:space="preserve"> SEQ Cuadro_No. \* ARABIC </w:instrText>
      </w:r>
      <w:r w:rsidRPr="00484CC1">
        <w:rPr>
          <w:rFonts w:ascii="Arial Narrow" w:hAnsi="Arial Narrow"/>
          <w:sz w:val="24"/>
          <w:szCs w:val="24"/>
        </w:rPr>
        <w:fldChar w:fldCharType="separate"/>
      </w:r>
      <w:r w:rsidR="009D5823">
        <w:rPr>
          <w:rFonts w:ascii="Arial Narrow" w:hAnsi="Arial Narrow"/>
          <w:noProof/>
          <w:sz w:val="24"/>
          <w:szCs w:val="24"/>
        </w:rPr>
        <w:t>34</w:t>
      </w:r>
      <w:r w:rsidRPr="00484CC1">
        <w:rPr>
          <w:rFonts w:ascii="Arial Narrow" w:hAnsi="Arial Narrow"/>
          <w:sz w:val="24"/>
          <w:szCs w:val="24"/>
        </w:rPr>
        <w:fldChar w:fldCharType="end"/>
      </w:r>
      <w:r w:rsidRPr="00484CC1">
        <w:rPr>
          <w:rFonts w:ascii="Arial Narrow" w:hAnsi="Arial Narrow"/>
          <w:sz w:val="24"/>
          <w:szCs w:val="24"/>
        </w:rPr>
        <w:t xml:space="preserve"> </w:t>
      </w:r>
      <w:r w:rsidRPr="00D657CE">
        <w:rPr>
          <w:rFonts w:ascii="Arial Narrow" w:eastAsia="Calibri" w:hAnsi="Arial Narrow"/>
          <w:sz w:val="24"/>
          <w:szCs w:val="24"/>
        </w:rPr>
        <w:t>Metas estratégicas de Colaboración interna y externa, y su cumplimiento para el 2019</w:t>
      </w:r>
      <w:r>
        <w:rPr>
          <w:rFonts w:ascii="Arial Narrow" w:eastAsia="Calibri" w:hAnsi="Arial Narrow"/>
          <w:sz w:val="24"/>
          <w:szCs w:val="24"/>
        </w:rPr>
        <w:t xml:space="preserve"> y 2020.</w:t>
      </w:r>
      <w:bookmarkEnd w:id="62"/>
    </w:p>
    <w:p w14:paraId="1A628C2B" w14:textId="77777777" w:rsidR="00722C33" w:rsidRPr="00704B08" w:rsidRDefault="00722C33" w:rsidP="00704B08">
      <w:pPr>
        <w:rPr>
          <w:rFonts w:eastAsia="Calibri"/>
        </w:rPr>
      </w:pPr>
    </w:p>
    <w:p w14:paraId="04E205EF" w14:textId="6B6645BC" w:rsidR="00722C33" w:rsidRDefault="00722C33" w:rsidP="00722C33">
      <w:pPr>
        <w:spacing w:line="360" w:lineRule="auto"/>
        <w:jc w:val="center"/>
        <w:rPr>
          <w:rFonts w:ascii="Arial Narrow" w:hAnsi="Arial Narrow"/>
          <w:b/>
          <w:bCs/>
          <w:noProof/>
        </w:rPr>
      </w:pPr>
      <w:r>
        <w:rPr>
          <w:noProof/>
          <w:lang w:val="es-CR" w:eastAsia="es-CR"/>
        </w:rPr>
        <w:drawing>
          <wp:inline distT="0" distB="0" distL="0" distR="0" wp14:anchorId="2CF85924" wp14:editId="6AF0EBB7">
            <wp:extent cx="7886366" cy="2665953"/>
            <wp:effectExtent l="57150" t="57150" r="95885" b="96520"/>
            <wp:docPr id="171" name="Imagen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6"/>
                    <a:srcRect r="161"/>
                    <a:stretch/>
                  </pic:blipFill>
                  <pic:spPr bwMode="auto">
                    <a:xfrm>
                      <a:off x="0" y="0"/>
                      <a:ext cx="7896519" cy="2669385"/>
                    </a:xfrm>
                    <a:prstGeom prst="rect">
                      <a:avLst/>
                    </a:prstGeom>
                    <a:ln w="9525" cap="sq">
                      <a:solidFill>
                        <a:srgbClr val="00B0F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6E0A62B6" w14:textId="77777777" w:rsidR="00722C33" w:rsidRPr="00A618D8" w:rsidRDefault="00722C33" w:rsidP="00722C33">
      <w:pPr>
        <w:rPr>
          <w:bCs/>
        </w:rPr>
      </w:pPr>
      <w:r>
        <w:rPr>
          <w:rFonts w:ascii="Arial Narrow" w:eastAsia="Calibri" w:hAnsi="Arial Narrow"/>
          <w:sz w:val="18"/>
          <w:szCs w:val="18"/>
          <w:lang w:eastAsia="en-US"/>
        </w:rPr>
        <w:t xml:space="preserve">           </w:t>
      </w:r>
      <w:r w:rsidRPr="000B4845">
        <w:rPr>
          <w:rFonts w:ascii="Arial Narrow" w:eastAsia="Calibri" w:hAnsi="Arial Narrow"/>
          <w:sz w:val="18"/>
          <w:szCs w:val="18"/>
          <w:lang w:eastAsia="en-US"/>
        </w:rPr>
        <w:t>Fuente: Sistema PEI al 24 de enero del 2020 (año 2019)</w:t>
      </w:r>
      <w:r>
        <w:rPr>
          <w:rFonts w:ascii="Arial Narrow" w:eastAsia="Calibri" w:hAnsi="Arial Narrow"/>
          <w:sz w:val="18"/>
          <w:szCs w:val="18"/>
          <w:lang w:eastAsia="en-US"/>
        </w:rPr>
        <w:t xml:space="preserve"> y 04 de marzo del 2021 (año 2020).</w:t>
      </w:r>
    </w:p>
    <w:p w14:paraId="3519569F" w14:textId="77777777" w:rsidR="009D5823" w:rsidRDefault="009D5823" w:rsidP="00572D8D">
      <w:pPr>
        <w:spacing w:line="360" w:lineRule="auto"/>
        <w:jc w:val="both"/>
        <w:rPr>
          <w:rFonts w:eastAsia="Calibri"/>
        </w:rPr>
        <w:sectPr w:rsidR="009D5823" w:rsidSect="009D5823">
          <w:pgSz w:w="15842" w:h="12242" w:orient="landscape" w:code="1"/>
          <w:pgMar w:top="1417" w:right="1701" w:bottom="1417" w:left="1701" w:header="709" w:footer="709" w:gutter="0"/>
          <w:cols w:space="708"/>
          <w:docGrid w:linePitch="360"/>
        </w:sectPr>
      </w:pPr>
    </w:p>
    <w:p w14:paraId="68D271C3" w14:textId="2A73BCA9" w:rsidR="000175EB" w:rsidRDefault="000175EB" w:rsidP="00572D8D">
      <w:pPr>
        <w:spacing w:line="360" w:lineRule="auto"/>
        <w:jc w:val="both"/>
        <w:rPr>
          <w:rFonts w:eastAsia="Calibri"/>
        </w:rPr>
      </w:pPr>
    </w:p>
    <w:p w14:paraId="29F286F2" w14:textId="5492BA90" w:rsidR="00070821" w:rsidRPr="00704B08" w:rsidRDefault="000717FB" w:rsidP="00704B08">
      <w:pPr>
        <w:spacing w:after="160" w:line="360" w:lineRule="auto"/>
        <w:jc w:val="both"/>
        <w:rPr>
          <w:rFonts w:ascii="Arial Narrow" w:eastAsiaTheme="minorHAnsi" w:hAnsi="Arial Narrow" w:cstheme="minorBidi"/>
          <w:lang w:val="es-CR" w:eastAsia="en-US"/>
        </w:rPr>
      </w:pPr>
      <w:r>
        <w:rPr>
          <w:rFonts w:ascii="Arial Narrow" w:eastAsia="Calibri" w:hAnsi="Arial Narrow"/>
        </w:rPr>
        <w:t>Con respecto a la</w:t>
      </w:r>
      <w:r w:rsidRPr="00A618D8">
        <w:rPr>
          <w:rFonts w:ascii="Arial Narrow" w:eastAsia="Book Antiqua" w:hAnsi="Arial Narrow" w:cs="Book Antiqua"/>
          <w:color w:val="000000" w:themeColor="text1"/>
          <w:lang w:val="es-CR"/>
        </w:rPr>
        <w:t xml:space="preserve"> meta estratégica</w:t>
      </w:r>
      <w:r>
        <w:rPr>
          <w:rFonts w:ascii="Arial Narrow" w:eastAsia="Book Antiqua" w:hAnsi="Arial Narrow" w:cs="Book Antiqua"/>
          <w:color w:val="000000" w:themeColor="text1"/>
          <w:lang w:val="es-CR"/>
        </w:rPr>
        <w:t xml:space="preserve"> “</w:t>
      </w:r>
      <w:r w:rsidR="005220CE" w:rsidRPr="00704B08">
        <w:rPr>
          <w:rFonts w:ascii="Arial Narrow" w:eastAsia="Calibri" w:hAnsi="Arial Narrow"/>
          <w:b/>
          <w:bCs/>
          <w:i/>
          <w:iCs/>
        </w:rPr>
        <w:t>Que al finalizar el 2024, se haya implementado un plan para la creación de alianzas y convenios de cooperación para implantar una red informática segura entre instituciones (Interoperabilidad), que faciliten la integración de la información y acceso a los servicios estatales</w:t>
      </w:r>
      <w:r>
        <w:rPr>
          <w:rFonts w:ascii="Arial Narrow" w:eastAsia="Calibri" w:hAnsi="Arial Narrow"/>
          <w:b/>
          <w:bCs/>
        </w:rPr>
        <w:t>”</w:t>
      </w:r>
      <w:r w:rsidR="00DB7B3B">
        <w:rPr>
          <w:rFonts w:ascii="Arial Narrow" w:eastAsia="Calibri" w:hAnsi="Arial Narrow"/>
          <w:b/>
          <w:bCs/>
        </w:rPr>
        <w:t>,</w:t>
      </w:r>
      <w:r w:rsidR="00722C33">
        <w:rPr>
          <w:rFonts w:ascii="Arial Narrow" w:eastAsia="Calibri" w:hAnsi="Arial Narrow"/>
          <w:b/>
          <w:bCs/>
        </w:rPr>
        <w:t xml:space="preserve"> </w:t>
      </w:r>
      <w:r w:rsidR="00722C33" w:rsidRPr="00704B08">
        <w:rPr>
          <w:rFonts w:ascii="Arial Narrow" w:eastAsia="Calibri" w:hAnsi="Arial Narrow"/>
        </w:rPr>
        <w:t xml:space="preserve">esta meta se tiene para el año 2019 </w:t>
      </w:r>
      <w:r>
        <w:rPr>
          <w:rFonts w:ascii="Arial Narrow" w:eastAsia="Calibri" w:hAnsi="Arial Narrow"/>
        </w:rPr>
        <w:t>la actualización de</w:t>
      </w:r>
      <w:r w:rsidR="00722C33" w:rsidRPr="00704B08">
        <w:rPr>
          <w:rFonts w:ascii="Arial Narrow" w:eastAsiaTheme="minorHAnsi" w:hAnsi="Arial Narrow" w:cstheme="minorBidi"/>
          <w:lang w:val="es-CR" w:eastAsia="en-US"/>
        </w:rPr>
        <w:t xml:space="preserve"> la infraestructura de comunicaciones </w:t>
      </w:r>
      <w:r w:rsidR="00722C33" w:rsidRPr="00722C33">
        <w:rPr>
          <w:rFonts w:ascii="Arial Narrow" w:eastAsiaTheme="minorHAnsi" w:hAnsi="Arial Narrow" w:cstheme="minorBidi"/>
          <w:lang w:val="es-CR" w:eastAsia="en-US"/>
        </w:rPr>
        <w:t>de la extranet</w:t>
      </w:r>
      <w:r w:rsidR="00722C33" w:rsidRPr="00704B08">
        <w:rPr>
          <w:rFonts w:ascii="Arial Narrow" w:eastAsiaTheme="minorHAnsi" w:hAnsi="Arial Narrow" w:cstheme="minorBidi"/>
          <w:lang w:val="es-CR" w:eastAsia="en-US"/>
        </w:rPr>
        <w:t xml:space="preserve"> del Poder Judicial.</w:t>
      </w:r>
      <w:r w:rsidR="00722C33" w:rsidRPr="00704B08">
        <w:rPr>
          <w:rFonts w:ascii="Arial Narrow" w:hAnsi="Arial Narrow" w:cs="Calibri"/>
          <w:color w:val="000000"/>
          <w:lang w:val="es-CR" w:eastAsia="es-CR"/>
        </w:rPr>
        <w:t xml:space="preserve"> Por otra </w:t>
      </w:r>
      <w:r w:rsidR="00722C33" w:rsidRPr="00722C33">
        <w:rPr>
          <w:rFonts w:ascii="Arial Narrow" w:hAnsi="Arial Narrow" w:cs="Calibri"/>
          <w:color w:val="000000"/>
          <w:lang w:val="es-CR" w:eastAsia="es-CR"/>
        </w:rPr>
        <w:t>parte,</w:t>
      </w:r>
      <w:r w:rsidR="00722C33" w:rsidRPr="00704B08">
        <w:rPr>
          <w:rFonts w:ascii="Arial Narrow" w:hAnsi="Arial Narrow" w:cs="Calibri"/>
          <w:color w:val="000000"/>
          <w:lang w:val="es-CR" w:eastAsia="es-CR"/>
        </w:rPr>
        <w:t xml:space="preserve"> para el año </w:t>
      </w:r>
      <w:r w:rsidR="00722C33" w:rsidRPr="00722C33">
        <w:rPr>
          <w:rFonts w:ascii="Arial Narrow" w:hAnsi="Arial Narrow" w:cs="Calibri"/>
          <w:color w:val="000000"/>
          <w:lang w:val="es-CR" w:eastAsia="es-CR"/>
        </w:rPr>
        <w:t>2020,</w:t>
      </w:r>
      <w:r w:rsidR="00722C33">
        <w:rPr>
          <w:rFonts w:ascii="Arial Narrow" w:eastAsiaTheme="minorHAnsi" w:hAnsi="Arial Narrow" w:cstheme="minorBidi"/>
          <w:lang w:val="es-CR" w:eastAsia="en-US"/>
        </w:rPr>
        <w:t>c</w:t>
      </w:r>
      <w:r w:rsidR="00070821" w:rsidRPr="00704B08">
        <w:rPr>
          <w:rFonts w:ascii="Arial Narrow" w:eastAsiaTheme="minorHAnsi" w:hAnsi="Arial Narrow" w:cstheme="minorBidi"/>
          <w:lang w:val="es-CR" w:eastAsia="en-US"/>
        </w:rPr>
        <w:t xml:space="preserve">omo parte de los esfuerzos institucionales conjuntos, resultantes del Convenio No.3-CG-2018 </w:t>
      </w:r>
      <w:r w:rsidR="00070821" w:rsidRPr="00704B08">
        <w:rPr>
          <w:rFonts w:ascii="Arial Narrow" w:eastAsiaTheme="minorHAnsi" w:hAnsi="Arial Narrow" w:cstheme="minorBidi"/>
          <w:i/>
          <w:iCs/>
          <w:lang w:val="es-CR" w:eastAsia="en-US"/>
        </w:rPr>
        <w:t xml:space="preserve">“Convenio de Cooperación Interinstitucional Poder Judicial – Ministerio de Justicia y Paz” </w:t>
      </w:r>
      <w:r w:rsidR="00070821" w:rsidRPr="00704B08">
        <w:rPr>
          <w:rFonts w:ascii="Arial Narrow" w:eastAsiaTheme="minorHAnsi" w:hAnsi="Arial Narrow" w:cstheme="minorBidi"/>
          <w:lang w:val="es-CR" w:eastAsia="en-US"/>
        </w:rPr>
        <w:t>y ante la necesidad de aplicar medidas para reducir el riesgo de contagios de la población judicial y una propagación a nivel penitenciario ante la emergencia sanitaria ocasionada por el virus Covid-19;</w:t>
      </w:r>
      <w:r w:rsidR="00722C33" w:rsidRPr="00722C33">
        <w:rPr>
          <w:rFonts w:ascii="Arial Narrow" w:eastAsiaTheme="minorHAnsi" w:hAnsi="Arial Narrow" w:cstheme="minorBidi"/>
          <w:lang w:val="es-CR" w:eastAsia="en-US"/>
        </w:rPr>
        <w:t xml:space="preserve"> la Dirección Ejecutiva indica que</w:t>
      </w:r>
      <w:r w:rsidR="00070821" w:rsidRPr="00704B08">
        <w:rPr>
          <w:rFonts w:ascii="Arial Narrow" w:eastAsiaTheme="minorHAnsi" w:hAnsi="Arial Narrow" w:cstheme="minorBidi"/>
          <w:lang w:val="es-CR" w:eastAsia="en-US"/>
        </w:rPr>
        <w:t xml:space="preserve"> se </w:t>
      </w:r>
      <w:r w:rsidR="005A00AA" w:rsidRPr="00722C33">
        <w:rPr>
          <w:rFonts w:ascii="Arial Narrow" w:eastAsiaTheme="minorHAnsi" w:hAnsi="Arial Narrow" w:cstheme="minorBidi"/>
          <w:lang w:val="es-CR" w:eastAsia="en-US"/>
        </w:rPr>
        <w:t xml:space="preserve">habilitaron </w:t>
      </w:r>
      <w:r w:rsidR="00070821" w:rsidRPr="00704B08">
        <w:rPr>
          <w:rFonts w:ascii="Arial Narrow" w:eastAsiaTheme="minorHAnsi" w:hAnsi="Arial Narrow" w:cstheme="minorBidi"/>
          <w:lang w:val="es-CR" w:eastAsia="en-US"/>
        </w:rPr>
        <w:t>aposentos adecuados en diversos Centros de Atención Institucional (CAI) del país para realizar enlaces por medio de la aplicación Microsoft Teams, los cuales se suman como una opción adicional a los equipos de videoconferencia instalados también en diversos CAI.</w:t>
      </w:r>
    </w:p>
    <w:p w14:paraId="44BDBEA5" w14:textId="77777777" w:rsidR="00D168BA" w:rsidRDefault="00D168BA">
      <w:pPr>
        <w:rPr>
          <w:rFonts w:eastAsia="Calibri"/>
          <w:b/>
          <w:bCs/>
        </w:rPr>
      </w:pPr>
    </w:p>
    <w:p w14:paraId="660C1154" w14:textId="1C0C0DCA" w:rsidR="0067048D" w:rsidRPr="00704B08" w:rsidRDefault="000717FB">
      <w:pPr>
        <w:spacing w:line="360" w:lineRule="auto"/>
        <w:jc w:val="both"/>
        <w:rPr>
          <w:rFonts w:eastAsia="Calibri"/>
        </w:rPr>
      </w:pPr>
      <w:r>
        <w:rPr>
          <w:rFonts w:ascii="Arial Narrow" w:eastAsia="Calibri" w:hAnsi="Arial Narrow"/>
        </w:rPr>
        <w:t xml:space="preserve">Por </w:t>
      </w:r>
      <w:r w:rsidRPr="009D5823">
        <w:rPr>
          <w:rFonts w:ascii="Arial Narrow" w:eastAsia="Calibri" w:hAnsi="Arial Narrow"/>
        </w:rPr>
        <w:t>otra parte,  la</w:t>
      </w:r>
      <w:r w:rsidRPr="009D5823">
        <w:rPr>
          <w:rFonts w:ascii="Arial Narrow" w:eastAsia="Book Antiqua" w:hAnsi="Arial Narrow" w:cs="Book Antiqua"/>
          <w:color w:val="000000" w:themeColor="text1"/>
          <w:lang w:val="es-CR"/>
        </w:rPr>
        <w:t xml:space="preserve"> meta estratégica </w:t>
      </w:r>
      <w:r>
        <w:rPr>
          <w:rFonts w:ascii="Arial Narrow" w:eastAsia="Book Antiqua" w:hAnsi="Arial Narrow" w:cs="Book Antiqua"/>
          <w:color w:val="000000" w:themeColor="text1"/>
          <w:lang w:val="es-CR"/>
        </w:rPr>
        <w:t>“</w:t>
      </w:r>
      <w:r w:rsidR="005220CE" w:rsidRPr="00704B08">
        <w:rPr>
          <w:rFonts w:ascii="Arial Narrow" w:eastAsia="Calibri" w:hAnsi="Arial Narrow"/>
          <w:b/>
          <w:bCs/>
          <w:i/>
          <w:iCs/>
        </w:rPr>
        <w:t>Que al finalizar el 2024, se desarrollen e implementen estrategias institucionales de cooperación nacional e internacional, que propicien el intercambio de buenas prácticas y jurisprudencia innovadora relacionada con estándares internacionales de gestión ambiental y resolución de conflictos asociados a los recursos naturales</w:t>
      </w:r>
      <w:r>
        <w:rPr>
          <w:rFonts w:ascii="Arial Narrow" w:eastAsia="Calibri" w:hAnsi="Arial Narrow"/>
          <w:b/>
          <w:bCs/>
          <w:i/>
          <w:iCs/>
        </w:rPr>
        <w:t>”</w:t>
      </w:r>
      <w:r w:rsidR="00DB7B3B">
        <w:rPr>
          <w:rFonts w:ascii="Arial Narrow" w:eastAsia="Calibri" w:hAnsi="Arial Narrow"/>
          <w:b/>
          <w:bCs/>
          <w:i/>
          <w:iCs/>
        </w:rPr>
        <w:t>,</w:t>
      </w:r>
      <w:r w:rsidR="007B73D0" w:rsidRPr="00704B08">
        <w:rPr>
          <w:rFonts w:ascii="Arial Narrow" w:eastAsia="Calibri" w:hAnsi="Arial Narrow"/>
          <w:b/>
          <w:bCs/>
        </w:rPr>
        <w:t xml:space="preserve"> </w:t>
      </w:r>
      <w:r>
        <w:rPr>
          <w:rFonts w:ascii="Arial Narrow" w:eastAsia="Calibri" w:hAnsi="Arial Narrow"/>
        </w:rPr>
        <w:t>e</w:t>
      </w:r>
      <w:r w:rsidR="00063227" w:rsidRPr="009D5823">
        <w:rPr>
          <w:rFonts w:ascii="Arial Narrow" w:eastAsia="Calibri" w:hAnsi="Arial Narrow"/>
        </w:rPr>
        <w:t xml:space="preserve">sta meta estratégica se incluyó para el año 2019 en la Matriz del PEI 2019-2024 , </w:t>
      </w:r>
      <w:r w:rsidR="00D85CAC" w:rsidRPr="009D5823">
        <w:rPr>
          <w:rFonts w:ascii="Arial Narrow" w:eastAsia="Calibri" w:hAnsi="Arial Narrow"/>
        </w:rPr>
        <w:t>la cual de acuerdo con la revisión efectuada se logró determinar que aunque fue cargada al PAO para el 2019, fue cancelada posteriormente por parte de la Dirección</w:t>
      </w:r>
      <w:r w:rsidR="00D85CAC" w:rsidRPr="00484CC1">
        <w:rPr>
          <w:rFonts w:ascii="Arial Narrow" w:eastAsia="Calibri" w:hAnsi="Arial Narrow"/>
        </w:rPr>
        <w:t xml:space="preserve"> Ejecutiva, debido al oficio de la Comisión Ambiental 20-CGAI-2018 se solicitó a la Dirección de Planificación ajustes en dicha meta, ya que tal como estaba planteada esta no corresponde a la responsabilidad de la Dirección Ejecutiva su ejecución. </w:t>
      </w:r>
      <w:r w:rsidR="00D85CAC" w:rsidRPr="00484CC1">
        <w:rPr>
          <w:rFonts w:ascii="Arial Narrow" w:eastAsia="Calibri" w:hAnsi="Arial Narrow"/>
          <w:b/>
          <w:bCs/>
        </w:rPr>
        <w:t>Para el PAO 2020, aparece enlazada a la Comisión de Gestión Ambiental Institucional como responsable</w:t>
      </w:r>
      <w:r w:rsidR="00D85CAC" w:rsidRPr="00484CC1">
        <w:rPr>
          <w:rFonts w:ascii="Arial Narrow" w:eastAsia="Calibri" w:hAnsi="Arial Narrow"/>
        </w:rPr>
        <w:t>.</w:t>
      </w:r>
      <w:r w:rsidR="007B73D0">
        <w:rPr>
          <w:rFonts w:ascii="Arial Narrow" w:eastAsia="Calibri" w:hAnsi="Arial Narrow"/>
        </w:rPr>
        <w:t xml:space="preserve"> </w:t>
      </w:r>
      <w:r w:rsidR="0067048D" w:rsidRPr="0067048D">
        <w:rPr>
          <w:rFonts w:ascii="Arial Narrow" w:hAnsi="Arial Narrow"/>
          <w:lang w:val="es-CR" w:eastAsia="es-CR"/>
        </w:rPr>
        <w:t xml:space="preserve">Para el año 2020 se tiene que la </w:t>
      </w:r>
      <w:r w:rsidR="0067048D" w:rsidRPr="00704B08">
        <w:rPr>
          <w:rFonts w:ascii="Arial Narrow" w:eastAsia="Calibri" w:hAnsi="Arial Narrow"/>
        </w:rPr>
        <w:t xml:space="preserve">Comisión de Gestión Ambiental Institucional </w:t>
      </w:r>
      <w:r w:rsidR="0067048D" w:rsidRPr="0067048D">
        <w:rPr>
          <w:rFonts w:ascii="Arial Narrow" w:hAnsi="Arial Narrow"/>
          <w:lang w:val="es-CR" w:eastAsia="es-CR"/>
        </w:rPr>
        <w:t>realiz</w:t>
      </w:r>
      <w:r w:rsidR="0067048D">
        <w:rPr>
          <w:rFonts w:ascii="Arial Narrow" w:hAnsi="Arial Narrow"/>
          <w:lang w:val="es-CR" w:eastAsia="es-CR"/>
        </w:rPr>
        <w:t>ó diferentes</w:t>
      </w:r>
      <w:r w:rsidR="0067048D" w:rsidRPr="00704B08">
        <w:rPr>
          <w:rFonts w:ascii="Arial Narrow" w:hAnsi="Arial Narrow"/>
          <w:lang w:val="es-CR" w:eastAsia="es-CR"/>
        </w:rPr>
        <w:t xml:space="preserve"> charlas presenciales y virtuales de </w:t>
      </w:r>
      <w:r w:rsidR="0067048D">
        <w:rPr>
          <w:rFonts w:ascii="Arial Narrow" w:hAnsi="Arial Narrow"/>
          <w:lang w:val="es-CR" w:eastAsia="es-CR"/>
        </w:rPr>
        <w:t>i</w:t>
      </w:r>
      <w:r w:rsidR="0067048D" w:rsidRPr="00704B08">
        <w:rPr>
          <w:rFonts w:ascii="Arial Narrow" w:hAnsi="Arial Narrow"/>
          <w:lang w:val="es-CR" w:eastAsia="es-CR"/>
        </w:rPr>
        <w:t xml:space="preserve">mplementación de </w:t>
      </w:r>
      <w:r w:rsidR="00C71735">
        <w:rPr>
          <w:rFonts w:ascii="Arial Narrow" w:hAnsi="Arial Narrow"/>
          <w:lang w:val="es-CR" w:eastAsia="es-CR"/>
        </w:rPr>
        <w:t>e</w:t>
      </w:r>
      <w:r w:rsidR="0067048D" w:rsidRPr="00704B08">
        <w:rPr>
          <w:rFonts w:ascii="Arial Narrow" w:hAnsi="Arial Narrow"/>
          <w:lang w:val="es-CR" w:eastAsia="es-CR"/>
        </w:rPr>
        <w:t xml:space="preserve">strategia de </w:t>
      </w:r>
      <w:r w:rsidR="00C71735">
        <w:rPr>
          <w:rFonts w:ascii="Arial Narrow" w:hAnsi="Arial Narrow"/>
          <w:lang w:val="es-CR" w:eastAsia="es-CR"/>
        </w:rPr>
        <w:t>p</w:t>
      </w:r>
      <w:r w:rsidR="0067048D" w:rsidRPr="00704B08">
        <w:rPr>
          <w:rFonts w:ascii="Arial Narrow" w:hAnsi="Arial Narrow"/>
          <w:lang w:val="es-CR" w:eastAsia="es-CR"/>
        </w:rPr>
        <w:t xml:space="preserve">lásticos de </w:t>
      </w:r>
      <w:r w:rsidR="00C71735">
        <w:rPr>
          <w:rFonts w:ascii="Arial Narrow" w:hAnsi="Arial Narrow"/>
          <w:lang w:val="es-CR" w:eastAsia="es-CR"/>
        </w:rPr>
        <w:t>u</w:t>
      </w:r>
      <w:r w:rsidR="0067048D" w:rsidRPr="00704B08">
        <w:rPr>
          <w:rFonts w:ascii="Arial Narrow" w:hAnsi="Arial Narrow"/>
          <w:lang w:val="es-CR" w:eastAsia="es-CR"/>
        </w:rPr>
        <w:t xml:space="preserve">n </w:t>
      </w:r>
      <w:r w:rsidR="00C71735">
        <w:rPr>
          <w:rFonts w:ascii="Arial Narrow" w:hAnsi="Arial Narrow"/>
          <w:lang w:val="es-CR" w:eastAsia="es-CR"/>
        </w:rPr>
        <w:t>s</w:t>
      </w:r>
      <w:r w:rsidR="0067048D" w:rsidRPr="00704B08">
        <w:rPr>
          <w:rFonts w:ascii="Arial Narrow" w:hAnsi="Arial Narrow"/>
          <w:lang w:val="es-CR" w:eastAsia="es-CR"/>
        </w:rPr>
        <w:t xml:space="preserve">olo </w:t>
      </w:r>
      <w:r w:rsidR="00C71735">
        <w:rPr>
          <w:rFonts w:ascii="Arial Narrow" w:hAnsi="Arial Narrow"/>
          <w:lang w:val="es-CR" w:eastAsia="es-CR"/>
        </w:rPr>
        <w:t>u</w:t>
      </w:r>
      <w:r w:rsidR="0067048D" w:rsidRPr="00704B08">
        <w:rPr>
          <w:rFonts w:ascii="Arial Narrow" w:hAnsi="Arial Narrow"/>
          <w:lang w:val="es-CR" w:eastAsia="es-CR"/>
        </w:rPr>
        <w:t xml:space="preserve">so en el Poder Judicial. </w:t>
      </w:r>
      <w:r w:rsidR="00C71735">
        <w:rPr>
          <w:rFonts w:ascii="Arial Narrow" w:hAnsi="Arial Narrow"/>
          <w:lang w:val="es-CR" w:eastAsia="es-CR"/>
        </w:rPr>
        <w:t>Además, la r</w:t>
      </w:r>
      <w:r w:rsidR="0067048D" w:rsidRPr="00704B08">
        <w:rPr>
          <w:rFonts w:ascii="Arial Narrow" w:hAnsi="Arial Narrow"/>
          <w:lang w:val="es-CR" w:eastAsia="es-CR"/>
        </w:rPr>
        <w:t xml:space="preserve">ealización </w:t>
      </w:r>
      <w:r w:rsidR="00E52349" w:rsidRPr="0067048D">
        <w:rPr>
          <w:rFonts w:ascii="Arial Narrow" w:hAnsi="Arial Narrow"/>
          <w:lang w:val="es-CR" w:eastAsia="es-CR"/>
        </w:rPr>
        <w:t xml:space="preserve">de </w:t>
      </w:r>
      <w:r w:rsidR="00E52349">
        <w:rPr>
          <w:rFonts w:ascii="Arial Narrow" w:hAnsi="Arial Narrow"/>
          <w:lang w:val="es-CR" w:eastAsia="es-CR"/>
        </w:rPr>
        <w:t>una</w:t>
      </w:r>
      <w:r w:rsidR="00C71735">
        <w:rPr>
          <w:rFonts w:ascii="Arial Narrow" w:hAnsi="Arial Narrow"/>
          <w:lang w:val="es-CR" w:eastAsia="es-CR"/>
        </w:rPr>
        <w:t xml:space="preserve"> </w:t>
      </w:r>
      <w:r w:rsidR="0067048D" w:rsidRPr="00704B08">
        <w:rPr>
          <w:rFonts w:ascii="Arial Narrow" w:hAnsi="Arial Narrow"/>
          <w:lang w:val="es-CR" w:eastAsia="es-CR"/>
        </w:rPr>
        <w:t>campaña sobre el mismo tema con el Dep</w:t>
      </w:r>
      <w:r w:rsidR="00C71735">
        <w:rPr>
          <w:rFonts w:ascii="Arial Narrow" w:hAnsi="Arial Narrow"/>
          <w:lang w:val="es-CR" w:eastAsia="es-CR"/>
        </w:rPr>
        <w:t>artamen</w:t>
      </w:r>
      <w:r w:rsidR="0067048D" w:rsidRPr="00704B08">
        <w:rPr>
          <w:rFonts w:ascii="Arial Narrow" w:hAnsi="Arial Narrow"/>
          <w:lang w:val="es-CR" w:eastAsia="es-CR"/>
        </w:rPr>
        <w:t>to de Prensa y Comunicación</w:t>
      </w:r>
      <w:r w:rsidR="00C71735">
        <w:rPr>
          <w:rFonts w:ascii="Arial Narrow" w:hAnsi="Arial Narrow"/>
          <w:lang w:val="es-CR" w:eastAsia="es-CR"/>
        </w:rPr>
        <w:t>.</w:t>
      </w:r>
    </w:p>
    <w:p w14:paraId="21AA5DB9" w14:textId="1FDA524F" w:rsidR="00E60083" w:rsidRPr="000B4845" w:rsidRDefault="00E60083" w:rsidP="00C43708">
      <w:pPr>
        <w:rPr>
          <w:rFonts w:eastAsia="Calibri"/>
          <w:lang w:eastAsia="en-US"/>
        </w:rPr>
      </w:pPr>
    </w:p>
    <w:p w14:paraId="15945AD9" w14:textId="776DE882" w:rsidR="00E60083" w:rsidRPr="000B4845" w:rsidRDefault="00E60083" w:rsidP="00C43708">
      <w:pPr>
        <w:rPr>
          <w:rFonts w:eastAsia="Calibri"/>
          <w:lang w:eastAsia="en-US"/>
        </w:rPr>
      </w:pPr>
    </w:p>
    <w:p w14:paraId="7D85BE98" w14:textId="77777777" w:rsidR="00DB7B3B" w:rsidRDefault="00DB7B3B" w:rsidP="00493DA1">
      <w:pPr>
        <w:spacing w:line="360" w:lineRule="auto"/>
        <w:jc w:val="both"/>
        <w:rPr>
          <w:rFonts w:ascii="Arial Narrow" w:eastAsia="Calibri" w:hAnsi="Arial Narrow"/>
        </w:rPr>
      </w:pPr>
      <w:bookmarkStart w:id="63" w:name="_Hlk53475171"/>
    </w:p>
    <w:p w14:paraId="50E93CD8" w14:textId="77777777" w:rsidR="00DB7B3B" w:rsidRDefault="00DB7B3B" w:rsidP="00493DA1">
      <w:pPr>
        <w:spacing w:line="360" w:lineRule="auto"/>
        <w:jc w:val="both"/>
        <w:rPr>
          <w:rFonts w:ascii="Arial Narrow" w:eastAsia="Calibri" w:hAnsi="Arial Narrow"/>
        </w:rPr>
      </w:pPr>
    </w:p>
    <w:p w14:paraId="7E9AD577" w14:textId="1ED00DD3" w:rsidR="00493DA1" w:rsidRPr="000B4845" w:rsidRDefault="007B73D0" w:rsidP="00493DA1">
      <w:pPr>
        <w:spacing w:line="360" w:lineRule="auto"/>
        <w:jc w:val="both"/>
        <w:rPr>
          <w:rFonts w:ascii="Arial Narrow" w:eastAsia="Calibri" w:hAnsi="Arial Narrow"/>
        </w:rPr>
      </w:pPr>
      <w:r>
        <w:rPr>
          <w:rFonts w:ascii="Arial Narrow" w:eastAsia="Calibri" w:hAnsi="Arial Narrow"/>
        </w:rPr>
        <w:t xml:space="preserve">Finalmente, </w:t>
      </w:r>
      <w:r w:rsidRPr="00484CC1">
        <w:rPr>
          <w:rFonts w:ascii="Arial Narrow" w:eastAsia="Calibri" w:hAnsi="Arial Narrow"/>
        </w:rPr>
        <w:t>es</w:t>
      </w:r>
      <w:r w:rsidR="00E673F8" w:rsidRPr="00484CC1">
        <w:rPr>
          <w:rFonts w:ascii="Arial Narrow" w:eastAsia="Calibri" w:hAnsi="Arial Narrow"/>
        </w:rPr>
        <w:t xml:space="preserve"> importante señalar que en la Matriz del PEI 2019-2024 adicionalmente se incluye la meta estratégica </w:t>
      </w:r>
      <w:r w:rsidR="00E60083" w:rsidRPr="00484CC1">
        <w:rPr>
          <w:rFonts w:ascii="Arial Narrow" w:eastAsia="Calibri" w:hAnsi="Arial Narrow"/>
        </w:rPr>
        <w:t>“</w:t>
      </w:r>
      <w:r w:rsidR="00E60083" w:rsidRPr="00484CC1">
        <w:rPr>
          <w:rFonts w:ascii="Arial Narrow" w:eastAsia="Calibri" w:hAnsi="Arial Narrow"/>
          <w:b/>
          <w:bCs/>
          <w:i/>
          <w:iCs/>
        </w:rPr>
        <w:t>Que al finalizar el 2024, se haya ejecutado las estrategias establecidas para mejorar los procesos de coordinación, comunicación internos y externos, con el fin de hacer más eficientes los procesos institucionales que se encuentre involucrado el Organismo de Investigación Judicial”, Indicador: % de avance del plan de implementación de las estrategias de coordinación planteadas por el Organismo de Investigación Judicial”</w:t>
      </w:r>
      <w:r w:rsidR="008B0FDD">
        <w:rPr>
          <w:rFonts w:ascii="Arial Narrow" w:eastAsia="Calibri" w:hAnsi="Arial Narrow"/>
          <w:b/>
          <w:bCs/>
          <w:i/>
          <w:iCs/>
        </w:rPr>
        <w:t xml:space="preserve">, </w:t>
      </w:r>
      <w:r w:rsidR="00E673F8" w:rsidRPr="00484CC1">
        <w:rPr>
          <w:rFonts w:ascii="Arial Narrow" w:eastAsia="Calibri" w:hAnsi="Arial Narrow"/>
        </w:rPr>
        <w:t xml:space="preserve">la cual de acuerdo con la revisión efectuada se </w:t>
      </w:r>
      <w:r w:rsidR="00E673F8" w:rsidRPr="009D5823">
        <w:rPr>
          <w:rFonts w:ascii="Arial Narrow" w:eastAsia="Calibri" w:hAnsi="Arial Narrow"/>
        </w:rPr>
        <w:t>logró determinar que no se asoció a ningún PAO de oficina para el 2019</w:t>
      </w:r>
      <w:r w:rsidR="00493DA1" w:rsidRPr="009D5823">
        <w:rPr>
          <w:rFonts w:ascii="Arial Narrow" w:eastAsia="Calibri" w:hAnsi="Arial Narrow"/>
        </w:rPr>
        <w:t>, ni para el 2020</w:t>
      </w:r>
      <w:r w:rsidR="00E673F8" w:rsidRPr="009D5823">
        <w:rPr>
          <w:rFonts w:ascii="Arial Narrow" w:eastAsia="Calibri" w:hAnsi="Arial Narrow"/>
        </w:rPr>
        <w:t xml:space="preserve">.  </w:t>
      </w:r>
      <w:r w:rsidR="00493DA1" w:rsidRPr="009D5823">
        <w:rPr>
          <w:rFonts w:ascii="Arial Narrow" w:eastAsia="Calibri" w:hAnsi="Arial Narrow"/>
        </w:rPr>
        <w:t>En coordinación con el Subproceso de Planeación Estratégica de la Dirección de Planificación, se logró verificar que esta meta esta formulada para el 2021 y se tiene previsto su vinculación en los PAOs de ese año.</w:t>
      </w:r>
    </w:p>
    <w:bookmarkEnd w:id="63"/>
    <w:p w14:paraId="3C1CA82E" w14:textId="326CCDD2" w:rsidR="005E0346" w:rsidRPr="000B4845" w:rsidRDefault="005E0346" w:rsidP="005E0346">
      <w:pPr>
        <w:spacing w:line="360" w:lineRule="auto"/>
        <w:jc w:val="both"/>
        <w:rPr>
          <w:rFonts w:ascii="Arial Narrow" w:eastAsia="Calibri" w:hAnsi="Arial Narrow"/>
        </w:rPr>
      </w:pPr>
    </w:p>
    <w:p w14:paraId="047AA422" w14:textId="2720152F" w:rsidR="00C43708" w:rsidRPr="00704B08" w:rsidRDefault="000D7411" w:rsidP="005E067A">
      <w:pPr>
        <w:pStyle w:val="Ttulo4"/>
        <w:numPr>
          <w:ilvl w:val="0"/>
          <w:numId w:val="62"/>
        </w:numPr>
        <w:rPr>
          <w:rFonts w:ascii="Arial Narrow" w:eastAsia="Calibri" w:hAnsi="Arial Narrow"/>
        </w:rPr>
      </w:pPr>
      <w:r>
        <w:rPr>
          <w:rFonts w:ascii="Arial Narrow" w:eastAsia="Calibri" w:hAnsi="Arial Narrow"/>
        </w:rPr>
        <w:t xml:space="preserve">5.2.4. </w:t>
      </w:r>
      <w:r w:rsidR="00D462DE" w:rsidRPr="00704B08">
        <w:rPr>
          <w:rFonts w:ascii="Arial Narrow" w:eastAsia="Calibri" w:hAnsi="Arial Narrow"/>
        </w:rPr>
        <w:t>C</w:t>
      </w:r>
      <w:r w:rsidR="00C43708" w:rsidRPr="00704B08">
        <w:rPr>
          <w:rFonts w:ascii="Arial Narrow" w:eastAsia="Calibri" w:hAnsi="Arial Narrow"/>
        </w:rPr>
        <w:t xml:space="preserve">omunicación y </w:t>
      </w:r>
      <w:r w:rsidR="00C43708" w:rsidRPr="00704B08">
        <w:rPr>
          <w:rFonts w:ascii="Arial Narrow" w:eastAsia="Calibri" w:hAnsi="Arial Narrow"/>
          <w:lang w:val="es-CR"/>
        </w:rPr>
        <w:t>proyección</w:t>
      </w:r>
      <w:r w:rsidR="00C43708" w:rsidRPr="00704B08">
        <w:rPr>
          <w:rFonts w:ascii="Arial Narrow" w:eastAsia="Calibri" w:hAnsi="Arial Narrow"/>
        </w:rPr>
        <w:t xml:space="preserve"> </w:t>
      </w:r>
      <w:r w:rsidR="0010558F" w:rsidRPr="00704B08">
        <w:rPr>
          <w:rFonts w:ascii="Arial Narrow" w:eastAsia="Calibri" w:hAnsi="Arial Narrow"/>
        </w:rPr>
        <w:t>Institucional</w:t>
      </w:r>
    </w:p>
    <w:p w14:paraId="5030532A" w14:textId="77777777" w:rsidR="00C5044E" w:rsidRDefault="00C5044E" w:rsidP="00C5044E">
      <w:pPr>
        <w:spacing w:line="360" w:lineRule="auto"/>
        <w:jc w:val="both"/>
        <w:rPr>
          <w:rFonts w:ascii="Arial Narrow" w:eastAsia="Calibri" w:hAnsi="Arial Narrow"/>
        </w:rPr>
      </w:pPr>
    </w:p>
    <w:p w14:paraId="03802DBF" w14:textId="75649DC2" w:rsidR="00C5044E" w:rsidRPr="00704B08" w:rsidRDefault="00C5044E" w:rsidP="00704B08">
      <w:pPr>
        <w:spacing w:line="360" w:lineRule="auto"/>
        <w:jc w:val="both"/>
        <w:rPr>
          <w:rFonts w:ascii="Arial Narrow" w:eastAsia="Calibri" w:hAnsi="Arial Narrow"/>
        </w:rPr>
      </w:pPr>
      <w:r w:rsidRPr="00704B08">
        <w:rPr>
          <w:rFonts w:ascii="Arial Narrow" w:eastAsia="Calibri" w:hAnsi="Arial Narrow"/>
        </w:rPr>
        <w:t>Sobre esta acción estratégica, se tienen 7 metas estratégicas asociadas</w:t>
      </w:r>
      <w:r w:rsidR="00B87C2F">
        <w:rPr>
          <w:rFonts w:ascii="Arial Narrow" w:eastAsia="Calibri" w:hAnsi="Arial Narrow"/>
        </w:rPr>
        <w:t xml:space="preserve"> en el 2019 y 6 metas estratégicas asociadas en el 2020</w:t>
      </w:r>
      <w:r w:rsidRPr="00704B08">
        <w:rPr>
          <w:rFonts w:ascii="Arial Narrow" w:eastAsia="Calibri" w:hAnsi="Arial Narrow"/>
        </w:rPr>
        <w:t xml:space="preserve">, con un cumplimiento bastante alto </w:t>
      </w:r>
      <w:r w:rsidR="0027246A">
        <w:rPr>
          <w:rFonts w:ascii="Arial Narrow" w:eastAsia="Calibri" w:hAnsi="Arial Narrow"/>
        </w:rPr>
        <w:t xml:space="preserve"> de las metas que integran esta acción estratégica,</w:t>
      </w:r>
      <w:r w:rsidRPr="00704B08">
        <w:rPr>
          <w:rFonts w:ascii="Arial Narrow" w:eastAsia="Calibri" w:hAnsi="Arial Narrow"/>
        </w:rPr>
        <w:t xml:space="preserve"> a excepción de la meta </w:t>
      </w:r>
      <w:r w:rsidR="0027246A">
        <w:rPr>
          <w:rFonts w:ascii="Arial Narrow" w:eastAsia="Calibri" w:hAnsi="Arial Narrow"/>
        </w:rPr>
        <w:t>“</w:t>
      </w:r>
      <w:r w:rsidRPr="00704B08">
        <w:rPr>
          <w:rFonts w:ascii="Arial Narrow" w:eastAsia="Calibri" w:hAnsi="Arial Narrow"/>
          <w:i/>
          <w:iCs/>
        </w:rPr>
        <w:t>Que al finalizar el 2024, se haya aprobado la política de comunicación integral</w:t>
      </w:r>
      <w:r w:rsidR="0027246A">
        <w:rPr>
          <w:rFonts w:ascii="Arial Narrow" w:eastAsia="Calibri" w:hAnsi="Arial Narrow"/>
          <w:i/>
          <w:iCs/>
        </w:rPr>
        <w:t xml:space="preserve">” </w:t>
      </w:r>
      <w:r w:rsidRPr="00704B08">
        <w:rPr>
          <w:rFonts w:ascii="Arial Narrow" w:eastAsia="Calibri" w:hAnsi="Arial Narrow"/>
        </w:rPr>
        <w:t xml:space="preserve"> la cual registra un nivel de cumplimiento de 30%</w:t>
      </w:r>
      <w:r w:rsidR="0027246A">
        <w:rPr>
          <w:rFonts w:ascii="Arial Narrow" w:eastAsia="Calibri" w:hAnsi="Arial Narrow"/>
        </w:rPr>
        <w:t xml:space="preserve">  para el año </w:t>
      </w:r>
      <w:r w:rsidR="00B87C2F">
        <w:rPr>
          <w:rFonts w:ascii="Arial Narrow" w:eastAsia="Calibri" w:hAnsi="Arial Narrow"/>
        </w:rPr>
        <w:t xml:space="preserve">2019  y </w:t>
      </w:r>
      <w:r w:rsidR="0027246A">
        <w:rPr>
          <w:rFonts w:ascii="Arial Narrow" w:eastAsia="Calibri" w:hAnsi="Arial Narrow"/>
        </w:rPr>
        <w:t xml:space="preserve">de un </w:t>
      </w:r>
      <w:r w:rsidR="00B87C2F">
        <w:rPr>
          <w:rFonts w:ascii="Arial Narrow" w:eastAsia="Calibri" w:hAnsi="Arial Narrow"/>
        </w:rPr>
        <w:t>13%</w:t>
      </w:r>
      <w:r w:rsidR="0027246A">
        <w:rPr>
          <w:rFonts w:ascii="Arial Narrow" w:eastAsia="Calibri" w:hAnsi="Arial Narrow"/>
        </w:rPr>
        <w:t xml:space="preserve"> para el </w:t>
      </w:r>
      <w:r w:rsidR="00B87C2F">
        <w:rPr>
          <w:rFonts w:ascii="Arial Narrow" w:eastAsia="Calibri" w:hAnsi="Arial Narrow"/>
        </w:rPr>
        <w:t>2020</w:t>
      </w:r>
      <w:r w:rsidRPr="00704B08">
        <w:rPr>
          <w:rFonts w:ascii="Arial Narrow" w:eastAsia="Calibri" w:hAnsi="Arial Narrow"/>
        </w:rPr>
        <w:t>,</w:t>
      </w:r>
      <w:r w:rsidR="0027246A">
        <w:rPr>
          <w:rFonts w:ascii="Arial Narrow" w:eastAsia="Calibri" w:hAnsi="Arial Narrow"/>
        </w:rPr>
        <w:t xml:space="preserve"> siendo el porcentaje de cumplimiento </w:t>
      </w:r>
      <w:r w:rsidRPr="00704B08">
        <w:rPr>
          <w:rFonts w:ascii="Arial Narrow" w:eastAsia="Calibri" w:hAnsi="Arial Narrow"/>
        </w:rPr>
        <w:t xml:space="preserve">más bajo de todas las metas en esta categoría, por lo que la justificación que se brinda por parte del Departamento de Prensa y Comunicación, es que se formularon los requerimientos el órgano cooperante para el apoyo financiero. En el mes de noviembre 2019, se informó que la Embajada Americana no aprobó la propuesta por lo que el Despacho de la Presidencia solicitó a la Oficina de Cooperación Internacional que hiciera las diligencias para conseguir apoyo para el proyecto en otros organismos de cooperación. La oficina </w:t>
      </w:r>
      <w:r w:rsidR="0053265A">
        <w:rPr>
          <w:rFonts w:ascii="Arial Narrow" w:eastAsia="Calibri" w:hAnsi="Arial Narrow"/>
        </w:rPr>
        <w:t>se encuentra</w:t>
      </w:r>
      <w:r w:rsidRPr="00704B08">
        <w:rPr>
          <w:rFonts w:ascii="Arial Narrow" w:eastAsia="Calibri" w:hAnsi="Arial Narrow"/>
        </w:rPr>
        <w:t xml:space="preserve"> en proceso de reformular la propuesta para conseguir los fondos que se requieren para esta iniciativa de aprobación de Política de Comunicación Integral.</w:t>
      </w:r>
    </w:p>
    <w:p w14:paraId="75044677" w14:textId="1BA6C3FC" w:rsidR="00C43708" w:rsidRPr="000B4845" w:rsidRDefault="00C43708" w:rsidP="00C43708">
      <w:pPr>
        <w:rPr>
          <w:rFonts w:eastAsia="Calibri"/>
          <w:lang w:eastAsia="en-US"/>
        </w:rPr>
      </w:pPr>
    </w:p>
    <w:p w14:paraId="76A4062B" w14:textId="07E0B14A" w:rsidR="008B0FDD" w:rsidRDefault="00C43708" w:rsidP="00704B08">
      <w:r w:rsidRPr="000B4845">
        <w:rPr>
          <w:rFonts w:ascii="Arial Narrow" w:eastAsia="Calibri" w:hAnsi="Arial Narrow"/>
        </w:rPr>
        <w:t>Se muestran las metas estratégicas y su cumplimiento para el 2019</w:t>
      </w:r>
      <w:r w:rsidR="00034B75">
        <w:rPr>
          <w:rFonts w:ascii="Arial Narrow" w:eastAsia="Calibri" w:hAnsi="Arial Narrow"/>
        </w:rPr>
        <w:t xml:space="preserve"> y 2020</w:t>
      </w:r>
      <w:r w:rsidR="008B0FDD">
        <w:rPr>
          <w:rFonts w:ascii="Arial Narrow" w:eastAsia="Calibri" w:hAnsi="Arial Narrow"/>
        </w:rPr>
        <w:t>:</w:t>
      </w:r>
    </w:p>
    <w:p w14:paraId="0956A026" w14:textId="77777777" w:rsidR="008B0FDD" w:rsidRDefault="008B0FDD" w:rsidP="00484CC1">
      <w:pPr>
        <w:pStyle w:val="Descripcin"/>
        <w:jc w:val="center"/>
        <w:rPr>
          <w:rFonts w:ascii="Arial Narrow" w:hAnsi="Arial Narrow"/>
          <w:sz w:val="24"/>
          <w:szCs w:val="24"/>
        </w:rPr>
      </w:pPr>
    </w:p>
    <w:p w14:paraId="56D93674" w14:textId="34F01AE6" w:rsidR="008B0FDD" w:rsidRDefault="008B0FDD" w:rsidP="00484CC1">
      <w:pPr>
        <w:pStyle w:val="Descripcin"/>
        <w:jc w:val="center"/>
        <w:rPr>
          <w:rFonts w:ascii="Arial Narrow" w:hAnsi="Arial Narrow"/>
          <w:sz w:val="24"/>
          <w:szCs w:val="24"/>
        </w:rPr>
      </w:pPr>
    </w:p>
    <w:p w14:paraId="757967CA" w14:textId="77777777" w:rsidR="009D5823" w:rsidRDefault="009D5823" w:rsidP="00CC11BA">
      <w:pPr>
        <w:sectPr w:rsidR="009D5823" w:rsidSect="009D5823">
          <w:pgSz w:w="12242" w:h="15842" w:code="1"/>
          <w:pgMar w:top="1701" w:right="1417" w:bottom="1701" w:left="1417" w:header="709" w:footer="709" w:gutter="0"/>
          <w:cols w:space="708"/>
          <w:docGrid w:linePitch="360"/>
        </w:sectPr>
      </w:pPr>
    </w:p>
    <w:p w14:paraId="7A44AB57" w14:textId="281CD739" w:rsidR="00CC11BA" w:rsidRDefault="00CC11BA" w:rsidP="00CC11BA"/>
    <w:p w14:paraId="4FC98AFB" w14:textId="77777777" w:rsidR="00CC11BA" w:rsidRPr="00704B08" w:rsidRDefault="00CC11BA" w:rsidP="00704B08"/>
    <w:p w14:paraId="37F4CDAF" w14:textId="4D00440D" w:rsidR="000717FB" w:rsidRDefault="000717FB" w:rsidP="000717FB">
      <w:pPr>
        <w:pStyle w:val="Descripcin"/>
        <w:jc w:val="center"/>
        <w:rPr>
          <w:rFonts w:ascii="Arial Narrow" w:eastAsia="Calibri" w:hAnsi="Arial Narrow"/>
          <w:sz w:val="24"/>
          <w:szCs w:val="24"/>
        </w:rPr>
      </w:pPr>
      <w:bookmarkStart w:id="64" w:name="_Toc76062258"/>
      <w:r w:rsidRPr="00484CC1">
        <w:rPr>
          <w:rFonts w:ascii="Arial Narrow" w:hAnsi="Arial Narrow"/>
          <w:sz w:val="24"/>
          <w:szCs w:val="24"/>
        </w:rPr>
        <w:t xml:space="preserve">Cuadro </w:t>
      </w:r>
      <w:r w:rsidRPr="00484CC1">
        <w:rPr>
          <w:rFonts w:ascii="Arial Narrow" w:hAnsi="Arial Narrow"/>
          <w:sz w:val="24"/>
          <w:szCs w:val="24"/>
        </w:rPr>
        <w:fldChar w:fldCharType="begin"/>
      </w:r>
      <w:r w:rsidRPr="00484CC1">
        <w:rPr>
          <w:rFonts w:ascii="Arial Narrow" w:hAnsi="Arial Narrow"/>
          <w:sz w:val="24"/>
          <w:szCs w:val="24"/>
        </w:rPr>
        <w:instrText xml:space="preserve"> SEQ Cuadro_No. \* ARABIC </w:instrText>
      </w:r>
      <w:r w:rsidRPr="00484CC1">
        <w:rPr>
          <w:rFonts w:ascii="Arial Narrow" w:hAnsi="Arial Narrow"/>
          <w:sz w:val="24"/>
          <w:szCs w:val="24"/>
        </w:rPr>
        <w:fldChar w:fldCharType="separate"/>
      </w:r>
      <w:r w:rsidR="009D5823">
        <w:rPr>
          <w:rFonts w:ascii="Arial Narrow" w:hAnsi="Arial Narrow"/>
          <w:noProof/>
          <w:sz w:val="24"/>
          <w:szCs w:val="24"/>
        </w:rPr>
        <w:t>35</w:t>
      </w:r>
      <w:r w:rsidRPr="00484CC1">
        <w:rPr>
          <w:rFonts w:ascii="Arial Narrow" w:hAnsi="Arial Narrow"/>
          <w:sz w:val="24"/>
          <w:szCs w:val="24"/>
        </w:rPr>
        <w:fldChar w:fldCharType="end"/>
      </w:r>
      <w:r w:rsidRPr="00484CC1">
        <w:rPr>
          <w:rFonts w:ascii="Arial Narrow" w:hAnsi="Arial Narrow"/>
          <w:sz w:val="24"/>
          <w:szCs w:val="24"/>
        </w:rPr>
        <w:t xml:space="preserve"> </w:t>
      </w:r>
      <w:r w:rsidRPr="00D657CE">
        <w:rPr>
          <w:rFonts w:ascii="Arial Narrow" w:eastAsia="Calibri" w:hAnsi="Arial Narrow"/>
          <w:sz w:val="24"/>
          <w:szCs w:val="24"/>
        </w:rPr>
        <w:t>Metas estratégicas de Colaboración interna y externa, y su cumplimiento para el 2019</w:t>
      </w:r>
      <w:r>
        <w:rPr>
          <w:rFonts w:ascii="Arial Narrow" w:eastAsia="Calibri" w:hAnsi="Arial Narrow"/>
          <w:sz w:val="24"/>
          <w:szCs w:val="24"/>
        </w:rPr>
        <w:t xml:space="preserve"> y 2020.</w:t>
      </w:r>
      <w:bookmarkEnd w:id="64"/>
    </w:p>
    <w:p w14:paraId="2C94F337" w14:textId="77777777" w:rsidR="00034B75" w:rsidRDefault="00034B75" w:rsidP="00BB3C4F">
      <w:pPr>
        <w:rPr>
          <w:noProof/>
        </w:rPr>
      </w:pPr>
    </w:p>
    <w:p w14:paraId="113B17A2" w14:textId="2A31BD15" w:rsidR="007F0199" w:rsidRDefault="00CC11BA" w:rsidP="00BB3C4F">
      <w:pPr>
        <w:rPr>
          <w:noProof/>
        </w:rPr>
      </w:pPr>
      <w:r>
        <w:rPr>
          <w:noProof/>
          <w:lang w:val="es-CR" w:eastAsia="es-CR"/>
        </w:rPr>
        <w:drawing>
          <wp:inline distT="0" distB="0" distL="0" distR="0" wp14:anchorId="512FAA57" wp14:editId="621AB073">
            <wp:extent cx="7899400" cy="2656205"/>
            <wp:effectExtent l="57150" t="57150" r="101600" b="86995"/>
            <wp:docPr id="172" name="Imagen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7899400" cy="2656205"/>
                    </a:xfrm>
                    <a:prstGeom prst="rect">
                      <a:avLst/>
                    </a:prstGeom>
                    <a:ln w="9525" cap="sq">
                      <a:solidFill>
                        <a:srgbClr val="00B0F0"/>
                      </a:solidFill>
                      <a:prstDash val="solid"/>
                      <a:miter lim="800000"/>
                    </a:ln>
                    <a:effectLst>
                      <a:outerShdw blurRad="50800" dist="38100" dir="2700000" algn="tl" rotWithShape="0">
                        <a:srgbClr val="000000">
                          <a:alpha val="43000"/>
                        </a:srgbClr>
                      </a:outerShdw>
                    </a:effectLst>
                  </pic:spPr>
                </pic:pic>
              </a:graphicData>
            </a:graphic>
          </wp:inline>
        </w:drawing>
      </w:r>
    </w:p>
    <w:p w14:paraId="3E074FC7" w14:textId="77777777" w:rsidR="00562207" w:rsidRDefault="00562207" w:rsidP="00BB3C4F">
      <w:pPr>
        <w:rPr>
          <w:noProof/>
        </w:rPr>
      </w:pPr>
    </w:p>
    <w:p w14:paraId="624BED8B" w14:textId="77777777" w:rsidR="00CC11BA" w:rsidRPr="00A618D8" w:rsidRDefault="00CC11BA" w:rsidP="00CC11BA">
      <w:pPr>
        <w:rPr>
          <w:bCs/>
        </w:rPr>
      </w:pPr>
      <w:r>
        <w:rPr>
          <w:rFonts w:ascii="Arial Narrow" w:eastAsia="Calibri" w:hAnsi="Arial Narrow"/>
          <w:sz w:val="18"/>
          <w:szCs w:val="18"/>
          <w:lang w:eastAsia="en-US"/>
        </w:rPr>
        <w:t xml:space="preserve">           </w:t>
      </w:r>
      <w:r w:rsidRPr="000B4845">
        <w:rPr>
          <w:rFonts w:ascii="Arial Narrow" w:eastAsia="Calibri" w:hAnsi="Arial Narrow"/>
          <w:sz w:val="18"/>
          <w:szCs w:val="18"/>
          <w:lang w:eastAsia="en-US"/>
        </w:rPr>
        <w:t>Fuente: Sistema PEI al 24 de enero del 2020 (año 2019)</w:t>
      </w:r>
      <w:r>
        <w:rPr>
          <w:rFonts w:ascii="Arial Narrow" w:eastAsia="Calibri" w:hAnsi="Arial Narrow"/>
          <w:sz w:val="18"/>
          <w:szCs w:val="18"/>
          <w:lang w:eastAsia="en-US"/>
        </w:rPr>
        <w:t xml:space="preserve"> y 04 de marzo del 2021 (año 2020).</w:t>
      </w:r>
    </w:p>
    <w:p w14:paraId="088F5F52" w14:textId="77777777" w:rsidR="009D5823" w:rsidRDefault="009D5823" w:rsidP="00BB3C4F">
      <w:pPr>
        <w:rPr>
          <w:noProof/>
        </w:rPr>
        <w:sectPr w:rsidR="009D5823" w:rsidSect="009D5823">
          <w:pgSz w:w="15842" w:h="12242" w:orient="landscape" w:code="1"/>
          <w:pgMar w:top="1417" w:right="1701" w:bottom="1417" w:left="1701" w:header="709" w:footer="709" w:gutter="0"/>
          <w:cols w:space="708"/>
          <w:docGrid w:linePitch="360"/>
        </w:sectPr>
      </w:pPr>
    </w:p>
    <w:p w14:paraId="5730A92F" w14:textId="77777777" w:rsidR="007F0199" w:rsidRDefault="007F0199" w:rsidP="00BB3C4F">
      <w:pPr>
        <w:rPr>
          <w:noProof/>
        </w:rPr>
      </w:pPr>
    </w:p>
    <w:p w14:paraId="3BA8AB11" w14:textId="2EAF2BF3" w:rsidR="00C5044E" w:rsidRPr="00704B08" w:rsidRDefault="000717FB" w:rsidP="00704B08">
      <w:pPr>
        <w:spacing w:line="360" w:lineRule="auto"/>
        <w:jc w:val="both"/>
        <w:rPr>
          <w:rFonts w:ascii="Arial Narrow" w:hAnsi="Arial Narrow"/>
          <w:b/>
          <w:bCs/>
          <w:noProof/>
        </w:rPr>
      </w:pPr>
      <w:r>
        <w:rPr>
          <w:rFonts w:ascii="Arial Narrow" w:eastAsia="Calibri" w:hAnsi="Arial Narrow"/>
        </w:rPr>
        <w:t>L</w:t>
      </w:r>
      <w:r w:rsidRPr="002E0B96">
        <w:rPr>
          <w:rFonts w:ascii="Arial Narrow" w:eastAsia="Calibri" w:hAnsi="Arial Narrow"/>
        </w:rPr>
        <w:t>a</w:t>
      </w:r>
      <w:r w:rsidRPr="002E0B96">
        <w:rPr>
          <w:rFonts w:ascii="Arial Narrow" w:eastAsia="Book Antiqua" w:hAnsi="Arial Narrow" w:cs="Book Antiqua"/>
          <w:color w:val="000000" w:themeColor="text1"/>
          <w:lang w:val="es-CR"/>
        </w:rPr>
        <w:t xml:space="preserve"> meta estratégica </w:t>
      </w:r>
      <w:r>
        <w:rPr>
          <w:rFonts w:ascii="Arial Narrow" w:eastAsia="Book Antiqua" w:hAnsi="Arial Narrow" w:cs="Book Antiqua"/>
          <w:color w:val="000000" w:themeColor="text1"/>
          <w:lang w:val="es-CR"/>
        </w:rPr>
        <w:t>“</w:t>
      </w:r>
      <w:r w:rsidR="005220CE" w:rsidRPr="00704B08">
        <w:rPr>
          <w:rFonts w:ascii="Arial Narrow" w:hAnsi="Arial Narrow"/>
          <w:b/>
          <w:bCs/>
          <w:i/>
          <w:iCs/>
          <w:noProof/>
        </w:rPr>
        <w:t>Que al finalizar el 2024, se haya implementado una estrategia de comunicación y proyección institucional proactiva que fortalezca la democracia, institucionalidad y percepción de las personas usuarias</w:t>
      </w:r>
      <w:r>
        <w:rPr>
          <w:rFonts w:ascii="Arial Narrow" w:hAnsi="Arial Narrow"/>
          <w:b/>
          <w:bCs/>
          <w:noProof/>
        </w:rPr>
        <w:t>”</w:t>
      </w:r>
      <w:r w:rsidR="00DB7B3B">
        <w:rPr>
          <w:rFonts w:ascii="Arial Narrow" w:hAnsi="Arial Narrow"/>
          <w:b/>
          <w:bCs/>
          <w:noProof/>
        </w:rPr>
        <w:t>,</w:t>
      </w:r>
      <w:r w:rsidR="00CC11BA">
        <w:rPr>
          <w:rFonts w:ascii="Arial Narrow" w:hAnsi="Arial Narrow"/>
          <w:b/>
          <w:bCs/>
          <w:noProof/>
        </w:rPr>
        <w:t xml:space="preserve"> </w:t>
      </w:r>
      <w:r>
        <w:rPr>
          <w:rFonts w:ascii="Arial Narrow" w:eastAsia="Calibri" w:hAnsi="Arial Narrow"/>
        </w:rPr>
        <w:t>c</w:t>
      </w:r>
      <w:r w:rsidR="00C5044E">
        <w:rPr>
          <w:rFonts w:ascii="Arial Narrow" w:eastAsia="Calibri" w:hAnsi="Arial Narrow"/>
        </w:rPr>
        <w:t xml:space="preserve">omo esfuerzos destacables </w:t>
      </w:r>
      <w:r w:rsidR="00A01A56">
        <w:rPr>
          <w:rFonts w:ascii="Arial Narrow" w:eastAsia="Calibri" w:hAnsi="Arial Narrow"/>
        </w:rPr>
        <w:t xml:space="preserve">en los años analizados </w:t>
      </w:r>
      <w:r w:rsidR="00C5044E">
        <w:rPr>
          <w:rFonts w:ascii="Arial Narrow" w:eastAsia="Calibri" w:hAnsi="Arial Narrow"/>
        </w:rPr>
        <w:t>se tiene la</w:t>
      </w:r>
      <w:r w:rsidR="00C5044E" w:rsidRPr="000B4845">
        <w:rPr>
          <w:rFonts w:ascii="Arial Narrow" w:eastAsia="Calibri" w:hAnsi="Arial Narrow"/>
        </w:rPr>
        <w:t xml:space="preserve"> meta sobre estrategia de </w:t>
      </w:r>
      <w:r w:rsidR="00C5044E">
        <w:rPr>
          <w:rFonts w:ascii="Arial Narrow" w:eastAsia="Calibri" w:hAnsi="Arial Narrow"/>
        </w:rPr>
        <w:t>C</w:t>
      </w:r>
      <w:r w:rsidR="00C5044E" w:rsidRPr="000B4845">
        <w:rPr>
          <w:rFonts w:ascii="Arial Narrow" w:eastAsia="Calibri" w:hAnsi="Arial Narrow"/>
        </w:rPr>
        <w:t xml:space="preserve">omunicación y proyección institucional proactiva que fortalezca la democracia, institucionalidad y percepción de las personas usuarias por parte del Departamento de Prensa y Comunicación, </w:t>
      </w:r>
      <w:r w:rsidR="00C5044E">
        <w:rPr>
          <w:rFonts w:ascii="Arial Narrow" w:eastAsia="Calibri" w:hAnsi="Arial Narrow"/>
        </w:rPr>
        <w:t>en la cual se</w:t>
      </w:r>
      <w:r w:rsidR="00C5044E" w:rsidRPr="000B4845">
        <w:rPr>
          <w:rFonts w:ascii="Arial Narrow" w:eastAsia="Calibri" w:hAnsi="Arial Narrow"/>
        </w:rPr>
        <w:t xml:space="preserve"> llevaron a cabo coordinaciones y se toma como base un estudio de percepción realizado por la empresa CCK y se realizó </w:t>
      </w:r>
      <w:r w:rsidR="00C5044E">
        <w:rPr>
          <w:rFonts w:ascii="Arial Narrow" w:eastAsia="Calibri" w:hAnsi="Arial Narrow"/>
        </w:rPr>
        <w:t xml:space="preserve">en el </w:t>
      </w:r>
      <w:r w:rsidR="00C5044E" w:rsidRPr="000B4845">
        <w:rPr>
          <w:rFonts w:ascii="Arial Narrow" w:eastAsia="Calibri" w:hAnsi="Arial Narrow"/>
        </w:rPr>
        <w:t xml:space="preserve">año </w:t>
      </w:r>
      <w:r w:rsidR="00C5044E">
        <w:rPr>
          <w:rFonts w:ascii="Arial Narrow" w:eastAsia="Calibri" w:hAnsi="Arial Narrow"/>
        </w:rPr>
        <w:t xml:space="preserve">2019 </w:t>
      </w:r>
      <w:r w:rsidR="00C5044E" w:rsidRPr="000B4845">
        <w:rPr>
          <w:rFonts w:ascii="Arial Narrow" w:eastAsia="Calibri" w:hAnsi="Arial Narrow"/>
        </w:rPr>
        <w:t>el análisis de resultados y documentación de hallazgos</w:t>
      </w:r>
      <w:r w:rsidR="00C5044E">
        <w:rPr>
          <w:rFonts w:ascii="Arial Narrow" w:eastAsia="Calibri" w:hAnsi="Arial Narrow"/>
        </w:rPr>
        <w:t>.</w:t>
      </w:r>
    </w:p>
    <w:p w14:paraId="0A221408" w14:textId="3FBCE863" w:rsidR="00435DAD" w:rsidRPr="00704B08" w:rsidRDefault="005B7AC3" w:rsidP="00704B08">
      <w:pPr>
        <w:pStyle w:val="Car"/>
        <w:spacing w:before="200" w:after="0" w:line="360" w:lineRule="auto"/>
        <w:jc w:val="both"/>
        <w:textAlignment w:val="baseline"/>
        <w:rPr>
          <w:rFonts w:ascii="Arial Narrow" w:hAnsi="Arial Narrow"/>
          <w:lang w:val="es-CR" w:eastAsia="es-CR"/>
        </w:rPr>
      </w:pPr>
      <w:r w:rsidRPr="00704B08">
        <w:rPr>
          <w:rFonts w:ascii="Arial Narrow" w:eastAsia="+mn-ea" w:hAnsi="Arial Narrow" w:cs="+mn-cs"/>
          <w:color w:val="000000"/>
          <w:kern w:val="24"/>
          <w:sz w:val="24"/>
          <w:szCs w:val="24"/>
          <w:lang w:val="es-CR" w:eastAsia="es-CR"/>
        </w:rPr>
        <w:t xml:space="preserve">Considerando la situación de emergencia actual </w:t>
      </w:r>
      <w:r w:rsidR="008952BD" w:rsidRPr="000717FB">
        <w:rPr>
          <w:rFonts w:ascii="Arial Narrow" w:eastAsia="+mn-ea" w:hAnsi="Arial Narrow" w:cs="+mn-cs"/>
          <w:color w:val="000000"/>
          <w:kern w:val="24"/>
          <w:sz w:val="24"/>
          <w:szCs w:val="24"/>
          <w:lang w:val="es-CR" w:eastAsia="es-CR"/>
        </w:rPr>
        <w:t xml:space="preserve">(Covid 19) </w:t>
      </w:r>
      <w:r w:rsidRPr="00704B08">
        <w:rPr>
          <w:rFonts w:ascii="Arial Narrow" w:eastAsia="+mn-ea" w:hAnsi="Arial Narrow" w:cs="+mn-cs"/>
          <w:color w:val="000000"/>
          <w:kern w:val="24"/>
          <w:sz w:val="24"/>
          <w:szCs w:val="24"/>
          <w:lang w:val="es-CR" w:eastAsia="es-CR"/>
        </w:rPr>
        <w:t xml:space="preserve">y todos los esfuerzos que realiza el Poder Judicial para continuar brindando el servicio a la población, </w:t>
      </w:r>
      <w:r w:rsidR="00435DAD" w:rsidRPr="000717FB">
        <w:rPr>
          <w:rFonts w:ascii="Arial Narrow" w:eastAsia="+mn-ea" w:hAnsi="Arial Narrow" w:cs="+mn-cs"/>
          <w:color w:val="000000"/>
          <w:kern w:val="24"/>
          <w:sz w:val="24"/>
          <w:szCs w:val="24"/>
          <w:lang w:val="es-CR" w:eastAsia="es-CR"/>
        </w:rPr>
        <w:t>e</w:t>
      </w:r>
      <w:r w:rsidRPr="00CC279A">
        <w:rPr>
          <w:rFonts w:ascii="Arial Narrow" w:hAnsi="Arial Narrow"/>
          <w:sz w:val="24"/>
          <w:szCs w:val="24"/>
          <w:lang w:val="es-CR"/>
        </w:rPr>
        <w:t xml:space="preserve">l Departamento de Prensa y Comunicación </w:t>
      </w:r>
      <w:r w:rsidRPr="00704B08">
        <w:rPr>
          <w:rFonts w:ascii="Arial Narrow" w:eastAsia="+mn-ea" w:hAnsi="Arial Narrow" w:cs="+mn-cs"/>
          <w:color w:val="000000"/>
          <w:kern w:val="24"/>
          <w:sz w:val="24"/>
          <w:szCs w:val="24"/>
          <w:lang w:val="es-CR" w:eastAsia="es-CR"/>
        </w:rPr>
        <w:t>se enfocó en divulgar</w:t>
      </w:r>
      <w:r w:rsidRPr="000717FB">
        <w:rPr>
          <w:rFonts w:ascii="Arial Narrow" w:eastAsia="+mn-ea" w:hAnsi="Arial Narrow" w:cs="+mn-cs"/>
          <w:color w:val="000000"/>
          <w:kern w:val="24"/>
          <w:sz w:val="24"/>
          <w:szCs w:val="24"/>
          <w:lang w:val="es-CR" w:eastAsia="es-CR"/>
        </w:rPr>
        <w:t xml:space="preserve"> </w:t>
      </w:r>
      <w:r w:rsidRPr="00CC279A">
        <w:rPr>
          <w:rFonts w:ascii="Arial Narrow" w:hAnsi="Arial Narrow"/>
          <w:sz w:val="24"/>
          <w:szCs w:val="24"/>
          <w:lang w:val="es-CR"/>
        </w:rPr>
        <w:t>la</w:t>
      </w:r>
      <w:r w:rsidR="009F0582" w:rsidRPr="00CC279A">
        <w:rPr>
          <w:rFonts w:ascii="Arial Narrow" w:hAnsi="Arial Narrow"/>
          <w:sz w:val="24"/>
          <w:szCs w:val="24"/>
          <w:lang w:val="es-CR"/>
        </w:rPr>
        <w:t xml:space="preserve"> campaña llamada “</w:t>
      </w:r>
      <w:r w:rsidR="009F0582" w:rsidRPr="00CC279A">
        <w:rPr>
          <w:rFonts w:ascii="Arial Narrow" w:hAnsi="Arial Narrow"/>
          <w:i/>
          <w:iCs/>
          <w:sz w:val="24"/>
          <w:szCs w:val="24"/>
          <w:lang w:val="es-CR"/>
        </w:rPr>
        <w:t xml:space="preserve">Campaña de </w:t>
      </w:r>
      <w:r w:rsidR="009F0582" w:rsidRPr="00704B08">
        <w:rPr>
          <w:rFonts w:ascii="Arial Narrow" w:eastAsia="+mn-ea" w:hAnsi="Arial Narrow" w:cs="Arial"/>
          <w:i/>
          <w:iCs/>
          <w:color w:val="000000"/>
          <w:kern w:val="24"/>
          <w:sz w:val="24"/>
          <w:szCs w:val="24"/>
          <w:lang w:val="es-CR" w:eastAsia="es-CR"/>
        </w:rPr>
        <w:t xml:space="preserve"> Institucionalidad del Poder Judicial en el contexto de la emergencia nacional provocada por el Covid-19</w:t>
      </w:r>
      <w:r w:rsidR="009F0582" w:rsidRPr="000717FB">
        <w:rPr>
          <w:rFonts w:ascii="Arial Narrow" w:eastAsia="+mn-ea" w:hAnsi="Arial Narrow" w:cs="Arial"/>
          <w:color w:val="000000"/>
          <w:kern w:val="24"/>
          <w:sz w:val="24"/>
          <w:szCs w:val="24"/>
          <w:lang w:val="es-CR" w:eastAsia="es-CR"/>
        </w:rPr>
        <w:t>”</w:t>
      </w:r>
      <w:r w:rsidR="009F0582" w:rsidRPr="00CC279A">
        <w:rPr>
          <w:rFonts w:ascii="Arial Narrow" w:eastAsia="+mn-ea" w:hAnsi="Arial Narrow" w:cs="+mn-cs"/>
          <w:color w:val="000000"/>
          <w:kern w:val="24"/>
          <w:sz w:val="24"/>
          <w:szCs w:val="24"/>
          <w:lang w:val="es-CR"/>
        </w:rPr>
        <w:t xml:space="preserve"> con el objetivo de fortalecer el Poder Judicial, como eje esencial de la Democracia costarricense, mediante la divulgación de los servicios que brinda</w:t>
      </w:r>
      <w:r w:rsidR="00435DAD" w:rsidRPr="00CC279A">
        <w:rPr>
          <w:rFonts w:ascii="Arial Narrow" w:eastAsia="+mn-ea" w:hAnsi="Arial Narrow" w:cs="+mn-cs"/>
          <w:color w:val="000000"/>
          <w:kern w:val="24"/>
          <w:sz w:val="24"/>
          <w:szCs w:val="24"/>
          <w:lang w:val="es-CR"/>
        </w:rPr>
        <w:t xml:space="preserve"> </w:t>
      </w:r>
      <w:r w:rsidR="009F0582" w:rsidRPr="00CC279A">
        <w:rPr>
          <w:rFonts w:ascii="Arial Narrow" w:eastAsia="+mn-ea" w:hAnsi="Arial Narrow" w:cs="+mn-cs"/>
          <w:color w:val="000000"/>
          <w:kern w:val="24"/>
          <w:sz w:val="24"/>
          <w:szCs w:val="24"/>
          <w:lang w:val="es-CR"/>
        </w:rPr>
        <w:t xml:space="preserve">y de los esfuerzos institucionales para mejorar la Administración de Justicia.  Es así como </w:t>
      </w:r>
      <w:r w:rsidRPr="00CC279A">
        <w:rPr>
          <w:rFonts w:ascii="Arial Narrow" w:eastAsia="+mn-ea" w:hAnsi="Arial Narrow" w:cs="+mn-cs"/>
          <w:color w:val="000000"/>
          <w:kern w:val="24"/>
          <w:sz w:val="24"/>
          <w:szCs w:val="24"/>
          <w:lang w:val="es-CR"/>
        </w:rPr>
        <w:t>ha brindado información</w:t>
      </w:r>
      <w:r w:rsidR="009F0582" w:rsidRPr="00CC279A">
        <w:rPr>
          <w:rFonts w:ascii="Arial Narrow" w:eastAsia="+mn-ea" w:hAnsi="Arial Narrow" w:cs="+mn-cs"/>
          <w:color w:val="000000"/>
          <w:kern w:val="24"/>
          <w:sz w:val="24"/>
          <w:szCs w:val="24"/>
          <w:lang w:val="es-CR"/>
        </w:rPr>
        <w:t xml:space="preserve"> </w:t>
      </w:r>
      <w:r w:rsidRPr="00CC279A">
        <w:rPr>
          <w:rFonts w:ascii="Arial Narrow" w:eastAsia="+mn-ea" w:hAnsi="Arial Narrow" w:cs="+mn-cs"/>
          <w:color w:val="000000"/>
          <w:kern w:val="24"/>
          <w:sz w:val="24"/>
          <w:szCs w:val="24"/>
          <w:lang w:val="es-CR"/>
        </w:rPr>
        <w:t xml:space="preserve">sobre </w:t>
      </w:r>
      <w:r w:rsidRPr="000717FB">
        <w:rPr>
          <w:rFonts w:ascii="Arial Narrow" w:eastAsia="+mn-ea" w:hAnsi="Arial Narrow" w:cs="+mn-cs"/>
          <w:color w:val="000000"/>
          <w:kern w:val="24"/>
          <w:sz w:val="24"/>
          <w:szCs w:val="24"/>
          <w:lang w:val="es-CR" w:eastAsia="es-CR"/>
        </w:rPr>
        <w:t>l</w:t>
      </w:r>
      <w:r w:rsidRPr="00704B08">
        <w:rPr>
          <w:rFonts w:ascii="Arial Narrow" w:eastAsia="+mn-ea" w:hAnsi="Arial Narrow" w:cs="+mn-cs"/>
          <w:color w:val="000000"/>
          <w:kern w:val="24"/>
          <w:sz w:val="24"/>
          <w:szCs w:val="24"/>
          <w:lang w:val="es-CR" w:eastAsia="es-CR"/>
        </w:rPr>
        <w:t xml:space="preserve">os servicios que faciliten la atención de las personas usuarias sin necesidad de que se presenten en las oficinas judiciales </w:t>
      </w:r>
      <w:r w:rsidRPr="000717FB">
        <w:rPr>
          <w:rFonts w:ascii="Arial Narrow" w:eastAsia="+mn-ea" w:hAnsi="Arial Narrow" w:cs="+mn-cs"/>
          <w:color w:val="000000"/>
          <w:kern w:val="24"/>
          <w:sz w:val="24"/>
          <w:szCs w:val="24"/>
          <w:lang w:val="es-CR" w:eastAsia="es-CR"/>
        </w:rPr>
        <w:t>y l</w:t>
      </w:r>
      <w:r w:rsidRPr="00704B08">
        <w:rPr>
          <w:rFonts w:ascii="Arial Narrow" w:eastAsia="+mn-ea" w:hAnsi="Arial Narrow" w:cs="+mn-cs"/>
          <w:color w:val="000000"/>
          <w:kern w:val="24"/>
          <w:sz w:val="24"/>
          <w:szCs w:val="24"/>
          <w:lang w:val="es-CR" w:eastAsia="es-CR"/>
        </w:rPr>
        <w:t xml:space="preserve">os protocolos a seguir por las personas y el personal en caso de que deban asistir a la institución.  </w:t>
      </w:r>
      <w:r w:rsidR="00435DAD" w:rsidRPr="00704B08">
        <w:rPr>
          <w:rFonts w:ascii="Arial Narrow" w:hAnsi="Arial Narrow"/>
          <w:sz w:val="24"/>
          <w:szCs w:val="24"/>
          <w:lang w:val="es-CR" w:eastAsia="es-CR"/>
        </w:rPr>
        <w:t xml:space="preserve">Por otra parte, la Contraria de Servicios de la sede Central, mediante la </w:t>
      </w:r>
      <w:r w:rsidR="00435DAD" w:rsidRPr="00CC279A">
        <w:rPr>
          <w:rFonts w:ascii="Arial Narrow" w:hAnsi="Arial Narrow"/>
          <w:sz w:val="24"/>
          <w:szCs w:val="24"/>
          <w:lang w:val="es-CR"/>
        </w:rPr>
        <w:t>circular interna 6-2020, instó al personal contralor en instruir al personal de apoyo para brindar información y atender las consultas con respecto a audiencias virtuales en procesos Laborales y Civiles. Labor que fue implementada por la línea 800 en coordinación con la Dirección de Tecnología de la Información, la cual, se ha ido extendiendo según los protocolos aprobados en materias que se han ido sumando a realizar audiencias virtuales.</w:t>
      </w:r>
      <w:r w:rsidR="00435DAD" w:rsidRPr="00704B08">
        <w:rPr>
          <w:rFonts w:ascii="Arial Narrow" w:hAnsi="Arial Narrow"/>
          <w:sz w:val="24"/>
          <w:szCs w:val="24"/>
          <w:lang w:val="es-CR" w:eastAsia="es-CR"/>
        </w:rPr>
        <w:t xml:space="preserve"> La existencia de la línea 800 ha sido incorporada en las divulgaciones realizadas por medio del Departamento de Prensa y Comunicación para la comunicación de audiencias virtuales, procesos de pensión alimentaria, la utilización de medios tecnológicos, entre otros. Campañas que son realizadas a lo interno de la institución, así como por redes sociales como Facebook en la página oficial del Poder Judicial.</w:t>
      </w:r>
    </w:p>
    <w:p w14:paraId="72026558" w14:textId="58673E29" w:rsidR="00435DAD" w:rsidRPr="00704B08" w:rsidRDefault="00435DAD" w:rsidP="00704B08">
      <w:pPr>
        <w:spacing w:line="360" w:lineRule="auto"/>
        <w:jc w:val="both"/>
        <w:rPr>
          <w:rFonts w:ascii="Arial Narrow" w:hAnsi="Arial Narrow"/>
          <w:lang w:val="es-CR" w:eastAsia="es-CR"/>
        </w:rPr>
      </w:pPr>
    </w:p>
    <w:p w14:paraId="18C3AD10" w14:textId="16499D19" w:rsidR="003C2184" w:rsidRPr="00704B08" w:rsidRDefault="00A01A56" w:rsidP="00562207">
      <w:pPr>
        <w:spacing w:line="360" w:lineRule="auto"/>
        <w:jc w:val="both"/>
        <w:rPr>
          <w:rFonts w:ascii="Arial Narrow" w:hAnsi="Arial Narrow"/>
          <w:b/>
          <w:bCs/>
          <w:noProof/>
        </w:rPr>
      </w:pPr>
      <w:r>
        <w:rPr>
          <w:rFonts w:ascii="Arial Narrow" w:hAnsi="Arial Narrow"/>
        </w:rPr>
        <w:t xml:space="preserve">En lo concerniente a esta meta estratégica </w:t>
      </w:r>
      <w:r w:rsidR="00DB7B3B" w:rsidRPr="00DB7B3B">
        <w:rPr>
          <w:rFonts w:ascii="Arial Narrow" w:hAnsi="Arial Narrow"/>
          <w:i/>
          <w:iCs/>
        </w:rPr>
        <w:t>“</w:t>
      </w:r>
      <w:r w:rsidR="005220CE" w:rsidRPr="00DB7B3B">
        <w:rPr>
          <w:rFonts w:ascii="Arial Narrow" w:hAnsi="Arial Narrow"/>
          <w:b/>
          <w:bCs/>
          <w:i/>
          <w:iCs/>
          <w:noProof/>
        </w:rPr>
        <w:t>OE.1.4.2.1 - Que al finalizar el 2024,  se haya implementado la estrategia de mejora de la proyección y gestión de la Fiscalía General</w:t>
      </w:r>
      <w:r w:rsidR="00DB7B3B">
        <w:rPr>
          <w:rFonts w:ascii="Arial Narrow" w:hAnsi="Arial Narrow"/>
          <w:b/>
          <w:bCs/>
          <w:noProof/>
        </w:rPr>
        <w:t>”</w:t>
      </w:r>
      <w:r>
        <w:rPr>
          <w:rFonts w:ascii="Arial Narrow" w:hAnsi="Arial Narrow"/>
          <w:b/>
          <w:bCs/>
          <w:noProof/>
        </w:rPr>
        <w:t xml:space="preserve">, </w:t>
      </w:r>
      <w:r w:rsidR="00D06895">
        <w:rPr>
          <w:rFonts w:ascii="Arial Narrow" w:hAnsi="Arial Narrow"/>
        </w:rPr>
        <w:t xml:space="preserve">se tiene </w:t>
      </w:r>
      <w:r>
        <w:rPr>
          <w:rFonts w:ascii="Arial Narrow" w:hAnsi="Arial Narrow"/>
        </w:rPr>
        <w:t xml:space="preserve">para los años 2019 y 2020 </w:t>
      </w:r>
      <w:r w:rsidR="00D06895">
        <w:rPr>
          <w:rFonts w:ascii="Arial Narrow" w:hAnsi="Arial Narrow"/>
        </w:rPr>
        <w:t xml:space="preserve">que la </w:t>
      </w:r>
      <w:r w:rsidR="00D06895" w:rsidRPr="006B60C8">
        <w:rPr>
          <w:rFonts w:ascii="Arial Narrow" w:hAnsi="Arial Narrow" w:cs="Arial"/>
        </w:rPr>
        <w:t xml:space="preserve">Oficina de Prensa </w:t>
      </w:r>
      <w:r w:rsidR="00D06895">
        <w:rPr>
          <w:rFonts w:ascii="Arial Narrow" w:hAnsi="Arial Narrow" w:cs="Arial"/>
        </w:rPr>
        <w:t xml:space="preserve">de la </w:t>
      </w:r>
      <w:r w:rsidR="000717FB">
        <w:rPr>
          <w:rFonts w:ascii="Arial Narrow" w:hAnsi="Arial Narrow" w:cs="Arial"/>
        </w:rPr>
        <w:t>F</w:t>
      </w:r>
      <w:r w:rsidRPr="006B60C8">
        <w:rPr>
          <w:rFonts w:ascii="Arial Narrow" w:hAnsi="Arial Narrow" w:cs="Arial"/>
        </w:rPr>
        <w:t xml:space="preserve">iscalía </w:t>
      </w:r>
      <w:r w:rsidR="000717FB">
        <w:rPr>
          <w:rFonts w:ascii="Arial Narrow" w:hAnsi="Arial Narrow" w:cs="Arial"/>
        </w:rPr>
        <w:t>G</w:t>
      </w:r>
      <w:r w:rsidRPr="006B60C8">
        <w:rPr>
          <w:rFonts w:ascii="Arial Narrow" w:hAnsi="Arial Narrow" w:cs="Arial"/>
        </w:rPr>
        <w:t>eneral</w:t>
      </w:r>
      <w:r w:rsidR="00D06895" w:rsidRPr="006B60C8">
        <w:rPr>
          <w:rFonts w:ascii="Arial Narrow" w:hAnsi="Arial Narrow" w:cs="Arial"/>
        </w:rPr>
        <w:t xml:space="preserve"> de la República</w:t>
      </w:r>
      <w:r w:rsidR="00D06895">
        <w:rPr>
          <w:rFonts w:ascii="Arial Narrow" w:hAnsi="Arial Narrow" w:cs="Arial"/>
        </w:rPr>
        <w:t>,</w:t>
      </w:r>
      <w:r w:rsidR="00D06895">
        <w:rPr>
          <w:rFonts w:ascii="Arial Narrow" w:hAnsi="Arial Narrow"/>
        </w:rPr>
        <w:t xml:space="preserve"> </w:t>
      </w:r>
      <w:r w:rsidR="00D06895" w:rsidRPr="0067320E">
        <w:rPr>
          <w:rFonts w:ascii="Arial Narrow" w:hAnsi="Arial Narrow"/>
        </w:rPr>
        <w:t>conformó</w:t>
      </w:r>
      <w:r w:rsidR="003C2184" w:rsidRPr="00704B08">
        <w:rPr>
          <w:rFonts w:ascii="Arial Narrow" w:hAnsi="Arial Narrow"/>
        </w:rPr>
        <w:t xml:space="preserve"> </w:t>
      </w:r>
      <w:r w:rsidR="0067320E" w:rsidRPr="00704B08">
        <w:rPr>
          <w:rFonts w:ascii="Arial Narrow" w:hAnsi="Arial Narrow"/>
        </w:rPr>
        <w:t>un</w:t>
      </w:r>
      <w:r w:rsidR="003C2184" w:rsidRPr="00704B08">
        <w:rPr>
          <w:rFonts w:ascii="Arial Narrow" w:hAnsi="Arial Narrow"/>
        </w:rPr>
        <w:t xml:space="preserve"> grupo de trabajo para </w:t>
      </w:r>
      <w:r w:rsidR="003C2184" w:rsidRPr="00704B08">
        <w:rPr>
          <w:rFonts w:ascii="Arial Narrow" w:hAnsi="Arial Narrow"/>
        </w:rPr>
        <w:lastRenderedPageBreak/>
        <w:t xml:space="preserve">la elaboración de una estrategia de mejora para la proyección y la gestión de la </w:t>
      </w:r>
      <w:r w:rsidR="000717FB">
        <w:rPr>
          <w:rFonts w:ascii="Arial Narrow" w:hAnsi="Arial Narrow"/>
        </w:rPr>
        <w:t>F</w:t>
      </w:r>
      <w:r w:rsidRPr="0067320E">
        <w:rPr>
          <w:rFonts w:ascii="Arial Narrow" w:hAnsi="Arial Narrow"/>
        </w:rPr>
        <w:t xml:space="preserve">iscalía </w:t>
      </w:r>
      <w:r>
        <w:rPr>
          <w:rFonts w:ascii="Arial Narrow" w:hAnsi="Arial Narrow"/>
        </w:rPr>
        <w:t>G</w:t>
      </w:r>
      <w:r w:rsidRPr="0067320E">
        <w:rPr>
          <w:rFonts w:ascii="Arial Narrow" w:hAnsi="Arial Narrow"/>
        </w:rPr>
        <w:t>eneral</w:t>
      </w:r>
      <w:r w:rsidR="003C2184" w:rsidRPr="00704B08">
        <w:rPr>
          <w:rFonts w:ascii="Arial Narrow" w:hAnsi="Arial Narrow"/>
        </w:rPr>
        <w:t xml:space="preserve">, así como un plan de trabajo y cronograma de actividades. </w:t>
      </w:r>
      <w:r w:rsidR="00D06895">
        <w:rPr>
          <w:rFonts w:ascii="Arial Narrow" w:hAnsi="Arial Narrow"/>
        </w:rPr>
        <w:t>De este modo</w:t>
      </w:r>
      <w:r w:rsidR="0067320E" w:rsidRPr="00704B08">
        <w:rPr>
          <w:rFonts w:ascii="Arial Narrow" w:hAnsi="Arial Narrow"/>
        </w:rPr>
        <w:t>, para el mes de agosto 2020 se</w:t>
      </w:r>
      <w:r w:rsidR="003C2184" w:rsidRPr="00704B08">
        <w:rPr>
          <w:rFonts w:ascii="Arial Narrow" w:hAnsi="Arial Narrow"/>
        </w:rPr>
        <w:t xml:space="preserve"> logra diseñar e iniciar la implementación </w:t>
      </w:r>
      <w:r w:rsidR="00D06895">
        <w:rPr>
          <w:rFonts w:ascii="Arial Narrow" w:hAnsi="Arial Narrow"/>
        </w:rPr>
        <w:t>de dicha</w:t>
      </w:r>
      <w:r w:rsidR="003C2184" w:rsidRPr="00704B08">
        <w:rPr>
          <w:rFonts w:ascii="Arial Narrow" w:hAnsi="Arial Narrow"/>
        </w:rPr>
        <w:t xml:space="preserve"> estrategia, alcanzando </w:t>
      </w:r>
      <w:r w:rsidR="00DB7B3B">
        <w:rPr>
          <w:rFonts w:ascii="Arial Narrow" w:hAnsi="Arial Narrow"/>
        </w:rPr>
        <w:t xml:space="preserve">la </w:t>
      </w:r>
      <w:r w:rsidR="003C2184" w:rsidRPr="00704B08">
        <w:rPr>
          <w:rFonts w:ascii="Arial Narrow" w:hAnsi="Arial Narrow"/>
        </w:rPr>
        <w:t>ejecu</w:t>
      </w:r>
      <w:r w:rsidR="00DB7B3B">
        <w:rPr>
          <w:rFonts w:ascii="Arial Narrow" w:hAnsi="Arial Narrow"/>
        </w:rPr>
        <w:t>ción de</w:t>
      </w:r>
      <w:r w:rsidR="003C2184" w:rsidRPr="00704B08">
        <w:rPr>
          <w:rFonts w:ascii="Arial Narrow" w:hAnsi="Arial Narrow"/>
        </w:rPr>
        <w:t xml:space="preserve"> 9 actividades propuestas.</w:t>
      </w:r>
      <w:r>
        <w:rPr>
          <w:rFonts w:ascii="Arial Narrow" w:hAnsi="Arial Narrow"/>
          <w:b/>
          <w:bCs/>
          <w:noProof/>
        </w:rPr>
        <w:t xml:space="preserve"> </w:t>
      </w:r>
      <w:r w:rsidR="0067320E" w:rsidRPr="0067320E">
        <w:rPr>
          <w:rFonts w:ascii="Arial Narrow" w:hAnsi="Arial Narrow"/>
        </w:rPr>
        <w:t>A</w:t>
      </w:r>
      <w:r w:rsidR="00D06895">
        <w:rPr>
          <w:rFonts w:ascii="Arial Narrow" w:hAnsi="Arial Narrow"/>
        </w:rPr>
        <w:t>l mismo tiempo</w:t>
      </w:r>
      <w:r w:rsidR="0067320E" w:rsidRPr="00704B08">
        <w:rPr>
          <w:rFonts w:ascii="Arial Narrow" w:hAnsi="Arial Narrow"/>
        </w:rPr>
        <w:t xml:space="preserve">, se observa </w:t>
      </w:r>
      <w:r w:rsidR="00D06895">
        <w:rPr>
          <w:rFonts w:ascii="Arial Narrow" w:hAnsi="Arial Narrow"/>
        </w:rPr>
        <w:t>por medio del</w:t>
      </w:r>
      <w:r w:rsidR="0067320E" w:rsidRPr="00704B08">
        <w:rPr>
          <w:rFonts w:ascii="Arial Narrow" w:hAnsi="Arial Narrow"/>
        </w:rPr>
        <w:t xml:space="preserve"> sistema PAO que la </w:t>
      </w:r>
      <w:r w:rsidR="0067320E" w:rsidRPr="00704B08">
        <w:rPr>
          <w:rFonts w:ascii="Arial Narrow" w:hAnsi="Arial Narrow" w:cs="Arial"/>
        </w:rPr>
        <w:t xml:space="preserve">Oficina de Prensa </w:t>
      </w:r>
      <w:r w:rsidR="00D06895">
        <w:rPr>
          <w:rFonts w:ascii="Arial Narrow" w:hAnsi="Arial Narrow" w:cs="Arial"/>
        </w:rPr>
        <w:t xml:space="preserve">de la </w:t>
      </w:r>
      <w:r w:rsidR="0067320E" w:rsidRPr="00704B08">
        <w:rPr>
          <w:rFonts w:ascii="Arial Narrow" w:hAnsi="Arial Narrow" w:cs="Arial"/>
        </w:rPr>
        <w:t>Fiscalía General de la República</w:t>
      </w:r>
      <w:r w:rsidR="0067320E">
        <w:rPr>
          <w:rFonts w:ascii="Arial Narrow" w:hAnsi="Arial Narrow" w:cs="Arial"/>
        </w:rPr>
        <w:t xml:space="preserve"> y la Unidad de Capacitación y Supervisión del </w:t>
      </w:r>
      <w:r w:rsidR="00B42E39">
        <w:rPr>
          <w:rFonts w:ascii="Arial Narrow" w:hAnsi="Arial Narrow" w:cs="Arial"/>
        </w:rPr>
        <w:t>Ministerio Público ha</w:t>
      </w:r>
      <w:r w:rsidR="0067320E" w:rsidRPr="00704B08">
        <w:rPr>
          <w:rFonts w:ascii="Arial Narrow" w:hAnsi="Arial Narrow"/>
        </w:rPr>
        <w:t xml:space="preserve"> comunicado un grupo de infografías y cápsulas relacionadas con acatamiento de directrices y lineamientos sobre la emergencia por Covid 19 y como aplicarlas en beneficio personal y grupal. </w:t>
      </w:r>
      <w:r>
        <w:rPr>
          <w:rFonts w:ascii="Arial Narrow" w:hAnsi="Arial Narrow"/>
        </w:rPr>
        <w:t>Es por lo anterior que se obtiene un cumplimiento del 100% para el año 2019 y 2020 y un 20% del cumplimiento acumulado.</w:t>
      </w:r>
    </w:p>
    <w:p w14:paraId="1CF4F125" w14:textId="77777777" w:rsidR="003C2184" w:rsidRPr="00704B08" w:rsidRDefault="003C2184" w:rsidP="00704B08">
      <w:pPr>
        <w:spacing w:line="360" w:lineRule="auto"/>
        <w:jc w:val="both"/>
        <w:rPr>
          <w:rFonts w:ascii="Arial Narrow" w:eastAsia="Calibri" w:hAnsi="Arial Narrow"/>
          <w:b/>
          <w:bCs/>
        </w:rPr>
      </w:pPr>
    </w:p>
    <w:p w14:paraId="2F5870E5" w14:textId="211C885F" w:rsidR="00D06895" w:rsidRDefault="00A01A56" w:rsidP="006F409B">
      <w:pPr>
        <w:spacing w:line="360" w:lineRule="auto"/>
        <w:jc w:val="both"/>
        <w:rPr>
          <w:rFonts w:ascii="Arial Narrow" w:hAnsi="Arial Narrow"/>
          <w:lang w:val="es-CR" w:eastAsia="es-CR"/>
        </w:rPr>
      </w:pPr>
      <w:r w:rsidRPr="00704B08">
        <w:rPr>
          <w:rFonts w:ascii="Arial Narrow" w:eastAsia="Calibri" w:hAnsi="Arial Narrow"/>
        </w:rPr>
        <w:t xml:space="preserve">Por otra </w:t>
      </w:r>
      <w:r w:rsidRPr="00A01A56">
        <w:rPr>
          <w:rFonts w:ascii="Arial Narrow" w:eastAsia="Calibri" w:hAnsi="Arial Narrow"/>
        </w:rPr>
        <w:t>parte,</w:t>
      </w:r>
      <w:r w:rsidRPr="00704B08">
        <w:rPr>
          <w:rFonts w:ascii="Arial Narrow" w:eastAsia="Calibri" w:hAnsi="Arial Narrow"/>
        </w:rPr>
        <w:t xml:space="preserve"> la meta</w:t>
      </w:r>
      <w:r w:rsidR="000717FB">
        <w:rPr>
          <w:rFonts w:ascii="Arial Narrow" w:eastAsia="Calibri" w:hAnsi="Arial Narrow"/>
        </w:rPr>
        <w:t xml:space="preserve"> estratégica </w:t>
      </w:r>
      <w:r w:rsidR="000717FB">
        <w:rPr>
          <w:rFonts w:ascii="Arial Narrow" w:eastAsia="Calibri" w:hAnsi="Arial Narrow"/>
          <w:b/>
          <w:bCs/>
        </w:rPr>
        <w:t>“</w:t>
      </w:r>
      <w:r w:rsidR="00562207" w:rsidRPr="00704B08">
        <w:rPr>
          <w:rFonts w:ascii="Arial Narrow" w:eastAsia="Calibri" w:hAnsi="Arial Narrow"/>
          <w:b/>
          <w:bCs/>
          <w:i/>
          <w:iCs/>
        </w:rPr>
        <w:t>Que al finalizar el 2024, se haya implementado la estrategia de comunicación y proyección en la Defensa Pública</w:t>
      </w:r>
      <w:r w:rsidR="000717FB">
        <w:rPr>
          <w:rFonts w:ascii="Arial Narrow" w:eastAsia="Calibri" w:hAnsi="Arial Narrow"/>
          <w:b/>
          <w:bCs/>
        </w:rPr>
        <w:t>”</w:t>
      </w:r>
      <w:r w:rsidR="00DB7B3B">
        <w:rPr>
          <w:rFonts w:ascii="Arial Narrow" w:eastAsia="Calibri" w:hAnsi="Arial Narrow"/>
          <w:b/>
          <w:bCs/>
        </w:rPr>
        <w:t>,</w:t>
      </w:r>
      <w:r w:rsidRPr="00704B08">
        <w:rPr>
          <w:rFonts w:ascii="Arial Narrow" w:eastAsia="Calibri" w:hAnsi="Arial Narrow"/>
        </w:rPr>
        <w:t xml:space="preserve"> muestra </w:t>
      </w:r>
      <w:r>
        <w:rPr>
          <w:rFonts w:ascii="Arial Narrow" w:eastAsia="Calibri" w:hAnsi="Arial Narrow"/>
        </w:rPr>
        <w:t>p</w:t>
      </w:r>
      <w:r w:rsidR="008952BD" w:rsidRPr="00704B08">
        <w:rPr>
          <w:rFonts w:ascii="Arial Narrow" w:hAnsi="Arial Narrow"/>
          <w:shd w:val="clear" w:color="auto" w:fill="FFFFFF"/>
        </w:rPr>
        <w:t xml:space="preserve">ara el año 2019 </w:t>
      </w:r>
      <w:r>
        <w:rPr>
          <w:rFonts w:ascii="Arial Narrow" w:hAnsi="Arial Narrow"/>
          <w:shd w:val="clear" w:color="auto" w:fill="FFFFFF"/>
        </w:rPr>
        <w:t xml:space="preserve">que </w:t>
      </w:r>
      <w:r w:rsidR="008952BD" w:rsidRPr="00704B08">
        <w:rPr>
          <w:rFonts w:ascii="Arial Narrow" w:hAnsi="Arial Narrow"/>
          <w:shd w:val="clear" w:color="auto" w:fill="FFFFFF"/>
        </w:rPr>
        <w:t xml:space="preserve">la Defensa Pública presentó ante la Dirección de Planificación el estudio de Factibilidad del proyecto el cual consistió en proponer la asignación de un recurso humano profesional en el área de Prensa y Comunicación como parte de la estructura organizacional de la Defensa Pública, con el fin </w:t>
      </w:r>
      <w:r w:rsidR="00D96716">
        <w:rPr>
          <w:rFonts w:ascii="Arial Narrow" w:hAnsi="Arial Narrow"/>
          <w:snapToGrid w:val="0"/>
        </w:rPr>
        <w:t>p</w:t>
      </w:r>
      <w:r w:rsidR="00D96716" w:rsidRPr="00704B08">
        <w:rPr>
          <w:rFonts w:ascii="Arial Narrow" w:hAnsi="Arial Narrow"/>
          <w:snapToGrid w:val="0"/>
        </w:rPr>
        <w:t>royectar la imagen del Poder Judicial mediante la divulgación del quehacer institucional, en la comunidad nacional e internacional</w:t>
      </w:r>
      <w:r w:rsidR="00D96716">
        <w:rPr>
          <w:rFonts w:ascii="Arial Narrow" w:hAnsi="Arial Narrow"/>
          <w:snapToGrid w:val="0"/>
        </w:rPr>
        <w:t>.</w:t>
      </w:r>
      <w:r>
        <w:rPr>
          <w:rFonts w:ascii="Arial Narrow" w:eastAsia="Calibri" w:hAnsi="Arial Narrow"/>
          <w:b/>
          <w:bCs/>
        </w:rPr>
        <w:t xml:space="preserve"> </w:t>
      </w:r>
      <w:r w:rsidR="00364FCF" w:rsidRPr="00D96716">
        <w:rPr>
          <w:rFonts w:ascii="Arial Narrow" w:hAnsi="Arial Narrow"/>
          <w:lang w:val="es-CR" w:eastAsia="es-CR"/>
        </w:rPr>
        <w:t xml:space="preserve">Por otro lado, en el año 2020 </w:t>
      </w:r>
      <w:r w:rsidR="00D06895" w:rsidRPr="00704B08">
        <w:rPr>
          <w:rFonts w:ascii="Arial Narrow" w:hAnsi="Arial Narrow"/>
          <w:lang w:val="es-CR" w:eastAsia="es-CR"/>
        </w:rPr>
        <w:t xml:space="preserve">la Defensa Pública comunica que </w:t>
      </w:r>
      <w:r w:rsidR="00B425E9" w:rsidRPr="00704B08">
        <w:rPr>
          <w:rFonts w:ascii="Arial Narrow" w:hAnsi="Arial Narrow"/>
          <w:lang w:val="es-CR" w:eastAsia="es-CR"/>
        </w:rPr>
        <w:t xml:space="preserve">elaboraron un documento donde se visualizan las estrategias de comunicación y proyección. Como evidencia se adjuntan imagines en el </w:t>
      </w:r>
      <w:r w:rsidR="000717FB">
        <w:rPr>
          <w:rFonts w:ascii="Arial Narrow" w:hAnsi="Arial Narrow"/>
          <w:lang w:val="es-CR" w:eastAsia="es-CR"/>
        </w:rPr>
        <w:t>S</w:t>
      </w:r>
      <w:r w:rsidR="00B425E9" w:rsidRPr="00704B08">
        <w:rPr>
          <w:rFonts w:ascii="Arial Narrow" w:hAnsi="Arial Narrow"/>
          <w:lang w:val="es-CR" w:eastAsia="es-CR"/>
        </w:rPr>
        <w:t xml:space="preserve">istema PAO del documento llamado “Estrategia de Comunicación, Proyección y Sensibilización de la Defensa Pública”. </w:t>
      </w:r>
      <w:r w:rsidR="00442DCC" w:rsidRPr="00704B08">
        <w:rPr>
          <w:rFonts w:ascii="Arial Narrow" w:hAnsi="Arial Narrow"/>
          <w:lang w:val="es-CR" w:eastAsia="es-CR"/>
        </w:rPr>
        <w:t>Cabe considerar</w:t>
      </w:r>
      <w:r>
        <w:rPr>
          <w:rFonts w:ascii="Arial Narrow" w:hAnsi="Arial Narrow"/>
          <w:lang w:val="es-CR" w:eastAsia="es-CR"/>
        </w:rPr>
        <w:t xml:space="preserve"> que </w:t>
      </w:r>
      <w:r w:rsidR="00442DCC" w:rsidRPr="00704B08">
        <w:rPr>
          <w:rFonts w:ascii="Arial Narrow" w:hAnsi="Arial Narrow"/>
          <w:lang w:val="es-CR" w:eastAsia="es-CR"/>
        </w:rPr>
        <w:t xml:space="preserve">con el objetivo </w:t>
      </w:r>
      <w:r w:rsidR="006F409B" w:rsidRPr="006F409B">
        <w:rPr>
          <w:rFonts w:ascii="Arial Narrow" w:hAnsi="Arial Narrow"/>
          <w:lang w:val="es-CR" w:eastAsia="es-CR"/>
        </w:rPr>
        <w:t>de normalizar</w:t>
      </w:r>
      <w:r w:rsidR="00442DCC" w:rsidRPr="00704B08">
        <w:rPr>
          <w:rFonts w:ascii="Arial Narrow" w:hAnsi="Arial Narrow" w:cs="Arial"/>
          <w:color w:val="222222"/>
        </w:rPr>
        <w:t xml:space="preserve"> una prá</w:t>
      </w:r>
      <w:r w:rsidR="006F409B" w:rsidRPr="00704B08">
        <w:rPr>
          <w:rFonts w:ascii="Arial Narrow" w:hAnsi="Arial Narrow" w:cs="Arial"/>
          <w:color w:val="222222"/>
        </w:rPr>
        <w:t>c</w:t>
      </w:r>
      <w:r w:rsidR="00442DCC" w:rsidRPr="00704B08">
        <w:rPr>
          <w:rFonts w:ascii="Arial Narrow" w:hAnsi="Arial Narrow" w:cs="Arial"/>
          <w:color w:val="000000"/>
        </w:rPr>
        <w:t xml:space="preserve">tica institucional con respecto a las formas en que se debe brindar la información pública y resguardar la imagen institucional frente a diversos públicos de </w:t>
      </w:r>
      <w:r w:rsidR="000E72BC" w:rsidRPr="006F409B">
        <w:rPr>
          <w:rFonts w:ascii="Arial Narrow" w:hAnsi="Arial Narrow" w:cs="Arial"/>
          <w:color w:val="000000"/>
        </w:rPr>
        <w:t>interés</w:t>
      </w:r>
      <w:r w:rsidR="000E72BC" w:rsidRPr="006F409B">
        <w:rPr>
          <w:rFonts w:ascii="Arial Narrow" w:hAnsi="Arial Narrow"/>
          <w:lang w:val="es-ES"/>
        </w:rPr>
        <w:t xml:space="preserve"> </w:t>
      </w:r>
      <w:r w:rsidR="000E72BC">
        <w:rPr>
          <w:rFonts w:ascii="Arial Narrow" w:hAnsi="Arial Narrow"/>
          <w:lang w:val="es-ES"/>
        </w:rPr>
        <w:t xml:space="preserve">la Defensa Pública </w:t>
      </w:r>
      <w:r w:rsidR="00537430" w:rsidRPr="00704B08">
        <w:rPr>
          <w:rFonts w:ascii="Arial Narrow" w:hAnsi="Arial Narrow"/>
          <w:lang w:val="es-CR" w:eastAsia="es-CR"/>
        </w:rPr>
        <w:t>confeccion</w:t>
      </w:r>
      <w:r w:rsidR="006F409B" w:rsidRPr="00704B08">
        <w:rPr>
          <w:rFonts w:ascii="Arial Narrow" w:hAnsi="Arial Narrow"/>
          <w:lang w:val="es-CR" w:eastAsia="es-CR"/>
        </w:rPr>
        <w:t>ó</w:t>
      </w:r>
      <w:r w:rsidR="00537430" w:rsidRPr="00704B08">
        <w:rPr>
          <w:rFonts w:ascii="Arial Narrow" w:hAnsi="Arial Narrow"/>
          <w:lang w:val="es-CR" w:eastAsia="es-CR"/>
        </w:rPr>
        <w:t xml:space="preserve"> </w:t>
      </w:r>
      <w:r w:rsidR="000E72BC">
        <w:rPr>
          <w:rFonts w:ascii="Arial Narrow" w:hAnsi="Arial Narrow"/>
          <w:lang w:val="es-CR" w:eastAsia="es-CR"/>
        </w:rPr>
        <w:t>un</w:t>
      </w:r>
      <w:r w:rsidR="00537430" w:rsidRPr="00704B08">
        <w:rPr>
          <w:rFonts w:ascii="Arial Narrow" w:hAnsi="Arial Narrow"/>
          <w:lang w:val="es-CR" w:eastAsia="es-CR"/>
        </w:rPr>
        <w:t xml:space="preserve"> manual de pautas y procedimientos del material que se puede difundir</w:t>
      </w:r>
      <w:r>
        <w:rPr>
          <w:rFonts w:ascii="Arial Narrow" w:hAnsi="Arial Narrow"/>
          <w:lang w:val="es-CR" w:eastAsia="es-CR"/>
        </w:rPr>
        <w:t xml:space="preserve"> información.</w:t>
      </w:r>
    </w:p>
    <w:p w14:paraId="76C1BFA9" w14:textId="77777777" w:rsidR="009D5823" w:rsidRDefault="009D5823" w:rsidP="006F409B">
      <w:pPr>
        <w:spacing w:line="360" w:lineRule="auto"/>
        <w:jc w:val="both"/>
        <w:rPr>
          <w:rFonts w:ascii="Arial Narrow" w:eastAsia="Calibri" w:hAnsi="Arial Narrow"/>
          <w:b/>
          <w:bCs/>
        </w:rPr>
        <w:sectPr w:rsidR="009D5823" w:rsidSect="009D5823">
          <w:pgSz w:w="12242" w:h="15842" w:code="1"/>
          <w:pgMar w:top="1701" w:right="1417" w:bottom="1701" w:left="1417" w:header="709" w:footer="709" w:gutter="0"/>
          <w:cols w:space="708"/>
          <w:docGrid w:linePitch="360"/>
        </w:sectPr>
      </w:pPr>
    </w:p>
    <w:p w14:paraId="173018E2" w14:textId="1AACEB0B" w:rsidR="00A01A56" w:rsidRPr="00704B08" w:rsidRDefault="00A01A56" w:rsidP="006F409B">
      <w:pPr>
        <w:spacing w:line="360" w:lineRule="auto"/>
        <w:jc w:val="both"/>
        <w:rPr>
          <w:rFonts w:ascii="Arial Narrow" w:eastAsia="Calibri" w:hAnsi="Arial Narrow"/>
          <w:b/>
          <w:bCs/>
        </w:rPr>
      </w:pPr>
    </w:p>
    <w:p w14:paraId="5C7F8500" w14:textId="18A2B23E" w:rsidR="00847007" w:rsidRDefault="00A01A56" w:rsidP="00A01A56">
      <w:pPr>
        <w:spacing w:line="360" w:lineRule="auto"/>
        <w:jc w:val="center"/>
        <w:rPr>
          <w:rFonts w:ascii="Arial Narrow" w:eastAsia="Calibri" w:hAnsi="Arial Narrow"/>
          <w:b/>
          <w:bCs/>
        </w:rPr>
      </w:pPr>
      <w:bookmarkStart w:id="65" w:name="_Toc76062259"/>
      <w:r w:rsidRPr="00704B08">
        <w:rPr>
          <w:rFonts w:ascii="Arial Narrow" w:hAnsi="Arial Narrow"/>
          <w:b/>
          <w:bCs/>
        </w:rPr>
        <w:t xml:space="preserve">Cuadro </w:t>
      </w:r>
      <w:r w:rsidRPr="00704B08">
        <w:rPr>
          <w:rFonts w:ascii="Arial Narrow" w:hAnsi="Arial Narrow"/>
          <w:b/>
          <w:bCs/>
        </w:rPr>
        <w:fldChar w:fldCharType="begin"/>
      </w:r>
      <w:r w:rsidRPr="00704B08">
        <w:rPr>
          <w:rFonts w:ascii="Arial Narrow" w:hAnsi="Arial Narrow"/>
          <w:b/>
          <w:bCs/>
        </w:rPr>
        <w:instrText xml:space="preserve"> SEQ Cuadro_No. \* ARABIC </w:instrText>
      </w:r>
      <w:r w:rsidRPr="00704B08">
        <w:rPr>
          <w:rFonts w:ascii="Arial Narrow" w:hAnsi="Arial Narrow"/>
          <w:b/>
          <w:bCs/>
        </w:rPr>
        <w:fldChar w:fldCharType="separate"/>
      </w:r>
      <w:r w:rsidR="009D5823">
        <w:rPr>
          <w:rFonts w:ascii="Arial Narrow" w:hAnsi="Arial Narrow"/>
          <w:b/>
          <w:bCs/>
          <w:noProof/>
        </w:rPr>
        <w:t>36</w:t>
      </w:r>
      <w:r w:rsidRPr="00704B08">
        <w:rPr>
          <w:rFonts w:ascii="Arial Narrow" w:hAnsi="Arial Narrow"/>
          <w:b/>
          <w:bCs/>
        </w:rPr>
        <w:fldChar w:fldCharType="end"/>
      </w:r>
      <w:r w:rsidRPr="00704B08">
        <w:rPr>
          <w:rFonts w:ascii="Arial Narrow" w:hAnsi="Arial Narrow"/>
          <w:b/>
          <w:bCs/>
        </w:rPr>
        <w:t xml:space="preserve"> </w:t>
      </w:r>
      <w:r w:rsidRPr="00704B08">
        <w:rPr>
          <w:rFonts w:ascii="Arial Narrow" w:eastAsia="Calibri" w:hAnsi="Arial Narrow"/>
          <w:b/>
          <w:bCs/>
        </w:rPr>
        <w:t>Metas estratégicas de Comunicación y proyección institucional, y su cumplimiento para el 2019 y 2020.</w:t>
      </w:r>
      <w:bookmarkEnd w:id="65"/>
    </w:p>
    <w:p w14:paraId="0CAF8663" w14:textId="55F922E7" w:rsidR="00337C8C" w:rsidRPr="00704B08" w:rsidRDefault="00337C8C" w:rsidP="00704B08">
      <w:pPr>
        <w:spacing w:line="360" w:lineRule="auto"/>
        <w:jc w:val="center"/>
        <w:rPr>
          <w:b/>
          <w:bCs/>
          <w:noProof/>
        </w:rPr>
      </w:pPr>
      <w:r>
        <w:rPr>
          <w:noProof/>
          <w:lang w:val="es-CR" w:eastAsia="es-CR"/>
        </w:rPr>
        <w:drawing>
          <wp:inline distT="0" distB="0" distL="0" distR="0" wp14:anchorId="51BCDDF8" wp14:editId="4AAA5065">
            <wp:extent cx="7947793" cy="3317114"/>
            <wp:effectExtent l="57150" t="57150" r="91440" b="93345"/>
            <wp:docPr id="173" name="Imagen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7967299" cy="3325255"/>
                    </a:xfrm>
                    <a:prstGeom prst="rect">
                      <a:avLst/>
                    </a:prstGeom>
                    <a:ln w="9525" cap="sq">
                      <a:solidFill>
                        <a:srgbClr val="00B0F0"/>
                      </a:solidFill>
                      <a:prstDash val="solid"/>
                      <a:miter lim="800000"/>
                    </a:ln>
                    <a:effectLst>
                      <a:outerShdw blurRad="50800" dist="38100" dir="2700000" algn="tl" rotWithShape="0">
                        <a:srgbClr val="000000">
                          <a:alpha val="43000"/>
                        </a:srgbClr>
                      </a:outerShdw>
                    </a:effectLst>
                  </pic:spPr>
                </pic:pic>
              </a:graphicData>
            </a:graphic>
          </wp:inline>
        </w:drawing>
      </w:r>
    </w:p>
    <w:p w14:paraId="1DD56ED8" w14:textId="2DCDCD07" w:rsidR="00A01A56" w:rsidRPr="00704B08" w:rsidRDefault="00337C8C" w:rsidP="00704B08">
      <w:pPr>
        <w:spacing w:line="360" w:lineRule="auto"/>
        <w:jc w:val="both"/>
        <w:rPr>
          <w:rFonts w:ascii="Arial Narrow" w:hAnsi="Arial Narrow"/>
          <w:lang w:val="es-ES"/>
        </w:rPr>
      </w:pPr>
      <w:r>
        <w:rPr>
          <w:rFonts w:ascii="Arial Narrow" w:eastAsia="Calibri" w:hAnsi="Arial Narrow"/>
          <w:sz w:val="18"/>
          <w:szCs w:val="18"/>
          <w:lang w:eastAsia="en-US"/>
        </w:rPr>
        <w:t xml:space="preserve">                  </w:t>
      </w:r>
      <w:r w:rsidR="00A01A56" w:rsidRPr="000B4845">
        <w:rPr>
          <w:rFonts w:ascii="Arial Narrow" w:eastAsia="Calibri" w:hAnsi="Arial Narrow"/>
          <w:sz w:val="18"/>
          <w:szCs w:val="18"/>
          <w:lang w:eastAsia="en-US"/>
        </w:rPr>
        <w:t>Fuente: Sistema PEI al 24 de enero del 2020 (año 2019)</w:t>
      </w:r>
      <w:r w:rsidR="00A01A56">
        <w:rPr>
          <w:rFonts w:ascii="Arial Narrow" w:eastAsia="Calibri" w:hAnsi="Arial Narrow"/>
          <w:sz w:val="18"/>
          <w:szCs w:val="18"/>
          <w:lang w:eastAsia="en-US"/>
        </w:rPr>
        <w:t xml:space="preserve"> y 04 de marzo del 2021 (año 2020).</w:t>
      </w:r>
    </w:p>
    <w:p w14:paraId="02226D40" w14:textId="77777777" w:rsidR="009D5823" w:rsidRDefault="009D5823">
      <w:pPr>
        <w:spacing w:line="360" w:lineRule="auto"/>
        <w:jc w:val="both"/>
        <w:rPr>
          <w:rFonts w:ascii="Arial Narrow" w:hAnsi="Arial Narrow"/>
          <w:lang w:val="es-ES"/>
        </w:rPr>
        <w:sectPr w:rsidR="009D5823" w:rsidSect="009D5823">
          <w:pgSz w:w="15842" w:h="12242" w:orient="landscape" w:code="1"/>
          <w:pgMar w:top="1417" w:right="1701" w:bottom="1417" w:left="1701" w:header="709" w:footer="709" w:gutter="0"/>
          <w:cols w:space="708"/>
          <w:docGrid w:linePitch="360"/>
        </w:sectPr>
      </w:pPr>
    </w:p>
    <w:p w14:paraId="6F823996" w14:textId="5EA87881" w:rsidR="00337C8C" w:rsidRPr="00704B08" w:rsidRDefault="000717FB">
      <w:pPr>
        <w:spacing w:line="360" w:lineRule="auto"/>
        <w:jc w:val="both"/>
        <w:rPr>
          <w:rFonts w:ascii="Arial Narrow" w:eastAsia="Calibri" w:hAnsi="Arial Narrow"/>
          <w:b/>
          <w:bCs/>
        </w:rPr>
      </w:pPr>
      <w:r>
        <w:rPr>
          <w:rFonts w:ascii="Arial Narrow" w:eastAsia="Calibri" w:hAnsi="Arial Narrow"/>
        </w:rPr>
        <w:lastRenderedPageBreak/>
        <w:t>L</w:t>
      </w:r>
      <w:r w:rsidRPr="002E0B96">
        <w:rPr>
          <w:rFonts w:ascii="Arial Narrow" w:eastAsia="Calibri" w:hAnsi="Arial Narrow"/>
        </w:rPr>
        <w:t>a meta</w:t>
      </w:r>
      <w:r>
        <w:rPr>
          <w:rFonts w:ascii="Arial Narrow" w:eastAsia="Calibri" w:hAnsi="Arial Narrow"/>
        </w:rPr>
        <w:t xml:space="preserve"> estratégica “</w:t>
      </w:r>
      <w:r w:rsidR="00433E4D" w:rsidRPr="00704B08">
        <w:rPr>
          <w:rFonts w:ascii="Arial Narrow" w:eastAsia="Calibri" w:hAnsi="Arial Narrow"/>
          <w:b/>
          <w:bCs/>
          <w:i/>
          <w:iCs/>
        </w:rPr>
        <w:t>Que al finalizar el 2024, se haya implementado la estrategia de comunicación y divulgación de los servicios la Oficina de Atención a la Víctima de Delitos y la Unidad de Protección de Víctimas y Testigos</w:t>
      </w:r>
      <w:r>
        <w:rPr>
          <w:rFonts w:ascii="Arial Narrow" w:eastAsia="Calibri" w:hAnsi="Arial Narrow"/>
          <w:b/>
          <w:bCs/>
        </w:rPr>
        <w:t>”</w:t>
      </w:r>
      <w:r w:rsidR="00DB7B3B">
        <w:rPr>
          <w:rFonts w:ascii="Arial Narrow" w:eastAsia="Calibri" w:hAnsi="Arial Narrow"/>
          <w:b/>
          <w:bCs/>
        </w:rPr>
        <w:t>,</w:t>
      </w:r>
      <w:r w:rsidR="004E08DE">
        <w:rPr>
          <w:rFonts w:ascii="Arial Narrow" w:eastAsia="Calibri" w:hAnsi="Arial Narrow"/>
          <w:b/>
          <w:bCs/>
        </w:rPr>
        <w:t xml:space="preserve"> </w:t>
      </w:r>
      <w:r>
        <w:rPr>
          <w:rFonts w:ascii="Arial Narrow" w:hAnsi="Arial Narrow"/>
          <w:lang w:val="es-CR" w:eastAsia="es-CR"/>
        </w:rPr>
        <w:t>e</w:t>
      </w:r>
      <w:r w:rsidR="00281048" w:rsidRPr="00704B08">
        <w:rPr>
          <w:rFonts w:ascii="Arial Narrow" w:hAnsi="Arial Narrow"/>
          <w:lang w:val="es-CR" w:eastAsia="es-CR"/>
        </w:rPr>
        <w:t xml:space="preserve">n este caso </w:t>
      </w:r>
      <w:r w:rsidR="004E08DE" w:rsidRPr="00704B08">
        <w:rPr>
          <w:rFonts w:ascii="Arial Narrow" w:hAnsi="Arial Narrow"/>
          <w:lang w:val="es-CR" w:eastAsia="es-CR"/>
        </w:rPr>
        <w:t xml:space="preserve">para el año 2019 </w:t>
      </w:r>
      <w:r w:rsidR="00281048" w:rsidRPr="00704B08">
        <w:rPr>
          <w:rFonts w:ascii="Arial Narrow" w:hAnsi="Arial Narrow"/>
          <w:lang w:val="es-CR" w:eastAsia="es-CR"/>
        </w:rPr>
        <w:t>se</w:t>
      </w:r>
      <w:r w:rsidR="00433E4D" w:rsidRPr="00704B08">
        <w:rPr>
          <w:rFonts w:ascii="Arial Narrow" w:hAnsi="Arial Narrow"/>
          <w:lang w:val="es-CR" w:eastAsia="es-CR"/>
        </w:rPr>
        <w:t xml:space="preserve"> </w:t>
      </w:r>
      <w:r w:rsidR="00281048" w:rsidRPr="00704B08">
        <w:rPr>
          <w:rFonts w:ascii="Arial Narrow" w:hAnsi="Arial Narrow"/>
          <w:lang w:val="es-CR" w:eastAsia="es-CR"/>
        </w:rPr>
        <w:t>desarrolló</w:t>
      </w:r>
      <w:r w:rsidR="00433E4D" w:rsidRPr="00704B08">
        <w:rPr>
          <w:rFonts w:ascii="Arial Narrow" w:hAnsi="Arial Narrow"/>
          <w:lang w:val="es-CR" w:eastAsia="es-CR"/>
        </w:rPr>
        <w:t xml:space="preserve"> un grupo focal para identificar las necesidades de la población respecto los servicios que presta la OAPVD y la UPROV, así como el diseño del plan de comunicación y divulgación integral de los servicios que presta la OAPVD y la UPROV. </w:t>
      </w:r>
      <w:r w:rsidR="004E08DE" w:rsidRPr="00704B08">
        <w:rPr>
          <w:rFonts w:ascii="Arial Narrow" w:hAnsi="Arial Narrow"/>
          <w:lang w:val="es-CR" w:eastAsia="es-CR"/>
        </w:rPr>
        <w:t xml:space="preserve">Por otra </w:t>
      </w:r>
      <w:r w:rsidR="004E08DE" w:rsidRPr="004E08DE">
        <w:rPr>
          <w:rFonts w:ascii="Arial Narrow" w:hAnsi="Arial Narrow"/>
          <w:lang w:val="es-CR" w:eastAsia="es-CR"/>
        </w:rPr>
        <w:t>parte,</w:t>
      </w:r>
      <w:r w:rsidR="004E08DE" w:rsidRPr="00704B08">
        <w:rPr>
          <w:rFonts w:ascii="Arial Narrow" w:hAnsi="Arial Narrow"/>
          <w:lang w:val="es-CR" w:eastAsia="es-CR"/>
        </w:rPr>
        <w:t xml:space="preserve"> en el 2020 con el </w:t>
      </w:r>
      <w:r w:rsidR="00337C8C" w:rsidRPr="00704B08">
        <w:rPr>
          <w:rFonts w:ascii="Arial Narrow" w:hAnsi="Arial Narrow"/>
          <w:lang w:val="es-CR" w:eastAsia="es-CR"/>
        </w:rPr>
        <w:t>fin de promover servicio de la OAPVD se tuvo participación en</w:t>
      </w:r>
      <w:r w:rsidR="004E08DE">
        <w:rPr>
          <w:rFonts w:ascii="Arial Narrow" w:hAnsi="Arial Narrow"/>
          <w:lang w:val="es-CR" w:eastAsia="es-CR"/>
        </w:rPr>
        <w:t xml:space="preserve"> la </w:t>
      </w:r>
      <w:r w:rsidR="00337C8C" w:rsidRPr="00704B08">
        <w:rPr>
          <w:rFonts w:ascii="Arial Narrow" w:hAnsi="Arial Narrow"/>
          <w:lang w:val="es-CR" w:eastAsia="es-CR"/>
        </w:rPr>
        <w:t xml:space="preserve">radioemisora local y en </w:t>
      </w:r>
      <w:r w:rsidR="004E08DE">
        <w:rPr>
          <w:rFonts w:ascii="Arial Narrow" w:hAnsi="Arial Narrow"/>
          <w:lang w:val="es-CR" w:eastAsia="es-CR"/>
        </w:rPr>
        <w:t xml:space="preserve">la </w:t>
      </w:r>
      <w:r w:rsidR="00337C8C" w:rsidRPr="00704B08">
        <w:rPr>
          <w:rFonts w:ascii="Arial Narrow" w:hAnsi="Arial Narrow"/>
          <w:lang w:val="es-CR" w:eastAsia="es-CR"/>
        </w:rPr>
        <w:t>radio centro</w:t>
      </w:r>
      <w:r w:rsidR="004E08DE">
        <w:rPr>
          <w:rFonts w:ascii="Arial Narrow" w:hAnsi="Arial Narrow"/>
          <w:lang w:val="es-CR" w:eastAsia="es-CR"/>
        </w:rPr>
        <w:t xml:space="preserve">. </w:t>
      </w:r>
      <w:r w:rsidR="00337C8C" w:rsidRPr="00704B08">
        <w:rPr>
          <w:rFonts w:ascii="Arial Narrow" w:hAnsi="Arial Narrow"/>
          <w:lang w:val="es-CR" w:eastAsia="es-CR"/>
        </w:rPr>
        <w:t xml:space="preserve"> </w:t>
      </w:r>
      <w:r w:rsidR="004E08DE" w:rsidRPr="004E08DE">
        <w:rPr>
          <w:rFonts w:ascii="Arial Narrow" w:hAnsi="Arial Narrow"/>
          <w:lang w:val="es-CR" w:eastAsia="es-CR"/>
        </w:rPr>
        <w:t>Asimismo,</w:t>
      </w:r>
      <w:r w:rsidR="00337C8C" w:rsidRPr="00704B08">
        <w:rPr>
          <w:rFonts w:ascii="Arial Narrow" w:hAnsi="Arial Narrow"/>
          <w:lang w:val="es-CR" w:eastAsia="es-CR"/>
        </w:rPr>
        <w:t xml:space="preserve"> con la finalidad de difundir los servicios a nivel institucional se solicitó apoyo en administraciones regionales para trasmisión de video informativo por medio de las pantallas ubicadas en las áreas de atención al público</w:t>
      </w:r>
      <w:r w:rsidR="004E08DE">
        <w:rPr>
          <w:rFonts w:ascii="Arial Narrow" w:hAnsi="Arial Narrow"/>
          <w:lang w:val="es-CR" w:eastAsia="es-CR"/>
        </w:rPr>
        <w:t>. Es por lo anterior que se refleja un avance del 100% para los dos años analizados y un cumplimiento acumulado el 20%.</w:t>
      </w:r>
    </w:p>
    <w:p w14:paraId="40F47CE1" w14:textId="0A516451" w:rsidR="00433E4D" w:rsidRPr="00704B08" w:rsidRDefault="00433E4D" w:rsidP="00704B08">
      <w:pPr>
        <w:spacing w:line="360" w:lineRule="auto"/>
        <w:jc w:val="both"/>
        <w:rPr>
          <w:rFonts w:ascii="Arial Narrow" w:hAnsi="Arial Narrow" w:cs="Calibri"/>
          <w:color w:val="000000"/>
          <w:lang w:val="es-CR" w:eastAsia="es-CR"/>
        </w:rPr>
      </w:pPr>
    </w:p>
    <w:p w14:paraId="6D430E11" w14:textId="0023DE75" w:rsidR="00433E4D" w:rsidRPr="00704B08" w:rsidRDefault="004E08DE" w:rsidP="00704B08">
      <w:pPr>
        <w:spacing w:line="360" w:lineRule="auto"/>
        <w:jc w:val="both"/>
        <w:rPr>
          <w:rFonts w:ascii="Arial Narrow" w:eastAsia="Calibri" w:hAnsi="Arial Narrow"/>
        </w:rPr>
      </w:pPr>
      <w:r>
        <w:rPr>
          <w:rFonts w:ascii="Arial Narrow" w:eastAsia="Calibri" w:hAnsi="Arial Narrow"/>
        </w:rPr>
        <w:t>Seguido para la meta</w:t>
      </w:r>
      <w:r w:rsidR="000717FB">
        <w:rPr>
          <w:rFonts w:ascii="Arial Narrow" w:eastAsia="Calibri" w:hAnsi="Arial Narrow"/>
        </w:rPr>
        <w:t xml:space="preserve"> “</w:t>
      </w:r>
      <w:r w:rsidR="005220CE" w:rsidRPr="00704B08">
        <w:rPr>
          <w:rFonts w:ascii="Arial Narrow" w:eastAsia="Calibri" w:hAnsi="Arial Narrow"/>
          <w:b/>
          <w:bCs/>
          <w:i/>
          <w:iCs/>
        </w:rPr>
        <w:t>Que al finalizar el 2024, se haya implementado la estrategia de proyección institucional del Organismo de Investigación Judicial</w:t>
      </w:r>
      <w:r w:rsidR="000717FB">
        <w:rPr>
          <w:rFonts w:ascii="Arial Narrow" w:eastAsia="Calibri" w:hAnsi="Arial Narrow"/>
          <w:b/>
          <w:bCs/>
        </w:rPr>
        <w:t>”</w:t>
      </w:r>
      <w:r w:rsidR="00DB7B3B">
        <w:rPr>
          <w:rFonts w:ascii="Arial Narrow" w:eastAsia="Calibri" w:hAnsi="Arial Narrow"/>
          <w:b/>
          <w:bCs/>
        </w:rPr>
        <w:t>,</w:t>
      </w:r>
      <w:r>
        <w:rPr>
          <w:rFonts w:ascii="Arial Narrow" w:eastAsia="Calibri" w:hAnsi="Arial Narrow"/>
          <w:b/>
          <w:bCs/>
        </w:rPr>
        <w:t xml:space="preserve"> </w:t>
      </w:r>
      <w:r w:rsidRPr="00704B08">
        <w:rPr>
          <w:rFonts w:ascii="Arial Narrow" w:eastAsia="Calibri" w:hAnsi="Arial Narrow"/>
        </w:rPr>
        <w:t>s</w:t>
      </w:r>
      <w:r w:rsidR="00433E4D" w:rsidRPr="00704B08">
        <w:rPr>
          <w:rFonts w:ascii="Arial Narrow" w:hAnsi="Arial Narrow" w:cs="Calibri"/>
          <w:color w:val="000000"/>
          <w:lang w:val="es-CR" w:eastAsia="es-CR"/>
        </w:rPr>
        <w:t>e</w:t>
      </w:r>
      <w:r w:rsidR="00281048" w:rsidRPr="004E08DE">
        <w:rPr>
          <w:rFonts w:ascii="Arial Narrow" w:hAnsi="Arial Narrow" w:cs="Calibri"/>
          <w:color w:val="000000"/>
          <w:lang w:val="es-CR" w:eastAsia="es-CR"/>
        </w:rPr>
        <w:t xml:space="preserve"> </w:t>
      </w:r>
      <w:r w:rsidRPr="004E08DE">
        <w:rPr>
          <w:rFonts w:ascii="Arial Narrow" w:hAnsi="Arial Narrow" w:cs="Calibri"/>
          <w:color w:val="000000"/>
          <w:lang w:val="es-CR" w:eastAsia="es-CR"/>
        </w:rPr>
        <w:t>verificó</w:t>
      </w:r>
      <w:r w:rsidR="00281048" w:rsidRPr="004E08DE">
        <w:rPr>
          <w:rFonts w:ascii="Arial Narrow" w:hAnsi="Arial Narrow" w:cs="Calibri"/>
          <w:color w:val="000000"/>
          <w:lang w:val="es-CR" w:eastAsia="es-CR"/>
        </w:rPr>
        <w:t xml:space="preserve"> por</w:t>
      </w:r>
      <w:r w:rsidR="00281048">
        <w:rPr>
          <w:rFonts w:ascii="Arial Narrow" w:hAnsi="Arial Narrow" w:cs="Calibri"/>
          <w:color w:val="000000"/>
          <w:lang w:val="es-CR" w:eastAsia="es-CR"/>
        </w:rPr>
        <w:t xml:space="preserve"> medio del sistema PAO los avances</w:t>
      </w:r>
      <w:r w:rsidR="00C5044E">
        <w:rPr>
          <w:rFonts w:ascii="Arial Narrow" w:hAnsi="Arial Narrow" w:cs="Calibri"/>
          <w:color w:val="000000"/>
          <w:lang w:val="es-CR" w:eastAsia="es-CR"/>
        </w:rPr>
        <w:t xml:space="preserve"> </w:t>
      </w:r>
      <w:r>
        <w:rPr>
          <w:rFonts w:ascii="Arial Narrow" w:hAnsi="Arial Narrow" w:cs="Calibri"/>
          <w:color w:val="000000"/>
          <w:lang w:val="es-CR" w:eastAsia="es-CR"/>
        </w:rPr>
        <w:t>reportados</w:t>
      </w:r>
      <w:r w:rsidR="00C5044E">
        <w:rPr>
          <w:rFonts w:ascii="Arial Narrow" w:hAnsi="Arial Narrow" w:cs="Calibri"/>
          <w:color w:val="000000"/>
          <w:lang w:val="es-CR" w:eastAsia="es-CR"/>
        </w:rPr>
        <w:t xml:space="preserve"> </w:t>
      </w:r>
      <w:r>
        <w:rPr>
          <w:rFonts w:ascii="Arial Narrow" w:hAnsi="Arial Narrow" w:cs="Calibri"/>
          <w:color w:val="000000"/>
          <w:lang w:val="es-CR" w:eastAsia="es-CR"/>
        </w:rPr>
        <w:t xml:space="preserve">en el 2019 y 2020 </w:t>
      </w:r>
      <w:r w:rsidR="00C5044E">
        <w:rPr>
          <w:rFonts w:ascii="Arial Narrow" w:hAnsi="Arial Narrow" w:cs="Calibri"/>
          <w:color w:val="000000"/>
          <w:lang w:val="es-CR" w:eastAsia="es-CR"/>
        </w:rPr>
        <w:t>y</w:t>
      </w:r>
      <w:r w:rsidR="00281048">
        <w:rPr>
          <w:rFonts w:ascii="Arial Narrow" w:hAnsi="Arial Narrow" w:cs="Calibri"/>
          <w:color w:val="000000"/>
          <w:lang w:val="es-CR" w:eastAsia="es-CR"/>
        </w:rPr>
        <w:t xml:space="preserve"> se ob</w:t>
      </w:r>
      <w:r w:rsidR="00281048" w:rsidRPr="00281048">
        <w:rPr>
          <w:rFonts w:ascii="Arial Narrow" w:hAnsi="Arial Narrow" w:cs="Calibri"/>
          <w:color w:val="000000"/>
          <w:lang w:val="es-CR" w:eastAsia="es-CR"/>
        </w:rPr>
        <w:t xml:space="preserve">serva que el </w:t>
      </w:r>
      <w:r w:rsidR="00281048" w:rsidRPr="00704B08">
        <w:rPr>
          <w:rFonts w:ascii="Arial Narrow" w:eastAsia="Calibri" w:hAnsi="Arial Narrow"/>
        </w:rPr>
        <w:t xml:space="preserve">Organismo de Investigación Judicial </w:t>
      </w:r>
      <w:r w:rsidR="00433E4D" w:rsidRPr="00704B08">
        <w:rPr>
          <w:rFonts w:ascii="Arial Narrow" w:hAnsi="Arial Narrow" w:cs="Calibri"/>
          <w:color w:val="000000"/>
          <w:lang w:val="es-CR" w:eastAsia="es-CR"/>
        </w:rPr>
        <w:t>realiz</w:t>
      </w:r>
      <w:r w:rsidR="00281048" w:rsidRPr="00281048">
        <w:rPr>
          <w:rFonts w:ascii="Arial Narrow" w:hAnsi="Arial Narrow" w:cs="Calibri"/>
          <w:color w:val="000000"/>
          <w:lang w:val="es-CR" w:eastAsia="es-CR"/>
        </w:rPr>
        <w:t>ó</w:t>
      </w:r>
      <w:r w:rsidR="00433E4D" w:rsidRPr="00704B08">
        <w:rPr>
          <w:rFonts w:ascii="Arial Narrow" w:hAnsi="Arial Narrow" w:cs="Calibri"/>
          <w:color w:val="000000"/>
          <w:lang w:val="es-CR" w:eastAsia="es-CR"/>
        </w:rPr>
        <w:t xml:space="preserve"> talleres con cada departamento y ámbito del OIJ, así como con personal de cada región del país para visualizar las carencias y oportunidades de mejora relacionadas con la comunicación institucional y proyección de imagen del Organismo. </w:t>
      </w:r>
    </w:p>
    <w:p w14:paraId="15D13128" w14:textId="77777777" w:rsidR="00DE1881" w:rsidRPr="00704B08" w:rsidRDefault="00DE1881" w:rsidP="00704B08">
      <w:pPr>
        <w:spacing w:line="360" w:lineRule="auto"/>
        <w:jc w:val="both"/>
        <w:rPr>
          <w:rFonts w:ascii="Arial Narrow" w:eastAsia="Calibri" w:hAnsi="Arial Narrow"/>
        </w:rPr>
      </w:pPr>
    </w:p>
    <w:p w14:paraId="2745A31B" w14:textId="7B19F010" w:rsidR="007510A5" w:rsidRPr="00704B08" w:rsidRDefault="000717FB" w:rsidP="001A0969">
      <w:pPr>
        <w:spacing w:line="360" w:lineRule="auto"/>
        <w:jc w:val="both"/>
        <w:rPr>
          <w:rFonts w:ascii="Arial Narrow" w:eastAsia="Calibri" w:hAnsi="Arial Narrow"/>
          <w:b/>
          <w:bCs/>
        </w:rPr>
      </w:pPr>
      <w:r>
        <w:rPr>
          <w:rFonts w:ascii="Arial Narrow" w:eastAsia="Calibri" w:hAnsi="Arial Narrow"/>
        </w:rPr>
        <w:t xml:space="preserve">Para la meta estratégica </w:t>
      </w:r>
      <w:r>
        <w:rPr>
          <w:rFonts w:ascii="Arial Narrow" w:eastAsia="Calibri" w:hAnsi="Arial Narrow"/>
          <w:b/>
          <w:bCs/>
        </w:rPr>
        <w:t>“</w:t>
      </w:r>
      <w:r w:rsidR="005220CE" w:rsidRPr="00704B08">
        <w:rPr>
          <w:rFonts w:ascii="Arial Narrow" w:eastAsia="Calibri" w:hAnsi="Arial Narrow"/>
          <w:b/>
          <w:bCs/>
          <w:i/>
          <w:iCs/>
        </w:rPr>
        <w:t>Que al finalizar el 2024, se haya aprobado la Política de Comunicación Organizacional</w:t>
      </w:r>
      <w:r>
        <w:rPr>
          <w:rFonts w:ascii="Arial Narrow" w:eastAsia="Calibri" w:hAnsi="Arial Narrow"/>
          <w:b/>
          <w:bCs/>
        </w:rPr>
        <w:t>”</w:t>
      </w:r>
      <w:r w:rsidR="00DB7B3B">
        <w:rPr>
          <w:rFonts w:ascii="Arial Narrow" w:eastAsia="Calibri" w:hAnsi="Arial Narrow"/>
          <w:b/>
          <w:bCs/>
        </w:rPr>
        <w:t>,</w:t>
      </w:r>
      <w:r w:rsidR="00B13362">
        <w:rPr>
          <w:rFonts w:ascii="Arial Narrow" w:eastAsia="Calibri" w:hAnsi="Arial Narrow"/>
          <w:b/>
          <w:bCs/>
        </w:rPr>
        <w:t xml:space="preserve"> </w:t>
      </w:r>
      <w:r w:rsidRPr="00704B08">
        <w:rPr>
          <w:rFonts w:ascii="Arial Narrow" w:eastAsia="Calibri" w:hAnsi="Arial Narrow"/>
        </w:rPr>
        <w:t>se informa por parte d</w:t>
      </w:r>
      <w:r w:rsidRPr="009D5823">
        <w:rPr>
          <w:rFonts w:ascii="Arial Narrow" w:hAnsi="Arial Narrow" w:cs="Arial"/>
          <w:color w:val="000000"/>
          <w:lang w:val="es-CR" w:eastAsia="es-CR"/>
        </w:rPr>
        <w:t>e</w:t>
      </w:r>
      <w:r w:rsidR="001A0969" w:rsidRPr="009D5823">
        <w:rPr>
          <w:rFonts w:ascii="Arial Narrow" w:hAnsi="Arial Narrow" w:cs="Arial"/>
          <w:color w:val="000000"/>
          <w:lang w:val="es-CR" w:eastAsia="es-CR"/>
        </w:rPr>
        <w:t xml:space="preserve">l </w:t>
      </w:r>
      <w:r w:rsidR="001A0969" w:rsidRPr="007510A5">
        <w:rPr>
          <w:rFonts w:ascii="Arial Narrow" w:hAnsi="Arial Narrow" w:cs="Arial"/>
          <w:color w:val="000000"/>
          <w:lang w:val="es-CR" w:eastAsia="es-CR"/>
        </w:rPr>
        <w:t xml:space="preserve">Departamento de Prensa Comunicación Institucional </w:t>
      </w:r>
      <w:r w:rsidR="007510A5" w:rsidRPr="00704B08">
        <w:rPr>
          <w:rFonts w:ascii="Arial Narrow" w:hAnsi="Arial Narrow"/>
          <w:bCs/>
          <w:lang w:val="es-ES"/>
        </w:rPr>
        <w:t xml:space="preserve">con el objetivo de facilitar a las personas un acceso a la información de forma eficaz y eficiente que permita garantizar la tutela de sus derechos y promover un valor público de la administración de justicia y fortalecer el Estado Democrático y Social de Derecho mediante el posicionamiento positivo del Poder Judicial ante la opinión pública que potencie la legitimidad y confianza de la administración de justicia </w:t>
      </w:r>
      <w:r w:rsidR="00574DDE">
        <w:rPr>
          <w:rFonts w:ascii="Arial Narrow" w:hAnsi="Arial Narrow"/>
          <w:bCs/>
          <w:lang w:val="es-ES"/>
        </w:rPr>
        <w:t xml:space="preserve">, </w:t>
      </w:r>
      <w:r w:rsidR="007510A5" w:rsidRPr="00704B08">
        <w:rPr>
          <w:rFonts w:ascii="Arial Narrow" w:hAnsi="Arial Narrow"/>
          <w:bCs/>
          <w:lang w:val="es-ES"/>
        </w:rPr>
        <w:t>realizó la Propuesta de Proyecto</w:t>
      </w:r>
      <w:r w:rsidR="00574DDE">
        <w:rPr>
          <w:rFonts w:ascii="Arial Narrow" w:hAnsi="Arial Narrow"/>
          <w:bCs/>
          <w:lang w:val="es-ES"/>
        </w:rPr>
        <w:t xml:space="preserve"> llamada </w:t>
      </w:r>
      <w:r w:rsidR="007510A5" w:rsidRPr="00704B08">
        <w:rPr>
          <w:rFonts w:ascii="Arial Narrow" w:hAnsi="Arial Narrow"/>
          <w:bCs/>
          <w:lang w:val="es-ES"/>
        </w:rPr>
        <w:t xml:space="preserve"> “Acceso a la información:  un derecho ciudadano que debe garantizar la Administración de Justicia”</w:t>
      </w:r>
      <w:r w:rsidR="00574DDE">
        <w:rPr>
          <w:rFonts w:ascii="Arial Narrow" w:hAnsi="Arial Narrow"/>
          <w:bCs/>
          <w:lang w:val="es-ES"/>
        </w:rPr>
        <w:t xml:space="preserve"> y para dicho proyecto se </w:t>
      </w:r>
      <w:r w:rsidR="007510A5">
        <w:rPr>
          <w:rFonts w:ascii="Arial Narrow" w:hAnsi="Arial Narrow"/>
        </w:rPr>
        <w:t>realizaron las siguientes gestiones</w:t>
      </w:r>
      <w:r w:rsidR="00B87C2F">
        <w:rPr>
          <w:rFonts w:ascii="Arial Narrow" w:hAnsi="Arial Narrow"/>
        </w:rPr>
        <w:t xml:space="preserve"> en el 2019 y 2020</w:t>
      </w:r>
      <w:r w:rsidR="007510A5">
        <w:rPr>
          <w:rFonts w:ascii="Arial Narrow" w:hAnsi="Arial Narrow"/>
        </w:rPr>
        <w:t>:</w:t>
      </w:r>
    </w:p>
    <w:p w14:paraId="4AA787E1" w14:textId="6A4E8ACA" w:rsidR="007510A5" w:rsidRDefault="007510A5" w:rsidP="001A0969">
      <w:pPr>
        <w:spacing w:line="360" w:lineRule="auto"/>
        <w:jc w:val="both"/>
        <w:rPr>
          <w:rFonts w:ascii="Arial Narrow" w:hAnsi="Arial Narrow"/>
        </w:rPr>
      </w:pPr>
    </w:p>
    <w:p w14:paraId="622F5DFE" w14:textId="4E35C7B8" w:rsidR="00DB7B3B" w:rsidRDefault="00DB7B3B" w:rsidP="001A0969">
      <w:pPr>
        <w:spacing w:line="360" w:lineRule="auto"/>
        <w:jc w:val="both"/>
        <w:rPr>
          <w:rFonts w:ascii="Arial Narrow" w:hAnsi="Arial Narrow"/>
        </w:rPr>
      </w:pPr>
    </w:p>
    <w:p w14:paraId="003BADA6" w14:textId="0C815794" w:rsidR="00DB7B3B" w:rsidRDefault="00DB7B3B" w:rsidP="001A0969">
      <w:pPr>
        <w:spacing w:line="360" w:lineRule="auto"/>
        <w:jc w:val="both"/>
        <w:rPr>
          <w:rFonts w:ascii="Arial Narrow" w:hAnsi="Arial Narrow"/>
        </w:rPr>
      </w:pPr>
    </w:p>
    <w:p w14:paraId="59098AED" w14:textId="5E239D39" w:rsidR="00DB7B3B" w:rsidRDefault="00DB7B3B" w:rsidP="001A0969">
      <w:pPr>
        <w:spacing w:line="360" w:lineRule="auto"/>
        <w:jc w:val="both"/>
        <w:rPr>
          <w:rFonts w:ascii="Arial Narrow" w:hAnsi="Arial Narrow"/>
        </w:rPr>
      </w:pPr>
    </w:p>
    <w:p w14:paraId="17537D49" w14:textId="78FA0A5F" w:rsidR="00DB7B3B" w:rsidRDefault="00DB7B3B" w:rsidP="001A0969">
      <w:pPr>
        <w:spacing w:line="360" w:lineRule="auto"/>
        <w:jc w:val="both"/>
        <w:rPr>
          <w:rFonts w:ascii="Arial Narrow" w:hAnsi="Arial Narrow"/>
        </w:rPr>
      </w:pPr>
    </w:p>
    <w:p w14:paraId="2B6CC8D6" w14:textId="076189FF" w:rsidR="00DB7B3B" w:rsidRDefault="00DB7B3B" w:rsidP="001A0969">
      <w:pPr>
        <w:spacing w:line="360" w:lineRule="auto"/>
        <w:jc w:val="both"/>
        <w:rPr>
          <w:rFonts w:ascii="Arial Narrow" w:hAnsi="Arial Narrow"/>
        </w:rPr>
      </w:pPr>
    </w:p>
    <w:p w14:paraId="43F79D5B" w14:textId="77777777" w:rsidR="00DB7B3B" w:rsidRDefault="00DB7B3B" w:rsidP="001A0969">
      <w:pPr>
        <w:spacing w:line="360" w:lineRule="auto"/>
        <w:jc w:val="both"/>
        <w:rPr>
          <w:rFonts w:ascii="Arial Narrow" w:hAnsi="Arial Narrow"/>
        </w:rPr>
      </w:pPr>
    </w:p>
    <w:p w14:paraId="77B0E324" w14:textId="0D5C7BDC" w:rsidR="00574DDE" w:rsidRPr="00DB7B3B" w:rsidRDefault="009F066E" w:rsidP="00574DDE">
      <w:pPr>
        <w:pStyle w:val="Prrafodelista"/>
        <w:numPr>
          <w:ilvl w:val="0"/>
          <w:numId w:val="90"/>
        </w:numPr>
        <w:spacing w:line="360" w:lineRule="auto"/>
        <w:jc w:val="both"/>
        <w:rPr>
          <w:rFonts w:ascii="Arial Narrow" w:hAnsi="Arial Narrow"/>
          <w:lang w:val="es-CR" w:eastAsia="en-US"/>
        </w:rPr>
      </w:pPr>
      <w:r>
        <w:rPr>
          <w:rFonts w:ascii="Arial Narrow" w:hAnsi="Arial Narrow"/>
        </w:rPr>
        <w:t>Se e</w:t>
      </w:r>
      <w:r w:rsidRPr="00574DDE">
        <w:rPr>
          <w:rFonts w:ascii="Arial Narrow" w:hAnsi="Arial Narrow"/>
        </w:rPr>
        <w:t>nv</w:t>
      </w:r>
      <w:r>
        <w:rPr>
          <w:rFonts w:ascii="Arial Narrow" w:hAnsi="Arial Narrow"/>
        </w:rPr>
        <w:t xml:space="preserve">ió </w:t>
      </w:r>
      <w:r w:rsidR="00574DDE" w:rsidRPr="00704B08">
        <w:rPr>
          <w:rFonts w:ascii="Arial Narrow" w:hAnsi="Arial Narrow"/>
        </w:rPr>
        <w:t>el proyecto a la Embajada</w:t>
      </w:r>
      <w:r w:rsidR="000F13EF" w:rsidRPr="00704B08">
        <w:rPr>
          <w:rFonts w:ascii="Arial Narrow" w:hAnsi="Arial Narrow"/>
        </w:rPr>
        <w:t xml:space="preserve"> de Estados Unidos de América, el </w:t>
      </w:r>
      <w:r w:rsidR="00574DDE" w:rsidRPr="00704B08">
        <w:rPr>
          <w:rFonts w:ascii="Arial Narrow" w:hAnsi="Arial Narrow"/>
        </w:rPr>
        <w:t xml:space="preserve">cual </w:t>
      </w:r>
      <w:r w:rsidR="000F13EF" w:rsidRPr="00704B08">
        <w:rPr>
          <w:rFonts w:ascii="Arial Narrow" w:hAnsi="Arial Narrow"/>
        </w:rPr>
        <w:t>no fue aprobado</w:t>
      </w:r>
      <w:r w:rsidR="00574DDE">
        <w:rPr>
          <w:rFonts w:ascii="Arial Narrow" w:hAnsi="Arial Narrow"/>
        </w:rPr>
        <w:t>.</w:t>
      </w:r>
      <w:r w:rsidR="00574DDE" w:rsidRPr="00704B08">
        <w:rPr>
          <w:rFonts w:ascii="Arial Narrow" w:hAnsi="Arial Narrow"/>
        </w:rPr>
        <w:t xml:space="preserve"> </w:t>
      </w:r>
    </w:p>
    <w:p w14:paraId="30086B8F" w14:textId="77777777" w:rsidR="00DB7B3B" w:rsidRPr="00704B08" w:rsidRDefault="00DB7B3B" w:rsidP="00DB7B3B">
      <w:pPr>
        <w:pStyle w:val="Prrafodelista"/>
        <w:spacing w:line="360" w:lineRule="auto"/>
        <w:ind w:left="720"/>
        <w:jc w:val="both"/>
        <w:rPr>
          <w:rFonts w:ascii="Arial Narrow" w:hAnsi="Arial Narrow"/>
          <w:lang w:val="es-CR" w:eastAsia="en-US"/>
        </w:rPr>
      </w:pPr>
    </w:p>
    <w:p w14:paraId="1B939897" w14:textId="4E130F1C" w:rsidR="00574DDE" w:rsidRPr="00DB7B3B" w:rsidRDefault="009F066E" w:rsidP="00574DDE">
      <w:pPr>
        <w:pStyle w:val="Prrafodelista"/>
        <w:numPr>
          <w:ilvl w:val="0"/>
          <w:numId w:val="90"/>
        </w:numPr>
        <w:spacing w:line="360" w:lineRule="auto"/>
        <w:jc w:val="both"/>
        <w:rPr>
          <w:rFonts w:ascii="Arial Narrow" w:hAnsi="Arial Narrow"/>
          <w:lang w:val="es-CR" w:eastAsia="en-US"/>
        </w:rPr>
      </w:pPr>
      <w:r>
        <w:rPr>
          <w:rFonts w:ascii="Arial Narrow" w:hAnsi="Arial Narrow"/>
        </w:rPr>
        <w:t>Se remitió a el Colegio</w:t>
      </w:r>
      <w:r w:rsidR="000F13EF" w:rsidRPr="00704B08">
        <w:rPr>
          <w:rFonts w:ascii="Arial Narrow" w:hAnsi="Arial Narrow"/>
        </w:rPr>
        <w:t xml:space="preserve"> de Abogados y Abogadas de Costa Rica, </w:t>
      </w:r>
      <w:r w:rsidR="00574DDE" w:rsidRPr="00704B08">
        <w:rPr>
          <w:rFonts w:ascii="Arial Narrow" w:hAnsi="Arial Narrow"/>
        </w:rPr>
        <w:t>donde</w:t>
      </w:r>
      <w:r w:rsidR="001A0969" w:rsidRPr="00704B08">
        <w:rPr>
          <w:rFonts w:ascii="Arial Narrow" w:hAnsi="Arial Narrow"/>
        </w:rPr>
        <w:t xml:space="preserve"> se aprobó</w:t>
      </w:r>
      <w:r w:rsidR="000F13EF" w:rsidRPr="00704B08">
        <w:rPr>
          <w:rFonts w:ascii="Arial Narrow" w:hAnsi="Arial Narrow"/>
        </w:rPr>
        <w:t xml:space="preserve"> parcialmente </w:t>
      </w:r>
      <w:r w:rsidR="001A0969" w:rsidRPr="00704B08">
        <w:rPr>
          <w:rFonts w:ascii="Arial Narrow" w:hAnsi="Arial Narrow"/>
        </w:rPr>
        <w:t>dicha solicitud</w:t>
      </w:r>
      <w:r>
        <w:rPr>
          <w:rFonts w:ascii="Arial Narrow" w:hAnsi="Arial Narrow"/>
        </w:rPr>
        <w:t>.</w:t>
      </w:r>
      <w:r w:rsidR="00574DDE" w:rsidRPr="00704B08">
        <w:rPr>
          <w:rFonts w:ascii="Arial Narrow" w:hAnsi="Arial Narrow"/>
        </w:rPr>
        <w:t xml:space="preserve"> </w:t>
      </w:r>
    </w:p>
    <w:p w14:paraId="4C378DEC" w14:textId="77777777" w:rsidR="00DB7B3B" w:rsidRPr="00DB7B3B" w:rsidRDefault="00DB7B3B" w:rsidP="00DB7B3B">
      <w:pPr>
        <w:spacing w:line="360" w:lineRule="auto"/>
        <w:jc w:val="both"/>
        <w:rPr>
          <w:rFonts w:ascii="Arial Narrow" w:hAnsi="Arial Narrow"/>
          <w:lang w:val="es-CR" w:eastAsia="en-US"/>
        </w:rPr>
      </w:pPr>
    </w:p>
    <w:p w14:paraId="3EC5E4EB" w14:textId="5FB644F6" w:rsidR="00574DDE" w:rsidRPr="00DB7B3B" w:rsidRDefault="009F066E" w:rsidP="00574DDE">
      <w:pPr>
        <w:pStyle w:val="Prrafodelista"/>
        <w:numPr>
          <w:ilvl w:val="0"/>
          <w:numId w:val="90"/>
        </w:numPr>
        <w:spacing w:line="360" w:lineRule="auto"/>
        <w:jc w:val="both"/>
        <w:rPr>
          <w:rFonts w:ascii="Arial Narrow" w:hAnsi="Arial Narrow"/>
          <w:lang w:val="es-CR" w:eastAsia="en-US"/>
        </w:rPr>
      </w:pPr>
      <w:r>
        <w:rPr>
          <w:rFonts w:ascii="Arial Narrow" w:hAnsi="Arial Narrow"/>
        </w:rPr>
        <w:t xml:space="preserve">Se envió </w:t>
      </w:r>
      <w:r w:rsidR="00574DDE" w:rsidRPr="00704B08">
        <w:rPr>
          <w:rFonts w:ascii="Arial Narrow" w:hAnsi="Arial Narrow"/>
        </w:rPr>
        <w:t>a</w:t>
      </w:r>
      <w:r w:rsidR="000F13EF" w:rsidRPr="00704B08">
        <w:rPr>
          <w:rFonts w:ascii="Arial Narrow" w:hAnsi="Arial Narrow"/>
        </w:rPr>
        <w:t xml:space="preserve"> la Fundación Konrad Adenauer </w:t>
      </w:r>
      <w:r w:rsidR="00001756" w:rsidRPr="00704B08">
        <w:rPr>
          <w:rFonts w:ascii="Arial Narrow" w:hAnsi="Arial Narrow"/>
        </w:rPr>
        <w:t>en el año 2019</w:t>
      </w:r>
      <w:r w:rsidR="00BD4DAC" w:rsidRPr="00704B08">
        <w:rPr>
          <w:rFonts w:ascii="Arial Narrow" w:hAnsi="Arial Narrow"/>
        </w:rPr>
        <w:t>,</w:t>
      </w:r>
      <w:r w:rsidR="000F13EF" w:rsidRPr="00704B08">
        <w:rPr>
          <w:rFonts w:ascii="Arial Narrow" w:hAnsi="Arial Narrow"/>
        </w:rPr>
        <w:t xml:space="preserve"> sin embargo, no se aprobó en ese momento, por </w:t>
      </w:r>
      <w:r w:rsidR="001A0969" w:rsidRPr="00704B08">
        <w:rPr>
          <w:rFonts w:ascii="Arial Narrow" w:hAnsi="Arial Narrow"/>
        </w:rPr>
        <w:t xml:space="preserve">lo que </w:t>
      </w:r>
      <w:r w:rsidR="00001756" w:rsidRPr="00704B08">
        <w:rPr>
          <w:rFonts w:ascii="Arial Narrow" w:hAnsi="Arial Narrow"/>
        </w:rPr>
        <w:t>se volvió</w:t>
      </w:r>
      <w:r w:rsidR="000F13EF" w:rsidRPr="00704B08">
        <w:rPr>
          <w:rFonts w:ascii="Arial Narrow" w:hAnsi="Arial Narrow"/>
        </w:rPr>
        <w:t xml:space="preserve"> a </w:t>
      </w:r>
      <w:r>
        <w:rPr>
          <w:rFonts w:ascii="Arial Narrow" w:hAnsi="Arial Narrow"/>
        </w:rPr>
        <w:t>remitir</w:t>
      </w:r>
      <w:r w:rsidR="000F13EF" w:rsidRPr="00704B08">
        <w:rPr>
          <w:rFonts w:ascii="Arial Narrow" w:hAnsi="Arial Narrow"/>
        </w:rPr>
        <w:t xml:space="preserve"> para valoración</w:t>
      </w:r>
      <w:r w:rsidR="00574DDE" w:rsidRPr="00704B08">
        <w:rPr>
          <w:rFonts w:ascii="Arial Narrow" w:hAnsi="Arial Narrow"/>
        </w:rPr>
        <w:t xml:space="preserve"> </w:t>
      </w:r>
      <w:r w:rsidR="00B87C2F">
        <w:rPr>
          <w:rFonts w:ascii="Arial Narrow" w:hAnsi="Arial Narrow"/>
        </w:rPr>
        <w:t xml:space="preserve">en el 2020 </w:t>
      </w:r>
      <w:r w:rsidR="00574DDE" w:rsidRPr="00704B08">
        <w:rPr>
          <w:rFonts w:ascii="Arial Narrow" w:hAnsi="Arial Narrow"/>
        </w:rPr>
        <w:t>y se encuentra</w:t>
      </w:r>
      <w:r w:rsidR="00001756" w:rsidRPr="00704B08">
        <w:rPr>
          <w:rFonts w:ascii="Arial Narrow" w:hAnsi="Arial Narrow"/>
        </w:rPr>
        <w:t xml:space="preserve"> pendiente</w:t>
      </w:r>
      <w:r w:rsidR="000F13EF" w:rsidRPr="00704B08">
        <w:rPr>
          <w:rFonts w:ascii="Arial Narrow" w:hAnsi="Arial Narrow"/>
        </w:rPr>
        <w:t xml:space="preserve"> de </w:t>
      </w:r>
      <w:r w:rsidR="001A0969" w:rsidRPr="00704B08">
        <w:rPr>
          <w:rFonts w:ascii="Arial Narrow" w:hAnsi="Arial Narrow"/>
        </w:rPr>
        <w:t>respuesta</w:t>
      </w:r>
      <w:r>
        <w:rPr>
          <w:rFonts w:ascii="Arial Narrow" w:hAnsi="Arial Narrow"/>
        </w:rPr>
        <w:t>.</w:t>
      </w:r>
    </w:p>
    <w:p w14:paraId="6E808A4D" w14:textId="77777777" w:rsidR="00DB7B3B" w:rsidRPr="00DB7B3B" w:rsidRDefault="00DB7B3B" w:rsidP="00DB7B3B">
      <w:pPr>
        <w:spacing w:line="360" w:lineRule="auto"/>
        <w:jc w:val="both"/>
        <w:rPr>
          <w:rFonts w:ascii="Arial Narrow" w:hAnsi="Arial Narrow"/>
          <w:lang w:val="es-CR" w:eastAsia="en-US"/>
        </w:rPr>
      </w:pPr>
    </w:p>
    <w:p w14:paraId="28A09F47" w14:textId="01F56CF0" w:rsidR="000F13EF" w:rsidRPr="00704B08" w:rsidRDefault="00574DDE" w:rsidP="00704B08">
      <w:pPr>
        <w:pStyle w:val="Prrafodelista"/>
        <w:numPr>
          <w:ilvl w:val="0"/>
          <w:numId w:val="90"/>
        </w:numPr>
        <w:spacing w:line="360" w:lineRule="auto"/>
        <w:jc w:val="both"/>
        <w:rPr>
          <w:rFonts w:ascii="Arial Narrow" w:hAnsi="Arial Narrow"/>
          <w:lang w:val="es-CR" w:eastAsia="en-US"/>
        </w:rPr>
      </w:pPr>
      <w:r>
        <w:rPr>
          <w:rFonts w:ascii="Arial Narrow" w:hAnsi="Arial Narrow"/>
        </w:rPr>
        <w:t>Se presentó ante las</w:t>
      </w:r>
      <w:r w:rsidRPr="00704B08">
        <w:rPr>
          <w:rFonts w:ascii="Arial Narrow" w:hAnsi="Arial Narrow"/>
        </w:rPr>
        <w:t xml:space="preserve"> Naciones</w:t>
      </w:r>
      <w:r w:rsidR="000F13EF" w:rsidRPr="00704B08">
        <w:rPr>
          <w:rFonts w:ascii="Arial Narrow" w:hAnsi="Arial Narrow"/>
        </w:rPr>
        <w:t xml:space="preserve"> Unidas en Costa Rica</w:t>
      </w:r>
      <w:r w:rsidRPr="00704B08">
        <w:rPr>
          <w:rFonts w:ascii="Arial Narrow" w:hAnsi="Arial Narrow"/>
        </w:rPr>
        <w:t xml:space="preserve"> </w:t>
      </w:r>
      <w:r w:rsidR="000F13EF" w:rsidRPr="00704B08">
        <w:rPr>
          <w:rFonts w:ascii="Arial Narrow" w:hAnsi="Arial Narrow"/>
        </w:rPr>
        <w:t xml:space="preserve">por </w:t>
      </w:r>
      <w:r w:rsidRPr="00704B08">
        <w:rPr>
          <w:rFonts w:ascii="Arial Narrow" w:hAnsi="Arial Narrow"/>
        </w:rPr>
        <w:t xml:space="preserve">lo que por </w:t>
      </w:r>
      <w:r w:rsidR="000F13EF" w:rsidRPr="00704B08">
        <w:rPr>
          <w:rFonts w:ascii="Arial Narrow" w:hAnsi="Arial Narrow"/>
        </w:rPr>
        <w:t xml:space="preserve">razones de la pandemia quedó pendiente. Sin embargo, se retomó el tema </w:t>
      </w:r>
      <w:r w:rsidR="00001756" w:rsidRPr="00704B08">
        <w:rPr>
          <w:rFonts w:ascii="Arial Narrow" w:hAnsi="Arial Narrow"/>
        </w:rPr>
        <w:t xml:space="preserve">y se indica que </w:t>
      </w:r>
      <w:r w:rsidR="000F13EF" w:rsidRPr="00704B08">
        <w:rPr>
          <w:rFonts w:ascii="Arial Narrow" w:hAnsi="Arial Narrow"/>
        </w:rPr>
        <w:t>est</w:t>
      </w:r>
      <w:r w:rsidR="009F066E">
        <w:rPr>
          <w:rFonts w:ascii="Arial Narrow" w:hAnsi="Arial Narrow"/>
        </w:rPr>
        <w:t>á</w:t>
      </w:r>
      <w:r w:rsidR="000F13EF" w:rsidRPr="00704B08">
        <w:rPr>
          <w:rFonts w:ascii="Arial Narrow" w:hAnsi="Arial Narrow"/>
        </w:rPr>
        <w:t xml:space="preserve"> para valoración en el </w:t>
      </w:r>
      <w:r w:rsidR="00001756" w:rsidRPr="00704B08">
        <w:rPr>
          <w:rFonts w:ascii="Arial Narrow" w:hAnsi="Arial Narrow"/>
        </w:rPr>
        <w:t xml:space="preserve">año </w:t>
      </w:r>
      <w:r w:rsidR="000F13EF" w:rsidRPr="00704B08">
        <w:rPr>
          <w:rFonts w:ascii="Arial Narrow" w:hAnsi="Arial Narrow"/>
        </w:rPr>
        <w:t>2021.</w:t>
      </w:r>
    </w:p>
    <w:p w14:paraId="350B30C0" w14:textId="77777777" w:rsidR="000F13EF" w:rsidRPr="00704B08" w:rsidRDefault="000F13EF" w:rsidP="00704B08">
      <w:pPr>
        <w:spacing w:line="360" w:lineRule="auto"/>
        <w:jc w:val="both"/>
        <w:rPr>
          <w:rFonts w:ascii="Arial Narrow" w:eastAsiaTheme="minorHAnsi" w:hAnsi="Arial Narrow"/>
        </w:rPr>
      </w:pPr>
    </w:p>
    <w:p w14:paraId="5842B426" w14:textId="77777777" w:rsidR="00DB7B3B" w:rsidRDefault="00DB7B3B" w:rsidP="001A0969">
      <w:pPr>
        <w:spacing w:line="360" w:lineRule="auto"/>
        <w:jc w:val="both"/>
        <w:rPr>
          <w:rFonts w:ascii="Arial Narrow" w:hAnsi="Arial Narrow"/>
        </w:rPr>
      </w:pPr>
    </w:p>
    <w:p w14:paraId="27BCC587" w14:textId="220C987D" w:rsidR="001A0969" w:rsidRPr="006B60C8" w:rsidRDefault="000F13EF" w:rsidP="001A0969">
      <w:pPr>
        <w:spacing w:line="360" w:lineRule="auto"/>
        <w:jc w:val="both"/>
        <w:rPr>
          <w:rFonts w:ascii="Arial Narrow" w:hAnsi="Arial Narrow" w:cs="Arial"/>
          <w:color w:val="000000"/>
          <w:lang w:val="es-CR" w:eastAsia="es-CR"/>
        </w:rPr>
      </w:pPr>
      <w:r w:rsidRPr="00704B08">
        <w:rPr>
          <w:rFonts w:ascii="Arial Narrow" w:hAnsi="Arial Narrow"/>
        </w:rPr>
        <w:t xml:space="preserve">Finalmente, </w:t>
      </w:r>
      <w:r w:rsidR="001A0969">
        <w:rPr>
          <w:rFonts w:ascii="Arial Narrow" w:hAnsi="Arial Narrow"/>
        </w:rPr>
        <w:t>se tiene</w:t>
      </w:r>
      <w:r w:rsidRPr="00704B08">
        <w:rPr>
          <w:rFonts w:ascii="Arial Narrow" w:hAnsi="Arial Narrow"/>
        </w:rPr>
        <w:t xml:space="preserve"> que pese a todas las gestiones que </w:t>
      </w:r>
      <w:r w:rsidR="001A0969">
        <w:rPr>
          <w:rFonts w:ascii="Arial Narrow" w:hAnsi="Arial Narrow"/>
        </w:rPr>
        <w:t>se han</w:t>
      </w:r>
      <w:r w:rsidRPr="00704B08">
        <w:rPr>
          <w:rFonts w:ascii="Arial Narrow" w:hAnsi="Arial Narrow"/>
        </w:rPr>
        <w:t xml:space="preserve"> realizado, no ha sido posible concretar la colaboración que permita el diseño de la política institucional de comunicación</w:t>
      </w:r>
      <w:r w:rsidR="001A0969">
        <w:rPr>
          <w:rFonts w:ascii="Arial Narrow" w:hAnsi="Arial Narrow"/>
        </w:rPr>
        <w:t xml:space="preserve"> </w:t>
      </w:r>
      <w:r w:rsidR="001A0969">
        <w:rPr>
          <w:rFonts w:ascii="Arial Narrow" w:hAnsi="Arial Narrow" w:cs="Arial"/>
          <w:color w:val="000000"/>
          <w:lang w:val="es-CR" w:eastAsia="es-CR"/>
        </w:rPr>
        <w:t xml:space="preserve">debido </w:t>
      </w:r>
      <w:r w:rsidR="00574DDE">
        <w:rPr>
          <w:rFonts w:ascii="Arial Narrow" w:hAnsi="Arial Narrow" w:cs="Arial"/>
          <w:color w:val="000000"/>
          <w:lang w:val="es-CR" w:eastAsia="es-CR"/>
        </w:rPr>
        <w:t>a la</w:t>
      </w:r>
      <w:r w:rsidR="001A0969">
        <w:rPr>
          <w:rFonts w:ascii="Arial Narrow" w:hAnsi="Arial Narrow" w:cs="Arial"/>
          <w:color w:val="000000"/>
          <w:lang w:val="es-CR" w:eastAsia="es-CR"/>
        </w:rPr>
        <w:t xml:space="preserve"> situación de la pandemia por Covid</w:t>
      </w:r>
      <w:r w:rsidR="00F54A90">
        <w:rPr>
          <w:rFonts w:ascii="Arial Narrow" w:hAnsi="Arial Narrow" w:cs="Arial"/>
          <w:color w:val="000000"/>
          <w:lang w:val="es-CR" w:eastAsia="es-CR"/>
        </w:rPr>
        <w:t>-</w:t>
      </w:r>
      <w:r w:rsidR="001A0969">
        <w:rPr>
          <w:rFonts w:ascii="Arial Narrow" w:hAnsi="Arial Narrow" w:cs="Arial"/>
          <w:color w:val="000000"/>
          <w:lang w:val="es-CR" w:eastAsia="es-CR"/>
        </w:rPr>
        <w:t>19</w:t>
      </w:r>
      <w:r w:rsidR="007510A5">
        <w:rPr>
          <w:rFonts w:ascii="Arial Narrow" w:hAnsi="Arial Narrow" w:cs="Arial"/>
          <w:color w:val="000000"/>
          <w:lang w:val="es-CR" w:eastAsia="es-CR"/>
        </w:rPr>
        <w:t xml:space="preserve"> y por lo tanto</w:t>
      </w:r>
      <w:r w:rsidR="001A0969">
        <w:rPr>
          <w:rFonts w:ascii="Arial Narrow" w:hAnsi="Arial Narrow" w:cs="Arial"/>
          <w:color w:val="000000"/>
          <w:lang w:val="es-CR" w:eastAsia="es-CR"/>
        </w:rPr>
        <w:t xml:space="preserve"> </w:t>
      </w:r>
      <w:r w:rsidR="007510A5">
        <w:rPr>
          <w:rFonts w:ascii="Arial Narrow" w:hAnsi="Arial Narrow" w:cs="Arial"/>
          <w:color w:val="000000"/>
          <w:lang w:val="es-CR" w:eastAsia="es-CR"/>
        </w:rPr>
        <w:t xml:space="preserve">reporta un </w:t>
      </w:r>
      <w:r w:rsidR="00B87C2F">
        <w:rPr>
          <w:rFonts w:ascii="Arial Narrow" w:hAnsi="Arial Narrow" w:cs="Arial"/>
          <w:color w:val="000000"/>
          <w:lang w:val="es-CR" w:eastAsia="es-CR"/>
        </w:rPr>
        <w:t xml:space="preserve">incumplimiento para los años 2019 y 2020 de un 30% y 13% respectivamente </w:t>
      </w:r>
      <w:r w:rsidR="007510A5">
        <w:rPr>
          <w:rFonts w:ascii="Arial Narrow" w:hAnsi="Arial Narrow" w:cs="Arial"/>
          <w:color w:val="000000"/>
          <w:lang w:val="es-CR" w:eastAsia="es-CR"/>
        </w:rPr>
        <w:t>en la meta estratégica.</w:t>
      </w:r>
      <w:r w:rsidR="00B87C2F" w:rsidRPr="00B87C2F">
        <w:rPr>
          <w:rFonts w:ascii="Arial Narrow" w:eastAsia="Calibri" w:hAnsi="Arial Narrow"/>
        </w:rPr>
        <w:t xml:space="preserve"> </w:t>
      </w:r>
    </w:p>
    <w:p w14:paraId="021BE496" w14:textId="0FF2836C" w:rsidR="000F13EF" w:rsidRDefault="000F13EF" w:rsidP="001A0969">
      <w:pPr>
        <w:spacing w:line="360" w:lineRule="auto"/>
        <w:jc w:val="both"/>
        <w:rPr>
          <w:rFonts w:ascii="Arial Narrow" w:hAnsi="Arial Narrow"/>
        </w:rPr>
      </w:pPr>
    </w:p>
    <w:p w14:paraId="58EF6F2E" w14:textId="1205ED40" w:rsidR="00DB7B3B" w:rsidRDefault="00DB7B3B">
      <w:pPr>
        <w:rPr>
          <w:rFonts w:ascii="Arial Narrow" w:hAnsi="Arial Narrow"/>
          <w:b/>
          <w:bCs/>
        </w:rPr>
      </w:pPr>
      <w:r>
        <w:rPr>
          <w:rFonts w:ascii="Arial Narrow" w:hAnsi="Arial Narrow"/>
          <w:b/>
          <w:bCs/>
        </w:rPr>
        <w:br w:type="page"/>
      </w:r>
    </w:p>
    <w:p w14:paraId="086B62C1" w14:textId="77777777" w:rsidR="000F13EF" w:rsidRPr="00704B08" w:rsidRDefault="000F13EF" w:rsidP="000F13EF">
      <w:pPr>
        <w:rPr>
          <w:rFonts w:ascii="Arial Narrow" w:hAnsi="Arial Narrow"/>
          <w:b/>
          <w:bCs/>
        </w:rPr>
      </w:pPr>
    </w:p>
    <w:p w14:paraId="4C3A2180" w14:textId="15F81BC8" w:rsidR="00982279" w:rsidRPr="00704B08" w:rsidRDefault="00B13362">
      <w:pPr>
        <w:spacing w:line="360" w:lineRule="auto"/>
        <w:jc w:val="both"/>
        <w:rPr>
          <w:rFonts w:ascii="Arial Narrow" w:hAnsi="Arial Narrow"/>
          <w:b/>
          <w:bCs/>
        </w:rPr>
      </w:pPr>
      <w:r w:rsidRPr="006B60C8">
        <w:rPr>
          <w:rFonts w:ascii="Arial Narrow" w:eastAsia="Calibri" w:hAnsi="Arial Narrow"/>
        </w:rPr>
        <w:t xml:space="preserve">En relación con </w:t>
      </w:r>
      <w:r>
        <w:rPr>
          <w:rFonts w:ascii="Arial Narrow" w:eastAsia="Calibri" w:hAnsi="Arial Narrow"/>
        </w:rPr>
        <w:t xml:space="preserve">la </w:t>
      </w:r>
      <w:r w:rsidRPr="006B60C8">
        <w:rPr>
          <w:rFonts w:ascii="Arial Narrow" w:eastAsia="Calibri" w:hAnsi="Arial Narrow"/>
        </w:rPr>
        <w:t>meta estratégica</w:t>
      </w:r>
      <w:r>
        <w:rPr>
          <w:rFonts w:ascii="Arial Narrow" w:hAnsi="Arial Narrow"/>
          <w:b/>
          <w:bCs/>
        </w:rPr>
        <w:t xml:space="preserve"> </w:t>
      </w:r>
      <w:r w:rsidR="000717FB">
        <w:rPr>
          <w:rFonts w:ascii="Arial Narrow" w:hAnsi="Arial Narrow"/>
          <w:b/>
          <w:bCs/>
        </w:rPr>
        <w:t>“</w:t>
      </w:r>
      <w:r w:rsidR="000F13EF" w:rsidRPr="00704B08">
        <w:rPr>
          <w:rFonts w:ascii="Arial Narrow" w:hAnsi="Arial Narrow"/>
          <w:b/>
          <w:bCs/>
          <w:i/>
          <w:iCs/>
        </w:rPr>
        <w:t>Que al finalizar el 2024, se haya implementado una estrategia de proyección comunitaria interinstitucional e institucional del Ministerio Público</w:t>
      </w:r>
      <w:r w:rsidR="000717FB">
        <w:rPr>
          <w:rFonts w:ascii="Arial Narrow" w:hAnsi="Arial Narrow"/>
          <w:b/>
          <w:bCs/>
        </w:rPr>
        <w:t>”</w:t>
      </w:r>
      <w:r w:rsidR="00DB7B3B">
        <w:rPr>
          <w:rFonts w:ascii="Arial Narrow" w:hAnsi="Arial Narrow"/>
          <w:b/>
          <w:bCs/>
        </w:rPr>
        <w:t>,</w:t>
      </w:r>
      <w:r w:rsidRPr="00704B08">
        <w:rPr>
          <w:rFonts w:ascii="Arial Narrow" w:hAnsi="Arial Narrow"/>
        </w:rPr>
        <w:t xml:space="preserve"> se </w:t>
      </w:r>
      <w:r w:rsidR="00982279" w:rsidRPr="00B13362">
        <w:rPr>
          <w:rFonts w:ascii="Arial Narrow" w:eastAsia="Calibri" w:hAnsi="Arial Narrow"/>
        </w:rPr>
        <w:t>tiene la implementación de una estrategia de proyección comunitaria interinstitucional e institucional del Ministerio Público, en el 2019 se llevaron a cabo importantes actividades como contar con una base de datos de contactos de medios de comunicación regionales identificados por zona, así como de redes comunales, instituciones y organizaciones, información relevante para convocatorias de rendiciones de cuentas, talleres y encuentros con ciudadanía y medios. Se desarrolló plan de trabajo y cronograma de reuniones para implementar estrategias de proyección a comunidades y medios comunicación. El 7 de agosto del 2019, se llevó a cabo el segundo de tres talleres planificados con la prensa regional. En esta oportunidad se realizó en Liberia, con la presencia de nueve representantes de medios locales, como el periódico El Chorotega, el medio bilingüe La Voz de Guanacaste, Radio Pampa, Canal 5 y los sitios en línea GuanaNoticias y Calles Guanacaste. El 10 de octubre del 2019, se llevó a cabo el tercer y último taller planificado con la prensa regional. Se llevó a cabo en Pérez Zeledón.</w:t>
      </w:r>
      <w:r>
        <w:rPr>
          <w:rFonts w:ascii="Arial Narrow" w:eastAsia="Calibri" w:hAnsi="Arial Narrow"/>
        </w:rPr>
        <w:t xml:space="preserve"> Poste</w:t>
      </w:r>
      <w:r w:rsidRPr="009D5823">
        <w:rPr>
          <w:rFonts w:ascii="Arial Narrow" w:eastAsia="Calibri" w:hAnsi="Arial Narrow"/>
        </w:rPr>
        <w:t xml:space="preserve">riormente se verifica el año 2020 y </w:t>
      </w:r>
      <w:r w:rsidR="000717FB">
        <w:rPr>
          <w:rFonts w:ascii="Arial Narrow" w:eastAsia="Calibri" w:hAnsi="Arial Narrow"/>
        </w:rPr>
        <w:t xml:space="preserve">se </w:t>
      </w:r>
      <w:r w:rsidRPr="009D5823">
        <w:rPr>
          <w:rFonts w:ascii="Arial Narrow" w:eastAsia="Calibri" w:hAnsi="Arial Narrow"/>
        </w:rPr>
        <w:t xml:space="preserve">detecta que para ese año no se </w:t>
      </w:r>
      <w:r w:rsidR="00220A74">
        <w:rPr>
          <w:rFonts w:ascii="Arial Narrow" w:eastAsia="Calibri" w:hAnsi="Arial Narrow"/>
        </w:rPr>
        <w:t>encontraba</w:t>
      </w:r>
      <w:r w:rsidRPr="009D5823">
        <w:rPr>
          <w:rFonts w:ascii="Arial Narrow" w:eastAsia="Calibri" w:hAnsi="Arial Narrow"/>
        </w:rPr>
        <w:t xml:space="preserve"> </w:t>
      </w:r>
      <w:r w:rsidR="00B87C2F" w:rsidRPr="009D5823">
        <w:rPr>
          <w:rFonts w:ascii="Arial Narrow" w:eastAsia="Calibri" w:hAnsi="Arial Narrow"/>
        </w:rPr>
        <w:t>asociada a ninguna meta operativa.</w:t>
      </w:r>
    </w:p>
    <w:p w14:paraId="440C82B0" w14:textId="77777777" w:rsidR="00982279" w:rsidRDefault="00982279" w:rsidP="00BB3C4F"/>
    <w:p w14:paraId="0125187C" w14:textId="39E86A52" w:rsidR="00C43708" w:rsidRPr="00704B08" w:rsidRDefault="000D7411">
      <w:pPr>
        <w:pStyle w:val="Ttulo4"/>
        <w:numPr>
          <w:ilvl w:val="0"/>
          <w:numId w:val="62"/>
        </w:numPr>
        <w:rPr>
          <w:rFonts w:ascii="Arial Narrow" w:eastAsia="Calibri" w:hAnsi="Arial Narrow"/>
          <w:lang w:val="es-CR"/>
        </w:rPr>
      </w:pPr>
      <w:r>
        <w:rPr>
          <w:rFonts w:ascii="Arial Narrow" w:eastAsia="Calibri" w:hAnsi="Arial Narrow"/>
          <w:lang w:val="es-CR"/>
        </w:rPr>
        <w:t xml:space="preserve">5.2.5. </w:t>
      </w:r>
      <w:r w:rsidR="008D1E04" w:rsidRPr="00CC279A">
        <w:rPr>
          <w:rFonts w:ascii="Arial Narrow" w:eastAsia="Calibri" w:hAnsi="Arial Narrow"/>
          <w:lang w:val="es-CR"/>
        </w:rPr>
        <w:t xml:space="preserve"> </w:t>
      </w:r>
      <w:r w:rsidR="00C43708" w:rsidRPr="00704B08">
        <w:rPr>
          <w:rFonts w:ascii="Arial Narrow" w:eastAsia="Calibri" w:hAnsi="Arial Narrow"/>
          <w:lang w:val="es-CR"/>
        </w:rPr>
        <w:t>Participación</w:t>
      </w:r>
      <w:r w:rsidR="00C43708" w:rsidRPr="00704B08">
        <w:rPr>
          <w:rFonts w:ascii="Arial Narrow" w:eastAsia="Calibri" w:hAnsi="Arial Narrow"/>
        </w:rPr>
        <w:t xml:space="preserve"> </w:t>
      </w:r>
      <w:r w:rsidR="00C43708" w:rsidRPr="00704B08">
        <w:rPr>
          <w:rFonts w:ascii="Arial Narrow" w:eastAsia="Calibri" w:hAnsi="Arial Narrow"/>
          <w:lang w:val="es-CR"/>
        </w:rPr>
        <w:t>ciudadana</w:t>
      </w:r>
    </w:p>
    <w:p w14:paraId="25081C3B" w14:textId="432FC539" w:rsidR="006A7336" w:rsidRDefault="006A7336" w:rsidP="006A7336">
      <w:pPr>
        <w:rPr>
          <w:rFonts w:eastAsia="Calibri"/>
          <w:lang w:val="es-CR" w:eastAsia="en-US"/>
        </w:rPr>
      </w:pPr>
    </w:p>
    <w:p w14:paraId="1AADE19E" w14:textId="1BB52FEF" w:rsidR="006A7336" w:rsidRDefault="006A7336" w:rsidP="00704B08">
      <w:pPr>
        <w:spacing w:line="360" w:lineRule="auto"/>
        <w:jc w:val="both"/>
        <w:rPr>
          <w:rFonts w:eastAsia="Calibri"/>
          <w:lang w:val="es-CR" w:eastAsia="en-US"/>
        </w:rPr>
      </w:pPr>
    </w:p>
    <w:p w14:paraId="7E1118A2" w14:textId="11004552" w:rsidR="00C43708" w:rsidRPr="00EA613D" w:rsidRDefault="006A7336" w:rsidP="00704B08">
      <w:pPr>
        <w:spacing w:line="360" w:lineRule="auto"/>
        <w:jc w:val="both"/>
        <w:rPr>
          <w:rFonts w:ascii="Arial Narrow" w:eastAsia="Calibri" w:hAnsi="Arial Narrow"/>
        </w:rPr>
      </w:pPr>
      <w:r w:rsidRPr="00704B08">
        <w:rPr>
          <w:rFonts w:ascii="Arial Narrow" w:eastAsia="Calibri" w:hAnsi="Arial Narrow"/>
          <w:lang w:val="es-CR" w:eastAsia="en-US"/>
        </w:rPr>
        <w:t>Se observan 4 metas estratégicas las cuales reflejan una ejecución total en su cumplimiento.</w:t>
      </w:r>
      <w:r w:rsidR="009547D6">
        <w:rPr>
          <w:rFonts w:ascii="Arial Narrow" w:eastAsia="Calibri" w:hAnsi="Arial Narrow"/>
          <w:lang w:val="es-CR" w:eastAsia="en-US"/>
        </w:rPr>
        <w:t xml:space="preserve"> </w:t>
      </w:r>
      <w:r w:rsidR="00C43708" w:rsidRPr="00EA613D">
        <w:rPr>
          <w:rFonts w:ascii="Arial Narrow" w:eastAsia="Calibri" w:hAnsi="Arial Narrow"/>
        </w:rPr>
        <w:t>Se muestra</w:t>
      </w:r>
      <w:r w:rsidRPr="00EA613D">
        <w:rPr>
          <w:rFonts w:ascii="Arial Narrow" w:eastAsia="Calibri" w:hAnsi="Arial Narrow"/>
        </w:rPr>
        <w:t xml:space="preserve"> a continuación el detalle de las</w:t>
      </w:r>
      <w:r w:rsidR="00C43708" w:rsidRPr="00EA613D">
        <w:rPr>
          <w:rFonts w:ascii="Arial Narrow" w:eastAsia="Calibri" w:hAnsi="Arial Narrow"/>
        </w:rPr>
        <w:t xml:space="preserve"> metas estratégicas y su cumplimiento para el 2019</w:t>
      </w:r>
      <w:r w:rsidR="00696AFA" w:rsidRPr="00EA613D">
        <w:rPr>
          <w:rFonts w:ascii="Arial Narrow" w:eastAsia="Calibri" w:hAnsi="Arial Narrow"/>
        </w:rPr>
        <w:t xml:space="preserve"> y 2020.</w:t>
      </w:r>
    </w:p>
    <w:p w14:paraId="4D9081B8" w14:textId="3BCD5F30" w:rsidR="006A7336" w:rsidRDefault="006A7336" w:rsidP="00C43708">
      <w:pPr>
        <w:rPr>
          <w:rFonts w:ascii="Arial Narrow" w:eastAsia="Calibri" w:hAnsi="Arial Narrow"/>
        </w:rPr>
      </w:pPr>
    </w:p>
    <w:p w14:paraId="23552A78" w14:textId="77777777" w:rsidR="009D5823" w:rsidRDefault="009D5823" w:rsidP="00C43708">
      <w:pPr>
        <w:rPr>
          <w:rFonts w:ascii="Arial Narrow" w:eastAsia="Calibri" w:hAnsi="Arial Narrow"/>
        </w:rPr>
        <w:sectPr w:rsidR="009D5823" w:rsidSect="009D5823">
          <w:pgSz w:w="12242" w:h="15842" w:code="1"/>
          <w:pgMar w:top="1701" w:right="1417" w:bottom="1701" w:left="1417" w:header="709" w:footer="709" w:gutter="0"/>
          <w:cols w:space="708"/>
          <w:docGrid w:linePitch="360"/>
        </w:sectPr>
      </w:pPr>
    </w:p>
    <w:p w14:paraId="50C98B21" w14:textId="2C67C09E" w:rsidR="006A7336" w:rsidRDefault="006A7336" w:rsidP="00C43708">
      <w:pPr>
        <w:rPr>
          <w:rFonts w:ascii="Arial Narrow" w:eastAsia="Calibri" w:hAnsi="Arial Narrow"/>
        </w:rPr>
      </w:pPr>
    </w:p>
    <w:p w14:paraId="3456D578" w14:textId="77777777" w:rsidR="00D657CE" w:rsidRDefault="00D657CE" w:rsidP="00C43708">
      <w:pPr>
        <w:rPr>
          <w:rFonts w:ascii="Arial Narrow" w:eastAsia="Calibri" w:hAnsi="Arial Narrow"/>
        </w:rPr>
      </w:pPr>
    </w:p>
    <w:p w14:paraId="7EC59C7B" w14:textId="76D02685" w:rsidR="00C43708" w:rsidRDefault="00D657CE" w:rsidP="00484CC1">
      <w:pPr>
        <w:pStyle w:val="Descripcin"/>
        <w:jc w:val="center"/>
        <w:rPr>
          <w:rFonts w:ascii="Arial Narrow" w:eastAsia="Calibri" w:hAnsi="Arial Narrow"/>
          <w:sz w:val="24"/>
          <w:szCs w:val="24"/>
        </w:rPr>
      </w:pPr>
      <w:bookmarkStart w:id="66" w:name="_Toc76062260"/>
      <w:r w:rsidRPr="005E067A">
        <w:rPr>
          <w:rFonts w:ascii="Arial Narrow" w:hAnsi="Arial Narrow"/>
          <w:sz w:val="24"/>
          <w:szCs w:val="24"/>
        </w:rPr>
        <w:t xml:space="preserve">Cuadro </w:t>
      </w:r>
      <w:r w:rsidRPr="005E067A">
        <w:rPr>
          <w:rFonts w:ascii="Arial Narrow" w:hAnsi="Arial Narrow"/>
          <w:sz w:val="24"/>
          <w:szCs w:val="24"/>
        </w:rPr>
        <w:fldChar w:fldCharType="begin"/>
      </w:r>
      <w:r w:rsidRPr="005E067A">
        <w:rPr>
          <w:rFonts w:ascii="Arial Narrow" w:hAnsi="Arial Narrow"/>
          <w:sz w:val="24"/>
          <w:szCs w:val="24"/>
        </w:rPr>
        <w:instrText xml:space="preserve"> SEQ Cuadro_No. \* ARABIC </w:instrText>
      </w:r>
      <w:r w:rsidRPr="005E067A">
        <w:rPr>
          <w:rFonts w:ascii="Arial Narrow" w:hAnsi="Arial Narrow"/>
          <w:sz w:val="24"/>
          <w:szCs w:val="24"/>
        </w:rPr>
        <w:fldChar w:fldCharType="separate"/>
      </w:r>
      <w:r w:rsidR="009D5823">
        <w:rPr>
          <w:rFonts w:ascii="Arial Narrow" w:hAnsi="Arial Narrow"/>
          <w:noProof/>
          <w:sz w:val="24"/>
          <w:szCs w:val="24"/>
        </w:rPr>
        <w:t>37</w:t>
      </w:r>
      <w:r w:rsidRPr="005E067A">
        <w:rPr>
          <w:rFonts w:ascii="Arial Narrow" w:hAnsi="Arial Narrow"/>
          <w:sz w:val="24"/>
          <w:szCs w:val="24"/>
        </w:rPr>
        <w:fldChar w:fldCharType="end"/>
      </w:r>
      <w:r w:rsidRPr="005E067A">
        <w:rPr>
          <w:rFonts w:ascii="Arial Narrow" w:hAnsi="Arial Narrow"/>
          <w:sz w:val="24"/>
          <w:szCs w:val="24"/>
        </w:rPr>
        <w:t xml:space="preserve"> </w:t>
      </w:r>
      <w:r w:rsidRPr="005E067A">
        <w:rPr>
          <w:rFonts w:ascii="Arial Narrow" w:eastAsia="Calibri" w:hAnsi="Arial Narrow"/>
          <w:sz w:val="24"/>
          <w:szCs w:val="24"/>
        </w:rPr>
        <w:t>Metas estratégicas de Participación Ciudadana, y su cumplimiento para el 2019</w:t>
      </w:r>
      <w:r w:rsidR="00696AFA">
        <w:rPr>
          <w:rFonts w:ascii="Arial Narrow" w:eastAsia="Calibri" w:hAnsi="Arial Narrow"/>
          <w:sz w:val="24"/>
          <w:szCs w:val="24"/>
        </w:rPr>
        <w:t xml:space="preserve"> y 2020.</w:t>
      </w:r>
      <w:bookmarkEnd w:id="66"/>
    </w:p>
    <w:p w14:paraId="04E7B696" w14:textId="48543B7C" w:rsidR="00A10425" w:rsidRDefault="00A10425" w:rsidP="00A10425">
      <w:pPr>
        <w:rPr>
          <w:rFonts w:eastAsia="Calibri"/>
        </w:rPr>
      </w:pPr>
    </w:p>
    <w:p w14:paraId="627AD737" w14:textId="25AB226F" w:rsidR="00A10425" w:rsidRPr="00704B08" w:rsidRDefault="00A10425" w:rsidP="00704B08">
      <w:pPr>
        <w:jc w:val="center"/>
        <w:rPr>
          <w:rFonts w:eastAsia="Calibri"/>
        </w:rPr>
      </w:pPr>
      <w:r>
        <w:rPr>
          <w:noProof/>
          <w:lang w:val="es-CR" w:eastAsia="es-CR"/>
        </w:rPr>
        <w:drawing>
          <wp:inline distT="0" distB="0" distL="0" distR="0" wp14:anchorId="3154BB7D" wp14:editId="0620A5F2">
            <wp:extent cx="7167518" cy="2737565"/>
            <wp:effectExtent l="57150" t="57150" r="90805" b="100965"/>
            <wp:docPr id="174" name="Imagen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9"/>
                    <a:srcRect b="2239"/>
                    <a:stretch/>
                  </pic:blipFill>
                  <pic:spPr bwMode="auto">
                    <a:xfrm>
                      <a:off x="0" y="0"/>
                      <a:ext cx="7204848" cy="2751823"/>
                    </a:xfrm>
                    <a:prstGeom prst="rect">
                      <a:avLst/>
                    </a:prstGeom>
                    <a:ln w="9525" cap="sq" cmpd="sng" algn="ctr">
                      <a:solidFill>
                        <a:srgbClr val="00B0F0"/>
                      </a:solidFill>
                      <a:prstDash val="solid"/>
                      <a:miter lim="800000"/>
                      <a:headEnd type="none" w="med" len="med"/>
                      <a:tailEnd type="none" w="med" len="med"/>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2424927A" w14:textId="491D874C" w:rsidR="00A10425" w:rsidRPr="00A618D8" w:rsidRDefault="00A10425" w:rsidP="00A10425">
      <w:pPr>
        <w:spacing w:line="360" w:lineRule="auto"/>
        <w:jc w:val="both"/>
        <w:rPr>
          <w:rFonts w:ascii="Arial Narrow" w:hAnsi="Arial Narrow"/>
          <w:lang w:val="es-ES"/>
        </w:rPr>
      </w:pPr>
      <w:r>
        <w:rPr>
          <w:rFonts w:ascii="Arial Narrow" w:eastAsia="Calibri" w:hAnsi="Arial Narrow"/>
          <w:sz w:val="18"/>
          <w:szCs w:val="18"/>
          <w:lang w:eastAsia="en-US"/>
        </w:rPr>
        <w:t xml:space="preserve">                              </w:t>
      </w:r>
      <w:r w:rsidRPr="000B4845">
        <w:rPr>
          <w:rFonts w:ascii="Arial Narrow" w:eastAsia="Calibri" w:hAnsi="Arial Narrow"/>
          <w:sz w:val="18"/>
          <w:szCs w:val="18"/>
          <w:lang w:eastAsia="en-US"/>
        </w:rPr>
        <w:t>Fuente: Sistema PEI al 24 de enero del 2020 (año 2019)</w:t>
      </w:r>
      <w:r>
        <w:rPr>
          <w:rFonts w:ascii="Arial Narrow" w:eastAsia="Calibri" w:hAnsi="Arial Narrow"/>
          <w:sz w:val="18"/>
          <w:szCs w:val="18"/>
          <w:lang w:eastAsia="en-US"/>
        </w:rPr>
        <w:t xml:space="preserve"> y 04 de marzo del 2021 (año 2020).</w:t>
      </w:r>
    </w:p>
    <w:p w14:paraId="43EB428B" w14:textId="77777777" w:rsidR="009D5823" w:rsidRDefault="009D5823" w:rsidP="00976DDE">
      <w:pPr>
        <w:rPr>
          <w:rFonts w:eastAsia="Calibri"/>
        </w:rPr>
        <w:sectPr w:rsidR="009D5823" w:rsidSect="009D5823">
          <w:pgSz w:w="15842" w:h="12242" w:orient="landscape" w:code="1"/>
          <w:pgMar w:top="1417" w:right="1701" w:bottom="1417" w:left="1701" w:header="709" w:footer="709" w:gutter="0"/>
          <w:cols w:space="708"/>
          <w:docGrid w:linePitch="360"/>
        </w:sectPr>
      </w:pPr>
    </w:p>
    <w:p w14:paraId="51329CBD" w14:textId="2D8AE120" w:rsidR="00A10425" w:rsidRDefault="00A10425" w:rsidP="00976DDE">
      <w:pPr>
        <w:rPr>
          <w:rFonts w:eastAsia="Calibri"/>
        </w:rPr>
      </w:pPr>
    </w:p>
    <w:p w14:paraId="0D9EFDAB" w14:textId="4E73AA6A" w:rsidR="00076F3C" w:rsidRPr="00704B08" w:rsidRDefault="00220A74" w:rsidP="00704B08">
      <w:pPr>
        <w:spacing w:line="360" w:lineRule="auto"/>
        <w:jc w:val="both"/>
        <w:rPr>
          <w:b/>
          <w:bCs/>
          <w:noProof/>
        </w:rPr>
      </w:pPr>
      <w:r w:rsidRPr="006B60C8">
        <w:rPr>
          <w:rFonts w:ascii="Arial Narrow" w:eastAsia="Calibri" w:hAnsi="Arial Narrow"/>
        </w:rPr>
        <w:t xml:space="preserve">En relación con </w:t>
      </w:r>
      <w:r>
        <w:rPr>
          <w:rFonts w:ascii="Arial Narrow" w:eastAsia="Calibri" w:hAnsi="Arial Narrow"/>
        </w:rPr>
        <w:t xml:space="preserve">la </w:t>
      </w:r>
      <w:r w:rsidRPr="006B60C8">
        <w:rPr>
          <w:rFonts w:ascii="Arial Narrow" w:eastAsia="Calibri" w:hAnsi="Arial Narrow"/>
        </w:rPr>
        <w:t>meta estratégica</w:t>
      </w:r>
      <w:r w:rsidRPr="003D06EB">
        <w:rPr>
          <w:rFonts w:ascii="Arial Narrow" w:eastAsia="Calibri" w:hAnsi="Arial Narrow"/>
        </w:rPr>
        <w:t xml:space="preserve"> </w:t>
      </w:r>
      <w:r w:rsidRPr="003D06EB">
        <w:rPr>
          <w:rFonts w:ascii="Arial Narrow" w:eastAsia="Calibri" w:hAnsi="Arial Narrow"/>
          <w:b/>
          <w:bCs/>
          <w:i/>
          <w:iCs/>
        </w:rPr>
        <w:t>“</w:t>
      </w:r>
      <w:r w:rsidR="005220CE" w:rsidRPr="003D06EB">
        <w:rPr>
          <w:rFonts w:ascii="Arial Narrow" w:eastAsia="Calibri" w:hAnsi="Arial Narrow"/>
          <w:b/>
          <w:bCs/>
          <w:i/>
          <w:iCs/>
        </w:rPr>
        <w:t>Que al finalizar el 2024, se haya gestionado el procedimiento para un diálogo permanente con la sociedad civil</w:t>
      </w:r>
      <w:r w:rsidRPr="003D06EB">
        <w:rPr>
          <w:rFonts w:ascii="Arial Narrow" w:eastAsia="Calibri" w:hAnsi="Arial Narrow"/>
          <w:b/>
          <w:bCs/>
          <w:i/>
          <w:iCs/>
        </w:rPr>
        <w:t>”</w:t>
      </w:r>
      <w:r w:rsidR="003D06EB">
        <w:rPr>
          <w:rFonts w:ascii="Arial Narrow" w:eastAsia="Calibri" w:hAnsi="Arial Narrow"/>
          <w:b/>
          <w:bCs/>
          <w:i/>
          <w:iCs/>
        </w:rPr>
        <w:t>,</w:t>
      </w:r>
      <w:r w:rsidR="006A7336" w:rsidRPr="003D06EB">
        <w:rPr>
          <w:rFonts w:ascii="Arial Narrow" w:eastAsia="Calibri" w:hAnsi="Arial Narrow"/>
        </w:rPr>
        <w:t xml:space="preserve"> </w:t>
      </w:r>
      <w:r w:rsidRPr="003D06EB">
        <w:rPr>
          <w:rFonts w:ascii="Arial Narrow" w:eastAsia="Calibri" w:hAnsi="Arial Narrow"/>
        </w:rPr>
        <w:t>c</w:t>
      </w:r>
      <w:r w:rsidR="009A64D0" w:rsidRPr="003D06EB">
        <w:rPr>
          <w:rFonts w:ascii="Arial Narrow" w:eastAsia="Calibri" w:hAnsi="Arial Narrow"/>
        </w:rPr>
        <w:t>on respecto a esta meta</w:t>
      </w:r>
      <w:r w:rsidRPr="003D06EB">
        <w:rPr>
          <w:rFonts w:ascii="Arial Narrow" w:eastAsia="Calibri" w:hAnsi="Arial Narrow"/>
        </w:rPr>
        <w:t>, e</w:t>
      </w:r>
      <w:r w:rsidR="009A64D0" w:rsidRPr="003D06EB">
        <w:rPr>
          <w:rFonts w:ascii="Arial Narrow" w:eastAsia="Calibri" w:hAnsi="Arial Narrow"/>
        </w:rPr>
        <w:t xml:space="preserve">l </w:t>
      </w:r>
      <w:r w:rsidRPr="003D06EB">
        <w:rPr>
          <w:rFonts w:ascii="Arial Narrow" w:eastAsia="Calibri" w:hAnsi="Arial Narrow"/>
        </w:rPr>
        <w:t>D</w:t>
      </w:r>
      <w:r w:rsidR="009A64D0" w:rsidRPr="003D06EB">
        <w:rPr>
          <w:rFonts w:ascii="Arial Narrow" w:eastAsia="Calibri" w:hAnsi="Arial Narrow"/>
        </w:rPr>
        <w:t>espacho de la Presidencia indica por medio del sistema PAO</w:t>
      </w:r>
      <w:r w:rsidR="009A64D0">
        <w:rPr>
          <w:rFonts w:ascii="Arial Narrow" w:hAnsi="Arial Narrow" w:cs="Calibri"/>
          <w:color w:val="000000"/>
          <w:lang w:val="es-CR" w:eastAsia="es-CR"/>
        </w:rPr>
        <w:t xml:space="preserve"> que</w:t>
      </w:r>
      <w:r w:rsidR="003352A8">
        <w:rPr>
          <w:rFonts w:ascii="Arial Narrow" w:hAnsi="Arial Narrow" w:cs="Calibri"/>
          <w:color w:val="000000"/>
          <w:lang w:val="es-CR" w:eastAsia="es-CR"/>
        </w:rPr>
        <w:t xml:space="preserve"> para los años analizados (2019 y 2020)</w:t>
      </w:r>
      <w:r w:rsidR="009A64D0">
        <w:rPr>
          <w:rFonts w:ascii="Arial Narrow" w:hAnsi="Arial Narrow" w:cs="Calibri"/>
          <w:color w:val="000000"/>
          <w:lang w:val="es-CR" w:eastAsia="es-CR"/>
        </w:rPr>
        <w:t xml:space="preserve"> se </w:t>
      </w:r>
      <w:r w:rsidR="00076F3C" w:rsidRPr="00704B08">
        <w:rPr>
          <w:rFonts w:ascii="Arial Narrow" w:hAnsi="Arial Narrow" w:cs="Calibri"/>
          <w:color w:val="000000"/>
          <w:lang w:val="es-CR" w:eastAsia="es-CR"/>
        </w:rPr>
        <w:t>realizaron seguimientos sobre la elaboración del procedimiento para un diálogo permanente con la sociedad civil y su presentación al órgano aprobador</w:t>
      </w:r>
      <w:r w:rsidR="000A50FC">
        <w:rPr>
          <w:rFonts w:ascii="Arial Narrow" w:hAnsi="Arial Narrow" w:cs="Calibri"/>
          <w:color w:val="000000"/>
          <w:lang w:val="es-CR" w:eastAsia="es-CR"/>
        </w:rPr>
        <w:t xml:space="preserve">. Como aspecto importante se tiene que para </w:t>
      </w:r>
      <w:r w:rsidR="009A64D0">
        <w:rPr>
          <w:rFonts w:ascii="Arial Narrow" w:hAnsi="Arial Narrow" w:cs="Calibri"/>
          <w:color w:val="000000"/>
          <w:lang w:val="es-CR" w:eastAsia="es-CR"/>
        </w:rPr>
        <w:t>el mes de julio 2019</w:t>
      </w:r>
      <w:r w:rsidR="00076F3C" w:rsidRPr="009A64D0">
        <w:rPr>
          <w:rFonts w:ascii="Arial Narrow" w:hAnsi="Arial Narrow" w:cs="Calibri"/>
          <w:color w:val="000000"/>
          <w:lang w:val="es-CR" w:eastAsia="es-CR"/>
        </w:rPr>
        <w:t xml:space="preserve"> </w:t>
      </w:r>
      <w:r w:rsidR="00076F3C" w:rsidRPr="00704B08">
        <w:rPr>
          <w:rFonts w:ascii="Arial Narrow" w:hAnsi="Arial Narrow"/>
        </w:rPr>
        <w:t xml:space="preserve">Corte Plena </w:t>
      </w:r>
      <w:r w:rsidR="00076F3C" w:rsidRPr="009A64D0">
        <w:rPr>
          <w:rFonts w:ascii="Arial Narrow" w:hAnsi="Arial Narrow"/>
        </w:rPr>
        <w:t xml:space="preserve">en la </w:t>
      </w:r>
      <w:r w:rsidR="009A64D0" w:rsidRPr="009A64D0">
        <w:rPr>
          <w:rFonts w:ascii="Arial Narrow" w:hAnsi="Arial Narrow"/>
        </w:rPr>
        <w:t xml:space="preserve">sesión </w:t>
      </w:r>
      <w:r w:rsidR="009A64D0" w:rsidRPr="00704B08">
        <w:rPr>
          <w:rFonts w:ascii="Arial Narrow" w:hAnsi="Arial Narrow"/>
        </w:rPr>
        <w:t xml:space="preserve">29-19 celebrada el 15 de julio de 2019, </w:t>
      </w:r>
      <w:bookmarkStart w:id="67" w:name="_Toc12610352"/>
      <w:bookmarkStart w:id="68" w:name="_Toc13821767"/>
      <w:r w:rsidR="009A64D0" w:rsidRPr="00704B08">
        <w:rPr>
          <w:rFonts w:ascii="Arial Narrow" w:hAnsi="Arial Narrow"/>
        </w:rPr>
        <w:t>artículo</w:t>
      </w:r>
      <w:r w:rsidR="009A64D0" w:rsidRPr="00704B08">
        <w:rPr>
          <w:rFonts w:ascii="Arial Narrow" w:eastAsia="Calibri" w:hAnsi="Arial Narrow"/>
        </w:rPr>
        <w:t xml:space="preserve"> XII</w:t>
      </w:r>
      <w:bookmarkEnd w:id="67"/>
      <w:bookmarkEnd w:id="68"/>
      <w:r w:rsidR="009A64D0" w:rsidRPr="00704B08">
        <w:rPr>
          <w:rFonts w:ascii="Arial Narrow" w:eastAsia="Calibri" w:hAnsi="Arial Narrow"/>
        </w:rPr>
        <w:t xml:space="preserve"> aprobó</w:t>
      </w:r>
      <w:r w:rsidR="009A64D0" w:rsidRPr="00704B08">
        <w:rPr>
          <w:rFonts w:ascii="Arial Narrow" w:hAnsi="Arial Narrow"/>
          <w:lang w:val="es-ES" w:eastAsia="ar-SA"/>
        </w:rPr>
        <w:t xml:space="preserve"> la </w:t>
      </w:r>
      <w:r w:rsidR="00076F3C" w:rsidRPr="00704B08">
        <w:rPr>
          <w:rFonts w:ascii="Arial Narrow" w:hAnsi="Arial Narrow"/>
        </w:rPr>
        <w:t>propuesta del procedimiento para el diálogo permanente con la sociedad civil</w:t>
      </w:r>
      <w:r w:rsidR="009A64D0">
        <w:rPr>
          <w:rFonts w:ascii="Arial Narrow" w:hAnsi="Arial Narrow"/>
        </w:rPr>
        <w:t>.</w:t>
      </w:r>
    </w:p>
    <w:p w14:paraId="2DDF1776" w14:textId="27763D0D" w:rsidR="00207E4B" w:rsidRDefault="00207E4B" w:rsidP="00976DDE">
      <w:pPr>
        <w:rPr>
          <w:b/>
          <w:bCs/>
          <w:noProof/>
        </w:rPr>
      </w:pPr>
    </w:p>
    <w:p w14:paraId="0C458144" w14:textId="77777777" w:rsidR="005220CE" w:rsidRPr="00704B08" w:rsidRDefault="005220CE" w:rsidP="00976DDE">
      <w:pPr>
        <w:rPr>
          <w:b/>
          <w:bCs/>
          <w:noProof/>
        </w:rPr>
      </w:pPr>
    </w:p>
    <w:p w14:paraId="206C7A51" w14:textId="465D80F8" w:rsidR="00A90924" w:rsidRPr="00704B08" w:rsidRDefault="00220A74">
      <w:pPr>
        <w:spacing w:line="360" w:lineRule="auto"/>
        <w:jc w:val="both"/>
        <w:rPr>
          <w:b/>
          <w:bCs/>
          <w:noProof/>
        </w:rPr>
      </w:pPr>
      <w:r>
        <w:rPr>
          <w:rFonts w:ascii="Arial Narrow" w:eastAsia="Calibri" w:hAnsi="Arial Narrow"/>
        </w:rPr>
        <w:t>Con respecto a</w:t>
      </w:r>
      <w:r w:rsidRPr="006B60C8">
        <w:rPr>
          <w:rFonts w:ascii="Arial Narrow" w:eastAsia="Calibri" w:hAnsi="Arial Narrow"/>
        </w:rPr>
        <w:t xml:space="preserve"> </w:t>
      </w:r>
      <w:r>
        <w:rPr>
          <w:rFonts w:ascii="Arial Narrow" w:eastAsia="Calibri" w:hAnsi="Arial Narrow"/>
        </w:rPr>
        <w:t xml:space="preserve">la </w:t>
      </w:r>
      <w:r w:rsidRPr="006B60C8">
        <w:rPr>
          <w:rFonts w:ascii="Arial Narrow" w:eastAsia="Calibri" w:hAnsi="Arial Narrow"/>
        </w:rPr>
        <w:t>meta estratégica</w:t>
      </w:r>
      <w:r>
        <w:rPr>
          <w:rFonts w:ascii="Arial Narrow" w:hAnsi="Arial Narrow"/>
          <w:b/>
          <w:bCs/>
        </w:rPr>
        <w:t xml:space="preserve"> </w:t>
      </w:r>
      <w:r w:rsidRPr="00704B08">
        <w:rPr>
          <w:rFonts w:ascii="Arial Narrow" w:hAnsi="Arial Narrow"/>
          <w:b/>
          <w:bCs/>
          <w:i/>
          <w:iCs/>
        </w:rPr>
        <w:t>“</w:t>
      </w:r>
      <w:r w:rsidR="005220CE" w:rsidRPr="00704B08">
        <w:rPr>
          <w:rFonts w:ascii="Arial Narrow" w:hAnsi="Arial Narrow"/>
          <w:b/>
          <w:bCs/>
          <w:i/>
          <w:iCs/>
          <w:noProof/>
        </w:rPr>
        <w:t>Que al finalizar el 2024, se hayan ampliado los espacios de participación ciudadana virtuales, interactivos, regionales y nacionales; que permitan el proceso de cocreación en la administración de proyectos de interés institucional y ciudadano</w:t>
      </w:r>
      <w:r w:rsidRPr="00704B08">
        <w:rPr>
          <w:rFonts w:ascii="Arial Narrow" w:hAnsi="Arial Narrow"/>
          <w:b/>
          <w:bCs/>
          <w:i/>
          <w:iCs/>
          <w:noProof/>
        </w:rPr>
        <w:t>”</w:t>
      </w:r>
      <w:r w:rsidR="003D06EB">
        <w:rPr>
          <w:rFonts w:ascii="Arial Narrow" w:hAnsi="Arial Narrow"/>
          <w:b/>
          <w:bCs/>
          <w:i/>
          <w:iCs/>
          <w:noProof/>
        </w:rPr>
        <w:t>,</w:t>
      </w:r>
      <w:r w:rsidR="006A7336" w:rsidRPr="00704B08">
        <w:rPr>
          <w:rFonts w:ascii="Arial Narrow" w:hAnsi="Arial Narrow"/>
          <w:b/>
          <w:bCs/>
          <w:i/>
          <w:iCs/>
          <w:noProof/>
        </w:rPr>
        <w:t xml:space="preserve"> </w:t>
      </w:r>
      <w:r w:rsidR="000A50FC" w:rsidRPr="00704B08">
        <w:rPr>
          <w:rFonts w:ascii="Arial Narrow" w:eastAsia="Calibri" w:hAnsi="Arial Narrow"/>
          <w:i/>
          <w:iCs/>
        </w:rPr>
        <w:t>s</w:t>
      </w:r>
      <w:r w:rsidR="00650CA4" w:rsidRPr="00704B08">
        <w:rPr>
          <w:rFonts w:ascii="Arial Narrow" w:eastAsia="Calibri" w:hAnsi="Arial Narrow"/>
          <w:i/>
          <w:iCs/>
        </w:rPr>
        <w:t>e</w:t>
      </w:r>
      <w:r w:rsidR="00650CA4" w:rsidRPr="000A50FC">
        <w:rPr>
          <w:rFonts w:ascii="Arial Narrow" w:eastAsia="Calibri" w:hAnsi="Arial Narrow"/>
        </w:rPr>
        <w:t xml:space="preserve"> reg</w:t>
      </w:r>
      <w:r w:rsidR="00650CA4">
        <w:rPr>
          <w:rFonts w:ascii="Arial Narrow" w:eastAsia="Calibri" w:hAnsi="Arial Narrow"/>
        </w:rPr>
        <w:t>istran acciones ejecutadas</w:t>
      </w:r>
      <w:r w:rsidR="00650CA4" w:rsidRPr="000B4845">
        <w:rPr>
          <w:rFonts w:ascii="Arial Narrow" w:eastAsia="Calibri" w:hAnsi="Arial Narrow"/>
        </w:rPr>
        <w:t xml:space="preserve"> </w:t>
      </w:r>
      <w:r w:rsidR="00650CA4">
        <w:rPr>
          <w:rFonts w:ascii="Arial Narrow" w:eastAsia="Calibri" w:hAnsi="Arial Narrow"/>
        </w:rPr>
        <w:t xml:space="preserve">por parte de la CONAMAJ con la creación de un protocolo que formalice los procesos de participación ciudadana, como </w:t>
      </w:r>
      <w:r w:rsidR="00650CA4" w:rsidRPr="000B4845">
        <w:rPr>
          <w:rFonts w:ascii="Arial Narrow" w:eastAsia="Calibri" w:hAnsi="Arial Narrow"/>
        </w:rPr>
        <w:t>espacios de participación ciudadana virtuales, interactivos, regionales y nacionales; que permitan el proceso de co-creación en la administración de proyectos de interés institucional y ciudadano,</w:t>
      </w:r>
      <w:r w:rsidR="00650CA4">
        <w:rPr>
          <w:rFonts w:ascii="Arial Narrow" w:eastAsia="Calibri" w:hAnsi="Arial Narrow"/>
        </w:rPr>
        <w:t xml:space="preserve"> sobre este proyecto se </w:t>
      </w:r>
      <w:r w:rsidR="00650CA4" w:rsidRPr="000B4845">
        <w:rPr>
          <w:rFonts w:ascii="Arial Narrow" w:eastAsia="Calibri" w:hAnsi="Arial Narrow"/>
        </w:rPr>
        <w:t xml:space="preserve">tienen tareas ejecutadas como las actividades programadas en el plan de acción de la Política de Participación Ciudadana dentro y fuera del Poder Judicial las cuales fueron llevadas en el 2019 a cabo en su totalidad, así como importantes avances debido a que el plan de trabajo está estrechamente relacionado con el Proyecto de </w:t>
      </w:r>
      <w:r w:rsidR="00650CA4" w:rsidRPr="00A90924">
        <w:rPr>
          <w:rFonts w:ascii="Arial Narrow" w:eastAsia="Calibri" w:hAnsi="Arial Narrow"/>
        </w:rPr>
        <w:t>Justicia Abierta y las 22 iniciativas.</w:t>
      </w:r>
      <w:r w:rsidR="00A90924" w:rsidRPr="00A90924">
        <w:rPr>
          <w:rFonts w:ascii="Arial Narrow" w:eastAsia="Calibri" w:hAnsi="Arial Narrow"/>
        </w:rPr>
        <w:t xml:space="preserve"> Para el año 2020</w:t>
      </w:r>
      <w:r>
        <w:rPr>
          <w:rFonts w:ascii="Arial Narrow" w:eastAsia="Calibri" w:hAnsi="Arial Narrow"/>
        </w:rPr>
        <w:t>,</w:t>
      </w:r>
      <w:r w:rsidR="00A90924" w:rsidRPr="00A90924">
        <w:rPr>
          <w:rFonts w:ascii="Arial Narrow" w:eastAsia="Calibri" w:hAnsi="Arial Narrow"/>
        </w:rPr>
        <w:t xml:space="preserve"> se llevó a cabo </w:t>
      </w:r>
      <w:r w:rsidR="00A90924">
        <w:rPr>
          <w:rFonts w:ascii="Arial Narrow" w:hAnsi="Arial Narrow"/>
        </w:rPr>
        <w:t>e</w:t>
      </w:r>
      <w:r w:rsidR="00A90924" w:rsidRPr="00704B08">
        <w:rPr>
          <w:rFonts w:ascii="Arial Narrow" w:hAnsi="Arial Narrow"/>
        </w:rPr>
        <w:t xml:space="preserve">l curso virtual “Participación ciudadana: principio de la Justicia Abierta” </w:t>
      </w:r>
      <w:r w:rsidR="00A90924">
        <w:rPr>
          <w:rFonts w:ascii="Arial Narrow" w:hAnsi="Arial Narrow"/>
        </w:rPr>
        <w:t>que fue</w:t>
      </w:r>
      <w:r w:rsidR="00A90924" w:rsidRPr="00704B08">
        <w:rPr>
          <w:rFonts w:ascii="Arial Narrow" w:hAnsi="Arial Narrow"/>
        </w:rPr>
        <w:t xml:space="preserve"> una acción parte de la estrategia para el fortalecimiento de la participación ciudadana. El objetivo de este curso </w:t>
      </w:r>
      <w:r w:rsidR="00A90924" w:rsidRPr="00704B08">
        <w:rPr>
          <w:rFonts w:ascii="Arial Narrow" w:hAnsi="Arial Narrow"/>
          <w:shd w:val="clear" w:color="auto" w:fill="FFFFFF"/>
        </w:rPr>
        <w:t xml:space="preserve">de autoaprendizaje </w:t>
      </w:r>
      <w:r w:rsidR="00A90924">
        <w:rPr>
          <w:rFonts w:ascii="Arial Narrow" w:hAnsi="Arial Narrow"/>
          <w:shd w:val="clear" w:color="auto" w:fill="FFFFFF"/>
        </w:rPr>
        <w:t>fue</w:t>
      </w:r>
      <w:r w:rsidR="00A90924" w:rsidRPr="00704B08">
        <w:rPr>
          <w:rFonts w:ascii="Arial Narrow" w:hAnsi="Arial Narrow"/>
          <w:shd w:val="clear" w:color="auto" w:fill="FFFFFF"/>
        </w:rPr>
        <w:t xml:space="preserve"> </w:t>
      </w:r>
      <w:r w:rsidR="00A90924" w:rsidRPr="00704B08">
        <w:rPr>
          <w:rFonts w:ascii="Arial Narrow" w:hAnsi="Arial Narrow"/>
        </w:rPr>
        <w:t>sensibilizar al personal judicial y a la ciudadanía sobre la importancia de crear y fortalecer espacios de participación ciudadana en el Poder Judicial para integrar a la ciudadanía como el eje principal de su accionar.  El curso fue desarrollado en la plataforma Capacítate de la Dirección de Gestión Humana.</w:t>
      </w:r>
    </w:p>
    <w:p w14:paraId="39F381E3" w14:textId="77777777" w:rsidR="009D5823" w:rsidRDefault="009D5823" w:rsidP="00650CA4">
      <w:pPr>
        <w:spacing w:line="360" w:lineRule="auto"/>
        <w:jc w:val="both"/>
        <w:rPr>
          <w:rFonts w:ascii="Arial Narrow" w:eastAsia="Calibri" w:hAnsi="Arial Narrow"/>
          <w:lang w:eastAsia="en-US"/>
        </w:rPr>
        <w:sectPr w:rsidR="009D5823" w:rsidSect="009D5823">
          <w:pgSz w:w="12242" w:h="15842" w:code="1"/>
          <w:pgMar w:top="1701" w:right="1417" w:bottom="1701" w:left="1417" w:header="709" w:footer="709" w:gutter="0"/>
          <w:cols w:space="708"/>
          <w:docGrid w:linePitch="360"/>
        </w:sectPr>
      </w:pPr>
    </w:p>
    <w:p w14:paraId="09CCE81F" w14:textId="77777777" w:rsidR="000A50FC" w:rsidRDefault="000A50FC" w:rsidP="000A50FC">
      <w:pPr>
        <w:rPr>
          <w:rFonts w:ascii="Arial Narrow" w:eastAsia="Calibri" w:hAnsi="Arial Narrow"/>
        </w:rPr>
      </w:pPr>
    </w:p>
    <w:p w14:paraId="14F1B2A6" w14:textId="7D10303B" w:rsidR="000A50FC" w:rsidRDefault="000A50FC" w:rsidP="000A50FC">
      <w:pPr>
        <w:pStyle w:val="Descripcin"/>
        <w:jc w:val="center"/>
        <w:rPr>
          <w:rFonts w:ascii="Arial Narrow" w:eastAsia="Calibri" w:hAnsi="Arial Narrow"/>
          <w:sz w:val="24"/>
          <w:szCs w:val="24"/>
        </w:rPr>
      </w:pPr>
      <w:bookmarkStart w:id="69" w:name="_Toc76062261"/>
      <w:r w:rsidRPr="005E067A">
        <w:rPr>
          <w:rFonts w:ascii="Arial Narrow" w:hAnsi="Arial Narrow"/>
          <w:sz w:val="24"/>
          <w:szCs w:val="24"/>
        </w:rPr>
        <w:t xml:space="preserve">Cuadro </w:t>
      </w:r>
      <w:r w:rsidRPr="005E067A">
        <w:rPr>
          <w:rFonts w:ascii="Arial Narrow" w:hAnsi="Arial Narrow"/>
          <w:sz w:val="24"/>
          <w:szCs w:val="24"/>
        </w:rPr>
        <w:fldChar w:fldCharType="begin"/>
      </w:r>
      <w:r w:rsidRPr="005E067A">
        <w:rPr>
          <w:rFonts w:ascii="Arial Narrow" w:hAnsi="Arial Narrow"/>
          <w:sz w:val="24"/>
          <w:szCs w:val="24"/>
        </w:rPr>
        <w:instrText xml:space="preserve"> SEQ Cuadro_No. \* ARABIC </w:instrText>
      </w:r>
      <w:r w:rsidRPr="005E067A">
        <w:rPr>
          <w:rFonts w:ascii="Arial Narrow" w:hAnsi="Arial Narrow"/>
          <w:sz w:val="24"/>
          <w:szCs w:val="24"/>
        </w:rPr>
        <w:fldChar w:fldCharType="separate"/>
      </w:r>
      <w:r w:rsidR="009D5823">
        <w:rPr>
          <w:rFonts w:ascii="Arial Narrow" w:hAnsi="Arial Narrow"/>
          <w:noProof/>
          <w:sz w:val="24"/>
          <w:szCs w:val="24"/>
        </w:rPr>
        <w:t>38</w:t>
      </w:r>
      <w:r w:rsidRPr="005E067A">
        <w:rPr>
          <w:rFonts w:ascii="Arial Narrow" w:hAnsi="Arial Narrow"/>
          <w:sz w:val="24"/>
          <w:szCs w:val="24"/>
        </w:rPr>
        <w:fldChar w:fldCharType="end"/>
      </w:r>
      <w:r w:rsidRPr="005E067A">
        <w:rPr>
          <w:rFonts w:ascii="Arial Narrow" w:hAnsi="Arial Narrow"/>
          <w:sz w:val="24"/>
          <w:szCs w:val="24"/>
        </w:rPr>
        <w:t xml:space="preserve"> </w:t>
      </w:r>
      <w:r w:rsidRPr="005E067A">
        <w:rPr>
          <w:rFonts w:ascii="Arial Narrow" w:eastAsia="Calibri" w:hAnsi="Arial Narrow"/>
          <w:sz w:val="24"/>
          <w:szCs w:val="24"/>
        </w:rPr>
        <w:t>Metas estratégicas de Participación Ciudadana, y su cumplimiento para el 2019</w:t>
      </w:r>
      <w:r>
        <w:rPr>
          <w:rFonts w:ascii="Arial Narrow" w:eastAsia="Calibri" w:hAnsi="Arial Narrow"/>
          <w:sz w:val="24"/>
          <w:szCs w:val="24"/>
        </w:rPr>
        <w:t xml:space="preserve"> y 2020.</w:t>
      </w:r>
      <w:bookmarkEnd w:id="69"/>
    </w:p>
    <w:p w14:paraId="54DAA947" w14:textId="77777777" w:rsidR="000A50FC" w:rsidRPr="00704B08" w:rsidRDefault="000A50FC" w:rsidP="00704B08">
      <w:pPr>
        <w:rPr>
          <w:rFonts w:eastAsia="Calibri"/>
        </w:rPr>
      </w:pPr>
    </w:p>
    <w:p w14:paraId="175F456D" w14:textId="7A075B77" w:rsidR="000A50FC" w:rsidRDefault="000A50FC" w:rsidP="00704B08">
      <w:pPr>
        <w:jc w:val="center"/>
        <w:rPr>
          <w:rFonts w:eastAsia="Calibri"/>
        </w:rPr>
      </w:pPr>
      <w:r>
        <w:rPr>
          <w:noProof/>
          <w:lang w:val="es-CR" w:eastAsia="es-CR"/>
        </w:rPr>
        <w:drawing>
          <wp:inline distT="0" distB="0" distL="0" distR="0" wp14:anchorId="074CCBA3" wp14:editId="5E254315">
            <wp:extent cx="7289874" cy="2647414"/>
            <wp:effectExtent l="57150" t="57150" r="101600" b="95885"/>
            <wp:docPr id="177" name="Imagen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7342882" cy="2666665"/>
                    </a:xfrm>
                    <a:prstGeom prst="rect">
                      <a:avLst/>
                    </a:prstGeom>
                    <a:ln w="9525" cap="sq">
                      <a:solidFill>
                        <a:srgbClr val="00B0F0"/>
                      </a:solidFill>
                      <a:prstDash val="solid"/>
                      <a:miter lim="800000"/>
                    </a:ln>
                    <a:effectLst>
                      <a:outerShdw blurRad="50800" dist="38100" dir="2700000" algn="tl" rotWithShape="0">
                        <a:srgbClr val="000000">
                          <a:alpha val="43000"/>
                        </a:srgbClr>
                      </a:outerShdw>
                    </a:effectLst>
                  </pic:spPr>
                </pic:pic>
              </a:graphicData>
            </a:graphic>
          </wp:inline>
        </w:drawing>
      </w:r>
    </w:p>
    <w:p w14:paraId="707EE7C0" w14:textId="261DDFDA" w:rsidR="000A50FC" w:rsidRPr="00A618D8" w:rsidRDefault="000A50FC" w:rsidP="00704B08">
      <w:pPr>
        <w:ind w:left="708" w:firstLine="708"/>
        <w:rPr>
          <w:rFonts w:ascii="Arial Narrow" w:hAnsi="Arial Narrow"/>
          <w:lang w:val="es-ES"/>
        </w:rPr>
      </w:pPr>
      <w:r>
        <w:rPr>
          <w:rFonts w:ascii="Arial Narrow" w:eastAsia="Calibri" w:hAnsi="Arial Narrow"/>
          <w:sz w:val="18"/>
          <w:szCs w:val="18"/>
          <w:lang w:eastAsia="en-US"/>
        </w:rPr>
        <w:t xml:space="preserve"> </w:t>
      </w:r>
      <w:r w:rsidRPr="000B4845">
        <w:rPr>
          <w:rFonts w:ascii="Arial Narrow" w:eastAsia="Calibri" w:hAnsi="Arial Narrow"/>
          <w:sz w:val="18"/>
          <w:szCs w:val="18"/>
          <w:lang w:eastAsia="en-US"/>
        </w:rPr>
        <w:t>Fuente: Sistema PEI al 24 de enero del 2020 (año 2019)</w:t>
      </w:r>
      <w:r>
        <w:rPr>
          <w:rFonts w:ascii="Arial Narrow" w:eastAsia="Calibri" w:hAnsi="Arial Narrow"/>
          <w:sz w:val="18"/>
          <w:szCs w:val="18"/>
          <w:lang w:eastAsia="en-US"/>
        </w:rPr>
        <w:t xml:space="preserve"> y 04 de marzo del 2021 (año 2020).</w:t>
      </w:r>
    </w:p>
    <w:p w14:paraId="3EBF9A61" w14:textId="77777777" w:rsidR="009D5823" w:rsidRDefault="009D5823" w:rsidP="00976DDE">
      <w:pPr>
        <w:rPr>
          <w:rFonts w:eastAsia="Calibri"/>
        </w:rPr>
        <w:sectPr w:rsidR="009D5823" w:rsidSect="009D5823">
          <w:pgSz w:w="15842" w:h="12242" w:orient="landscape" w:code="1"/>
          <w:pgMar w:top="1417" w:right="1701" w:bottom="1417" w:left="1701" w:header="709" w:footer="709" w:gutter="0"/>
          <w:cols w:space="708"/>
          <w:docGrid w:linePitch="360"/>
        </w:sectPr>
      </w:pPr>
    </w:p>
    <w:p w14:paraId="30289C22" w14:textId="77777777" w:rsidR="000A50FC" w:rsidRDefault="000A50FC" w:rsidP="00976DDE">
      <w:pPr>
        <w:rPr>
          <w:rFonts w:eastAsia="Calibri"/>
        </w:rPr>
      </w:pPr>
    </w:p>
    <w:p w14:paraId="1B0D1E7F" w14:textId="0C29897B" w:rsidR="00E0466F" w:rsidRPr="00704B08" w:rsidRDefault="00220A74">
      <w:pPr>
        <w:spacing w:line="360" w:lineRule="auto"/>
        <w:jc w:val="both"/>
        <w:rPr>
          <w:rFonts w:eastAsia="Calibri"/>
          <w:b/>
          <w:bCs/>
        </w:rPr>
      </w:pPr>
      <w:r w:rsidRPr="003D06EB">
        <w:rPr>
          <w:rFonts w:ascii="Arial Narrow" w:eastAsia="Calibri" w:hAnsi="Arial Narrow"/>
        </w:rPr>
        <w:t>La meta estratégica</w:t>
      </w:r>
      <w:r w:rsidR="005220CE" w:rsidRPr="00704B08">
        <w:rPr>
          <w:rFonts w:ascii="Arial Narrow" w:eastAsia="Calibri" w:hAnsi="Arial Narrow"/>
          <w:b/>
          <w:bCs/>
        </w:rPr>
        <w:t xml:space="preserve"> </w:t>
      </w:r>
      <w:r w:rsidRPr="00704B08">
        <w:rPr>
          <w:rFonts w:ascii="Arial Narrow" w:eastAsia="Calibri" w:hAnsi="Arial Narrow"/>
          <w:b/>
          <w:bCs/>
        </w:rPr>
        <w:t>“</w:t>
      </w:r>
      <w:r w:rsidR="005220CE" w:rsidRPr="00704B08">
        <w:rPr>
          <w:rFonts w:ascii="Arial Narrow" w:eastAsia="Calibri" w:hAnsi="Arial Narrow"/>
          <w:b/>
          <w:bCs/>
          <w:i/>
          <w:iCs/>
        </w:rPr>
        <w:t>Que al finalizar el 2024, se haya implementado una metodología que permita medir la percepción y el grado de confianza de la sociedad sobre el Poder Judicial</w:t>
      </w:r>
      <w:r w:rsidRPr="00704B08">
        <w:rPr>
          <w:rFonts w:ascii="Arial Narrow" w:eastAsia="Calibri" w:hAnsi="Arial Narrow"/>
          <w:b/>
          <w:bCs/>
        </w:rPr>
        <w:t>”</w:t>
      </w:r>
      <w:r w:rsidR="003D06EB">
        <w:rPr>
          <w:rFonts w:ascii="Arial Narrow" w:eastAsia="Calibri" w:hAnsi="Arial Narrow"/>
          <w:b/>
          <w:bCs/>
        </w:rPr>
        <w:t>,</w:t>
      </w:r>
      <w:r w:rsidR="000A50FC" w:rsidRPr="00704B08">
        <w:rPr>
          <w:rFonts w:ascii="Arial Narrow" w:eastAsia="Calibri" w:hAnsi="Arial Narrow"/>
          <w:b/>
          <w:bCs/>
        </w:rPr>
        <w:t xml:space="preserve">  </w:t>
      </w:r>
      <w:r w:rsidR="000A50FC" w:rsidRPr="00704B08">
        <w:rPr>
          <w:rFonts w:ascii="Arial Narrow" w:eastAsia="Calibri" w:hAnsi="Arial Narrow"/>
        </w:rPr>
        <w:t>para los años 2019 y 2020 s</w:t>
      </w:r>
      <w:r w:rsidR="00E0466F">
        <w:rPr>
          <w:rFonts w:ascii="Arial Narrow" w:eastAsia="Calibri" w:hAnsi="Arial Narrow"/>
        </w:rPr>
        <w:t xml:space="preserve">e han llevado a cabo esfuerzos </w:t>
      </w:r>
      <w:r w:rsidR="00E0466F" w:rsidRPr="000B4845">
        <w:rPr>
          <w:rFonts w:ascii="Arial Narrow" w:eastAsia="Calibri" w:hAnsi="Arial Narrow"/>
        </w:rPr>
        <w:t>por parte de la Contraloría de Servicios, sede Central</w:t>
      </w:r>
      <w:r w:rsidR="00E0466F">
        <w:rPr>
          <w:rFonts w:ascii="Arial Narrow" w:eastAsia="Calibri" w:hAnsi="Arial Narrow"/>
        </w:rPr>
        <w:t xml:space="preserve"> con respecto a la implementación de </w:t>
      </w:r>
      <w:r w:rsidR="00E0466F" w:rsidRPr="000B4845">
        <w:rPr>
          <w:rFonts w:ascii="Arial Narrow" w:eastAsia="Calibri" w:hAnsi="Arial Narrow"/>
        </w:rPr>
        <w:t xml:space="preserve"> una metodología que permita medir la percepción y el grado de confianza de la sociedad sobre el Poder Judicial, como parte del proyecto PEI "Medición de la satisfacción y la confianza en los servicios que brinda el Poder Judicial", se realizaron entregables como Experiencias Previas desarrolladas por el Poder Judicial y otras organizaciones, sobre satisfacción y confianza en el Sistema Judicial Costarricense y el entregable: Consentimiento informado para obtener los datos de las personas usuarias de la institución.</w:t>
      </w:r>
    </w:p>
    <w:p w14:paraId="0DB8C5D2" w14:textId="0489C1CA" w:rsidR="005220CE" w:rsidRPr="00704B08" w:rsidRDefault="005220CE">
      <w:pPr>
        <w:rPr>
          <w:rFonts w:eastAsia="Calibri"/>
          <w:b/>
          <w:bCs/>
        </w:rPr>
      </w:pPr>
    </w:p>
    <w:p w14:paraId="420341CB" w14:textId="308BEFED" w:rsidR="003976F3" w:rsidRPr="00704B08" w:rsidRDefault="000A50FC" w:rsidP="00704B08">
      <w:pPr>
        <w:spacing w:line="360" w:lineRule="auto"/>
        <w:jc w:val="both"/>
        <w:rPr>
          <w:rFonts w:ascii="Arial Narrow" w:eastAsia="Calibri" w:hAnsi="Arial Narrow"/>
          <w:b/>
          <w:bCs/>
        </w:rPr>
      </w:pPr>
      <w:r w:rsidRPr="00704B08">
        <w:rPr>
          <w:rFonts w:ascii="Arial Narrow" w:eastAsia="Calibri" w:hAnsi="Arial Narrow"/>
        </w:rPr>
        <w:t>En cuanto a la m</w:t>
      </w:r>
      <w:r w:rsidR="005220CE" w:rsidRPr="00704B08">
        <w:rPr>
          <w:rFonts w:ascii="Arial Narrow" w:eastAsia="Calibri" w:hAnsi="Arial Narrow"/>
        </w:rPr>
        <w:t>eta</w:t>
      </w:r>
      <w:r w:rsidR="005220CE" w:rsidRPr="00704B08">
        <w:rPr>
          <w:rFonts w:ascii="Arial Narrow" w:eastAsia="Calibri" w:hAnsi="Arial Narrow"/>
          <w:b/>
          <w:bCs/>
        </w:rPr>
        <w:t xml:space="preserve"> </w:t>
      </w:r>
      <w:r w:rsidR="00220A74" w:rsidRPr="009D5823">
        <w:rPr>
          <w:rFonts w:ascii="Arial Narrow" w:eastAsia="Calibri" w:hAnsi="Arial Narrow"/>
          <w:b/>
          <w:bCs/>
        </w:rPr>
        <w:t>“</w:t>
      </w:r>
      <w:r w:rsidR="005220CE" w:rsidRPr="00704B08">
        <w:rPr>
          <w:rFonts w:ascii="Arial Narrow" w:eastAsia="Calibri" w:hAnsi="Arial Narrow"/>
          <w:b/>
          <w:bCs/>
          <w:i/>
          <w:iCs/>
        </w:rPr>
        <w:t>Que al finalizar el 2024, se hayan implementado las acciones definidas en el plan de acción de la Política de Participación Ciudadana</w:t>
      </w:r>
      <w:r w:rsidR="00220A74" w:rsidRPr="009D5823">
        <w:rPr>
          <w:rFonts w:ascii="Arial Narrow" w:eastAsia="Calibri" w:hAnsi="Arial Narrow"/>
          <w:b/>
          <w:bCs/>
        </w:rPr>
        <w:t>”</w:t>
      </w:r>
      <w:r w:rsidR="003D06EB">
        <w:rPr>
          <w:rFonts w:ascii="Arial Narrow" w:eastAsia="Calibri" w:hAnsi="Arial Narrow"/>
          <w:b/>
          <w:bCs/>
        </w:rPr>
        <w:t>,</w:t>
      </w:r>
      <w:r w:rsidRPr="009D5823">
        <w:rPr>
          <w:rFonts w:ascii="Arial Narrow" w:eastAsia="Calibri" w:hAnsi="Arial Narrow"/>
          <w:b/>
          <w:bCs/>
        </w:rPr>
        <w:t xml:space="preserve"> </w:t>
      </w:r>
      <w:r w:rsidRPr="00704B08">
        <w:rPr>
          <w:rFonts w:ascii="Arial Narrow" w:eastAsia="Calibri" w:hAnsi="Arial Narrow"/>
        </w:rPr>
        <w:t>s</w:t>
      </w:r>
      <w:r w:rsidR="003976F3" w:rsidRPr="00704B08">
        <w:rPr>
          <w:rFonts w:ascii="Arial Narrow" w:hAnsi="Arial Narrow" w:cs="Calibri"/>
          <w:color w:val="000000"/>
          <w:lang w:val="es-CR" w:eastAsia="es-CR"/>
        </w:rPr>
        <w:t>e define</w:t>
      </w:r>
      <w:r w:rsidR="00AC0694">
        <w:rPr>
          <w:rFonts w:ascii="Arial Narrow" w:hAnsi="Arial Narrow" w:cs="Calibri"/>
          <w:color w:val="000000"/>
          <w:lang w:val="es-CR" w:eastAsia="es-CR"/>
        </w:rPr>
        <w:t xml:space="preserve"> para los años 2019 y 2020</w:t>
      </w:r>
      <w:r w:rsidR="003976F3" w:rsidRPr="00704B08">
        <w:rPr>
          <w:rFonts w:ascii="Arial Narrow" w:hAnsi="Arial Narrow" w:cs="Calibri"/>
          <w:color w:val="000000"/>
          <w:lang w:val="es-CR" w:eastAsia="es-CR"/>
        </w:rPr>
        <w:t xml:space="preserve"> plan</w:t>
      </w:r>
      <w:r w:rsidR="00AC0694">
        <w:rPr>
          <w:rFonts w:ascii="Arial Narrow" w:hAnsi="Arial Narrow" w:cs="Calibri"/>
          <w:color w:val="000000"/>
          <w:lang w:val="es-CR" w:eastAsia="es-CR"/>
        </w:rPr>
        <w:t>es</w:t>
      </w:r>
      <w:r w:rsidR="003976F3" w:rsidRPr="00704B08">
        <w:rPr>
          <w:rFonts w:ascii="Arial Narrow" w:hAnsi="Arial Narrow" w:cs="Calibri"/>
          <w:color w:val="000000"/>
          <w:lang w:val="es-CR" w:eastAsia="es-CR"/>
        </w:rPr>
        <w:t xml:space="preserve"> de trabajo congruente</w:t>
      </w:r>
      <w:r w:rsidR="00AC0694">
        <w:rPr>
          <w:rFonts w:ascii="Arial Narrow" w:hAnsi="Arial Narrow" w:cs="Calibri"/>
          <w:color w:val="000000"/>
          <w:lang w:val="es-CR" w:eastAsia="es-CR"/>
        </w:rPr>
        <w:t>s</w:t>
      </w:r>
      <w:r w:rsidR="003976F3" w:rsidRPr="00704B08">
        <w:rPr>
          <w:rFonts w:ascii="Arial Narrow" w:hAnsi="Arial Narrow" w:cs="Calibri"/>
          <w:color w:val="000000"/>
          <w:lang w:val="es-CR" w:eastAsia="es-CR"/>
        </w:rPr>
        <w:t xml:space="preserve"> con el plan de acción de la política de participación ciudadana, actividades programadas en el plan de acción de la política de participación ciudadana, </w:t>
      </w:r>
      <w:r w:rsidR="003976F3" w:rsidRPr="00287356">
        <w:rPr>
          <w:rFonts w:ascii="Arial Narrow" w:hAnsi="Arial Narrow" w:cs="Calibri"/>
          <w:color w:val="000000"/>
          <w:lang w:val="es-CR" w:eastAsia="es-CR"/>
        </w:rPr>
        <w:t>así</w:t>
      </w:r>
      <w:r w:rsidR="003976F3" w:rsidRPr="00704B08">
        <w:rPr>
          <w:rFonts w:ascii="Arial Narrow" w:hAnsi="Arial Narrow" w:cs="Calibri"/>
          <w:color w:val="000000"/>
          <w:lang w:val="es-CR" w:eastAsia="es-CR"/>
        </w:rPr>
        <w:t xml:space="preserve"> como identificación de los requerimientos tecnológicos para el desarrollo de sistemas informáticos que permitan desarrollar el plan. </w:t>
      </w:r>
    </w:p>
    <w:p w14:paraId="2369A733" w14:textId="77777777" w:rsidR="00B97C38" w:rsidRPr="000B4845" w:rsidRDefault="00B97C38" w:rsidP="008B6366">
      <w:pPr>
        <w:rPr>
          <w:rFonts w:ascii="Arial Narrow" w:eastAsia="Calibri" w:hAnsi="Arial Narrow"/>
          <w:lang w:eastAsia="en-US"/>
        </w:rPr>
      </w:pPr>
    </w:p>
    <w:p w14:paraId="06098073" w14:textId="13F0E6B5" w:rsidR="005305D8" w:rsidRPr="000B4845" w:rsidRDefault="00194BB6" w:rsidP="005E067A">
      <w:pPr>
        <w:pStyle w:val="Ttulo3"/>
        <w:numPr>
          <w:ilvl w:val="0"/>
          <w:numId w:val="62"/>
        </w:numPr>
        <w:rPr>
          <w:rFonts w:ascii="Arial Narrow" w:eastAsia="Calibri" w:hAnsi="Arial Narrow"/>
          <w:lang w:val="es-CR"/>
        </w:rPr>
      </w:pPr>
      <w:bookmarkStart w:id="70" w:name="_Toc84919354"/>
      <w:r>
        <w:rPr>
          <w:rFonts w:ascii="Arial Narrow" w:eastAsia="Calibri" w:hAnsi="Arial Narrow"/>
          <w:lang w:val="es-CR"/>
        </w:rPr>
        <w:t xml:space="preserve">5.3 </w:t>
      </w:r>
      <w:r w:rsidR="008B6366" w:rsidRPr="00C30E3B">
        <w:rPr>
          <w:rFonts w:ascii="Arial Narrow" w:eastAsia="Calibri" w:hAnsi="Arial Narrow"/>
          <w:lang w:val="es-CR"/>
        </w:rPr>
        <w:t>Tema estratégico: Optimización e innovación de los servicios judiciales</w:t>
      </w:r>
      <w:bookmarkEnd w:id="70"/>
    </w:p>
    <w:p w14:paraId="1D380F36" w14:textId="4C1536B1" w:rsidR="00D02E3C" w:rsidRDefault="00D02E3C" w:rsidP="00D02E3C">
      <w:pPr>
        <w:rPr>
          <w:rFonts w:eastAsia="Calibri"/>
          <w:lang w:eastAsia="en-US"/>
        </w:rPr>
      </w:pPr>
    </w:p>
    <w:p w14:paraId="64DFFC1D" w14:textId="66C90468" w:rsidR="00AA65CB" w:rsidRPr="000B4845" w:rsidRDefault="00AA65CB" w:rsidP="00D02E3C">
      <w:pPr>
        <w:rPr>
          <w:rFonts w:eastAsia="Calibri"/>
          <w:lang w:eastAsia="en-US"/>
        </w:rPr>
      </w:pPr>
    </w:p>
    <w:p w14:paraId="3C2587EC" w14:textId="5BCB6949" w:rsidR="008B6366" w:rsidRDefault="00B97C38" w:rsidP="00B97C38">
      <w:pPr>
        <w:spacing w:line="360" w:lineRule="auto"/>
        <w:jc w:val="both"/>
        <w:rPr>
          <w:rFonts w:ascii="Arial Narrow" w:eastAsia="Calibri" w:hAnsi="Arial Narrow"/>
          <w:lang w:eastAsia="en-US"/>
        </w:rPr>
      </w:pPr>
      <w:r w:rsidRPr="000B4845">
        <w:rPr>
          <w:rFonts w:ascii="Arial Narrow" w:eastAsia="Calibri" w:hAnsi="Arial Narrow"/>
          <w:lang w:eastAsia="en-US"/>
        </w:rPr>
        <w:t xml:space="preserve">Este tema </w:t>
      </w:r>
      <w:r w:rsidR="00D10E54" w:rsidRPr="000B4845">
        <w:rPr>
          <w:rFonts w:ascii="Arial Narrow" w:eastAsia="Calibri" w:hAnsi="Arial Narrow"/>
          <w:lang w:eastAsia="en-US"/>
        </w:rPr>
        <w:t>está</w:t>
      </w:r>
      <w:r w:rsidRPr="000B4845">
        <w:rPr>
          <w:rFonts w:ascii="Arial Narrow" w:eastAsia="Calibri" w:hAnsi="Arial Narrow"/>
          <w:lang w:eastAsia="en-US"/>
        </w:rPr>
        <w:t xml:space="preserve"> relacionado con optimizar los recursos institucionales e impulsar la innovación de los procesos judiciales, para agilizar los servicios de justicia. Sobre las acciones estratégicas relacionadas son: </w:t>
      </w:r>
    </w:p>
    <w:p w14:paraId="2592F85A" w14:textId="77777777" w:rsidR="008B0FDD" w:rsidRPr="000B4845" w:rsidRDefault="008B0FDD" w:rsidP="00B97C38">
      <w:pPr>
        <w:spacing w:line="360" w:lineRule="auto"/>
        <w:jc w:val="both"/>
        <w:rPr>
          <w:rFonts w:ascii="Arial Narrow" w:eastAsia="Calibri" w:hAnsi="Arial Narrow"/>
          <w:lang w:eastAsia="en-US"/>
        </w:rPr>
      </w:pPr>
    </w:p>
    <w:p w14:paraId="33ABB5D8" w14:textId="77777777" w:rsidR="00D10E54" w:rsidRPr="000B4845" w:rsidRDefault="00B97C38" w:rsidP="00D10E54">
      <w:pPr>
        <w:pStyle w:val="Prrafodelista"/>
        <w:numPr>
          <w:ilvl w:val="0"/>
          <w:numId w:val="24"/>
        </w:numPr>
        <w:spacing w:line="360" w:lineRule="auto"/>
        <w:jc w:val="both"/>
        <w:rPr>
          <w:rFonts w:ascii="Arial Narrow" w:eastAsia="Calibri" w:hAnsi="Arial Narrow"/>
          <w:lang w:eastAsia="en-US"/>
        </w:rPr>
      </w:pPr>
      <w:r w:rsidRPr="000B4845">
        <w:rPr>
          <w:rFonts w:ascii="Arial Narrow" w:eastAsia="Calibri" w:hAnsi="Arial Narrow"/>
          <w:b/>
          <w:bCs/>
          <w:lang w:eastAsia="en-US"/>
        </w:rPr>
        <w:t>Desarrollo y optimización de servicios y procesos judiciales</w:t>
      </w:r>
      <w:r w:rsidRPr="000B4845">
        <w:rPr>
          <w:rFonts w:ascii="Arial Narrow" w:eastAsia="Calibri" w:hAnsi="Arial Narrow"/>
          <w:lang w:eastAsia="en-US"/>
        </w:rPr>
        <w:t>: Implementar procesos estandarizados para la gestión judicial, técnica y administrativa, que agilicen y faciliten el trámite de los asuntos con el fin de mejorar el servicio de justicia brindado.</w:t>
      </w:r>
    </w:p>
    <w:p w14:paraId="07E9913E" w14:textId="77777777" w:rsidR="00D10E54" w:rsidRPr="000B4845" w:rsidRDefault="00B97C38" w:rsidP="00D10E54">
      <w:pPr>
        <w:pStyle w:val="Prrafodelista"/>
        <w:numPr>
          <w:ilvl w:val="0"/>
          <w:numId w:val="24"/>
        </w:numPr>
        <w:spacing w:line="360" w:lineRule="auto"/>
        <w:jc w:val="both"/>
        <w:rPr>
          <w:rFonts w:ascii="Arial Narrow" w:eastAsia="Calibri" w:hAnsi="Arial Narrow"/>
          <w:lang w:eastAsia="en-US"/>
        </w:rPr>
      </w:pPr>
      <w:r w:rsidRPr="000B4845">
        <w:rPr>
          <w:rFonts w:ascii="Arial Narrow" w:eastAsia="Calibri" w:hAnsi="Arial Narrow"/>
          <w:b/>
          <w:bCs/>
          <w:lang w:eastAsia="en-US"/>
        </w:rPr>
        <w:t>Servicios tecnológicos</w:t>
      </w:r>
      <w:r w:rsidRPr="000B4845">
        <w:rPr>
          <w:rFonts w:ascii="Arial Narrow" w:eastAsia="Calibri" w:hAnsi="Arial Narrow"/>
          <w:lang w:eastAsia="en-US"/>
        </w:rPr>
        <w:t>: Implementar soluciones tecnológicas estandarizadas, innovadoras e integrales para una gestión judicial, técnica y administrativa eficiente.</w:t>
      </w:r>
    </w:p>
    <w:p w14:paraId="4EBBD593" w14:textId="77777777" w:rsidR="00D10E54" w:rsidRPr="000B4845" w:rsidRDefault="00B97C38" w:rsidP="00D10E54">
      <w:pPr>
        <w:pStyle w:val="Prrafodelista"/>
        <w:numPr>
          <w:ilvl w:val="0"/>
          <w:numId w:val="24"/>
        </w:numPr>
        <w:spacing w:line="360" w:lineRule="auto"/>
        <w:jc w:val="both"/>
        <w:rPr>
          <w:rFonts w:ascii="Arial Narrow" w:eastAsia="Calibri" w:hAnsi="Arial Narrow"/>
          <w:lang w:eastAsia="en-US"/>
        </w:rPr>
      </w:pPr>
      <w:r w:rsidRPr="000B4845">
        <w:rPr>
          <w:rFonts w:ascii="Arial Narrow" w:eastAsia="Calibri" w:hAnsi="Arial Narrow"/>
          <w:b/>
          <w:bCs/>
          <w:lang w:eastAsia="en-US"/>
        </w:rPr>
        <w:lastRenderedPageBreak/>
        <w:t>Leyes y reformas:</w:t>
      </w:r>
      <w:r w:rsidRPr="000B4845">
        <w:rPr>
          <w:rFonts w:ascii="Arial Narrow" w:eastAsia="Calibri" w:hAnsi="Arial Narrow"/>
          <w:lang w:eastAsia="en-US"/>
        </w:rPr>
        <w:t xml:space="preserve"> Impulsar la aprobación y revisión de proyectos y reformas de Ley, así como normativa interna que impacten el funcionamiento y estructura del Poder Judicial y sus dependencias.</w:t>
      </w:r>
    </w:p>
    <w:p w14:paraId="2DA7CE5F" w14:textId="77777777" w:rsidR="00D10E54" w:rsidRPr="000B4845" w:rsidRDefault="00B97C38" w:rsidP="00D10E54">
      <w:pPr>
        <w:pStyle w:val="Prrafodelista"/>
        <w:numPr>
          <w:ilvl w:val="0"/>
          <w:numId w:val="24"/>
        </w:numPr>
        <w:spacing w:line="360" w:lineRule="auto"/>
        <w:jc w:val="both"/>
        <w:rPr>
          <w:rFonts w:ascii="Arial Narrow" w:eastAsia="Calibri" w:hAnsi="Arial Narrow"/>
          <w:lang w:eastAsia="en-US"/>
        </w:rPr>
      </w:pPr>
      <w:r w:rsidRPr="000B4845">
        <w:rPr>
          <w:rFonts w:ascii="Arial Narrow" w:eastAsia="Calibri" w:hAnsi="Arial Narrow"/>
          <w:b/>
          <w:bCs/>
          <w:lang w:eastAsia="en-US"/>
        </w:rPr>
        <w:t>Modalidades alternativas de trabajo:</w:t>
      </w:r>
      <w:r w:rsidRPr="000B4845">
        <w:rPr>
          <w:rFonts w:ascii="Arial Narrow" w:eastAsia="Calibri" w:hAnsi="Arial Narrow"/>
          <w:lang w:eastAsia="en-US"/>
        </w:rPr>
        <w:t xml:space="preserve"> Contar con diferentes modalidades alternas de trabajo que permitan alcanzar los objetivos institucionales y brindar un servicio público de calidad.</w:t>
      </w:r>
    </w:p>
    <w:p w14:paraId="09AA4ACD" w14:textId="19A4D86C" w:rsidR="00B97C38" w:rsidRPr="000B4845" w:rsidRDefault="00B97C38" w:rsidP="00D10E54">
      <w:pPr>
        <w:pStyle w:val="Prrafodelista"/>
        <w:numPr>
          <w:ilvl w:val="0"/>
          <w:numId w:val="24"/>
        </w:numPr>
        <w:spacing w:line="360" w:lineRule="auto"/>
        <w:jc w:val="both"/>
        <w:rPr>
          <w:rFonts w:ascii="Arial Narrow" w:eastAsia="Calibri" w:hAnsi="Arial Narrow"/>
          <w:lang w:eastAsia="en-US"/>
        </w:rPr>
      </w:pPr>
      <w:r w:rsidRPr="000B4845">
        <w:rPr>
          <w:rFonts w:ascii="Arial Narrow" w:eastAsia="Calibri" w:hAnsi="Arial Narrow"/>
          <w:b/>
          <w:bCs/>
          <w:lang w:eastAsia="en-US"/>
        </w:rPr>
        <w:t>Buenas prácticas:</w:t>
      </w:r>
      <w:r w:rsidRPr="000B4845">
        <w:rPr>
          <w:rFonts w:ascii="Arial Narrow" w:eastAsia="Calibri" w:hAnsi="Arial Narrow"/>
          <w:lang w:eastAsia="en-US"/>
        </w:rPr>
        <w:t xml:space="preserve"> Participar e involucrar a las oficinas judiciales en el Programa de Buenas Prácticas, con el fin de innovar y mejorar los servicios de justicia.</w:t>
      </w:r>
    </w:p>
    <w:p w14:paraId="62073DC3" w14:textId="000BC8DD" w:rsidR="00B97C38" w:rsidRDefault="00B97C38" w:rsidP="008B6366">
      <w:pPr>
        <w:rPr>
          <w:rFonts w:ascii="Arial Narrow" w:eastAsia="Calibri" w:hAnsi="Arial Narrow"/>
          <w:lang w:eastAsia="en-US"/>
        </w:rPr>
      </w:pPr>
    </w:p>
    <w:p w14:paraId="5F25739D" w14:textId="596FCCA6" w:rsidR="008254FA" w:rsidRPr="009D5823" w:rsidRDefault="008254FA" w:rsidP="008B6366">
      <w:pPr>
        <w:rPr>
          <w:rFonts w:ascii="Arial Narrow" w:eastAsia="Calibri" w:hAnsi="Arial Narrow"/>
          <w:lang w:eastAsia="en-US"/>
        </w:rPr>
      </w:pPr>
      <w:r>
        <w:rPr>
          <w:rFonts w:ascii="Arial Narrow" w:eastAsia="Calibri" w:hAnsi="Arial Narrow"/>
          <w:lang w:eastAsia="en-US"/>
        </w:rPr>
        <w:t xml:space="preserve">Se presenta el </w:t>
      </w:r>
      <w:r w:rsidRPr="009D5823">
        <w:rPr>
          <w:rFonts w:ascii="Arial Narrow" w:eastAsia="Calibri" w:hAnsi="Arial Narrow"/>
          <w:lang w:eastAsia="en-US"/>
        </w:rPr>
        <w:t>análisis de metas estratégicas agrupadas por la acción estratégica a la que pertenecen:</w:t>
      </w:r>
    </w:p>
    <w:p w14:paraId="50722C75" w14:textId="79C69A74" w:rsidR="00D10E54" w:rsidRPr="00704B08" w:rsidRDefault="009547D6" w:rsidP="005E067A">
      <w:pPr>
        <w:pStyle w:val="Ttulo4"/>
        <w:numPr>
          <w:ilvl w:val="0"/>
          <w:numId w:val="62"/>
        </w:numPr>
        <w:rPr>
          <w:rFonts w:ascii="Arial Narrow" w:eastAsia="Calibri" w:hAnsi="Arial Narrow"/>
          <w:lang w:val="es-CR"/>
        </w:rPr>
      </w:pPr>
      <w:r>
        <w:rPr>
          <w:rFonts w:ascii="Arial Narrow" w:eastAsia="Calibri" w:hAnsi="Arial Narrow"/>
          <w:lang w:val="es-CR"/>
        </w:rPr>
        <w:t xml:space="preserve">5.3.1. </w:t>
      </w:r>
      <w:r w:rsidR="00D10E54" w:rsidRPr="00704B08">
        <w:rPr>
          <w:rFonts w:ascii="Arial Narrow" w:eastAsia="Calibri" w:hAnsi="Arial Narrow"/>
          <w:lang w:val="es-CR"/>
        </w:rPr>
        <w:t>Desarrollo y optimización de servicios y procesos judiciales</w:t>
      </w:r>
    </w:p>
    <w:p w14:paraId="49F32B49" w14:textId="2A6D4CFC" w:rsidR="00EC36C0" w:rsidRPr="00704B08" w:rsidRDefault="00EC36C0" w:rsidP="00EC36C0">
      <w:pPr>
        <w:rPr>
          <w:rFonts w:ascii="Arial Narrow" w:eastAsia="Calibri" w:hAnsi="Arial Narrow"/>
          <w:lang w:eastAsia="en-US"/>
        </w:rPr>
      </w:pPr>
    </w:p>
    <w:p w14:paraId="493EA872" w14:textId="1EC43491" w:rsidR="00AC0694" w:rsidRPr="00704B08" w:rsidRDefault="00AC0694" w:rsidP="00704B08">
      <w:pPr>
        <w:spacing w:line="360" w:lineRule="auto"/>
        <w:jc w:val="both"/>
        <w:rPr>
          <w:rFonts w:ascii="Arial Narrow" w:eastAsia="Calibri" w:hAnsi="Arial Narrow"/>
          <w:lang w:eastAsia="en-US"/>
        </w:rPr>
      </w:pPr>
    </w:p>
    <w:p w14:paraId="4720525B" w14:textId="63AFD788" w:rsidR="00D10E54" w:rsidRPr="009D5823" w:rsidRDefault="00220A74" w:rsidP="00704B08">
      <w:pPr>
        <w:spacing w:line="360" w:lineRule="auto"/>
        <w:jc w:val="both"/>
        <w:rPr>
          <w:rFonts w:ascii="Arial Narrow" w:eastAsia="Calibri" w:hAnsi="Arial Narrow"/>
        </w:rPr>
      </w:pPr>
      <w:r>
        <w:rPr>
          <w:rFonts w:ascii="Arial Narrow" w:hAnsi="Arial Narrow" w:cs="Book Antiqua"/>
          <w:snapToGrid w:val="0"/>
        </w:rPr>
        <w:t xml:space="preserve">Esta acción </w:t>
      </w:r>
      <w:r w:rsidR="00BB381A">
        <w:rPr>
          <w:rFonts w:ascii="Arial Narrow" w:hAnsi="Arial Narrow" w:cs="Book Antiqua"/>
          <w:snapToGrid w:val="0"/>
        </w:rPr>
        <w:t>se encuentra</w:t>
      </w:r>
      <w:r>
        <w:rPr>
          <w:rFonts w:ascii="Arial Narrow" w:hAnsi="Arial Narrow" w:cs="Book Antiqua"/>
          <w:snapToGrid w:val="0"/>
        </w:rPr>
        <w:t xml:space="preserve"> integrada por</w:t>
      </w:r>
      <w:r w:rsidR="00160086" w:rsidRPr="009D5823">
        <w:rPr>
          <w:rFonts w:ascii="Arial Narrow" w:hAnsi="Arial Narrow" w:cs="Book Antiqua"/>
          <w:snapToGrid w:val="0"/>
        </w:rPr>
        <w:t xml:space="preserve"> 29 metas estratégicas, de las cuales solamente </w:t>
      </w:r>
      <w:r>
        <w:rPr>
          <w:rFonts w:ascii="Arial Narrow" w:hAnsi="Arial Narrow" w:cs="Book Antiqua"/>
          <w:snapToGrid w:val="0"/>
        </w:rPr>
        <w:t>una</w:t>
      </w:r>
      <w:r w:rsidR="00160086" w:rsidRPr="009D5823">
        <w:rPr>
          <w:rFonts w:ascii="Arial Narrow" w:hAnsi="Arial Narrow" w:cs="Book Antiqua"/>
          <w:snapToGrid w:val="0"/>
        </w:rPr>
        <w:t xml:space="preserve"> quedó con un cumplimiento parcial</w:t>
      </w:r>
      <w:r>
        <w:rPr>
          <w:rFonts w:ascii="Arial Narrow" w:eastAsia="Calibri" w:hAnsi="Arial Narrow"/>
        </w:rPr>
        <w:t xml:space="preserve">. </w:t>
      </w:r>
      <w:r w:rsidR="00D10E54" w:rsidRPr="009D5823">
        <w:rPr>
          <w:rFonts w:ascii="Arial Narrow" w:eastAsia="Calibri" w:hAnsi="Arial Narrow"/>
        </w:rPr>
        <w:t>Se muestran las metas estratégicas y su cumplimiento para el 2019</w:t>
      </w:r>
      <w:r w:rsidR="00711654" w:rsidRPr="009D5823">
        <w:rPr>
          <w:rFonts w:ascii="Arial Narrow" w:eastAsia="Calibri" w:hAnsi="Arial Narrow"/>
        </w:rPr>
        <w:t xml:space="preserve"> y 2020</w:t>
      </w:r>
      <w:r w:rsidR="008B0FDD" w:rsidRPr="009D5823">
        <w:rPr>
          <w:rFonts w:ascii="Arial Narrow" w:eastAsia="Calibri" w:hAnsi="Arial Narrow"/>
        </w:rPr>
        <w:t>:</w:t>
      </w:r>
    </w:p>
    <w:p w14:paraId="7469ECBB" w14:textId="77777777" w:rsidR="009D5823" w:rsidRDefault="009D5823" w:rsidP="008B6366">
      <w:pPr>
        <w:rPr>
          <w:rFonts w:ascii="Arial Narrow" w:eastAsia="Calibri" w:hAnsi="Arial Narrow"/>
          <w:lang w:eastAsia="en-US"/>
        </w:rPr>
        <w:sectPr w:rsidR="009D5823" w:rsidSect="009D5823">
          <w:pgSz w:w="12242" w:h="15842" w:code="1"/>
          <w:pgMar w:top="1701" w:right="1417" w:bottom="1701" w:left="1417" w:header="709" w:footer="709" w:gutter="0"/>
          <w:cols w:space="708"/>
          <w:docGrid w:linePitch="360"/>
        </w:sectPr>
      </w:pPr>
    </w:p>
    <w:p w14:paraId="0B2C6FE1" w14:textId="6C5E3025" w:rsidR="00B97C38" w:rsidRPr="009D5823" w:rsidRDefault="00B97C38" w:rsidP="008B6366">
      <w:pPr>
        <w:rPr>
          <w:rFonts w:ascii="Arial Narrow" w:eastAsia="Calibri" w:hAnsi="Arial Narrow"/>
          <w:lang w:eastAsia="en-US"/>
        </w:rPr>
      </w:pPr>
    </w:p>
    <w:p w14:paraId="1B79B809" w14:textId="279604BE" w:rsidR="00D657CE" w:rsidRDefault="00D657CE" w:rsidP="008B6366">
      <w:pPr>
        <w:rPr>
          <w:rFonts w:ascii="Arial Narrow" w:eastAsia="Calibri" w:hAnsi="Arial Narrow"/>
          <w:lang w:eastAsia="en-US"/>
        </w:rPr>
      </w:pPr>
    </w:p>
    <w:p w14:paraId="4140ADD6" w14:textId="6BEC7497" w:rsidR="00D657CE" w:rsidRPr="002100DF" w:rsidRDefault="00D657CE" w:rsidP="00484CC1">
      <w:pPr>
        <w:pStyle w:val="Descripcin"/>
        <w:jc w:val="center"/>
        <w:rPr>
          <w:rFonts w:ascii="Arial Narrow" w:eastAsia="Calibri" w:hAnsi="Arial Narrow"/>
          <w:lang w:eastAsia="en-US"/>
        </w:rPr>
      </w:pPr>
      <w:bookmarkStart w:id="71" w:name="_Toc76062262"/>
      <w:r w:rsidRPr="00484CC1">
        <w:rPr>
          <w:rFonts w:ascii="Arial Narrow" w:hAnsi="Arial Narrow"/>
          <w:sz w:val="24"/>
          <w:szCs w:val="24"/>
        </w:rPr>
        <w:t>Cuadro</w:t>
      </w:r>
      <w:r w:rsidR="008B0FDD">
        <w:rPr>
          <w:rFonts w:ascii="Arial Narrow" w:hAnsi="Arial Narrow"/>
          <w:sz w:val="24"/>
          <w:szCs w:val="24"/>
        </w:rPr>
        <w:t xml:space="preserve"> </w:t>
      </w:r>
      <w:r w:rsidRPr="00484CC1">
        <w:rPr>
          <w:rFonts w:ascii="Arial Narrow" w:hAnsi="Arial Narrow"/>
          <w:sz w:val="24"/>
          <w:szCs w:val="24"/>
        </w:rPr>
        <w:fldChar w:fldCharType="begin"/>
      </w:r>
      <w:r w:rsidRPr="00484CC1">
        <w:rPr>
          <w:rFonts w:ascii="Arial Narrow" w:hAnsi="Arial Narrow"/>
          <w:sz w:val="24"/>
          <w:szCs w:val="24"/>
        </w:rPr>
        <w:instrText xml:space="preserve"> SEQ Cuadro_No. \* ARABIC </w:instrText>
      </w:r>
      <w:r w:rsidRPr="00484CC1">
        <w:rPr>
          <w:rFonts w:ascii="Arial Narrow" w:hAnsi="Arial Narrow"/>
          <w:sz w:val="24"/>
          <w:szCs w:val="24"/>
        </w:rPr>
        <w:fldChar w:fldCharType="separate"/>
      </w:r>
      <w:r w:rsidR="00A70B40">
        <w:rPr>
          <w:rFonts w:ascii="Arial Narrow" w:hAnsi="Arial Narrow"/>
          <w:noProof/>
          <w:sz w:val="24"/>
          <w:szCs w:val="24"/>
        </w:rPr>
        <w:t>39</w:t>
      </w:r>
      <w:r w:rsidRPr="00484CC1">
        <w:rPr>
          <w:rFonts w:ascii="Arial Narrow" w:hAnsi="Arial Narrow"/>
          <w:sz w:val="24"/>
          <w:szCs w:val="24"/>
        </w:rPr>
        <w:fldChar w:fldCharType="end"/>
      </w:r>
      <w:r w:rsidRPr="00484CC1">
        <w:rPr>
          <w:rFonts w:ascii="Arial Narrow" w:hAnsi="Arial Narrow"/>
          <w:sz w:val="24"/>
          <w:szCs w:val="24"/>
        </w:rPr>
        <w:t xml:space="preserve"> </w:t>
      </w:r>
      <w:r w:rsidRPr="00D657CE">
        <w:rPr>
          <w:rFonts w:ascii="Arial Narrow" w:eastAsia="Calibri" w:hAnsi="Arial Narrow"/>
          <w:sz w:val="24"/>
          <w:szCs w:val="24"/>
        </w:rPr>
        <w:t>Metas estratégicas de Desarrollo y optimización de servicios y procesos judiciales, y su cumplimiento para el 2019</w:t>
      </w:r>
      <w:r w:rsidR="00711654">
        <w:rPr>
          <w:rFonts w:ascii="Arial Narrow" w:eastAsia="Calibri" w:hAnsi="Arial Narrow"/>
          <w:sz w:val="24"/>
          <w:szCs w:val="24"/>
        </w:rPr>
        <w:t xml:space="preserve"> y 2020.</w:t>
      </w:r>
      <w:bookmarkEnd w:id="71"/>
    </w:p>
    <w:p w14:paraId="02C7E9D8" w14:textId="7B1BEB88" w:rsidR="00EC36C0" w:rsidRDefault="00EC36C0">
      <w:pPr>
        <w:rPr>
          <w:rFonts w:ascii="Arial Narrow" w:eastAsia="Calibri" w:hAnsi="Arial Narrow"/>
          <w:lang w:eastAsia="en-US"/>
        </w:rPr>
      </w:pPr>
    </w:p>
    <w:p w14:paraId="7EDB16F3" w14:textId="7D2A7A52" w:rsidR="008B0FDD" w:rsidRDefault="009E6DA2" w:rsidP="008B6366">
      <w:pPr>
        <w:rPr>
          <w:rFonts w:ascii="Arial Narrow" w:eastAsia="Calibri" w:hAnsi="Arial Narrow"/>
          <w:lang w:eastAsia="en-US"/>
        </w:rPr>
      </w:pPr>
      <w:r>
        <w:rPr>
          <w:noProof/>
          <w:lang w:val="es-CR" w:eastAsia="es-CR"/>
        </w:rPr>
        <w:drawing>
          <wp:inline distT="0" distB="0" distL="0" distR="0" wp14:anchorId="4E71C149" wp14:editId="5D9509E7">
            <wp:extent cx="7897340" cy="2750445"/>
            <wp:effectExtent l="57150" t="57150" r="104140" b="88265"/>
            <wp:docPr id="134" name="Imagen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1"/>
                    <a:srcRect b="1953"/>
                    <a:stretch/>
                  </pic:blipFill>
                  <pic:spPr bwMode="auto">
                    <a:xfrm>
                      <a:off x="0" y="0"/>
                      <a:ext cx="7903606" cy="2752627"/>
                    </a:xfrm>
                    <a:prstGeom prst="rect">
                      <a:avLst/>
                    </a:prstGeom>
                    <a:ln w="9525" cap="sq" cmpd="sng" algn="ctr">
                      <a:solidFill>
                        <a:srgbClr val="00B0F0"/>
                      </a:solidFill>
                      <a:prstDash val="solid"/>
                      <a:miter lim="800000"/>
                      <a:headEnd type="none" w="med" len="med"/>
                      <a:tailEnd type="none" w="med" len="med"/>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bookmarkStart w:id="72" w:name="_Hlk54878246"/>
    </w:p>
    <w:p w14:paraId="05E19758" w14:textId="77777777" w:rsidR="009E6DA2" w:rsidRDefault="009E6DA2" w:rsidP="009E6DA2">
      <w:pPr>
        <w:ind w:left="-142" w:firstLine="850"/>
        <w:rPr>
          <w:rFonts w:ascii="Arial Narrow" w:eastAsia="Calibri" w:hAnsi="Arial Narrow"/>
          <w:sz w:val="18"/>
          <w:szCs w:val="18"/>
          <w:lang w:eastAsia="en-US"/>
        </w:rPr>
      </w:pPr>
      <w:r w:rsidRPr="000B4845">
        <w:rPr>
          <w:rFonts w:ascii="Arial Narrow" w:eastAsia="Calibri" w:hAnsi="Arial Narrow"/>
          <w:sz w:val="18"/>
          <w:szCs w:val="18"/>
          <w:lang w:eastAsia="en-US"/>
        </w:rPr>
        <w:t>Fuente: Sistema PEI al 24 de enero del 2020 (año 2019)</w:t>
      </w:r>
      <w:r>
        <w:rPr>
          <w:rFonts w:ascii="Arial Narrow" w:eastAsia="Calibri" w:hAnsi="Arial Narrow"/>
          <w:sz w:val="18"/>
          <w:szCs w:val="18"/>
          <w:lang w:eastAsia="en-US"/>
        </w:rPr>
        <w:t xml:space="preserve"> y 04 de marzo del 2021 (año 2020).</w:t>
      </w:r>
    </w:p>
    <w:p w14:paraId="44A293C7" w14:textId="77777777" w:rsidR="00EA6FD5" w:rsidRDefault="00EA6FD5" w:rsidP="00BB3C4F">
      <w:pPr>
        <w:spacing w:line="360" w:lineRule="auto"/>
        <w:jc w:val="both"/>
        <w:rPr>
          <w:rFonts w:ascii="Arial Narrow" w:eastAsia="Calibri" w:hAnsi="Arial Narrow"/>
          <w:lang w:eastAsia="en-US"/>
        </w:rPr>
      </w:pPr>
    </w:p>
    <w:p w14:paraId="447B1972" w14:textId="77777777" w:rsidR="009D5823" w:rsidRDefault="009D5823">
      <w:pPr>
        <w:spacing w:line="360" w:lineRule="auto"/>
        <w:jc w:val="both"/>
        <w:rPr>
          <w:rFonts w:ascii="Arial Narrow" w:eastAsia="Calibri" w:hAnsi="Arial Narrow"/>
          <w:lang w:eastAsia="en-US"/>
        </w:rPr>
        <w:sectPr w:rsidR="009D5823" w:rsidSect="009D5823">
          <w:pgSz w:w="15842" w:h="12242" w:orient="landscape" w:code="1"/>
          <w:pgMar w:top="1417" w:right="1701" w:bottom="1417" w:left="1701" w:header="709" w:footer="709" w:gutter="0"/>
          <w:cols w:space="708"/>
          <w:docGrid w:linePitch="360"/>
        </w:sectPr>
      </w:pPr>
    </w:p>
    <w:bookmarkEnd w:id="72"/>
    <w:p w14:paraId="40E7D9C1" w14:textId="03803270" w:rsidR="00495D8F" w:rsidRPr="00704B08" w:rsidRDefault="00220A74" w:rsidP="00A5186A">
      <w:pPr>
        <w:spacing w:line="360" w:lineRule="auto"/>
        <w:jc w:val="both"/>
        <w:rPr>
          <w:rFonts w:ascii="Arial Narrow" w:hAnsi="Arial Narrow" w:cs="Calibri"/>
          <w:b/>
          <w:bCs/>
          <w:color w:val="000000"/>
          <w:lang w:val="es-CR" w:eastAsia="es-CR"/>
        </w:rPr>
      </w:pPr>
      <w:r w:rsidRPr="00704B08">
        <w:rPr>
          <w:rFonts w:ascii="Arial Narrow" w:hAnsi="Arial Narrow" w:cs="Calibri"/>
          <w:color w:val="000000"/>
          <w:lang w:val="es-CR" w:eastAsia="es-CR"/>
        </w:rPr>
        <w:lastRenderedPageBreak/>
        <w:t xml:space="preserve">Con respecto a la meta </w:t>
      </w:r>
      <w:r w:rsidRPr="009D5823">
        <w:rPr>
          <w:rFonts w:ascii="Arial Narrow" w:hAnsi="Arial Narrow" w:cs="Calibri"/>
          <w:color w:val="000000"/>
          <w:lang w:val="es-CR" w:eastAsia="es-CR"/>
        </w:rPr>
        <w:t>estratégica</w:t>
      </w:r>
      <w:r w:rsidR="00DD4259" w:rsidRPr="00704B08">
        <w:rPr>
          <w:rFonts w:ascii="Arial Narrow" w:hAnsi="Arial Narrow" w:cs="Calibri"/>
          <w:b/>
          <w:bCs/>
          <w:color w:val="000000"/>
          <w:lang w:val="es-CR" w:eastAsia="es-CR"/>
        </w:rPr>
        <w:t xml:space="preserve"> </w:t>
      </w:r>
      <w:r>
        <w:rPr>
          <w:rFonts w:ascii="Arial Narrow" w:hAnsi="Arial Narrow" w:cs="Calibri"/>
          <w:b/>
          <w:bCs/>
          <w:color w:val="000000"/>
          <w:lang w:val="es-CR" w:eastAsia="es-CR"/>
        </w:rPr>
        <w:t>“</w:t>
      </w:r>
      <w:r w:rsidR="00DD4259" w:rsidRPr="00704B08">
        <w:rPr>
          <w:rFonts w:ascii="Arial Narrow" w:hAnsi="Arial Narrow" w:cs="Calibri"/>
          <w:b/>
          <w:bCs/>
          <w:i/>
          <w:iCs/>
          <w:color w:val="000000"/>
          <w:lang w:val="es-CR" w:eastAsia="es-CR"/>
        </w:rPr>
        <w:t>Que al finalizar el 2024, se hayan implementado procesos estandarizados en las oficinas del Ministerio Público, considerando las particularidades de sus oficinas</w:t>
      </w:r>
      <w:r>
        <w:rPr>
          <w:rFonts w:ascii="Arial Narrow" w:hAnsi="Arial Narrow" w:cs="Calibri"/>
          <w:b/>
          <w:bCs/>
          <w:color w:val="000000"/>
          <w:lang w:val="es-CR" w:eastAsia="es-CR"/>
        </w:rPr>
        <w:t>”</w:t>
      </w:r>
      <w:r w:rsidR="003D06EB">
        <w:rPr>
          <w:rFonts w:ascii="Arial Narrow" w:hAnsi="Arial Narrow" w:cs="Calibri"/>
          <w:b/>
          <w:bCs/>
          <w:color w:val="000000"/>
          <w:lang w:val="es-CR" w:eastAsia="es-CR"/>
        </w:rPr>
        <w:t>,</w:t>
      </w:r>
      <w:r>
        <w:rPr>
          <w:rFonts w:ascii="Arial Narrow" w:eastAsia="Calibri" w:hAnsi="Arial Narrow"/>
        </w:rPr>
        <w:t xml:space="preserve"> e</w:t>
      </w:r>
      <w:r w:rsidR="0042124D" w:rsidRPr="00484CC1">
        <w:rPr>
          <w:rFonts w:ascii="Arial Narrow" w:eastAsia="Calibri" w:hAnsi="Arial Narrow"/>
        </w:rPr>
        <w:t>s importante señalar que en la Matriz del PEI 2019-2024 se incluy</w:t>
      </w:r>
      <w:r w:rsidR="0042124D">
        <w:rPr>
          <w:rFonts w:ascii="Arial Narrow" w:eastAsia="Calibri" w:hAnsi="Arial Narrow"/>
        </w:rPr>
        <w:t>ó esta</w:t>
      </w:r>
      <w:r w:rsidR="0042124D" w:rsidRPr="00484CC1">
        <w:rPr>
          <w:rFonts w:ascii="Arial Narrow" w:eastAsia="Calibri" w:hAnsi="Arial Narrow"/>
        </w:rPr>
        <w:t xml:space="preserve"> meta estratégica</w:t>
      </w:r>
      <w:r w:rsidR="0042124D">
        <w:rPr>
          <w:rFonts w:ascii="Arial Narrow" w:eastAsia="Calibri" w:hAnsi="Arial Narrow"/>
          <w:b/>
          <w:bCs/>
          <w:i/>
          <w:iCs/>
        </w:rPr>
        <w:t>,</w:t>
      </w:r>
      <w:r w:rsidR="0042124D" w:rsidRPr="00484CC1">
        <w:rPr>
          <w:rFonts w:ascii="Arial Narrow" w:eastAsia="Calibri" w:hAnsi="Arial Narrow"/>
        </w:rPr>
        <w:t xml:space="preserve"> la cual de acuerdo con la revisión efectuada se logró determinar que no se asoció a ningún PAO de oficina para el 2019, sin embargo, se retomó para cumplirse en el 2020 por medio de la ejecución operativa. </w:t>
      </w:r>
      <w:r w:rsidR="0042124D">
        <w:rPr>
          <w:rFonts w:ascii="Arial Narrow" w:eastAsia="Calibri" w:hAnsi="Arial Narrow"/>
        </w:rPr>
        <w:t>Sin embargo, la Dirección de Planificación realizó los informes 676-PLA-RH-EV-2019 y el 497-PLA-RH-OI-2020 que son esfuerzos que se han venido dando con la finalidad de implementar y darle seguimiento al Sistema de Seguimiento de Casos, el nuevo sistema SIAG-PJ y los rediseños del modelo penal en el Ministerio Público, Defensa Pública y Organismo de Investigación Judicial.</w:t>
      </w:r>
    </w:p>
    <w:p w14:paraId="5CCD6BB8" w14:textId="77777777" w:rsidR="009E6DA2" w:rsidRPr="00704B08" w:rsidRDefault="009E6DA2" w:rsidP="00A5186A">
      <w:pPr>
        <w:spacing w:line="360" w:lineRule="auto"/>
        <w:jc w:val="both"/>
        <w:rPr>
          <w:rFonts w:ascii="Arial Narrow" w:eastAsia="Calibri" w:hAnsi="Arial Narrow"/>
        </w:rPr>
      </w:pPr>
    </w:p>
    <w:p w14:paraId="1E4C4603" w14:textId="4FD30C76" w:rsidR="00495D8F" w:rsidRDefault="0042124D" w:rsidP="00495D8F">
      <w:pPr>
        <w:spacing w:line="360" w:lineRule="auto"/>
        <w:jc w:val="both"/>
        <w:rPr>
          <w:rFonts w:ascii="Arial Narrow" w:hAnsi="Arial Narrow"/>
        </w:rPr>
      </w:pPr>
      <w:r>
        <w:rPr>
          <w:rFonts w:ascii="Arial Narrow" w:hAnsi="Arial Narrow"/>
        </w:rPr>
        <w:t>En cuanto al año 2020, e</w:t>
      </w:r>
      <w:r w:rsidR="00495D8F" w:rsidRPr="00704B08">
        <w:rPr>
          <w:rFonts w:ascii="Arial Narrow" w:hAnsi="Arial Narrow"/>
        </w:rPr>
        <w:t xml:space="preserve">l Ministerio Público identificó los requerimientos tecnológicos para la estandarización de procesos administrativos en la fiscalía general, las fiscalías territoriales y fiscalías especializadas y oficinas administrativas y fueron remitidos a la Dirección de Tecnología para el </w:t>
      </w:r>
      <w:r w:rsidR="005B015D" w:rsidRPr="00495D8F">
        <w:rPr>
          <w:rFonts w:ascii="Arial Narrow" w:hAnsi="Arial Narrow"/>
        </w:rPr>
        <w:t>trámite</w:t>
      </w:r>
      <w:r w:rsidR="00495D8F" w:rsidRPr="00704B08">
        <w:rPr>
          <w:rFonts w:ascii="Arial Narrow" w:hAnsi="Arial Narrow"/>
        </w:rPr>
        <w:t xml:space="preserve"> correspondiente como se muestra a continuación: </w:t>
      </w:r>
    </w:p>
    <w:p w14:paraId="73C2B790" w14:textId="77777777" w:rsidR="0042124D" w:rsidRPr="00704B08" w:rsidRDefault="0042124D">
      <w:pPr>
        <w:spacing w:line="360" w:lineRule="auto"/>
        <w:jc w:val="both"/>
        <w:rPr>
          <w:rFonts w:ascii="Arial Narrow" w:hAnsi="Arial Narrow"/>
        </w:rPr>
      </w:pPr>
    </w:p>
    <w:p w14:paraId="533901BC" w14:textId="2A626408" w:rsidR="00DE30FD" w:rsidRPr="00704B08" w:rsidRDefault="00DE30FD" w:rsidP="00704B08">
      <w:pPr>
        <w:pStyle w:val="Textoindependiente2"/>
        <w:numPr>
          <w:ilvl w:val="0"/>
          <w:numId w:val="92"/>
        </w:numPr>
        <w:spacing w:line="360" w:lineRule="auto"/>
        <w:rPr>
          <w:rFonts w:ascii="Arial Narrow" w:hAnsi="Arial Narrow"/>
          <w:color w:val="000000"/>
          <w:lang w:val="es-CR" w:eastAsia="es-CR"/>
        </w:rPr>
      </w:pPr>
      <w:r w:rsidRPr="00704B08">
        <w:rPr>
          <w:rFonts w:ascii="Arial Narrow" w:hAnsi="Arial Narrow"/>
          <w:b w:val="0"/>
          <w:bCs w:val="0"/>
          <w:color w:val="000000"/>
        </w:rPr>
        <w:t xml:space="preserve">Se </w:t>
      </w:r>
      <w:r w:rsidR="00220A74">
        <w:rPr>
          <w:rFonts w:ascii="Arial Narrow" w:hAnsi="Arial Narrow"/>
          <w:b w:val="0"/>
          <w:bCs w:val="0"/>
          <w:color w:val="000000"/>
        </w:rPr>
        <w:t>t</w:t>
      </w:r>
      <w:r w:rsidR="00495D8F" w:rsidRPr="00704B08">
        <w:rPr>
          <w:rFonts w:ascii="Arial Narrow" w:hAnsi="Arial Narrow"/>
          <w:b w:val="0"/>
          <w:bCs w:val="0"/>
          <w:color w:val="000000"/>
        </w:rPr>
        <w:t>rabajó</w:t>
      </w:r>
      <w:r w:rsidRPr="00704B08">
        <w:rPr>
          <w:rFonts w:ascii="Arial Narrow" w:hAnsi="Arial Narrow"/>
          <w:b w:val="0"/>
          <w:bCs w:val="0"/>
          <w:color w:val="000000"/>
        </w:rPr>
        <w:t xml:space="preserve"> en el diseño y elaboración para la automatización de la etapa preparatoria de la Memoria Anual. </w:t>
      </w:r>
    </w:p>
    <w:p w14:paraId="4D046F80" w14:textId="1BA44938" w:rsidR="00DE30FD" w:rsidRPr="00704B08" w:rsidRDefault="00DE30FD" w:rsidP="00704B08">
      <w:pPr>
        <w:pStyle w:val="Textoindependiente2"/>
        <w:numPr>
          <w:ilvl w:val="0"/>
          <w:numId w:val="92"/>
        </w:numPr>
        <w:spacing w:line="360" w:lineRule="auto"/>
        <w:rPr>
          <w:rFonts w:ascii="Arial Narrow" w:hAnsi="Arial Narrow"/>
          <w:color w:val="000000"/>
        </w:rPr>
      </w:pPr>
      <w:r w:rsidRPr="00704B08">
        <w:rPr>
          <w:rFonts w:ascii="Arial Narrow" w:hAnsi="Arial Narrow"/>
          <w:b w:val="0"/>
          <w:bCs w:val="0"/>
          <w:color w:val="000000"/>
        </w:rPr>
        <w:t>Adicionalmente se coordinaron temas relacionados para el desarrollo de la matriz de indicadores de gestión</w:t>
      </w:r>
      <w:r w:rsidR="00495D8F" w:rsidRPr="00704B08">
        <w:rPr>
          <w:rFonts w:ascii="Arial Narrow" w:hAnsi="Arial Narrow"/>
          <w:b w:val="0"/>
          <w:bCs w:val="0"/>
          <w:color w:val="000000"/>
        </w:rPr>
        <w:t xml:space="preserve"> y se envió</w:t>
      </w:r>
      <w:r w:rsidR="00220A74">
        <w:rPr>
          <w:rFonts w:ascii="Arial Narrow" w:hAnsi="Arial Narrow"/>
          <w:b w:val="0"/>
          <w:bCs w:val="0"/>
          <w:color w:val="000000"/>
        </w:rPr>
        <w:t xml:space="preserve"> al</w:t>
      </w:r>
      <w:r w:rsidR="00495D8F" w:rsidRPr="00704B08">
        <w:rPr>
          <w:rFonts w:ascii="Arial Narrow" w:hAnsi="Arial Narrow"/>
          <w:b w:val="0"/>
          <w:bCs w:val="0"/>
          <w:color w:val="000000"/>
        </w:rPr>
        <w:t xml:space="preserve"> </w:t>
      </w:r>
      <w:r w:rsidRPr="00704B08">
        <w:rPr>
          <w:rFonts w:ascii="Arial Narrow" w:hAnsi="Arial Narrow"/>
          <w:b w:val="0"/>
          <w:bCs w:val="0"/>
          <w:color w:val="000000"/>
        </w:rPr>
        <w:t>Sub</w:t>
      </w:r>
      <w:r w:rsidR="00220A74">
        <w:rPr>
          <w:rFonts w:ascii="Arial Narrow" w:hAnsi="Arial Narrow"/>
          <w:b w:val="0"/>
          <w:bCs w:val="0"/>
          <w:color w:val="000000"/>
        </w:rPr>
        <w:t>p</w:t>
      </w:r>
      <w:r w:rsidRPr="00704B08">
        <w:rPr>
          <w:rFonts w:ascii="Arial Narrow" w:hAnsi="Arial Narrow"/>
          <w:b w:val="0"/>
          <w:bCs w:val="0"/>
          <w:color w:val="000000"/>
        </w:rPr>
        <w:t>roceso de Estadística</w:t>
      </w:r>
      <w:r w:rsidR="00495D8F" w:rsidRPr="00704B08">
        <w:rPr>
          <w:rFonts w:ascii="Arial Narrow" w:hAnsi="Arial Narrow"/>
          <w:b w:val="0"/>
          <w:bCs w:val="0"/>
          <w:color w:val="000000"/>
        </w:rPr>
        <w:t xml:space="preserve"> para su validación</w:t>
      </w:r>
      <w:r w:rsidRPr="00704B08">
        <w:rPr>
          <w:rFonts w:ascii="Arial Narrow" w:hAnsi="Arial Narrow"/>
          <w:b w:val="0"/>
          <w:bCs w:val="0"/>
          <w:color w:val="000000"/>
        </w:rPr>
        <w:t>. </w:t>
      </w:r>
    </w:p>
    <w:p w14:paraId="3E36520C" w14:textId="75671023" w:rsidR="00DE30FD" w:rsidRPr="00704B08" w:rsidRDefault="00DE30FD" w:rsidP="00704B08">
      <w:pPr>
        <w:pStyle w:val="Textoindependiente2"/>
        <w:numPr>
          <w:ilvl w:val="0"/>
          <w:numId w:val="92"/>
        </w:numPr>
        <w:spacing w:line="360" w:lineRule="auto"/>
        <w:rPr>
          <w:rFonts w:ascii="Arial Narrow" w:hAnsi="Arial Narrow"/>
          <w:color w:val="000000"/>
        </w:rPr>
      </w:pPr>
      <w:r w:rsidRPr="00704B08">
        <w:rPr>
          <w:rFonts w:ascii="Arial Narrow" w:hAnsi="Arial Narrow"/>
          <w:b w:val="0"/>
          <w:bCs w:val="0"/>
          <w:color w:val="000000"/>
        </w:rPr>
        <w:t xml:space="preserve">Se </w:t>
      </w:r>
      <w:r w:rsidR="00495D8F" w:rsidRPr="00704B08">
        <w:rPr>
          <w:rFonts w:ascii="Arial Narrow" w:hAnsi="Arial Narrow"/>
          <w:b w:val="0"/>
          <w:bCs w:val="0"/>
          <w:color w:val="000000"/>
        </w:rPr>
        <w:t>solicitó</w:t>
      </w:r>
      <w:r w:rsidRPr="00704B08">
        <w:rPr>
          <w:rFonts w:ascii="Arial Narrow" w:hAnsi="Arial Narrow"/>
          <w:b w:val="0"/>
          <w:bCs w:val="0"/>
          <w:color w:val="000000"/>
        </w:rPr>
        <w:t xml:space="preserve"> e implement</w:t>
      </w:r>
      <w:r w:rsidR="00495D8F" w:rsidRPr="00704B08">
        <w:rPr>
          <w:rFonts w:ascii="Arial Narrow" w:hAnsi="Arial Narrow"/>
          <w:b w:val="0"/>
          <w:bCs w:val="0"/>
          <w:color w:val="000000"/>
        </w:rPr>
        <w:t>ó</w:t>
      </w:r>
      <w:r w:rsidRPr="00704B08">
        <w:rPr>
          <w:rFonts w:ascii="Arial Narrow" w:hAnsi="Arial Narrow"/>
          <w:b w:val="0"/>
          <w:bCs w:val="0"/>
          <w:color w:val="000000"/>
        </w:rPr>
        <w:t xml:space="preserve"> </w:t>
      </w:r>
      <w:r w:rsidR="00495D8F" w:rsidRPr="00704B08">
        <w:rPr>
          <w:rFonts w:ascii="Arial Narrow" w:hAnsi="Arial Narrow"/>
          <w:b w:val="0"/>
          <w:bCs w:val="0"/>
          <w:color w:val="000000"/>
        </w:rPr>
        <w:t xml:space="preserve">diferentes </w:t>
      </w:r>
      <w:r w:rsidRPr="00704B08">
        <w:rPr>
          <w:rFonts w:ascii="Arial Narrow" w:hAnsi="Arial Narrow"/>
          <w:b w:val="0"/>
          <w:bCs w:val="0"/>
          <w:color w:val="000000"/>
        </w:rPr>
        <w:t xml:space="preserve">consultas </w:t>
      </w:r>
      <w:r w:rsidR="00495D8F" w:rsidRPr="00704B08">
        <w:rPr>
          <w:rFonts w:ascii="Arial Narrow" w:hAnsi="Arial Narrow"/>
          <w:b w:val="0"/>
          <w:bCs w:val="0"/>
          <w:color w:val="000000"/>
        </w:rPr>
        <w:t>en el sistema SIGMA</w:t>
      </w:r>
      <w:r w:rsidRPr="00704B08">
        <w:rPr>
          <w:rFonts w:ascii="Arial Narrow" w:hAnsi="Arial Narrow"/>
          <w:b w:val="0"/>
          <w:bCs w:val="0"/>
          <w:color w:val="000000"/>
        </w:rPr>
        <w:t xml:space="preserve"> para la utilización y generación a nivel de</w:t>
      </w:r>
      <w:r w:rsidR="00495D8F" w:rsidRPr="00704B08">
        <w:rPr>
          <w:rFonts w:ascii="Arial Narrow" w:hAnsi="Arial Narrow"/>
          <w:b w:val="0"/>
          <w:bCs w:val="0"/>
          <w:color w:val="000000"/>
        </w:rPr>
        <w:t>l</w:t>
      </w:r>
      <w:r w:rsidRPr="00704B08">
        <w:rPr>
          <w:rFonts w:ascii="Arial Narrow" w:hAnsi="Arial Narrow"/>
          <w:b w:val="0"/>
          <w:bCs w:val="0"/>
          <w:color w:val="000000"/>
        </w:rPr>
        <w:t xml:space="preserve"> M</w:t>
      </w:r>
      <w:r w:rsidR="00495D8F" w:rsidRPr="00704B08">
        <w:rPr>
          <w:rFonts w:ascii="Arial Narrow" w:hAnsi="Arial Narrow"/>
          <w:b w:val="0"/>
          <w:bCs w:val="0"/>
          <w:color w:val="000000"/>
        </w:rPr>
        <w:t>inisterio Público</w:t>
      </w:r>
      <w:r w:rsidRPr="00704B08">
        <w:rPr>
          <w:rFonts w:ascii="Arial Narrow" w:hAnsi="Arial Narrow"/>
          <w:b w:val="0"/>
          <w:bCs w:val="0"/>
          <w:color w:val="000000"/>
        </w:rPr>
        <w:t xml:space="preserve">, específicamente un consolidado de </w:t>
      </w:r>
      <w:r w:rsidR="00495D8F" w:rsidRPr="00704B08">
        <w:rPr>
          <w:rFonts w:ascii="Arial Narrow" w:hAnsi="Arial Narrow"/>
          <w:b w:val="0"/>
          <w:bCs w:val="0"/>
          <w:color w:val="000000"/>
        </w:rPr>
        <w:t>antigüedad</w:t>
      </w:r>
      <w:r w:rsidRPr="00704B08">
        <w:rPr>
          <w:rFonts w:ascii="Arial Narrow" w:hAnsi="Arial Narrow"/>
          <w:b w:val="0"/>
          <w:bCs w:val="0"/>
          <w:color w:val="000000"/>
        </w:rPr>
        <w:t xml:space="preserve"> del Circulante Final por Fiscalía, con corte mensual el cual incluya </w:t>
      </w:r>
      <w:r w:rsidR="00495D8F" w:rsidRPr="00704B08">
        <w:rPr>
          <w:rFonts w:ascii="Arial Narrow" w:hAnsi="Arial Narrow"/>
          <w:b w:val="0"/>
          <w:bCs w:val="0"/>
          <w:color w:val="000000"/>
        </w:rPr>
        <w:t>antigüedad</w:t>
      </w:r>
      <w:r w:rsidRPr="00704B08">
        <w:rPr>
          <w:rFonts w:ascii="Arial Narrow" w:hAnsi="Arial Narrow"/>
          <w:b w:val="0"/>
          <w:bCs w:val="0"/>
          <w:color w:val="000000"/>
        </w:rPr>
        <w:t xml:space="preserve"> de los expedientes según fecha de inicio, agrupación por delitos estadísticos, por despacho, por circuito, por estado, con top de categorías y además </w:t>
      </w:r>
      <w:r w:rsidR="00495D8F" w:rsidRPr="00704B08">
        <w:rPr>
          <w:rFonts w:ascii="Arial Narrow" w:hAnsi="Arial Narrow"/>
          <w:b w:val="0"/>
          <w:bCs w:val="0"/>
          <w:color w:val="000000"/>
        </w:rPr>
        <w:t xml:space="preserve">muestre </w:t>
      </w:r>
      <w:r w:rsidRPr="00704B08">
        <w:rPr>
          <w:rFonts w:ascii="Arial Narrow" w:hAnsi="Arial Narrow"/>
          <w:b w:val="0"/>
          <w:bCs w:val="0"/>
          <w:color w:val="000000"/>
        </w:rPr>
        <w:t>gráficos. </w:t>
      </w:r>
    </w:p>
    <w:p w14:paraId="04414784" w14:textId="6D978A19" w:rsidR="00DE30FD" w:rsidRPr="00704B08" w:rsidRDefault="00DE30FD" w:rsidP="00495D8F">
      <w:pPr>
        <w:pStyle w:val="Prrafodelista"/>
        <w:numPr>
          <w:ilvl w:val="0"/>
          <w:numId w:val="92"/>
        </w:numPr>
        <w:spacing w:line="360" w:lineRule="auto"/>
        <w:jc w:val="both"/>
        <w:rPr>
          <w:rFonts w:ascii="Arial Narrow" w:hAnsi="Arial Narrow" w:cs="Calibri"/>
          <w:color w:val="000000"/>
          <w:lang w:val="es-CR" w:eastAsia="es-CR"/>
        </w:rPr>
      </w:pPr>
      <w:r w:rsidRPr="00704B08">
        <w:rPr>
          <w:rFonts w:ascii="Arial Narrow" w:hAnsi="Arial Narrow"/>
          <w:color w:val="000000"/>
        </w:rPr>
        <w:t>De igual manera</w:t>
      </w:r>
      <w:r w:rsidR="00220A74">
        <w:rPr>
          <w:rFonts w:ascii="Arial Narrow" w:hAnsi="Arial Narrow"/>
          <w:color w:val="000000"/>
        </w:rPr>
        <w:t>,</w:t>
      </w:r>
      <w:r w:rsidRPr="00704B08">
        <w:rPr>
          <w:rFonts w:ascii="Arial Narrow" w:hAnsi="Arial Narrow"/>
          <w:color w:val="000000"/>
        </w:rPr>
        <w:t xml:space="preserve"> se solicitó a nivel de sistemas la identificación de alertas para la materia de flagrancias, para así poder identi</w:t>
      </w:r>
      <w:r w:rsidR="00495D8F" w:rsidRPr="00704B08">
        <w:rPr>
          <w:rFonts w:ascii="Arial Narrow" w:hAnsi="Arial Narrow"/>
          <w:color w:val="000000"/>
        </w:rPr>
        <w:t>fi</w:t>
      </w:r>
      <w:r w:rsidRPr="00704B08">
        <w:rPr>
          <w:rFonts w:ascii="Arial Narrow" w:hAnsi="Arial Narrow"/>
          <w:color w:val="000000"/>
        </w:rPr>
        <w:t>car la duración del proceso por medio de una paleta de colores</w:t>
      </w:r>
      <w:r w:rsidR="00495D8F" w:rsidRPr="00704B08">
        <w:rPr>
          <w:rFonts w:ascii="Arial Narrow" w:hAnsi="Arial Narrow"/>
          <w:color w:val="000000"/>
        </w:rPr>
        <w:t>.</w:t>
      </w:r>
    </w:p>
    <w:p w14:paraId="032360BB" w14:textId="77777777" w:rsidR="00F56E98" w:rsidRPr="00704B08" w:rsidRDefault="00F56E98">
      <w:pPr>
        <w:spacing w:line="360" w:lineRule="auto"/>
        <w:jc w:val="both"/>
        <w:rPr>
          <w:rFonts w:ascii="Arial Narrow" w:hAnsi="Arial Narrow"/>
          <w:lang w:val="es-CR" w:eastAsia="es-CR"/>
        </w:rPr>
      </w:pPr>
    </w:p>
    <w:p w14:paraId="578482F0" w14:textId="055759F9" w:rsidR="00495D8F" w:rsidRPr="00704B08" w:rsidRDefault="00F56E98">
      <w:pPr>
        <w:spacing w:line="360" w:lineRule="auto"/>
        <w:jc w:val="both"/>
        <w:rPr>
          <w:rFonts w:ascii="Arial Narrow" w:hAnsi="Arial Narrow"/>
          <w:lang w:val="es-CR" w:eastAsia="es-CR"/>
        </w:rPr>
      </w:pPr>
      <w:r w:rsidRPr="00704B08">
        <w:rPr>
          <w:rFonts w:ascii="Arial Narrow" w:hAnsi="Arial Narrow"/>
          <w:lang w:val="es-CR" w:eastAsia="es-CR"/>
        </w:rPr>
        <w:lastRenderedPageBreak/>
        <w:t xml:space="preserve">Con respecto a las solicitudes anteriores la Dirección de Tecnología de la Información indica por medio del sistema PAO que se realizaron las siguientes gestiones: </w:t>
      </w:r>
    </w:p>
    <w:p w14:paraId="6D33E496" w14:textId="7AD55270" w:rsidR="00F56E98" w:rsidRPr="00704B08" w:rsidRDefault="00F56E98">
      <w:pPr>
        <w:spacing w:line="360" w:lineRule="auto"/>
        <w:jc w:val="both"/>
        <w:rPr>
          <w:rFonts w:ascii="Arial Narrow" w:hAnsi="Arial Narrow"/>
          <w:lang w:val="es-CR" w:eastAsia="es-CR"/>
        </w:rPr>
      </w:pPr>
    </w:p>
    <w:p w14:paraId="05C07FE0" w14:textId="77777777" w:rsidR="00F56E98" w:rsidRPr="00704B08" w:rsidRDefault="00F56E98" w:rsidP="00704B08">
      <w:pPr>
        <w:pStyle w:val="Prrafodelista"/>
        <w:numPr>
          <w:ilvl w:val="0"/>
          <w:numId w:val="62"/>
        </w:numPr>
        <w:spacing w:line="360" w:lineRule="auto"/>
        <w:jc w:val="both"/>
        <w:rPr>
          <w:rFonts w:ascii="Arial Narrow" w:hAnsi="Arial Narrow"/>
          <w:lang w:val="es-CR" w:eastAsia="es-MX"/>
        </w:rPr>
      </w:pPr>
      <w:r w:rsidRPr="00704B08">
        <w:rPr>
          <w:rFonts w:ascii="Arial Narrow" w:hAnsi="Arial Narrow"/>
        </w:rPr>
        <w:t>Consolidado Anual Información Fiscalía:</w:t>
      </w:r>
      <w:r w:rsidRPr="00704B08">
        <w:rPr>
          <w:rStyle w:val="apple-converted-space"/>
          <w:rFonts w:ascii="Arial Narrow" w:hAnsi="Arial Narrow" w:cs="Calibri"/>
          <w:color w:val="000000"/>
        </w:rPr>
        <w:t> </w:t>
      </w:r>
      <w:r w:rsidRPr="00704B08">
        <w:rPr>
          <w:rFonts w:ascii="Arial Narrow" w:hAnsi="Arial Narrow"/>
          <w:i/>
          <w:iCs/>
        </w:rPr>
        <w:t>Contiene la información anual de una fiscalía, sobre circulante, antigüedad, duración de las acusaciones, detalle de terminados, reentrados, entrados.</w:t>
      </w:r>
    </w:p>
    <w:p w14:paraId="44F668E6" w14:textId="77777777" w:rsidR="00F56E98" w:rsidRPr="00704B08" w:rsidRDefault="00F56E98" w:rsidP="00704B08">
      <w:pPr>
        <w:pStyle w:val="Prrafodelista"/>
        <w:numPr>
          <w:ilvl w:val="0"/>
          <w:numId w:val="62"/>
        </w:numPr>
        <w:spacing w:line="360" w:lineRule="auto"/>
        <w:jc w:val="both"/>
        <w:rPr>
          <w:rFonts w:ascii="Arial Narrow" w:hAnsi="Arial Narrow"/>
        </w:rPr>
      </w:pPr>
      <w:r w:rsidRPr="00704B08">
        <w:rPr>
          <w:rFonts w:ascii="Arial Narrow" w:hAnsi="Arial Narrow"/>
        </w:rPr>
        <w:t>Consolidado de Personas Privadas de Libertad O.A.P.V.D:</w:t>
      </w:r>
      <w:r w:rsidRPr="00704B08">
        <w:rPr>
          <w:rStyle w:val="apple-converted-space"/>
          <w:rFonts w:ascii="Arial Narrow" w:hAnsi="Arial Narrow" w:cs="Calibri"/>
          <w:color w:val="000000"/>
        </w:rPr>
        <w:t> </w:t>
      </w:r>
      <w:r w:rsidRPr="00704B08">
        <w:rPr>
          <w:rFonts w:ascii="Arial Narrow" w:hAnsi="Arial Narrow"/>
          <w:i/>
          <w:iCs/>
        </w:rPr>
        <w:t>Información consolidada de todas las oficinas de O.A.P.V.D y la cantidad de personas privadas de libertad que están en el proceso</w:t>
      </w:r>
    </w:p>
    <w:p w14:paraId="3C23260F" w14:textId="77777777" w:rsidR="00F56E98" w:rsidRPr="00704B08" w:rsidRDefault="00F56E98" w:rsidP="00704B08">
      <w:pPr>
        <w:pStyle w:val="Prrafodelista"/>
        <w:numPr>
          <w:ilvl w:val="0"/>
          <w:numId w:val="62"/>
        </w:numPr>
        <w:spacing w:line="360" w:lineRule="auto"/>
        <w:jc w:val="both"/>
        <w:rPr>
          <w:rFonts w:ascii="Arial Narrow" w:hAnsi="Arial Narrow"/>
        </w:rPr>
      </w:pPr>
      <w:r w:rsidRPr="00704B08">
        <w:rPr>
          <w:rFonts w:ascii="Arial Narrow" w:hAnsi="Arial Narrow"/>
        </w:rPr>
        <w:t>Consolidado de Justicia Restaurativa:</w:t>
      </w:r>
      <w:r w:rsidRPr="00704B08">
        <w:rPr>
          <w:rStyle w:val="apple-converted-space"/>
          <w:rFonts w:ascii="Arial Narrow" w:hAnsi="Arial Narrow" w:cs="Calibri"/>
          <w:color w:val="000000"/>
        </w:rPr>
        <w:t> </w:t>
      </w:r>
      <w:r w:rsidRPr="00704B08">
        <w:rPr>
          <w:rFonts w:ascii="Arial Narrow" w:hAnsi="Arial Narrow"/>
          <w:i/>
          <w:iCs/>
        </w:rPr>
        <w:t>Contiene un consolidado de todas las oficinas de Justicia Restaurativa, CI, entrados reentrados, terminados y CF.</w:t>
      </w:r>
    </w:p>
    <w:p w14:paraId="2B77D382" w14:textId="77777777" w:rsidR="00F56E98" w:rsidRPr="00704B08" w:rsidRDefault="00F56E98" w:rsidP="00704B08">
      <w:pPr>
        <w:pStyle w:val="Prrafodelista"/>
        <w:numPr>
          <w:ilvl w:val="0"/>
          <w:numId w:val="62"/>
        </w:numPr>
        <w:spacing w:line="360" w:lineRule="auto"/>
        <w:jc w:val="both"/>
        <w:rPr>
          <w:rFonts w:ascii="Arial Narrow" w:hAnsi="Arial Narrow"/>
        </w:rPr>
      </w:pPr>
      <w:r w:rsidRPr="00704B08">
        <w:rPr>
          <w:rFonts w:ascii="Arial Narrow" w:hAnsi="Arial Narrow"/>
        </w:rPr>
        <w:t>Consolidado Mensual Información Fiscalía:</w:t>
      </w:r>
      <w:r w:rsidRPr="00704B08">
        <w:rPr>
          <w:rStyle w:val="apple-converted-space"/>
          <w:rFonts w:ascii="Arial Narrow" w:hAnsi="Arial Narrow" w:cs="Calibri"/>
          <w:color w:val="000000"/>
        </w:rPr>
        <w:t> </w:t>
      </w:r>
      <w:r w:rsidRPr="00704B08">
        <w:rPr>
          <w:rFonts w:ascii="Arial Narrow" w:hAnsi="Arial Narrow"/>
          <w:i/>
          <w:iCs/>
        </w:rPr>
        <w:t>Contiene información del Mes del despacho, balance general, rezago, terminados, reentraos, acusaciones, escritorios.</w:t>
      </w:r>
    </w:p>
    <w:p w14:paraId="2EF9F5B3" w14:textId="77777777" w:rsidR="00F56E98" w:rsidRPr="00704B08" w:rsidRDefault="00F56E98" w:rsidP="00704B08">
      <w:pPr>
        <w:pStyle w:val="Prrafodelista"/>
        <w:numPr>
          <w:ilvl w:val="0"/>
          <w:numId w:val="62"/>
        </w:numPr>
        <w:spacing w:line="360" w:lineRule="auto"/>
        <w:jc w:val="both"/>
        <w:rPr>
          <w:rFonts w:ascii="Arial Narrow" w:hAnsi="Arial Narrow"/>
        </w:rPr>
      </w:pPr>
      <w:r w:rsidRPr="00704B08">
        <w:rPr>
          <w:rFonts w:ascii="Arial Narrow" w:hAnsi="Arial Narrow"/>
        </w:rPr>
        <w:t>Fiscalía Ambiental:</w:t>
      </w:r>
      <w:r w:rsidRPr="00704B08">
        <w:rPr>
          <w:rStyle w:val="apple-converted-space"/>
          <w:rFonts w:ascii="Arial Narrow" w:hAnsi="Arial Narrow" w:cs="Calibri"/>
          <w:color w:val="000000"/>
        </w:rPr>
        <w:t> </w:t>
      </w:r>
      <w:r w:rsidRPr="00704B08">
        <w:rPr>
          <w:rFonts w:ascii="Arial Narrow" w:hAnsi="Arial Narrow"/>
          <w:i/>
          <w:iCs/>
        </w:rPr>
        <w:t>Es un consolidado nacional donde se busca todos los delitos ambientales en los despachos del Ministerio Público, activos, finalizados cantidad de causas en cada delito.</w:t>
      </w:r>
      <w:r w:rsidRPr="00704B08">
        <w:rPr>
          <w:rStyle w:val="apple-converted-space"/>
          <w:rFonts w:ascii="Arial Narrow" w:hAnsi="Arial Narrow" w:cs="Calibri"/>
          <w:i/>
          <w:iCs/>
          <w:color w:val="000000"/>
        </w:rPr>
        <w:t> </w:t>
      </w:r>
    </w:p>
    <w:p w14:paraId="465394D7" w14:textId="77777777" w:rsidR="00F56E98" w:rsidRPr="00704B08" w:rsidRDefault="00F56E98" w:rsidP="00704B08">
      <w:pPr>
        <w:pStyle w:val="Prrafodelista"/>
        <w:numPr>
          <w:ilvl w:val="0"/>
          <w:numId w:val="62"/>
        </w:numPr>
        <w:spacing w:line="360" w:lineRule="auto"/>
        <w:jc w:val="both"/>
        <w:rPr>
          <w:rFonts w:ascii="Arial Narrow" w:hAnsi="Arial Narrow"/>
        </w:rPr>
      </w:pPr>
      <w:r w:rsidRPr="00704B08">
        <w:rPr>
          <w:rFonts w:ascii="Arial Narrow" w:hAnsi="Arial Narrow"/>
        </w:rPr>
        <w:t>Cantidades y Antigüedad CF MP:</w:t>
      </w:r>
      <w:r w:rsidRPr="00704B08">
        <w:rPr>
          <w:rStyle w:val="apple-converted-space"/>
          <w:rFonts w:ascii="Arial Narrow" w:hAnsi="Arial Narrow" w:cs="Calibri"/>
          <w:color w:val="000000"/>
        </w:rPr>
        <w:t> </w:t>
      </w:r>
      <w:r w:rsidRPr="00704B08">
        <w:rPr>
          <w:rFonts w:ascii="Arial Narrow" w:hAnsi="Arial Narrow"/>
          <w:i/>
          <w:iCs/>
        </w:rPr>
        <w:t>Este informe lo que muestra es a un mes especifico como está distribuido el circulante final en cada despacho del MP según el año de la antigüedad, también contiene desglose de delitos por antigüedad.</w:t>
      </w:r>
    </w:p>
    <w:p w14:paraId="0F81DA85" w14:textId="77777777" w:rsidR="00F56E98" w:rsidRPr="00704B08" w:rsidRDefault="00F56E98" w:rsidP="00704B08">
      <w:pPr>
        <w:pStyle w:val="Prrafodelista"/>
        <w:numPr>
          <w:ilvl w:val="0"/>
          <w:numId w:val="62"/>
        </w:numPr>
        <w:spacing w:line="360" w:lineRule="auto"/>
        <w:jc w:val="both"/>
        <w:rPr>
          <w:rFonts w:ascii="Arial Narrow" w:hAnsi="Arial Narrow"/>
        </w:rPr>
      </w:pPr>
      <w:r w:rsidRPr="00704B08">
        <w:rPr>
          <w:rFonts w:ascii="Arial Narrow" w:hAnsi="Arial Narrow"/>
        </w:rPr>
        <w:t>Consolidado Circulante Final en Fiscalía UMGEF:</w:t>
      </w:r>
      <w:r w:rsidRPr="00704B08">
        <w:rPr>
          <w:rStyle w:val="apple-converted-space"/>
          <w:rFonts w:ascii="Arial Narrow" w:hAnsi="Arial Narrow" w:cs="Calibri"/>
          <w:color w:val="000000"/>
        </w:rPr>
        <w:t> </w:t>
      </w:r>
      <w:r w:rsidRPr="00704B08">
        <w:rPr>
          <w:rFonts w:ascii="Arial Narrow" w:hAnsi="Arial Narrow"/>
          <w:i/>
          <w:iCs/>
        </w:rPr>
        <w:t>Contiene una lista de Expedientes del Ministerio Público agrupados por Fiscalía, delito y familia del delito</w:t>
      </w:r>
    </w:p>
    <w:p w14:paraId="03A8CEB3" w14:textId="77777777" w:rsidR="00F56E98" w:rsidRPr="00704B08" w:rsidRDefault="00F56E98" w:rsidP="00704B08">
      <w:pPr>
        <w:pStyle w:val="Prrafodelista"/>
        <w:numPr>
          <w:ilvl w:val="0"/>
          <w:numId w:val="62"/>
        </w:numPr>
        <w:spacing w:line="360" w:lineRule="auto"/>
        <w:jc w:val="both"/>
        <w:rPr>
          <w:rFonts w:ascii="Arial Narrow" w:hAnsi="Arial Narrow"/>
        </w:rPr>
      </w:pPr>
      <w:r w:rsidRPr="00704B08">
        <w:rPr>
          <w:rFonts w:ascii="Arial Narrow" w:hAnsi="Arial Narrow"/>
        </w:rPr>
        <w:t>Memoria Anual Fiscalía Etapa Preparatoria:</w:t>
      </w:r>
      <w:r w:rsidRPr="00704B08">
        <w:rPr>
          <w:rStyle w:val="apple-converted-space"/>
          <w:rFonts w:ascii="Arial Narrow" w:hAnsi="Arial Narrow" w:cs="Calibri"/>
          <w:color w:val="000000"/>
        </w:rPr>
        <w:t> </w:t>
      </w:r>
      <w:r w:rsidRPr="00704B08">
        <w:rPr>
          <w:rFonts w:ascii="Arial Narrow" w:hAnsi="Arial Narrow"/>
          <w:i/>
          <w:iCs/>
        </w:rPr>
        <w:t>Contiene información del CI, entrados, reentrados, TP, terminados y CF de todas las fiscalías, además de detalles de ese circulante en el periodo</w:t>
      </w:r>
    </w:p>
    <w:p w14:paraId="7E0E6D35" w14:textId="77777777" w:rsidR="00F56E98" w:rsidRPr="00704B08" w:rsidRDefault="00F56E98" w:rsidP="00704B08">
      <w:pPr>
        <w:pStyle w:val="Prrafodelista"/>
        <w:numPr>
          <w:ilvl w:val="0"/>
          <w:numId w:val="62"/>
        </w:numPr>
        <w:spacing w:line="360" w:lineRule="auto"/>
        <w:jc w:val="both"/>
        <w:rPr>
          <w:rFonts w:ascii="Arial Narrow" w:hAnsi="Arial Narrow"/>
        </w:rPr>
      </w:pPr>
      <w:r w:rsidRPr="00704B08">
        <w:rPr>
          <w:rFonts w:ascii="Arial Narrow" w:hAnsi="Arial Narrow"/>
        </w:rPr>
        <w:t>Consolidado Nacional de Rezago para Fiscalía:</w:t>
      </w:r>
      <w:r w:rsidRPr="00704B08">
        <w:rPr>
          <w:rStyle w:val="apple-converted-space"/>
          <w:rFonts w:ascii="Arial Narrow" w:hAnsi="Arial Narrow" w:cs="Calibri"/>
          <w:color w:val="000000"/>
        </w:rPr>
        <w:t> </w:t>
      </w:r>
      <w:r w:rsidRPr="00704B08">
        <w:rPr>
          <w:rFonts w:ascii="Arial Narrow" w:hAnsi="Arial Narrow"/>
          <w:i/>
          <w:iCs/>
        </w:rPr>
        <w:t>Contiene un detalle de todos los expedientes que se consideran Rezago, además de que se le puede dar trazabilidad durante un periodo de tiempo del estado de esos mismos expedientes.</w:t>
      </w:r>
    </w:p>
    <w:p w14:paraId="5F3A17D2" w14:textId="16A83BDD" w:rsidR="00F56E98" w:rsidRDefault="00F56E98" w:rsidP="00A5186A">
      <w:pPr>
        <w:spacing w:line="360" w:lineRule="auto"/>
        <w:jc w:val="both"/>
        <w:rPr>
          <w:rFonts w:ascii="Arial Narrow" w:hAnsi="Arial Narrow" w:cs="Calibri"/>
          <w:b/>
          <w:bCs/>
          <w:color w:val="000000"/>
          <w:lang w:val="es-CR" w:eastAsia="es-CR"/>
        </w:rPr>
      </w:pPr>
    </w:p>
    <w:p w14:paraId="4F0D5345" w14:textId="50FF0AC3" w:rsidR="00850CA5" w:rsidRDefault="00850CA5" w:rsidP="00A5186A">
      <w:pPr>
        <w:spacing w:line="360" w:lineRule="auto"/>
        <w:jc w:val="both"/>
        <w:rPr>
          <w:rFonts w:ascii="Arial Narrow" w:hAnsi="Arial Narrow" w:cs="Calibri"/>
          <w:b/>
          <w:bCs/>
          <w:color w:val="000000"/>
          <w:lang w:val="es-CR" w:eastAsia="es-CR"/>
        </w:rPr>
      </w:pPr>
    </w:p>
    <w:p w14:paraId="634CC66F" w14:textId="77777777" w:rsidR="00850CA5" w:rsidRDefault="00850CA5" w:rsidP="00A5186A">
      <w:pPr>
        <w:spacing w:line="360" w:lineRule="auto"/>
        <w:jc w:val="both"/>
        <w:rPr>
          <w:rFonts w:ascii="Arial Narrow" w:hAnsi="Arial Narrow" w:cs="Calibri"/>
          <w:b/>
          <w:bCs/>
          <w:color w:val="000000"/>
          <w:lang w:val="es-CR" w:eastAsia="es-CR"/>
        </w:rPr>
      </w:pPr>
    </w:p>
    <w:p w14:paraId="314D05CE" w14:textId="681BB645" w:rsidR="00BB3994" w:rsidRPr="00704B08" w:rsidRDefault="00220A74" w:rsidP="00704B08">
      <w:pPr>
        <w:spacing w:line="360" w:lineRule="auto"/>
        <w:jc w:val="both"/>
        <w:rPr>
          <w:rFonts w:ascii="Arial Narrow" w:hAnsi="Arial Narrow" w:cs="Calibri"/>
          <w:b/>
          <w:bCs/>
          <w:color w:val="000000"/>
          <w:lang w:val="es-CR" w:eastAsia="es-CR"/>
        </w:rPr>
      </w:pPr>
      <w:r w:rsidRPr="00704B08">
        <w:rPr>
          <w:rFonts w:ascii="Arial Narrow" w:hAnsi="Arial Narrow" w:cs="Calibri"/>
          <w:color w:val="000000"/>
          <w:lang w:val="es-CR" w:eastAsia="es-CR"/>
        </w:rPr>
        <w:t>Por otro lado, la meta estratégica</w:t>
      </w:r>
      <w:r w:rsidR="00DD4259" w:rsidRPr="00704B08">
        <w:rPr>
          <w:rFonts w:ascii="Arial Narrow" w:hAnsi="Arial Narrow" w:cs="Calibri"/>
          <w:b/>
          <w:bCs/>
          <w:color w:val="000000"/>
          <w:lang w:val="es-CR" w:eastAsia="es-CR"/>
        </w:rPr>
        <w:t xml:space="preserve"> </w:t>
      </w:r>
      <w:r>
        <w:rPr>
          <w:rFonts w:ascii="Arial Narrow" w:hAnsi="Arial Narrow" w:cs="Calibri"/>
          <w:b/>
          <w:bCs/>
          <w:color w:val="000000"/>
          <w:lang w:val="es-CR" w:eastAsia="es-CR"/>
        </w:rPr>
        <w:t>“</w:t>
      </w:r>
      <w:r w:rsidR="00DD4259" w:rsidRPr="00704B08">
        <w:rPr>
          <w:rFonts w:ascii="Arial Narrow" w:hAnsi="Arial Narrow" w:cs="Calibri"/>
          <w:b/>
          <w:bCs/>
          <w:i/>
          <w:iCs/>
          <w:color w:val="000000"/>
          <w:lang w:val="es-CR" w:eastAsia="es-CR"/>
        </w:rPr>
        <w:t>Que al finalizar el 2024, se haya definido e implementado un modelo nacional e integral de traslado y custodia de personas detenidas, que optimice el uso de los recursos mediante la implementación de procesos eficientes y un sistema logístico de información automatizado y centralizado</w:t>
      </w:r>
      <w:r w:rsidRPr="00704B08">
        <w:rPr>
          <w:rFonts w:ascii="Arial Narrow" w:hAnsi="Arial Narrow" w:cs="Calibri"/>
          <w:b/>
          <w:bCs/>
          <w:i/>
          <w:iCs/>
          <w:color w:val="000000"/>
          <w:lang w:val="es-CR" w:eastAsia="es-CR"/>
        </w:rPr>
        <w:t>”</w:t>
      </w:r>
      <w:r w:rsidR="003D06EB">
        <w:rPr>
          <w:rFonts w:ascii="Arial Narrow" w:hAnsi="Arial Narrow" w:cs="Calibri"/>
          <w:b/>
          <w:bCs/>
          <w:i/>
          <w:iCs/>
          <w:color w:val="000000"/>
          <w:lang w:val="es-CR" w:eastAsia="es-CR"/>
        </w:rPr>
        <w:t>,</w:t>
      </w:r>
      <w:r w:rsidR="00850CA5">
        <w:rPr>
          <w:rFonts w:ascii="Arial Narrow" w:hAnsi="Arial Narrow" w:cs="Calibri"/>
          <w:b/>
          <w:bCs/>
          <w:color w:val="000000"/>
          <w:lang w:val="es-CR" w:eastAsia="es-CR"/>
        </w:rPr>
        <w:t xml:space="preserve"> </w:t>
      </w:r>
      <w:r>
        <w:rPr>
          <w:rFonts w:ascii="Arial Narrow" w:hAnsi="Arial Narrow" w:cs="Calibri"/>
          <w:color w:val="000000"/>
          <w:lang w:val="es-CR" w:eastAsia="es-CR"/>
        </w:rPr>
        <w:t>pa</w:t>
      </w:r>
      <w:r w:rsidR="00BB3994" w:rsidRPr="00704B08">
        <w:rPr>
          <w:rFonts w:ascii="Arial Narrow" w:hAnsi="Arial Narrow" w:cs="Calibri"/>
          <w:color w:val="000000"/>
          <w:lang w:val="es-CR" w:eastAsia="es-CR"/>
        </w:rPr>
        <w:t xml:space="preserve">ra el </w:t>
      </w:r>
      <w:r w:rsidR="00BB3994" w:rsidRPr="00BB3994">
        <w:rPr>
          <w:rFonts w:ascii="Arial Narrow" w:hAnsi="Arial Narrow" w:cs="Calibri"/>
          <w:color w:val="000000"/>
          <w:lang w:val="es-CR" w:eastAsia="es-CR"/>
        </w:rPr>
        <w:t>cumplimiento</w:t>
      </w:r>
      <w:r w:rsidR="00BB3994" w:rsidRPr="00704B08">
        <w:rPr>
          <w:rFonts w:ascii="Arial Narrow" w:hAnsi="Arial Narrow" w:cs="Calibri"/>
          <w:color w:val="000000"/>
          <w:lang w:val="es-CR" w:eastAsia="es-CR"/>
        </w:rPr>
        <w:t xml:space="preserve"> de </w:t>
      </w:r>
      <w:r w:rsidR="00BB3994">
        <w:rPr>
          <w:rFonts w:ascii="Arial Narrow" w:hAnsi="Arial Narrow" w:cs="Calibri"/>
          <w:color w:val="000000"/>
          <w:lang w:val="es-CR" w:eastAsia="es-CR"/>
        </w:rPr>
        <w:t>e</w:t>
      </w:r>
      <w:r w:rsidR="00BB3994" w:rsidRPr="00704B08">
        <w:rPr>
          <w:rFonts w:ascii="Arial Narrow" w:hAnsi="Arial Narrow" w:cs="Calibri"/>
          <w:color w:val="000000"/>
          <w:lang w:val="es-CR" w:eastAsia="es-CR"/>
        </w:rPr>
        <w:t xml:space="preserve">sta meta estratégica </w:t>
      </w:r>
      <w:r w:rsidR="00BB3994">
        <w:rPr>
          <w:rFonts w:ascii="Arial Narrow" w:hAnsi="Arial Narrow" w:cs="Calibri"/>
          <w:color w:val="000000"/>
          <w:lang w:val="es-CR" w:eastAsia="es-CR"/>
        </w:rPr>
        <w:t xml:space="preserve">se tiene que el Organismo de Investigación Judicial </w:t>
      </w:r>
      <w:r w:rsidR="002F481B">
        <w:rPr>
          <w:rFonts w:ascii="Arial Narrow" w:hAnsi="Arial Narrow" w:cs="Calibri"/>
          <w:color w:val="000000"/>
          <w:lang w:val="es-CR" w:eastAsia="es-CR"/>
        </w:rPr>
        <w:t xml:space="preserve">para los años analizados </w:t>
      </w:r>
      <w:r w:rsidR="00BB3994">
        <w:rPr>
          <w:rFonts w:ascii="Arial Narrow" w:hAnsi="Arial Narrow" w:cs="Calibri"/>
          <w:color w:val="000000"/>
          <w:lang w:val="es-CR" w:eastAsia="es-CR"/>
        </w:rPr>
        <w:t>realizó un estudio de factibilidad con el objetivo de d</w:t>
      </w:r>
      <w:r w:rsidR="00BB3994" w:rsidRPr="00704B08">
        <w:rPr>
          <w:rFonts w:ascii="Arial Narrow" w:hAnsi="Arial Narrow" w:cs="Calibri"/>
          <w:color w:val="000000"/>
          <w:lang w:val="es-CR" w:eastAsia="es-CR"/>
        </w:rPr>
        <w:t>esarrollar un sistema de información utilizando la metodología de administración de proyectos de la DTIC que permita la gestión, coordinación y traslado de las personas adscriptas al sistema penitenciario y detenidas en el Poder Judicial.</w:t>
      </w:r>
      <w:r w:rsidR="00850CA5">
        <w:rPr>
          <w:rFonts w:ascii="Arial Narrow" w:hAnsi="Arial Narrow" w:cs="Calibri"/>
          <w:b/>
          <w:bCs/>
          <w:color w:val="000000"/>
          <w:lang w:val="es-CR" w:eastAsia="es-CR"/>
        </w:rPr>
        <w:t xml:space="preserve"> </w:t>
      </w:r>
      <w:r w:rsidR="00BB3994" w:rsidRPr="00704B08">
        <w:rPr>
          <w:rFonts w:ascii="Arial Narrow" w:hAnsi="Arial Narrow"/>
          <w:lang w:val="es-CR" w:eastAsia="es-CR"/>
        </w:rPr>
        <w:t xml:space="preserve">Aunado </w:t>
      </w:r>
      <w:r w:rsidR="00ED6F35" w:rsidRPr="00704B08">
        <w:rPr>
          <w:rFonts w:ascii="Arial Narrow" w:hAnsi="Arial Narrow"/>
          <w:lang w:val="es-CR" w:eastAsia="es-CR"/>
        </w:rPr>
        <w:t>a lo</w:t>
      </w:r>
      <w:r w:rsidR="00BB3994" w:rsidRPr="00704B08">
        <w:rPr>
          <w:rFonts w:ascii="Arial Narrow" w:hAnsi="Arial Narrow"/>
          <w:lang w:val="es-CR" w:eastAsia="es-CR"/>
        </w:rPr>
        <w:t xml:space="preserve"> anterior la Sección de Cárceles </w:t>
      </w:r>
      <w:r w:rsidR="00ED6F35" w:rsidRPr="00704B08">
        <w:rPr>
          <w:rFonts w:ascii="Arial Narrow" w:hAnsi="Arial Narrow"/>
          <w:lang w:val="es-CR" w:eastAsia="es-CR"/>
        </w:rPr>
        <w:t>del Primer Circuito Judicial realizó un informe relacionado a la creación de un centro gestor de datos de las labores que realiza la Sección para definir una mejora en la rendición de cuentas y transparencia en la toma de decisiones.  Además, se analizó las cargas de trabajo por la capacidad de celdas. Este tema es de suma importancia para determinar de acuerdo a la carga de trabajo por detenidos en celdas, la cantidad de personal necesario en celdas y la cantidad de remisiones que se puede atender con el objetivo de distribuir las cargas de trabajo y tomar decisiones oportunas.</w:t>
      </w:r>
    </w:p>
    <w:p w14:paraId="1BDD542B" w14:textId="77777777" w:rsidR="009D5823" w:rsidRDefault="009D5823" w:rsidP="00A5186A">
      <w:pPr>
        <w:spacing w:line="360" w:lineRule="auto"/>
        <w:jc w:val="both"/>
        <w:rPr>
          <w:rFonts w:ascii="Arial Narrow" w:hAnsi="Arial Narrow" w:cs="Calibri"/>
          <w:color w:val="000000"/>
          <w:lang w:val="es-CR" w:eastAsia="es-CR"/>
        </w:rPr>
        <w:sectPr w:rsidR="009D5823" w:rsidSect="009D5823">
          <w:pgSz w:w="12242" w:h="15842" w:code="1"/>
          <w:pgMar w:top="1701" w:right="1417" w:bottom="1701" w:left="1417" w:header="709" w:footer="709" w:gutter="0"/>
          <w:cols w:space="708"/>
          <w:docGrid w:linePitch="360"/>
        </w:sectPr>
      </w:pPr>
    </w:p>
    <w:p w14:paraId="2A3411FD" w14:textId="77777777" w:rsidR="00220A74" w:rsidRPr="00704B08" w:rsidRDefault="00220A74" w:rsidP="009D5823">
      <w:pPr>
        <w:rPr>
          <w:rFonts w:eastAsia="Calibri"/>
        </w:rPr>
      </w:pPr>
      <w:bookmarkStart w:id="73" w:name="_Hlk75902418"/>
    </w:p>
    <w:p w14:paraId="21B9FFA2" w14:textId="2B32B038" w:rsidR="00220A74" w:rsidRPr="002100DF" w:rsidRDefault="00220A74" w:rsidP="00220A74">
      <w:pPr>
        <w:pStyle w:val="Descripcin"/>
        <w:jc w:val="center"/>
        <w:rPr>
          <w:rFonts w:ascii="Arial Narrow" w:eastAsia="Calibri" w:hAnsi="Arial Narrow"/>
          <w:lang w:eastAsia="en-US"/>
        </w:rPr>
      </w:pPr>
      <w:bookmarkStart w:id="74" w:name="_Toc76062263"/>
      <w:r w:rsidRPr="00484CC1">
        <w:rPr>
          <w:rFonts w:ascii="Arial Narrow" w:hAnsi="Arial Narrow"/>
          <w:sz w:val="24"/>
          <w:szCs w:val="24"/>
        </w:rPr>
        <w:t>Cuadro</w:t>
      </w:r>
      <w:r>
        <w:rPr>
          <w:rFonts w:ascii="Arial Narrow" w:hAnsi="Arial Narrow"/>
          <w:sz w:val="24"/>
          <w:szCs w:val="24"/>
        </w:rPr>
        <w:t xml:space="preserve"> </w:t>
      </w:r>
      <w:r w:rsidRPr="00484CC1">
        <w:rPr>
          <w:rFonts w:ascii="Arial Narrow" w:hAnsi="Arial Narrow"/>
          <w:sz w:val="24"/>
          <w:szCs w:val="24"/>
        </w:rPr>
        <w:fldChar w:fldCharType="begin"/>
      </w:r>
      <w:r w:rsidRPr="00484CC1">
        <w:rPr>
          <w:rFonts w:ascii="Arial Narrow" w:hAnsi="Arial Narrow"/>
          <w:sz w:val="24"/>
          <w:szCs w:val="24"/>
        </w:rPr>
        <w:instrText xml:space="preserve"> SEQ Cuadro_No. \* ARABIC </w:instrText>
      </w:r>
      <w:r w:rsidRPr="00484CC1">
        <w:rPr>
          <w:rFonts w:ascii="Arial Narrow" w:hAnsi="Arial Narrow"/>
          <w:sz w:val="24"/>
          <w:szCs w:val="24"/>
        </w:rPr>
        <w:fldChar w:fldCharType="separate"/>
      </w:r>
      <w:r w:rsidR="009D5823">
        <w:rPr>
          <w:rFonts w:ascii="Arial Narrow" w:hAnsi="Arial Narrow"/>
          <w:noProof/>
          <w:sz w:val="24"/>
          <w:szCs w:val="24"/>
        </w:rPr>
        <w:t>40</w:t>
      </w:r>
      <w:r w:rsidRPr="00484CC1">
        <w:rPr>
          <w:rFonts w:ascii="Arial Narrow" w:hAnsi="Arial Narrow"/>
          <w:sz w:val="24"/>
          <w:szCs w:val="24"/>
        </w:rPr>
        <w:fldChar w:fldCharType="end"/>
      </w:r>
      <w:r w:rsidRPr="00484CC1">
        <w:rPr>
          <w:rFonts w:ascii="Arial Narrow" w:hAnsi="Arial Narrow"/>
          <w:sz w:val="24"/>
          <w:szCs w:val="24"/>
        </w:rPr>
        <w:t xml:space="preserve"> </w:t>
      </w:r>
      <w:r w:rsidRPr="00D657CE">
        <w:rPr>
          <w:rFonts w:ascii="Arial Narrow" w:eastAsia="Calibri" w:hAnsi="Arial Narrow"/>
          <w:sz w:val="24"/>
          <w:szCs w:val="24"/>
        </w:rPr>
        <w:t>Metas estratégicas de Desarrollo y optimización de servicios y procesos judiciales, y su cumplimiento para el 2019</w:t>
      </w:r>
      <w:r>
        <w:rPr>
          <w:rFonts w:ascii="Arial Narrow" w:eastAsia="Calibri" w:hAnsi="Arial Narrow"/>
          <w:sz w:val="24"/>
          <w:szCs w:val="24"/>
        </w:rPr>
        <w:t xml:space="preserve"> y 2020.</w:t>
      </w:r>
      <w:bookmarkEnd w:id="74"/>
    </w:p>
    <w:p w14:paraId="56C7C489" w14:textId="77777777" w:rsidR="009E6DA2" w:rsidRDefault="009E6DA2" w:rsidP="009E6DA2">
      <w:pPr>
        <w:rPr>
          <w:rFonts w:ascii="Arial Narrow" w:eastAsia="Calibri" w:hAnsi="Arial Narrow"/>
          <w:lang w:eastAsia="en-US"/>
        </w:rPr>
      </w:pPr>
    </w:p>
    <w:p w14:paraId="48CB9F80" w14:textId="46AB3C85" w:rsidR="009E6DA2" w:rsidRDefault="00C37FB0" w:rsidP="00704B08">
      <w:pPr>
        <w:jc w:val="center"/>
        <w:rPr>
          <w:rFonts w:ascii="Arial Narrow" w:eastAsia="Calibri" w:hAnsi="Arial Narrow"/>
          <w:lang w:eastAsia="en-US"/>
        </w:rPr>
      </w:pPr>
      <w:r>
        <w:rPr>
          <w:noProof/>
          <w:lang w:val="es-CR" w:eastAsia="es-CR"/>
        </w:rPr>
        <w:drawing>
          <wp:inline distT="0" distB="0" distL="0" distR="0" wp14:anchorId="323D908F" wp14:editId="00857F55">
            <wp:extent cx="7899400" cy="2660292"/>
            <wp:effectExtent l="57150" t="57150" r="101600" b="102235"/>
            <wp:docPr id="135" name="Imagen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7904805" cy="2662112"/>
                    </a:xfrm>
                    <a:prstGeom prst="rect">
                      <a:avLst/>
                    </a:prstGeom>
                    <a:ln w="9525" cap="sq">
                      <a:solidFill>
                        <a:srgbClr val="00B0F0"/>
                      </a:solidFill>
                      <a:prstDash val="solid"/>
                      <a:miter lim="800000"/>
                    </a:ln>
                    <a:effectLst>
                      <a:outerShdw blurRad="50800" dist="38100" dir="2700000" algn="tl" rotWithShape="0">
                        <a:srgbClr val="000000">
                          <a:alpha val="43000"/>
                        </a:srgbClr>
                      </a:outerShdw>
                    </a:effectLst>
                  </pic:spPr>
                </pic:pic>
              </a:graphicData>
            </a:graphic>
          </wp:inline>
        </w:drawing>
      </w:r>
    </w:p>
    <w:p w14:paraId="52D3C9ED" w14:textId="77777777" w:rsidR="009E6DA2" w:rsidRDefault="009E6DA2" w:rsidP="009E6DA2">
      <w:pPr>
        <w:rPr>
          <w:rFonts w:ascii="Arial Narrow" w:eastAsia="Calibri" w:hAnsi="Arial Narrow"/>
          <w:lang w:eastAsia="en-US"/>
        </w:rPr>
      </w:pPr>
    </w:p>
    <w:p w14:paraId="21F6626A" w14:textId="77777777" w:rsidR="009E6DA2" w:rsidRDefault="009E6DA2" w:rsidP="009E6DA2">
      <w:pPr>
        <w:ind w:left="-142" w:firstLine="850"/>
        <w:rPr>
          <w:rFonts w:ascii="Arial Narrow" w:eastAsia="Calibri" w:hAnsi="Arial Narrow"/>
          <w:sz w:val="18"/>
          <w:szCs w:val="18"/>
          <w:lang w:eastAsia="en-US"/>
        </w:rPr>
      </w:pPr>
      <w:r w:rsidRPr="000B4845">
        <w:rPr>
          <w:rFonts w:ascii="Arial Narrow" w:eastAsia="Calibri" w:hAnsi="Arial Narrow"/>
          <w:sz w:val="18"/>
          <w:szCs w:val="18"/>
          <w:lang w:eastAsia="en-US"/>
        </w:rPr>
        <w:t>Fuente: Sistema PEI al 24 de enero del 2020 (año 2019)</w:t>
      </w:r>
      <w:r>
        <w:rPr>
          <w:rFonts w:ascii="Arial Narrow" w:eastAsia="Calibri" w:hAnsi="Arial Narrow"/>
          <w:sz w:val="18"/>
          <w:szCs w:val="18"/>
          <w:lang w:eastAsia="en-US"/>
        </w:rPr>
        <w:t xml:space="preserve"> y 04 de marzo del 2021 (año 2020).</w:t>
      </w:r>
    </w:p>
    <w:bookmarkEnd w:id="73"/>
    <w:p w14:paraId="72B419EB" w14:textId="77777777" w:rsidR="009D5823" w:rsidRDefault="009D5823">
      <w:pPr>
        <w:spacing w:line="360" w:lineRule="auto"/>
        <w:jc w:val="both"/>
        <w:rPr>
          <w:rFonts w:ascii="Arial Narrow" w:hAnsi="Arial Narrow" w:cs="Calibri"/>
          <w:color w:val="000000"/>
          <w:lang w:val="es-CR" w:eastAsia="es-CR"/>
        </w:rPr>
        <w:sectPr w:rsidR="009D5823" w:rsidSect="009D5823">
          <w:pgSz w:w="15842" w:h="12242" w:orient="landscape" w:code="1"/>
          <w:pgMar w:top="1417" w:right="1701" w:bottom="1417" w:left="1701" w:header="709" w:footer="709" w:gutter="0"/>
          <w:cols w:space="708"/>
          <w:docGrid w:linePitch="360"/>
        </w:sectPr>
      </w:pPr>
    </w:p>
    <w:p w14:paraId="2206D883" w14:textId="1C729468" w:rsidR="00F56E98" w:rsidRPr="00704B08" w:rsidRDefault="00F56E98" w:rsidP="00704B08">
      <w:pPr>
        <w:spacing w:line="360" w:lineRule="auto"/>
        <w:jc w:val="both"/>
        <w:rPr>
          <w:rFonts w:ascii="Arial Narrow" w:hAnsi="Arial Narrow" w:cs="Calibri"/>
          <w:color w:val="000000"/>
          <w:lang w:val="es-CR" w:eastAsia="es-CR"/>
        </w:rPr>
      </w:pPr>
    </w:p>
    <w:p w14:paraId="2B6FEB26" w14:textId="4E740733" w:rsidR="00B80011" w:rsidRPr="00704B08" w:rsidRDefault="00220A74" w:rsidP="00A5186A">
      <w:pPr>
        <w:spacing w:line="360" w:lineRule="auto"/>
        <w:jc w:val="both"/>
        <w:rPr>
          <w:rFonts w:ascii="Arial Narrow" w:hAnsi="Arial Narrow" w:cs="Calibri"/>
          <w:b/>
          <w:bCs/>
          <w:lang w:val="es-CR" w:eastAsia="es-CR"/>
        </w:rPr>
      </w:pPr>
      <w:r w:rsidRPr="00704B08">
        <w:rPr>
          <w:rFonts w:ascii="Arial Narrow" w:hAnsi="Arial Narrow" w:cs="Calibri"/>
          <w:lang w:val="es-CR" w:eastAsia="es-CR"/>
        </w:rPr>
        <w:t xml:space="preserve">La meta </w:t>
      </w:r>
      <w:r w:rsidRPr="009D5823">
        <w:rPr>
          <w:rFonts w:ascii="Arial Narrow" w:hAnsi="Arial Narrow" w:cs="Calibri"/>
          <w:lang w:val="es-CR" w:eastAsia="es-CR"/>
        </w:rPr>
        <w:t>estratégica</w:t>
      </w:r>
      <w:r w:rsidR="00DD4259" w:rsidRPr="00704B08">
        <w:rPr>
          <w:rFonts w:ascii="Arial Narrow" w:hAnsi="Arial Narrow" w:cs="Calibri"/>
          <w:b/>
          <w:bCs/>
          <w:lang w:val="es-CR" w:eastAsia="es-CR"/>
        </w:rPr>
        <w:t xml:space="preserve"> </w:t>
      </w:r>
      <w:r>
        <w:rPr>
          <w:rFonts w:ascii="Arial Narrow" w:hAnsi="Arial Narrow" w:cs="Calibri"/>
          <w:b/>
          <w:bCs/>
          <w:lang w:val="es-CR" w:eastAsia="es-CR"/>
        </w:rPr>
        <w:t>“</w:t>
      </w:r>
      <w:r w:rsidR="00DD4259" w:rsidRPr="00704B08">
        <w:rPr>
          <w:rFonts w:ascii="Arial Narrow" w:hAnsi="Arial Narrow" w:cs="Calibri"/>
          <w:b/>
          <w:bCs/>
          <w:i/>
          <w:iCs/>
          <w:lang w:val="es-CR" w:eastAsia="es-CR"/>
        </w:rPr>
        <w:t xml:space="preserve">Que al 31 de diciembre del 2024 esté establecido </w:t>
      </w:r>
      <w:r w:rsidR="00A472D1" w:rsidRPr="00704B08">
        <w:rPr>
          <w:rFonts w:ascii="Arial Narrow" w:hAnsi="Arial Narrow" w:cs="Calibri"/>
          <w:b/>
          <w:bCs/>
          <w:i/>
          <w:iCs/>
          <w:lang w:val="es-CR" w:eastAsia="es-CR"/>
        </w:rPr>
        <w:t>el modelo</w:t>
      </w:r>
      <w:r w:rsidR="00DD4259" w:rsidRPr="00704B08">
        <w:rPr>
          <w:rFonts w:ascii="Arial Narrow" w:hAnsi="Arial Narrow" w:cs="Calibri"/>
          <w:b/>
          <w:bCs/>
          <w:i/>
          <w:iCs/>
          <w:lang w:val="es-CR" w:eastAsia="es-CR"/>
        </w:rPr>
        <w:t xml:space="preserve"> de correlación entre la carga de trabajo y la cantidad de recursos (humanos y materiales) necesarios; en las que se incorporen variables cuantitativas y cualitativas, considerando aspectos de crimen y delincuencia organizada</w:t>
      </w:r>
      <w:r>
        <w:rPr>
          <w:rFonts w:ascii="Arial Narrow" w:hAnsi="Arial Narrow" w:cs="Calibri"/>
          <w:b/>
          <w:bCs/>
          <w:lang w:val="es-CR" w:eastAsia="es-CR"/>
        </w:rPr>
        <w:t xml:space="preserve">”, </w:t>
      </w:r>
      <w:r w:rsidRPr="00704B08">
        <w:rPr>
          <w:rFonts w:ascii="Arial Narrow" w:hAnsi="Arial Narrow" w:cs="Calibri"/>
          <w:lang w:val="es-CR" w:eastAsia="es-CR"/>
        </w:rPr>
        <w:t>se verifica</w:t>
      </w:r>
      <w:r w:rsidRPr="009D5823">
        <w:rPr>
          <w:rFonts w:ascii="Arial Narrow" w:hAnsi="Arial Narrow" w:cs="Calibri"/>
          <w:lang w:val="es-CR" w:eastAsia="es-CR"/>
        </w:rPr>
        <w:t>n</w:t>
      </w:r>
      <w:r w:rsidR="002F481B" w:rsidRPr="00704B08">
        <w:rPr>
          <w:rFonts w:ascii="Arial Narrow" w:hAnsi="Arial Narrow" w:cs="Calibri"/>
          <w:lang w:val="es-CR" w:eastAsia="es-CR"/>
        </w:rPr>
        <w:t xml:space="preserve"> los años 2019 y 2020 se tiene que</w:t>
      </w:r>
      <w:r w:rsidR="002F481B">
        <w:rPr>
          <w:rFonts w:ascii="Arial Narrow" w:hAnsi="Arial Narrow" w:cs="Calibri"/>
          <w:b/>
          <w:bCs/>
          <w:lang w:val="es-CR" w:eastAsia="es-CR"/>
        </w:rPr>
        <w:t xml:space="preserve"> </w:t>
      </w:r>
      <w:r w:rsidR="002F481B">
        <w:rPr>
          <w:rFonts w:ascii="Arial Narrow" w:hAnsi="Arial Narrow"/>
          <w:lang w:val="es-CR" w:eastAsia="es-CR"/>
        </w:rPr>
        <w:t>e</w:t>
      </w:r>
      <w:r w:rsidR="00BA2B53" w:rsidRPr="00704B08">
        <w:rPr>
          <w:rFonts w:ascii="Arial Narrow" w:hAnsi="Arial Narrow"/>
          <w:lang w:val="es-CR" w:eastAsia="es-CR"/>
        </w:rPr>
        <w:t xml:space="preserve">l Organismo de Investigación Judicial elaboró el proyecto llamado </w:t>
      </w:r>
      <w:r w:rsidR="00BA2B53" w:rsidRPr="00704B08">
        <w:rPr>
          <w:rFonts w:ascii="Arial Narrow" w:hAnsi="Arial Narrow"/>
          <w:b/>
          <w:bCs/>
          <w:i/>
          <w:iCs/>
          <w:lang w:val="es-ES"/>
        </w:rPr>
        <w:t>“</w:t>
      </w:r>
      <w:r w:rsidR="00BA2B53" w:rsidRPr="00704B08">
        <w:rPr>
          <w:rFonts w:ascii="Arial Narrow" w:hAnsi="Arial Narrow"/>
          <w:i/>
          <w:iCs/>
          <w:lang w:val="es-ES"/>
        </w:rPr>
        <w:t>Modelo de correlación entre la carga de trabajo y recurso humano del Organismo de Investigación Judicial</w:t>
      </w:r>
      <w:r w:rsidR="00BA2B53" w:rsidRPr="00704B08">
        <w:rPr>
          <w:rFonts w:ascii="Arial Narrow" w:hAnsi="Arial Narrow"/>
          <w:b/>
          <w:bCs/>
          <w:i/>
          <w:iCs/>
          <w:lang w:val="es-ES"/>
        </w:rPr>
        <w:t xml:space="preserve">” </w:t>
      </w:r>
      <w:r w:rsidR="00BA2B53" w:rsidRPr="00704B08">
        <w:rPr>
          <w:rFonts w:ascii="Arial Narrow" w:hAnsi="Arial Narrow"/>
        </w:rPr>
        <w:t xml:space="preserve">con el objetivo </w:t>
      </w:r>
      <w:r w:rsidR="00BA2B53">
        <w:rPr>
          <w:rFonts w:ascii="Arial Narrow" w:hAnsi="Arial Narrow"/>
        </w:rPr>
        <w:t>de crear</w:t>
      </w:r>
      <w:r w:rsidR="00BA2B53" w:rsidRPr="00704B08">
        <w:rPr>
          <w:rFonts w:ascii="Arial Narrow" w:hAnsi="Arial Narrow"/>
        </w:rPr>
        <w:t xml:space="preserve"> e implementa</w:t>
      </w:r>
      <w:r w:rsidR="00BA2B53">
        <w:rPr>
          <w:rFonts w:ascii="Arial Narrow" w:hAnsi="Arial Narrow"/>
        </w:rPr>
        <w:t>r</w:t>
      </w:r>
      <w:r w:rsidR="002F481B">
        <w:rPr>
          <w:rFonts w:ascii="Arial Narrow" w:hAnsi="Arial Narrow"/>
        </w:rPr>
        <w:t xml:space="preserve"> </w:t>
      </w:r>
      <w:r w:rsidR="00BA2B53" w:rsidRPr="00704B08">
        <w:rPr>
          <w:rFonts w:ascii="Arial Narrow" w:hAnsi="Arial Narrow"/>
        </w:rPr>
        <w:t>un modelo de correlación entr</w:t>
      </w:r>
      <w:r w:rsidR="00BA2B53">
        <w:rPr>
          <w:rFonts w:ascii="Arial Narrow" w:hAnsi="Arial Narrow"/>
        </w:rPr>
        <w:t>e</w:t>
      </w:r>
      <w:r w:rsidR="00BA2B53" w:rsidRPr="00704B08">
        <w:rPr>
          <w:rFonts w:ascii="Arial Narrow" w:hAnsi="Arial Narrow"/>
        </w:rPr>
        <w:t xml:space="preserve"> la carga de trabajo y el recurso humano del Organismo de Investigación Judicial, que permita reorientar el recurso actual, fundamentar la necesidad de actualizar gestiones y justificar de manera técnico-científica la posibilidad maximizar el recurso humano y material, con el fin de garantizar a la ciudadanía el servicio efectivo, presente y futuro. En los primeros meses de la ejecución del proyecto se p</w:t>
      </w:r>
      <w:r w:rsidR="001C25D7">
        <w:rPr>
          <w:rFonts w:ascii="Arial Narrow" w:hAnsi="Arial Narrow"/>
        </w:rPr>
        <w:t>usieron</w:t>
      </w:r>
      <w:r w:rsidR="00BA2B53" w:rsidRPr="00704B08">
        <w:rPr>
          <w:rFonts w:ascii="Arial Narrow" w:hAnsi="Arial Narrow"/>
        </w:rPr>
        <w:t xml:space="preserve"> en marcha</w:t>
      </w:r>
      <w:r w:rsidR="001C25D7" w:rsidRPr="001C25D7">
        <w:rPr>
          <w:rFonts w:ascii="Arial Narrow" w:hAnsi="Arial Narrow"/>
        </w:rPr>
        <w:t xml:space="preserve"> </w:t>
      </w:r>
      <w:r w:rsidR="001C25D7" w:rsidRPr="002B1F27">
        <w:rPr>
          <w:rFonts w:ascii="Arial Narrow" w:hAnsi="Arial Narrow"/>
        </w:rPr>
        <w:t>Sistema Integral de Información Policial (SIIP) y por otro lado el Sistema de Supervisión de Controles Administrativos (SISCOA), ambos en primera fase de prueba</w:t>
      </w:r>
      <w:r w:rsidR="001C25D7">
        <w:rPr>
          <w:rFonts w:ascii="Arial Narrow" w:hAnsi="Arial Narrow"/>
        </w:rPr>
        <w:t xml:space="preserve"> para </w:t>
      </w:r>
      <w:r w:rsidR="00BA2B53" w:rsidRPr="00704B08">
        <w:rPr>
          <w:rFonts w:ascii="Arial Narrow" w:hAnsi="Arial Narrow"/>
        </w:rPr>
        <w:t>el cálculo de funciones y la medición del desempeño de las diferentes sedes del país</w:t>
      </w:r>
      <w:r w:rsidR="001C25D7">
        <w:rPr>
          <w:rFonts w:ascii="Arial Narrow" w:hAnsi="Arial Narrow"/>
        </w:rPr>
        <w:t xml:space="preserve"> </w:t>
      </w:r>
      <w:r w:rsidR="00BA2B53" w:rsidRPr="00704B08">
        <w:rPr>
          <w:rFonts w:ascii="Arial Narrow" w:hAnsi="Arial Narrow"/>
        </w:rPr>
        <w:t>permitirán obtener un mejor criterio cuantitativo de las funciones que ejecutan las sedes regionales de este Organismo y otras áreas afines.</w:t>
      </w:r>
      <w:r w:rsidR="00801B63">
        <w:rPr>
          <w:rFonts w:ascii="Arial Narrow" w:hAnsi="Arial Narrow"/>
        </w:rPr>
        <w:t xml:space="preserve"> </w:t>
      </w:r>
      <w:r w:rsidR="005B015D" w:rsidRPr="00704B08">
        <w:rPr>
          <w:rFonts w:ascii="Arial Narrow" w:hAnsi="Arial Narrow"/>
        </w:rPr>
        <w:t>Es por lo anterior que se obtiene un avance del 100% para ambos años (2019,2020) y un cumplimiento acumulado del 20%.</w:t>
      </w:r>
    </w:p>
    <w:p w14:paraId="64A7C7ED" w14:textId="77777777" w:rsidR="00B80011" w:rsidRPr="00704B08" w:rsidRDefault="00B80011" w:rsidP="00704B08">
      <w:pPr>
        <w:spacing w:line="360" w:lineRule="auto"/>
        <w:jc w:val="both"/>
        <w:rPr>
          <w:rFonts w:ascii="Arial Narrow" w:hAnsi="Arial Narrow" w:cs="Calibri"/>
          <w:b/>
          <w:bCs/>
          <w:color w:val="FF0000"/>
          <w:lang w:val="es-CR" w:eastAsia="es-CR"/>
        </w:rPr>
      </w:pPr>
    </w:p>
    <w:p w14:paraId="0B555053" w14:textId="0A2C6F21" w:rsidR="001B6800" w:rsidRPr="00704B08" w:rsidRDefault="00220A74">
      <w:pPr>
        <w:spacing w:line="360" w:lineRule="auto"/>
        <w:jc w:val="both"/>
        <w:rPr>
          <w:rFonts w:ascii="Arial Narrow" w:hAnsi="Arial Narrow" w:cs="Calibri"/>
          <w:b/>
          <w:bCs/>
          <w:color w:val="FF0000"/>
          <w:lang w:val="es-CR" w:eastAsia="es-CR"/>
        </w:rPr>
      </w:pPr>
      <w:r w:rsidRPr="00704B08">
        <w:rPr>
          <w:rFonts w:ascii="Arial Narrow" w:hAnsi="Arial Narrow" w:cs="Calibri"/>
          <w:color w:val="000000"/>
          <w:lang w:val="es-CR" w:eastAsia="es-CR"/>
        </w:rPr>
        <w:t>Por otro lado, la meta estratégica</w:t>
      </w:r>
      <w:r w:rsidR="00DD4259" w:rsidRPr="00704B08">
        <w:rPr>
          <w:rFonts w:ascii="Arial Narrow" w:hAnsi="Arial Narrow" w:cs="Calibri"/>
          <w:b/>
          <w:bCs/>
          <w:color w:val="000000"/>
          <w:lang w:val="es-CR" w:eastAsia="es-CR"/>
        </w:rPr>
        <w:t xml:space="preserve"> </w:t>
      </w:r>
      <w:r>
        <w:rPr>
          <w:rFonts w:ascii="Arial Narrow" w:hAnsi="Arial Narrow" w:cs="Calibri"/>
          <w:b/>
          <w:bCs/>
          <w:color w:val="000000"/>
          <w:lang w:val="es-CR" w:eastAsia="es-CR"/>
        </w:rPr>
        <w:t>“</w:t>
      </w:r>
      <w:r w:rsidR="00DD4259" w:rsidRPr="00704B08">
        <w:rPr>
          <w:rFonts w:ascii="Arial Narrow" w:hAnsi="Arial Narrow" w:cs="Calibri"/>
          <w:b/>
          <w:bCs/>
          <w:i/>
          <w:iCs/>
          <w:color w:val="000000"/>
          <w:lang w:val="es-CR" w:eastAsia="es-CR"/>
        </w:rPr>
        <w:t>Que al finalizar el 2024, se desarrollen estrategias que partan del análisis y la perspectiva de género para optimizar el servicio brindado a las personas en condición de vulnerabilidad</w:t>
      </w:r>
      <w:r>
        <w:rPr>
          <w:rFonts w:ascii="Arial Narrow" w:hAnsi="Arial Narrow" w:cs="Calibri"/>
          <w:b/>
          <w:bCs/>
          <w:color w:val="000000"/>
          <w:lang w:val="es-CR" w:eastAsia="es-CR"/>
        </w:rPr>
        <w:t xml:space="preserve">” </w:t>
      </w:r>
      <w:r w:rsidR="0037535A" w:rsidRPr="00704B08">
        <w:rPr>
          <w:rFonts w:ascii="Arial Narrow" w:hAnsi="Arial Narrow"/>
          <w:lang w:val="es-CR" w:eastAsia="es-CR"/>
        </w:rPr>
        <w:t>se encuentra basad</w:t>
      </w:r>
      <w:r w:rsidR="00284C8A" w:rsidRPr="00704B08">
        <w:rPr>
          <w:rFonts w:ascii="Arial Narrow" w:hAnsi="Arial Narrow"/>
          <w:lang w:val="es-CR" w:eastAsia="es-CR"/>
        </w:rPr>
        <w:t>a</w:t>
      </w:r>
      <w:r w:rsidR="0037535A" w:rsidRPr="00704B08">
        <w:rPr>
          <w:rFonts w:ascii="Arial Narrow" w:hAnsi="Arial Narrow"/>
          <w:lang w:val="es-CR" w:eastAsia="es-CR"/>
        </w:rPr>
        <w:t xml:space="preserve"> en 28 metas operativas entre 9 oficinas responsables las cuales reportaron un cumplimiento del 100%</w:t>
      </w:r>
      <w:r w:rsidR="00B85695">
        <w:rPr>
          <w:rFonts w:ascii="Arial Narrow" w:hAnsi="Arial Narrow"/>
          <w:lang w:val="es-CR" w:eastAsia="es-CR"/>
        </w:rPr>
        <w:t xml:space="preserve"> en los años 2019 y 2020</w:t>
      </w:r>
      <w:r w:rsidR="00284C8A" w:rsidRPr="00704B08">
        <w:rPr>
          <w:rFonts w:ascii="Arial Narrow" w:hAnsi="Arial Narrow"/>
          <w:lang w:val="es-CR" w:eastAsia="es-CR"/>
        </w:rPr>
        <w:t xml:space="preserve">. Entre las actividades realizadas se encuentran: la </w:t>
      </w:r>
      <w:r w:rsidR="0037535A" w:rsidRPr="00704B08">
        <w:rPr>
          <w:rFonts w:ascii="Arial Narrow" w:hAnsi="Arial Narrow"/>
        </w:rPr>
        <w:t xml:space="preserve">capacitación y concientización sobre los derechos de las personas con discapacidad y las personas adultas </w:t>
      </w:r>
      <w:r w:rsidR="00284C8A" w:rsidRPr="00704B08">
        <w:rPr>
          <w:rFonts w:ascii="Arial Narrow" w:hAnsi="Arial Narrow"/>
        </w:rPr>
        <w:t>mayores;</w:t>
      </w:r>
      <w:r w:rsidR="00284C8A" w:rsidRPr="00704B08">
        <w:rPr>
          <w:rFonts w:ascii="Arial Narrow" w:hAnsi="Arial Narrow"/>
          <w:lang w:val="es-CR" w:eastAsia="es-CR"/>
        </w:rPr>
        <w:t xml:space="preserve"> la</w:t>
      </w:r>
      <w:r w:rsidR="000762ED" w:rsidRPr="00704B08">
        <w:rPr>
          <w:rFonts w:ascii="Arial Narrow" w:hAnsi="Arial Narrow"/>
        </w:rPr>
        <w:t xml:space="preserve"> actualización de la Política de Acceso a la Justicia de </w:t>
      </w:r>
      <w:r w:rsidR="00284C8A" w:rsidRPr="00704B08">
        <w:rPr>
          <w:rFonts w:ascii="Arial Narrow" w:hAnsi="Arial Narrow"/>
        </w:rPr>
        <w:t>p</w:t>
      </w:r>
      <w:r w:rsidR="000762ED" w:rsidRPr="00704B08">
        <w:rPr>
          <w:rFonts w:ascii="Arial Narrow" w:hAnsi="Arial Narrow"/>
        </w:rPr>
        <w:t xml:space="preserve">ersonas con </w:t>
      </w:r>
      <w:r w:rsidR="00284C8A" w:rsidRPr="00704B08">
        <w:rPr>
          <w:rFonts w:ascii="Arial Narrow" w:hAnsi="Arial Narrow"/>
        </w:rPr>
        <w:t xml:space="preserve">Discapacidad; la </w:t>
      </w:r>
      <w:r w:rsidR="00284C8A" w:rsidRPr="00704B08">
        <w:rPr>
          <w:rFonts w:ascii="Arial Narrow" w:hAnsi="Arial Narrow"/>
          <w:lang w:val="es-CR" w:eastAsia="es-CR"/>
        </w:rPr>
        <w:t xml:space="preserve">campaña de la Política para personas afrodescendientes y la </w:t>
      </w:r>
      <w:r w:rsidR="00284C8A" w:rsidRPr="00284C8A">
        <w:rPr>
          <w:rFonts w:ascii="Arial Narrow" w:hAnsi="Arial Narrow"/>
        </w:rPr>
        <w:t>campaña</w:t>
      </w:r>
      <w:r w:rsidR="000762ED" w:rsidRPr="00704B08">
        <w:rPr>
          <w:rFonts w:ascii="Arial Narrow" w:hAnsi="Arial Narrow"/>
        </w:rPr>
        <w:t xml:space="preserve"> de promoción sobre los derechos de las personas en condición de vulnerabilidad (LGBTTTI, Personas con Discapacidad, Adultas Mayores, Indígenas, Migrantes y Refugiados, Niñez y Adolescencia, Personas Menores de edad en conflicto con la Ley Penal Juvenil).</w:t>
      </w:r>
    </w:p>
    <w:p w14:paraId="58B57281" w14:textId="20EC5F9E" w:rsidR="00C37FB0" w:rsidRDefault="00C37FB0">
      <w:pPr>
        <w:spacing w:line="360" w:lineRule="auto"/>
        <w:jc w:val="both"/>
        <w:rPr>
          <w:rFonts w:ascii="Arial Narrow" w:hAnsi="Arial Narrow"/>
        </w:rPr>
      </w:pPr>
    </w:p>
    <w:p w14:paraId="4F6FD37A" w14:textId="77777777" w:rsidR="009D5823" w:rsidRDefault="009D5823">
      <w:pPr>
        <w:spacing w:line="360" w:lineRule="auto"/>
        <w:jc w:val="both"/>
        <w:rPr>
          <w:rFonts w:ascii="Arial Narrow" w:hAnsi="Arial Narrow"/>
        </w:rPr>
        <w:sectPr w:rsidR="009D5823" w:rsidSect="009D5823">
          <w:pgSz w:w="12242" w:h="15842" w:code="1"/>
          <w:pgMar w:top="1701" w:right="1417" w:bottom="1701" w:left="1417" w:header="709" w:footer="709" w:gutter="0"/>
          <w:cols w:space="708"/>
          <w:docGrid w:linePitch="360"/>
        </w:sectPr>
      </w:pPr>
    </w:p>
    <w:p w14:paraId="52335D21" w14:textId="77777777" w:rsidR="002F481B" w:rsidRPr="00704B08" w:rsidRDefault="002F481B">
      <w:pPr>
        <w:spacing w:line="360" w:lineRule="auto"/>
        <w:jc w:val="both"/>
        <w:rPr>
          <w:rFonts w:ascii="Arial Narrow" w:hAnsi="Arial Narrow"/>
        </w:rPr>
      </w:pPr>
    </w:p>
    <w:p w14:paraId="126A7CE3" w14:textId="6FE73D2F" w:rsidR="00C37FB0" w:rsidRDefault="009E6DA2" w:rsidP="00FC6912">
      <w:pPr>
        <w:pStyle w:val="Descripcin"/>
        <w:jc w:val="center"/>
        <w:rPr>
          <w:rFonts w:ascii="Arial Narrow" w:eastAsia="Calibri" w:hAnsi="Arial Narrow"/>
          <w:sz w:val="24"/>
          <w:szCs w:val="24"/>
        </w:rPr>
      </w:pPr>
      <w:bookmarkStart w:id="75" w:name="_Toc76062264"/>
      <w:r w:rsidRPr="00484CC1">
        <w:rPr>
          <w:rFonts w:ascii="Arial Narrow" w:hAnsi="Arial Narrow"/>
          <w:sz w:val="24"/>
          <w:szCs w:val="24"/>
        </w:rPr>
        <w:t>Cuadro</w:t>
      </w:r>
      <w:r>
        <w:rPr>
          <w:rFonts w:ascii="Arial Narrow" w:hAnsi="Arial Narrow"/>
          <w:sz w:val="24"/>
          <w:szCs w:val="24"/>
        </w:rPr>
        <w:t xml:space="preserve"> </w:t>
      </w:r>
      <w:r w:rsidRPr="00484CC1">
        <w:rPr>
          <w:rFonts w:ascii="Arial Narrow" w:hAnsi="Arial Narrow"/>
          <w:sz w:val="24"/>
          <w:szCs w:val="24"/>
        </w:rPr>
        <w:fldChar w:fldCharType="begin"/>
      </w:r>
      <w:r w:rsidRPr="00484CC1">
        <w:rPr>
          <w:rFonts w:ascii="Arial Narrow" w:hAnsi="Arial Narrow"/>
          <w:sz w:val="24"/>
          <w:szCs w:val="24"/>
        </w:rPr>
        <w:instrText xml:space="preserve"> SEQ Cuadro_No. \* ARABIC </w:instrText>
      </w:r>
      <w:r w:rsidRPr="00484CC1">
        <w:rPr>
          <w:rFonts w:ascii="Arial Narrow" w:hAnsi="Arial Narrow"/>
          <w:sz w:val="24"/>
          <w:szCs w:val="24"/>
        </w:rPr>
        <w:fldChar w:fldCharType="separate"/>
      </w:r>
      <w:r w:rsidR="009D5823">
        <w:rPr>
          <w:rFonts w:ascii="Arial Narrow" w:hAnsi="Arial Narrow"/>
          <w:noProof/>
          <w:sz w:val="24"/>
          <w:szCs w:val="24"/>
        </w:rPr>
        <w:t>41</w:t>
      </w:r>
      <w:r w:rsidRPr="00484CC1">
        <w:rPr>
          <w:rFonts w:ascii="Arial Narrow" w:hAnsi="Arial Narrow"/>
          <w:sz w:val="24"/>
          <w:szCs w:val="24"/>
        </w:rPr>
        <w:fldChar w:fldCharType="end"/>
      </w:r>
      <w:r w:rsidRPr="00484CC1">
        <w:rPr>
          <w:rFonts w:ascii="Arial Narrow" w:hAnsi="Arial Narrow"/>
          <w:sz w:val="24"/>
          <w:szCs w:val="24"/>
        </w:rPr>
        <w:t xml:space="preserve"> </w:t>
      </w:r>
      <w:r w:rsidRPr="00D657CE">
        <w:rPr>
          <w:rFonts w:ascii="Arial Narrow" w:eastAsia="Calibri" w:hAnsi="Arial Narrow"/>
          <w:sz w:val="24"/>
          <w:szCs w:val="24"/>
        </w:rPr>
        <w:t>Metas estratégicas de Desarrollo y optimización de servicios y procesos judiciales, y su cumplimiento para el 2019</w:t>
      </w:r>
      <w:r>
        <w:rPr>
          <w:rFonts w:ascii="Arial Narrow" w:eastAsia="Calibri" w:hAnsi="Arial Narrow"/>
          <w:sz w:val="24"/>
          <w:szCs w:val="24"/>
        </w:rPr>
        <w:t xml:space="preserve"> y 2020.</w:t>
      </w:r>
      <w:bookmarkEnd w:id="75"/>
    </w:p>
    <w:p w14:paraId="1D53B9B9" w14:textId="77777777" w:rsidR="00FC6912" w:rsidRPr="00704B08" w:rsidRDefault="00FC6912">
      <w:pPr>
        <w:rPr>
          <w:rFonts w:eastAsia="Calibri"/>
        </w:rPr>
      </w:pPr>
    </w:p>
    <w:p w14:paraId="263799B6" w14:textId="6CF51D1B" w:rsidR="009E6DA2" w:rsidRDefault="00C37FB0" w:rsidP="009E6DA2">
      <w:pPr>
        <w:rPr>
          <w:rFonts w:ascii="Arial Narrow" w:eastAsia="Calibri" w:hAnsi="Arial Narrow"/>
          <w:lang w:eastAsia="en-US"/>
        </w:rPr>
      </w:pPr>
      <w:r>
        <w:rPr>
          <w:noProof/>
          <w:lang w:val="es-CR" w:eastAsia="es-CR"/>
        </w:rPr>
        <w:drawing>
          <wp:inline distT="0" distB="0" distL="0" distR="0" wp14:anchorId="363E2ACC" wp14:editId="4C958ABD">
            <wp:extent cx="7867650" cy="2647413"/>
            <wp:effectExtent l="57150" t="57150" r="95250" b="95885"/>
            <wp:docPr id="136" name="Imagen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3"/>
                    <a:srcRect r="402" b="1333"/>
                    <a:stretch/>
                  </pic:blipFill>
                  <pic:spPr bwMode="auto">
                    <a:xfrm>
                      <a:off x="0" y="0"/>
                      <a:ext cx="7870527" cy="2648381"/>
                    </a:xfrm>
                    <a:prstGeom prst="rect">
                      <a:avLst/>
                    </a:prstGeom>
                    <a:ln w="9525" cap="sq" cmpd="sng" algn="ctr">
                      <a:solidFill>
                        <a:srgbClr val="00B0F0"/>
                      </a:solidFill>
                      <a:prstDash val="solid"/>
                      <a:miter lim="800000"/>
                      <a:headEnd type="none" w="med" len="med"/>
                      <a:tailEnd type="none" w="med" len="med"/>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219EF0D1" w14:textId="77777777" w:rsidR="009E6DA2" w:rsidRDefault="009E6DA2" w:rsidP="009E6DA2">
      <w:pPr>
        <w:rPr>
          <w:rFonts w:ascii="Arial Narrow" w:eastAsia="Calibri" w:hAnsi="Arial Narrow"/>
          <w:lang w:eastAsia="en-US"/>
        </w:rPr>
      </w:pPr>
    </w:p>
    <w:p w14:paraId="698945BC" w14:textId="1FF8644E" w:rsidR="009E6DA2" w:rsidRDefault="009E6DA2" w:rsidP="009E6DA2">
      <w:pPr>
        <w:ind w:left="-142" w:firstLine="850"/>
        <w:rPr>
          <w:rFonts w:ascii="Arial Narrow" w:eastAsia="Calibri" w:hAnsi="Arial Narrow"/>
          <w:sz w:val="18"/>
          <w:szCs w:val="18"/>
          <w:lang w:eastAsia="en-US"/>
        </w:rPr>
      </w:pPr>
      <w:r w:rsidRPr="000B4845">
        <w:rPr>
          <w:rFonts w:ascii="Arial Narrow" w:eastAsia="Calibri" w:hAnsi="Arial Narrow"/>
          <w:sz w:val="18"/>
          <w:szCs w:val="18"/>
          <w:lang w:eastAsia="en-US"/>
        </w:rPr>
        <w:t>Fuente: Sistema PEI al 24 de enero del 2020 (año 2019)</w:t>
      </w:r>
      <w:r>
        <w:rPr>
          <w:rFonts w:ascii="Arial Narrow" w:eastAsia="Calibri" w:hAnsi="Arial Narrow"/>
          <w:sz w:val="18"/>
          <w:szCs w:val="18"/>
          <w:lang w:eastAsia="en-US"/>
        </w:rPr>
        <w:t xml:space="preserve"> y 04 de marzo del 2021 (año 2020).</w:t>
      </w:r>
    </w:p>
    <w:p w14:paraId="6699EF1A" w14:textId="77777777" w:rsidR="009D5823" w:rsidRDefault="009D5823" w:rsidP="009E6DA2">
      <w:pPr>
        <w:ind w:left="-142" w:firstLine="850"/>
        <w:rPr>
          <w:rFonts w:ascii="Arial Narrow" w:eastAsia="Calibri" w:hAnsi="Arial Narrow"/>
          <w:sz w:val="18"/>
          <w:szCs w:val="18"/>
          <w:lang w:eastAsia="en-US"/>
        </w:rPr>
        <w:sectPr w:rsidR="009D5823" w:rsidSect="009D5823">
          <w:pgSz w:w="15842" w:h="12242" w:orient="landscape" w:code="1"/>
          <w:pgMar w:top="1417" w:right="1701" w:bottom="1417" w:left="1701" w:header="709" w:footer="709" w:gutter="0"/>
          <w:cols w:space="708"/>
          <w:docGrid w:linePitch="360"/>
        </w:sectPr>
      </w:pPr>
    </w:p>
    <w:p w14:paraId="77C7C38D" w14:textId="77777777" w:rsidR="003D06EB" w:rsidRDefault="003D06EB">
      <w:pPr>
        <w:spacing w:line="360" w:lineRule="auto"/>
        <w:jc w:val="both"/>
        <w:rPr>
          <w:rFonts w:ascii="Arial Narrow" w:hAnsi="Arial Narrow" w:cs="Calibri"/>
          <w:color w:val="000000"/>
          <w:lang w:val="es-CR" w:eastAsia="es-CR"/>
        </w:rPr>
      </w:pPr>
    </w:p>
    <w:p w14:paraId="0C40B373" w14:textId="77777777" w:rsidR="003D06EB" w:rsidRDefault="003D06EB">
      <w:pPr>
        <w:spacing w:line="360" w:lineRule="auto"/>
        <w:jc w:val="both"/>
        <w:rPr>
          <w:rFonts w:ascii="Arial Narrow" w:hAnsi="Arial Narrow" w:cs="Calibri"/>
          <w:color w:val="000000"/>
          <w:lang w:val="es-CR" w:eastAsia="es-CR"/>
        </w:rPr>
      </w:pPr>
    </w:p>
    <w:p w14:paraId="580A7A46" w14:textId="77777777" w:rsidR="003D06EB" w:rsidRDefault="003D06EB">
      <w:pPr>
        <w:spacing w:line="360" w:lineRule="auto"/>
        <w:jc w:val="both"/>
        <w:rPr>
          <w:rFonts w:ascii="Arial Narrow" w:hAnsi="Arial Narrow" w:cs="Calibri"/>
          <w:color w:val="000000"/>
          <w:lang w:val="es-CR" w:eastAsia="es-CR"/>
        </w:rPr>
      </w:pPr>
    </w:p>
    <w:p w14:paraId="4CE9E0AD" w14:textId="77777777" w:rsidR="003D06EB" w:rsidRDefault="003D06EB">
      <w:pPr>
        <w:spacing w:line="360" w:lineRule="auto"/>
        <w:jc w:val="both"/>
        <w:rPr>
          <w:rFonts w:ascii="Arial Narrow" w:hAnsi="Arial Narrow" w:cs="Calibri"/>
          <w:color w:val="000000"/>
          <w:lang w:val="es-CR" w:eastAsia="es-CR"/>
        </w:rPr>
      </w:pPr>
    </w:p>
    <w:p w14:paraId="1F461FEC" w14:textId="2501B0D7" w:rsidR="00284C8A" w:rsidRPr="00704B08" w:rsidRDefault="00220A74">
      <w:pPr>
        <w:spacing w:line="360" w:lineRule="auto"/>
        <w:jc w:val="both"/>
        <w:rPr>
          <w:rFonts w:ascii="Arial Narrow" w:hAnsi="Arial Narrow" w:cs="Calibri"/>
          <w:b/>
          <w:bCs/>
          <w:color w:val="000000"/>
          <w:lang w:val="es-CR" w:eastAsia="es-CR"/>
        </w:rPr>
      </w:pPr>
      <w:r w:rsidRPr="00704B08">
        <w:rPr>
          <w:rFonts w:ascii="Arial Narrow" w:hAnsi="Arial Narrow" w:cs="Calibri"/>
          <w:color w:val="000000"/>
          <w:lang w:val="es-CR" w:eastAsia="es-CR"/>
        </w:rPr>
        <w:t>La meta estratégica</w:t>
      </w:r>
      <w:r w:rsidR="00DD4259" w:rsidRPr="00704B08">
        <w:rPr>
          <w:rFonts w:ascii="Arial Narrow" w:hAnsi="Arial Narrow" w:cs="Calibri"/>
          <w:b/>
          <w:bCs/>
          <w:color w:val="000000"/>
          <w:lang w:val="es-CR" w:eastAsia="es-CR"/>
        </w:rPr>
        <w:t xml:space="preserve"> </w:t>
      </w:r>
      <w:r w:rsidRPr="003D06EB">
        <w:rPr>
          <w:rFonts w:ascii="Arial Narrow" w:hAnsi="Arial Narrow" w:cs="Calibri"/>
          <w:b/>
          <w:bCs/>
          <w:i/>
          <w:iCs/>
          <w:color w:val="000000"/>
          <w:lang w:val="es-CR" w:eastAsia="es-CR"/>
        </w:rPr>
        <w:t>“</w:t>
      </w:r>
      <w:r w:rsidR="00DD4259" w:rsidRPr="003D06EB">
        <w:rPr>
          <w:rFonts w:ascii="Arial Narrow" w:hAnsi="Arial Narrow" w:cs="Calibri"/>
          <w:b/>
          <w:bCs/>
          <w:i/>
          <w:iCs/>
          <w:color w:val="000000"/>
          <w:lang w:val="es-CR" w:eastAsia="es-CR"/>
        </w:rPr>
        <w:t>Que al finalizar el 2024, se haya implementado un modelo de atención al público con el fin de mejorar el servicio brindado</w:t>
      </w:r>
      <w:r w:rsidRPr="003D06EB">
        <w:rPr>
          <w:rFonts w:ascii="Arial Narrow" w:hAnsi="Arial Narrow" w:cs="Calibri"/>
          <w:b/>
          <w:bCs/>
          <w:i/>
          <w:iCs/>
          <w:color w:val="000000"/>
          <w:lang w:val="es-CR" w:eastAsia="es-CR"/>
        </w:rPr>
        <w:t>”</w:t>
      </w:r>
      <w:r w:rsidR="003D06EB">
        <w:rPr>
          <w:rFonts w:ascii="Arial Narrow" w:hAnsi="Arial Narrow" w:cs="Calibri"/>
          <w:b/>
          <w:bCs/>
          <w:i/>
          <w:iCs/>
          <w:color w:val="000000"/>
          <w:lang w:val="es-CR" w:eastAsia="es-CR"/>
        </w:rPr>
        <w:t>,</w:t>
      </w:r>
      <w:r>
        <w:rPr>
          <w:rFonts w:ascii="Arial Narrow" w:hAnsi="Arial Narrow"/>
        </w:rPr>
        <w:t xml:space="preserve"> c</w:t>
      </w:r>
      <w:r w:rsidR="00731788" w:rsidRPr="00704B08">
        <w:rPr>
          <w:rFonts w:ascii="Arial Narrow" w:hAnsi="Arial Narrow"/>
        </w:rPr>
        <w:t xml:space="preserve">on respecto al cumplimiento de la </w:t>
      </w:r>
      <w:r>
        <w:rPr>
          <w:rFonts w:ascii="Arial Narrow" w:hAnsi="Arial Narrow"/>
        </w:rPr>
        <w:t>citada</w:t>
      </w:r>
      <w:r w:rsidR="00731788" w:rsidRPr="00704B08">
        <w:rPr>
          <w:rFonts w:ascii="Arial Narrow" w:hAnsi="Arial Narrow"/>
        </w:rPr>
        <w:t xml:space="preserve"> meta </w:t>
      </w:r>
      <w:r w:rsidR="00235C14">
        <w:rPr>
          <w:rFonts w:ascii="Arial Narrow" w:hAnsi="Arial Narrow"/>
        </w:rPr>
        <w:t>en los años 2019 y 2020</w:t>
      </w:r>
      <w:r>
        <w:rPr>
          <w:rFonts w:ascii="Arial Narrow" w:hAnsi="Arial Narrow"/>
        </w:rPr>
        <w:t>,</w:t>
      </w:r>
      <w:r w:rsidR="00235C14">
        <w:rPr>
          <w:rFonts w:ascii="Arial Narrow" w:hAnsi="Arial Narrow"/>
        </w:rPr>
        <w:t xml:space="preserve"> </w:t>
      </w:r>
      <w:r w:rsidR="00731788" w:rsidRPr="00704B08">
        <w:rPr>
          <w:rFonts w:ascii="Arial Narrow" w:hAnsi="Arial Narrow"/>
        </w:rPr>
        <w:t>la Contraloría de Servicios realiz</w:t>
      </w:r>
      <w:r w:rsidR="00B85695" w:rsidRPr="00704B08">
        <w:rPr>
          <w:rFonts w:ascii="Arial Narrow" w:hAnsi="Arial Narrow"/>
        </w:rPr>
        <w:t>ó</w:t>
      </w:r>
      <w:r w:rsidR="00731788" w:rsidRPr="00704B08">
        <w:rPr>
          <w:rFonts w:ascii="Arial Narrow" w:hAnsi="Arial Narrow"/>
        </w:rPr>
        <w:t xml:space="preserve"> y presentaron los avances correspondientes por medio del portafolio de proyectos </w:t>
      </w:r>
      <w:r w:rsidR="008653E2" w:rsidRPr="00704B08">
        <w:rPr>
          <w:rFonts w:ascii="Arial Narrow" w:hAnsi="Arial Narrow"/>
        </w:rPr>
        <w:t>donde se detalla las herramientas</w:t>
      </w:r>
      <w:r w:rsidR="00731788" w:rsidRPr="00704B08">
        <w:rPr>
          <w:rFonts w:ascii="Arial Narrow" w:hAnsi="Arial Narrow"/>
        </w:rPr>
        <w:t xml:space="preserve"> realizadas</w:t>
      </w:r>
      <w:r w:rsidR="008653E2" w:rsidRPr="00704B08">
        <w:rPr>
          <w:rFonts w:ascii="Arial Narrow" w:hAnsi="Arial Narrow"/>
        </w:rPr>
        <w:t xml:space="preserve"> por lo que se evidencia el cumplimiento total de lo solicitado.</w:t>
      </w:r>
    </w:p>
    <w:p w14:paraId="058A7008" w14:textId="77777777" w:rsidR="00731788" w:rsidRPr="00704B08" w:rsidRDefault="00731788" w:rsidP="00704B08">
      <w:pPr>
        <w:spacing w:line="360" w:lineRule="auto"/>
        <w:jc w:val="both"/>
        <w:rPr>
          <w:rFonts w:ascii="Arial Narrow" w:hAnsi="Arial Narrow" w:cs="Calibri"/>
          <w:color w:val="000000"/>
          <w:lang w:val="es-CR" w:eastAsia="es-CR"/>
        </w:rPr>
      </w:pPr>
    </w:p>
    <w:p w14:paraId="0A640EF6" w14:textId="1A16BD53" w:rsidR="008653E2" w:rsidRDefault="00220A74">
      <w:pPr>
        <w:spacing w:line="360" w:lineRule="auto"/>
        <w:jc w:val="both"/>
        <w:rPr>
          <w:rFonts w:ascii="Arial Narrow" w:hAnsi="Arial Narrow"/>
        </w:rPr>
      </w:pPr>
      <w:r>
        <w:rPr>
          <w:rFonts w:ascii="Arial Narrow" w:hAnsi="Arial Narrow" w:cs="Calibri"/>
          <w:color w:val="000000"/>
          <w:lang w:val="es-CR" w:eastAsia="es-CR"/>
        </w:rPr>
        <w:t>Por otro lado, l</w:t>
      </w:r>
      <w:r w:rsidRPr="002E0B96">
        <w:rPr>
          <w:rFonts w:ascii="Arial Narrow" w:hAnsi="Arial Narrow" w:cs="Calibri"/>
          <w:color w:val="000000"/>
          <w:lang w:val="es-CR" w:eastAsia="es-CR"/>
        </w:rPr>
        <w:t>a meta estratégica</w:t>
      </w:r>
      <w:r w:rsidRPr="002E0B96">
        <w:rPr>
          <w:rFonts w:ascii="Arial Narrow" w:hAnsi="Arial Narrow" w:cs="Calibri"/>
          <w:b/>
          <w:bCs/>
          <w:color w:val="000000"/>
          <w:lang w:val="es-CR" w:eastAsia="es-CR"/>
        </w:rPr>
        <w:t xml:space="preserve"> </w:t>
      </w:r>
      <w:r>
        <w:rPr>
          <w:rFonts w:ascii="Arial Narrow" w:hAnsi="Arial Narrow" w:cs="Calibri"/>
          <w:b/>
          <w:bCs/>
          <w:color w:val="000000"/>
          <w:lang w:val="es-CR" w:eastAsia="es-CR"/>
        </w:rPr>
        <w:t>“</w:t>
      </w:r>
      <w:r w:rsidR="00DD4259" w:rsidRPr="00704B08">
        <w:rPr>
          <w:rFonts w:ascii="Arial Narrow" w:hAnsi="Arial Narrow" w:cs="Calibri"/>
          <w:b/>
          <w:bCs/>
          <w:i/>
          <w:iCs/>
          <w:color w:val="000000"/>
          <w:lang w:val="es-CR" w:eastAsia="es-CR"/>
        </w:rPr>
        <w:t>Que al finalizar el 2024, se haya implementado el plan de acción de la Política de Igualdad de Género del Poder Judicial, con el fin de incorporarlo en los servicios judiciales</w:t>
      </w:r>
      <w:r>
        <w:rPr>
          <w:rFonts w:ascii="Arial Narrow" w:hAnsi="Arial Narrow" w:cs="Calibri"/>
          <w:b/>
          <w:bCs/>
          <w:color w:val="000000"/>
          <w:lang w:val="es-CR" w:eastAsia="es-CR"/>
        </w:rPr>
        <w:t>”</w:t>
      </w:r>
      <w:r w:rsidR="003D06EB">
        <w:rPr>
          <w:rFonts w:ascii="Arial Narrow" w:hAnsi="Arial Narrow" w:cs="Calibri"/>
          <w:b/>
          <w:bCs/>
          <w:color w:val="000000"/>
          <w:lang w:val="es-CR" w:eastAsia="es-CR"/>
        </w:rPr>
        <w:t>,</w:t>
      </w:r>
      <w:r>
        <w:rPr>
          <w:rFonts w:ascii="Arial Narrow" w:hAnsi="Arial Narrow" w:cs="Calibri"/>
          <w:b/>
          <w:bCs/>
          <w:color w:val="000000"/>
          <w:lang w:val="es-CR" w:eastAsia="es-CR"/>
        </w:rPr>
        <w:t xml:space="preserve"> </w:t>
      </w:r>
      <w:r>
        <w:rPr>
          <w:rFonts w:ascii="Arial Narrow" w:hAnsi="Arial Narrow"/>
        </w:rPr>
        <w:t>l</w:t>
      </w:r>
      <w:r w:rsidR="00B02C65" w:rsidRPr="00704B08">
        <w:rPr>
          <w:rFonts w:ascii="Arial Narrow" w:hAnsi="Arial Narrow"/>
        </w:rPr>
        <w:t>a Secretaría</w:t>
      </w:r>
      <w:r w:rsidR="006E43C6" w:rsidRPr="00704B08">
        <w:rPr>
          <w:rFonts w:ascii="Arial Narrow" w:hAnsi="Arial Narrow" w:cs="Arial"/>
          <w:color w:val="000000"/>
          <w:lang w:val="es-CR" w:eastAsia="es-CR"/>
        </w:rPr>
        <w:t xml:space="preserve"> Técnica de Género y Acceso a la Justicia</w:t>
      </w:r>
      <w:r w:rsidR="006E43C6" w:rsidRPr="00704B08">
        <w:rPr>
          <w:rFonts w:ascii="Arial Narrow" w:hAnsi="Arial Narrow"/>
        </w:rPr>
        <w:t xml:space="preserve"> comunica por medio del sistema </w:t>
      </w:r>
      <w:r w:rsidR="00B02C65" w:rsidRPr="00704B08">
        <w:rPr>
          <w:rFonts w:ascii="Arial Narrow" w:hAnsi="Arial Narrow"/>
        </w:rPr>
        <w:t xml:space="preserve">PAO que para dar cumplimiento a esta meta estratégica </w:t>
      </w:r>
      <w:r w:rsidR="00FC6912">
        <w:rPr>
          <w:rFonts w:ascii="Arial Narrow" w:hAnsi="Arial Narrow"/>
        </w:rPr>
        <w:t xml:space="preserve">en los años analizados 2019 y 2020 </w:t>
      </w:r>
      <w:r w:rsidR="00B02C65" w:rsidRPr="00704B08">
        <w:rPr>
          <w:rFonts w:ascii="Arial Narrow" w:hAnsi="Arial Narrow"/>
        </w:rPr>
        <w:t>realizaron diferentes s</w:t>
      </w:r>
      <w:r w:rsidR="008653E2" w:rsidRPr="00704B08">
        <w:rPr>
          <w:rFonts w:ascii="Arial Narrow" w:hAnsi="Arial Narrow"/>
        </w:rPr>
        <w:t>esiones de trabajo internas para la construcción de la propuesta de Plan de Acción de la Política de Igualdad de Género del Poder Judicial</w:t>
      </w:r>
      <w:r w:rsidR="00B02C65" w:rsidRPr="00704B08">
        <w:rPr>
          <w:rFonts w:ascii="Arial Narrow" w:hAnsi="Arial Narrow"/>
        </w:rPr>
        <w:t xml:space="preserve">. </w:t>
      </w:r>
      <w:r w:rsidR="00B02C65" w:rsidRPr="00704B08">
        <w:rPr>
          <w:rFonts w:ascii="Arial Narrow" w:hAnsi="Arial Narrow" w:cs="Calibri"/>
          <w:color w:val="000000"/>
          <w:lang w:val="es-CR" w:eastAsia="es-CR"/>
        </w:rPr>
        <w:t>Además, e</w:t>
      </w:r>
      <w:r w:rsidR="008653E2" w:rsidRPr="00704B08">
        <w:rPr>
          <w:rFonts w:ascii="Arial Narrow" w:hAnsi="Arial Narrow"/>
        </w:rPr>
        <w:t>labora</w:t>
      </w:r>
      <w:r w:rsidR="00B02C65" w:rsidRPr="00704B08">
        <w:rPr>
          <w:rFonts w:ascii="Arial Narrow" w:hAnsi="Arial Narrow"/>
        </w:rPr>
        <w:t>ron un plan</w:t>
      </w:r>
      <w:r w:rsidR="008653E2" w:rsidRPr="00704B08">
        <w:rPr>
          <w:rFonts w:ascii="Arial Narrow" w:hAnsi="Arial Narrow"/>
        </w:rPr>
        <w:t xml:space="preserve"> de acción para personas menores de edad víctimas de delitos sexuales. </w:t>
      </w:r>
    </w:p>
    <w:p w14:paraId="07895A19" w14:textId="77777777" w:rsidR="009D5823" w:rsidRDefault="009D5823">
      <w:pPr>
        <w:spacing w:line="360" w:lineRule="auto"/>
        <w:jc w:val="both"/>
        <w:rPr>
          <w:rFonts w:ascii="Arial Narrow" w:hAnsi="Arial Narrow"/>
        </w:rPr>
        <w:sectPr w:rsidR="009D5823" w:rsidSect="009D5823">
          <w:pgSz w:w="12242" w:h="15842" w:code="1"/>
          <w:pgMar w:top="1701" w:right="1417" w:bottom="1701" w:left="1417" w:header="709" w:footer="709" w:gutter="0"/>
          <w:cols w:space="708"/>
          <w:docGrid w:linePitch="360"/>
        </w:sectPr>
      </w:pPr>
    </w:p>
    <w:p w14:paraId="4C5F9908" w14:textId="77777777" w:rsidR="00FC6912" w:rsidRPr="00704B08" w:rsidRDefault="00FC6912" w:rsidP="00704B08">
      <w:pPr>
        <w:spacing w:line="360" w:lineRule="auto"/>
        <w:jc w:val="both"/>
        <w:rPr>
          <w:rFonts w:ascii="Arial Narrow" w:hAnsi="Arial Narrow" w:cs="Calibri"/>
          <w:b/>
          <w:bCs/>
          <w:color w:val="000000"/>
          <w:lang w:val="es-CR" w:eastAsia="es-CR"/>
        </w:rPr>
      </w:pPr>
    </w:p>
    <w:p w14:paraId="524525E5" w14:textId="23720C35" w:rsidR="009E6DA2" w:rsidRPr="002100DF" w:rsidRDefault="009E6DA2" w:rsidP="009E6DA2">
      <w:pPr>
        <w:pStyle w:val="Descripcin"/>
        <w:jc w:val="center"/>
        <w:rPr>
          <w:rFonts w:ascii="Arial Narrow" w:eastAsia="Calibri" w:hAnsi="Arial Narrow"/>
          <w:lang w:eastAsia="en-US"/>
        </w:rPr>
      </w:pPr>
      <w:bookmarkStart w:id="76" w:name="_Toc76062265"/>
      <w:r w:rsidRPr="00484CC1">
        <w:rPr>
          <w:rFonts w:ascii="Arial Narrow" w:hAnsi="Arial Narrow"/>
          <w:sz w:val="24"/>
          <w:szCs w:val="24"/>
        </w:rPr>
        <w:t>Cuadro</w:t>
      </w:r>
      <w:r>
        <w:rPr>
          <w:rFonts w:ascii="Arial Narrow" w:hAnsi="Arial Narrow"/>
          <w:sz w:val="24"/>
          <w:szCs w:val="24"/>
        </w:rPr>
        <w:t xml:space="preserve"> </w:t>
      </w:r>
      <w:r w:rsidRPr="00484CC1">
        <w:rPr>
          <w:rFonts w:ascii="Arial Narrow" w:hAnsi="Arial Narrow"/>
          <w:sz w:val="24"/>
          <w:szCs w:val="24"/>
        </w:rPr>
        <w:fldChar w:fldCharType="begin"/>
      </w:r>
      <w:r w:rsidRPr="00484CC1">
        <w:rPr>
          <w:rFonts w:ascii="Arial Narrow" w:hAnsi="Arial Narrow"/>
          <w:sz w:val="24"/>
          <w:szCs w:val="24"/>
        </w:rPr>
        <w:instrText xml:space="preserve"> SEQ Cuadro_No. \* ARABIC </w:instrText>
      </w:r>
      <w:r w:rsidRPr="00484CC1">
        <w:rPr>
          <w:rFonts w:ascii="Arial Narrow" w:hAnsi="Arial Narrow"/>
          <w:sz w:val="24"/>
          <w:szCs w:val="24"/>
        </w:rPr>
        <w:fldChar w:fldCharType="separate"/>
      </w:r>
      <w:r w:rsidR="009D5823">
        <w:rPr>
          <w:rFonts w:ascii="Arial Narrow" w:hAnsi="Arial Narrow"/>
          <w:noProof/>
          <w:sz w:val="24"/>
          <w:szCs w:val="24"/>
        </w:rPr>
        <w:t>42</w:t>
      </w:r>
      <w:r w:rsidRPr="00484CC1">
        <w:rPr>
          <w:rFonts w:ascii="Arial Narrow" w:hAnsi="Arial Narrow"/>
          <w:sz w:val="24"/>
          <w:szCs w:val="24"/>
        </w:rPr>
        <w:fldChar w:fldCharType="end"/>
      </w:r>
      <w:r w:rsidRPr="00484CC1">
        <w:rPr>
          <w:rFonts w:ascii="Arial Narrow" w:hAnsi="Arial Narrow"/>
          <w:sz w:val="24"/>
          <w:szCs w:val="24"/>
        </w:rPr>
        <w:t xml:space="preserve"> </w:t>
      </w:r>
      <w:r w:rsidRPr="00D657CE">
        <w:rPr>
          <w:rFonts w:ascii="Arial Narrow" w:eastAsia="Calibri" w:hAnsi="Arial Narrow"/>
          <w:sz w:val="24"/>
          <w:szCs w:val="24"/>
        </w:rPr>
        <w:t>Metas estratégicas de Desarrollo y optimización de servicios y procesos judiciales, y su cumplimiento para el 2019</w:t>
      </w:r>
      <w:r>
        <w:rPr>
          <w:rFonts w:ascii="Arial Narrow" w:eastAsia="Calibri" w:hAnsi="Arial Narrow"/>
          <w:sz w:val="24"/>
          <w:szCs w:val="24"/>
        </w:rPr>
        <w:t xml:space="preserve"> y 2020.</w:t>
      </w:r>
      <w:bookmarkEnd w:id="76"/>
    </w:p>
    <w:p w14:paraId="3E750AD1" w14:textId="77777777" w:rsidR="009E6DA2" w:rsidRDefault="009E6DA2" w:rsidP="009E6DA2">
      <w:pPr>
        <w:rPr>
          <w:rFonts w:ascii="Arial Narrow" w:eastAsia="Calibri" w:hAnsi="Arial Narrow"/>
          <w:lang w:eastAsia="en-US"/>
        </w:rPr>
      </w:pPr>
    </w:p>
    <w:p w14:paraId="17CB90FB" w14:textId="17FFB594" w:rsidR="009E6DA2" w:rsidRDefault="00C37FB0" w:rsidP="00704B08">
      <w:pPr>
        <w:jc w:val="center"/>
        <w:rPr>
          <w:rFonts w:ascii="Arial Narrow" w:eastAsia="Calibri" w:hAnsi="Arial Narrow"/>
          <w:lang w:eastAsia="en-US"/>
        </w:rPr>
      </w:pPr>
      <w:r>
        <w:rPr>
          <w:noProof/>
          <w:lang w:val="es-CR" w:eastAsia="es-CR"/>
        </w:rPr>
        <w:drawing>
          <wp:inline distT="0" distB="0" distL="0" distR="0" wp14:anchorId="07EB5016" wp14:editId="0F1A8630">
            <wp:extent cx="7899400" cy="2711808"/>
            <wp:effectExtent l="57150" t="57150" r="101600" b="88900"/>
            <wp:docPr id="137" name="Imagen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7908000" cy="2714760"/>
                    </a:xfrm>
                    <a:prstGeom prst="rect">
                      <a:avLst/>
                    </a:prstGeom>
                    <a:ln w="9525" cap="sq">
                      <a:solidFill>
                        <a:srgbClr val="00B0F0"/>
                      </a:solidFill>
                      <a:prstDash val="solid"/>
                      <a:miter lim="800000"/>
                    </a:ln>
                    <a:effectLst>
                      <a:outerShdw blurRad="50800" dist="38100" dir="2700000" algn="tl" rotWithShape="0">
                        <a:srgbClr val="000000">
                          <a:alpha val="43000"/>
                        </a:srgbClr>
                      </a:outerShdw>
                    </a:effectLst>
                  </pic:spPr>
                </pic:pic>
              </a:graphicData>
            </a:graphic>
          </wp:inline>
        </w:drawing>
      </w:r>
    </w:p>
    <w:p w14:paraId="7785992A" w14:textId="77777777" w:rsidR="009E6DA2" w:rsidRDefault="009E6DA2" w:rsidP="009E6DA2">
      <w:pPr>
        <w:ind w:left="-142" w:firstLine="850"/>
        <w:rPr>
          <w:rFonts w:ascii="Arial Narrow" w:eastAsia="Calibri" w:hAnsi="Arial Narrow"/>
          <w:sz w:val="18"/>
          <w:szCs w:val="18"/>
          <w:lang w:eastAsia="en-US"/>
        </w:rPr>
      </w:pPr>
      <w:r w:rsidRPr="000B4845">
        <w:rPr>
          <w:rFonts w:ascii="Arial Narrow" w:eastAsia="Calibri" w:hAnsi="Arial Narrow"/>
          <w:sz w:val="18"/>
          <w:szCs w:val="18"/>
          <w:lang w:eastAsia="en-US"/>
        </w:rPr>
        <w:t>Fuente: Sistema PEI al 24 de enero del 2020 (año 2019)</w:t>
      </w:r>
      <w:r>
        <w:rPr>
          <w:rFonts w:ascii="Arial Narrow" w:eastAsia="Calibri" w:hAnsi="Arial Narrow"/>
          <w:sz w:val="18"/>
          <w:szCs w:val="18"/>
          <w:lang w:eastAsia="en-US"/>
        </w:rPr>
        <w:t xml:space="preserve"> y 04 de marzo del 2021 (año 2020).</w:t>
      </w:r>
    </w:p>
    <w:p w14:paraId="6D86F2BC" w14:textId="079A934B" w:rsidR="008653E2" w:rsidRDefault="008653E2" w:rsidP="00A5186A">
      <w:pPr>
        <w:spacing w:line="360" w:lineRule="auto"/>
        <w:jc w:val="both"/>
        <w:rPr>
          <w:rFonts w:ascii="Arial Narrow" w:hAnsi="Arial Narrow" w:cs="Calibri"/>
          <w:b/>
          <w:bCs/>
          <w:color w:val="000000"/>
          <w:lang w:val="es-CR" w:eastAsia="es-CR"/>
        </w:rPr>
      </w:pPr>
    </w:p>
    <w:p w14:paraId="5E547B2F" w14:textId="77777777" w:rsidR="009D5823" w:rsidRDefault="009D5823" w:rsidP="00A5186A">
      <w:pPr>
        <w:spacing w:line="360" w:lineRule="auto"/>
        <w:jc w:val="both"/>
        <w:rPr>
          <w:rFonts w:ascii="Arial Narrow" w:hAnsi="Arial Narrow" w:cs="Calibri"/>
          <w:b/>
          <w:bCs/>
          <w:color w:val="000000"/>
          <w:lang w:val="es-CR" w:eastAsia="es-CR"/>
        </w:rPr>
        <w:sectPr w:rsidR="009D5823" w:rsidSect="009D5823">
          <w:pgSz w:w="15842" w:h="12242" w:orient="landscape" w:code="1"/>
          <w:pgMar w:top="1417" w:right="1701" w:bottom="1417" w:left="1701" w:header="709" w:footer="709" w:gutter="0"/>
          <w:cols w:space="708"/>
          <w:docGrid w:linePitch="360"/>
        </w:sectPr>
      </w:pPr>
    </w:p>
    <w:p w14:paraId="686E166D" w14:textId="77777777" w:rsidR="003D06EB" w:rsidRDefault="003D06EB" w:rsidP="00704B08">
      <w:pPr>
        <w:spacing w:line="360" w:lineRule="auto"/>
        <w:jc w:val="both"/>
        <w:rPr>
          <w:rFonts w:ascii="Arial Narrow" w:hAnsi="Arial Narrow" w:cs="Calibri"/>
          <w:color w:val="000000"/>
          <w:lang w:val="es-CR" w:eastAsia="es-CR"/>
        </w:rPr>
      </w:pPr>
    </w:p>
    <w:p w14:paraId="4C6CFE67" w14:textId="435D2C02" w:rsidR="006E43C6" w:rsidRPr="00704B08" w:rsidRDefault="00220A74" w:rsidP="00704B08">
      <w:pPr>
        <w:spacing w:line="360" w:lineRule="auto"/>
        <w:jc w:val="both"/>
        <w:rPr>
          <w:rFonts w:ascii="Arial Narrow" w:hAnsi="Arial Narrow" w:cs="Calibri"/>
          <w:b/>
          <w:bCs/>
          <w:color w:val="000000"/>
          <w:lang w:val="es-CR" w:eastAsia="es-CR"/>
        </w:rPr>
      </w:pPr>
      <w:r>
        <w:rPr>
          <w:rFonts w:ascii="Arial Narrow" w:hAnsi="Arial Narrow" w:cs="Calibri"/>
          <w:color w:val="000000"/>
          <w:lang w:val="es-CR" w:eastAsia="es-CR"/>
        </w:rPr>
        <w:t>Con respecto a l</w:t>
      </w:r>
      <w:r w:rsidRPr="002E0B96">
        <w:rPr>
          <w:rFonts w:ascii="Arial Narrow" w:hAnsi="Arial Narrow" w:cs="Calibri"/>
          <w:color w:val="000000"/>
          <w:lang w:val="es-CR" w:eastAsia="es-CR"/>
        </w:rPr>
        <w:t>a meta estratégica</w:t>
      </w:r>
      <w:r w:rsidRPr="002E0B96">
        <w:rPr>
          <w:rFonts w:ascii="Arial Narrow" w:hAnsi="Arial Narrow" w:cs="Calibri"/>
          <w:b/>
          <w:bCs/>
          <w:color w:val="000000"/>
          <w:lang w:val="es-CR" w:eastAsia="es-CR"/>
        </w:rPr>
        <w:t xml:space="preserve"> </w:t>
      </w:r>
      <w:r>
        <w:rPr>
          <w:rFonts w:ascii="Arial Narrow" w:hAnsi="Arial Narrow" w:cs="Calibri"/>
          <w:b/>
          <w:bCs/>
          <w:color w:val="000000"/>
          <w:lang w:val="es-CR" w:eastAsia="es-CR"/>
        </w:rPr>
        <w:t>“</w:t>
      </w:r>
      <w:r w:rsidR="00DD4259" w:rsidRPr="00704B08">
        <w:rPr>
          <w:rFonts w:ascii="Arial Narrow" w:hAnsi="Arial Narrow" w:cs="Calibri"/>
          <w:b/>
          <w:bCs/>
          <w:i/>
          <w:iCs/>
          <w:color w:val="000000"/>
          <w:lang w:val="es-CR" w:eastAsia="es-CR"/>
        </w:rPr>
        <w:t>Que al finalizar el 2024, se haya implementado una estrategia para ampliar la cobertura geográfica de disponibilidad del personal de la Unidad de Protección de Víctimas y Testigos</w:t>
      </w:r>
      <w:r>
        <w:rPr>
          <w:rFonts w:ascii="Arial Narrow" w:hAnsi="Arial Narrow" w:cs="Calibri"/>
          <w:b/>
          <w:bCs/>
          <w:color w:val="000000"/>
          <w:lang w:val="es-CR" w:eastAsia="es-CR"/>
        </w:rPr>
        <w:t>”</w:t>
      </w:r>
      <w:r w:rsidR="003D06EB">
        <w:rPr>
          <w:rFonts w:ascii="Arial Narrow" w:hAnsi="Arial Narrow" w:cs="Calibri"/>
          <w:b/>
          <w:bCs/>
          <w:color w:val="000000"/>
          <w:lang w:val="es-CR" w:eastAsia="es-CR"/>
        </w:rPr>
        <w:t>,</w:t>
      </w:r>
      <w:r>
        <w:rPr>
          <w:rFonts w:ascii="Arial Narrow" w:hAnsi="Arial Narrow"/>
          <w:lang w:val="es-CR" w:eastAsia="es-CR"/>
        </w:rPr>
        <w:t xml:space="preserve"> p</w:t>
      </w:r>
      <w:r w:rsidR="006E43C6" w:rsidRPr="00704B08">
        <w:rPr>
          <w:rFonts w:ascii="Arial Narrow" w:hAnsi="Arial Narrow"/>
          <w:lang w:val="es-CR" w:eastAsia="es-CR"/>
        </w:rPr>
        <w:t>ara el año 2019 se confeccionó una</w:t>
      </w:r>
      <w:r w:rsidR="00C201B2" w:rsidRPr="00704B08">
        <w:rPr>
          <w:rFonts w:ascii="Arial Narrow" w:hAnsi="Arial Narrow"/>
          <w:lang w:val="es-CR" w:eastAsia="es-CR"/>
        </w:rPr>
        <w:t xml:space="preserve"> estrategia para ampliar la cobertura regional en horario de disponibilidad del personal </w:t>
      </w:r>
      <w:r w:rsidR="006E43C6" w:rsidRPr="00704B08">
        <w:rPr>
          <w:rFonts w:ascii="Arial Narrow" w:hAnsi="Arial Narrow"/>
          <w:lang w:val="es-CR" w:eastAsia="es-CR"/>
        </w:rPr>
        <w:t>y la</w:t>
      </w:r>
      <w:r w:rsidR="00C201B2" w:rsidRPr="00704B08">
        <w:rPr>
          <w:rFonts w:ascii="Arial Narrow" w:hAnsi="Arial Narrow"/>
          <w:lang w:val="es-CR" w:eastAsia="es-CR"/>
        </w:rPr>
        <w:t xml:space="preserve"> ampliación de la cobertura territorial en horario de disponibilidad del personal de la Unidad de Protección de Víctimas y Testigos.</w:t>
      </w:r>
      <w:r w:rsidR="006E43C6" w:rsidRPr="00704B08">
        <w:rPr>
          <w:rFonts w:ascii="Arial Narrow" w:hAnsi="Arial Narrow"/>
        </w:rPr>
        <w:t xml:space="preserve">En cuanto </w:t>
      </w:r>
      <w:r w:rsidR="006E43C6">
        <w:rPr>
          <w:rFonts w:ascii="Arial Narrow" w:hAnsi="Arial Narrow"/>
        </w:rPr>
        <w:t xml:space="preserve">al año 2020 se tiene que a </w:t>
      </w:r>
      <w:r w:rsidR="00C201B2" w:rsidRPr="00704B08">
        <w:rPr>
          <w:rFonts w:ascii="Arial Narrow" w:hAnsi="Arial Narrow"/>
        </w:rPr>
        <w:t xml:space="preserve">partir del 17 de febrero del 2020 </w:t>
      </w:r>
      <w:r w:rsidR="006E43C6" w:rsidRPr="00704B08">
        <w:rPr>
          <w:rFonts w:ascii="Arial Narrow" w:hAnsi="Arial Narrow" w:cs="Calibri"/>
          <w:color w:val="000000"/>
          <w:lang w:val="es-CR" w:eastAsia="es-CR"/>
        </w:rPr>
        <w:t>la Unidad de Protección de Víctimas y Testigos</w:t>
      </w:r>
      <w:r w:rsidR="006E43C6" w:rsidRPr="003C1D46">
        <w:rPr>
          <w:rFonts w:ascii="Arial Narrow" w:hAnsi="Arial Narrow"/>
        </w:rPr>
        <w:t xml:space="preserve"> </w:t>
      </w:r>
      <w:r w:rsidR="006E43C6">
        <w:rPr>
          <w:rFonts w:ascii="Arial Narrow" w:hAnsi="Arial Narrow"/>
        </w:rPr>
        <w:t>realizó</w:t>
      </w:r>
      <w:r w:rsidR="00C201B2" w:rsidRPr="00704B08">
        <w:rPr>
          <w:rFonts w:ascii="Arial Narrow" w:hAnsi="Arial Narrow"/>
        </w:rPr>
        <w:t xml:space="preserve"> oficialmente la apertura de la oficina regional de Perez Zeledón de la UPROV y la ampliación y modificaciones de roles de disponibilidades de la regionales del país</w:t>
      </w:r>
      <w:r w:rsidR="006E43C6" w:rsidRPr="00704B08">
        <w:rPr>
          <w:rFonts w:ascii="Arial Narrow" w:hAnsi="Arial Narrow"/>
        </w:rPr>
        <w:t>.</w:t>
      </w:r>
      <w:r w:rsidR="003C1D46">
        <w:rPr>
          <w:rFonts w:ascii="Arial Narrow" w:hAnsi="Arial Narrow" w:cs="Calibri"/>
          <w:b/>
          <w:bCs/>
          <w:color w:val="000000"/>
          <w:lang w:val="es-CR" w:eastAsia="es-CR"/>
        </w:rPr>
        <w:t xml:space="preserve"> </w:t>
      </w:r>
      <w:r w:rsidR="006E43C6">
        <w:rPr>
          <w:rFonts w:ascii="Arial Narrow" w:hAnsi="Arial Narrow"/>
        </w:rPr>
        <w:t>De acuerdo con los resultados anteriores se observa un cumplimiento total de la meta estratégica para los años 2019 y 2020.</w:t>
      </w:r>
    </w:p>
    <w:p w14:paraId="6DB9EA93" w14:textId="47051DDE" w:rsidR="00DD4259" w:rsidRDefault="00DD4259" w:rsidP="00A5186A">
      <w:pPr>
        <w:spacing w:line="360" w:lineRule="auto"/>
        <w:jc w:val="both"/>
        <w:rPr>
          <w:rFonts w:ascii="Arial Narrow" w:hAnsi="Arial Narrow" w:cs="Calibri"/>
          <w:b/>
          <w:bCs/>
          <w:color w:val="000000"/>
          <w:lang w:val="es-CR" w:eastAsia="es-CR"/>
        </w:rPr>
      </w:pPr>
    </w:p>
    <w:p w14:paraId="4D29175F" w14:textId="625F3B4C" w:rsidR="0054249E" w:rsidRPr="009D5823" w:rsidRDefault="00220A74" w:rsidP="0054249E">
      <w:pPr>
        <w:spacing w:line="360" w:lineRule="auto"/>
        <w:jc w:val="both"/>
        <w:rPr>
          <w:rFonts w:ascii="Arial Narrow" w:eastAsia="Calibri" w:hAnsi="Arial Narrow"/>
        </w:rPr>
      </w:pPr>
      <w:r>
        <w:rPr>
          <w:rFonts w:ascii="Arial Narrow" w:hAnsi="Arial Narrow" w:cs="Calibri"/>
          <w:color w:val="000000"/>
          <w:lang w:val="es-CR" w:eastAsia="es-CR"/>
        </w:rPr>
        <w:t>Por su parte, l</w:t>
      </w:r>
      <w:r w:rsidRPr="002E0B96">
        <w:rPr>
          <w:rFonts w:ascii="Arial Narrow" w:hAnsi="Arial Narrow" w:cs="Calibri"/>
          <w:color w:val="000000"/>
          <w:lang w:val="es-CR" w:eastAsia="es-CR"/>
        </w:rPr>
        <w:t>a meta estratégica</w:t>
      </w:r>
      <w:r w:rsidRPr="002E0B96">
        <w:rPr>
          <w:rFonts w:ascii="Arial Narrow" w:hAnsi="Arial Narrow" w:cs="Calibri"/>
          <w:b/>
          <w:bCs/>
          <w:color w:val="000000"/>
          <w:lang w:val="es-CR" w:eastAsia="es-CR"/>
        </w:rPr>
        <w:t xml:space="preserve"> </w:t>
      </w:r>
      <w:r>
        <w:rPr>
          <w:rFonts w:ascii="Arial Narrow" w:hAnsi="Arial Narrow" w:cs="Calibri"/>
          <w:b/>
          <w:bCs/>
          <w:color w:val="000000"/>
          <w:lang w:val="es-CR" w:eastAsia="es-CR"/>
        </w:rPr>
        <w:t>“</w:t>
      </w:r>
      <w:r w:rsidR="00DD4259" w:rsidRPr="00704B08">
        <w:rPr>
          <w:rFonts w:ascii="Arial Narrow" w:hAnsi="Arial Narrow" w:cs="Calibri"/>
          <w:b/>
          <w:bCs/>
          <w:i/>
          <w:iCs/>
          <w:color w:val="000000"/>
          <w:lang w:val="es-CR" w:eastAsia="es-CR"/>
        </w:rPr>
        <w:t xml:space="preserve">Que al finalizar el 2024, se haya realizado al menos una evaluación de resultados por año de </w:t>
      </w:r>
      <w:r w:rsidR="00A472D1" w:rsidRPr="00704B08">
        <w:rPr>
          <w:rFonts w:ascii="Arial Narrow" w:hAnsi="Arial Narrow" w:cs="Calibri"/>
          <w:b/>
          <w:bCs/>
          <w:i/>
          <w:iCs/>
          <w:color w:val="000000"/>
          <w:lang w:val="es-CR" w:eastAsia="es-CR"/>
        </w:rPr>
        <w:t>una oficina</w:t>
      </w:r>
      <w:r w:rsidR="00DD4259" w:rsidRPr="00704B08">
        <w:rPr>
          <w:rFonts w:ascii="Arial Narrow" w:hAnsi="Arial Narrow" w:cs="Calibri"/>
          <w:b/>
          <w:bCs/>
          <w:i/>
          <w:iCs/>
          <w:color w:val="000000"/>
          <w:lang w:val="es-CR" w:eastAsia="es-CR"/>
        </w:rPr>
        <w:t xml:space="preserve"> u órgano institucional, con el fin de verificar el cumplimiento de los objetivos específicos para los que fueron creados</w:t>
      </w:r>
      <w:r w:rsidRPr="009D5823">
        <w:rPr>
          <w:rFonts w:ascii="Arial Narrow" w:hAnsi="Arial Narrow" w:cs="Calibri"/>
          <w:b/>
          <w:bCs/>
          <w:color w:val="000000"/>
          <w:lang w:val="es-CR" w:eastAsia="es-CR"/>
        </w:rPr>
        <w:t>”</w:t>
      </w:r>
      <w:r w:rsidR="003D06EB">
        <w:rPr>
          <w:rFonts w:ascii="Arial Narrow" w:hAnsi="Arial Narrow" w:cs="Calibri"/>
          <w:b/>
          <w:bCs/>
          <w:color w:val="000000"/>
          <w:lang w:val="es-CR" w:eastAsia="es-CR"/>
        </w:rPr>
        <w:t>,</w:t>
      </w:r>
      <w:r w:rsidRPr="009D5823">
        <w:rPr>
          <w:rFonts w:ascii="Arial Narrow" w:hAnsi="Arial Narrow" w:cs="Calibri"/>
          <w:b/>
          <w:bCs/>
          <w:color w:val="000000"/>
          <w:lang w:val="es-CR" w:eastAsia="es-CR"/>
        </w:rPr>
        <w:t xml:space="preserve"> </w:t>
      </w:r>
      <w:r w:rsidR="003C1D46" w:rsidRPr="009D5823">
        <w:rPr>
          <w:rFonts w:ascii="Arial Narrow" w:hAnsi="Arial Narrow" w:cs="Calibri"/>
          <w:b/>
          <w:bCs/>
          <w:color w:val="000000"/>
          <w:lang w:val="es-CR" w:eastAsia="es-CR"/>
        </w:rPr>
        <w:t xml:space="preserve"> </w:t>
      </w:r>
      <w:r w:rsidR="0054249E" w:rsidRPr="009D5823">
        <w:rPr>
          <w:rFonts w:ascii="Arial Narrow" w:eastAsia="Calibri" w:hAnsi="Arial Narrow"/>
        </w:rPr>
        <w:t>c</w:t>
      </w:r>
      <w:r w:rsidR="0054249E" w:rsidRPr="009D5823">
        <w:rPr>
          <w:rFonts w:ascii="Arial Narrow" w:eastAsia="Calibri" w:hAnsi="Arial Narrow"/>
          <w:lang w:eastAsia="en-US"/>
        </w:rPr>
        <w:t xml:space="preserve">abe señalar que el primer paso consistía en desarrollar la forma de poder realizar este tipo de evaluaciones, por lo que desde el 2019 se está trabajando en la elaboración de la metodología correspondiente, de manera tal que para el 2020 se incorporó como parte del PAO de Planificación la siguiente meta operativa:  Que al 31 de diciembre de 2020 se haya diseñado la metodología de evaluación </w:t>
      </w:r>
      <w:r w:rsidR="0054249E" w:rsidRPr="009D5823">
        <w:rPr>
          <w:rFonts w:ascii="Arial Narrow" w:eastAsia="Calibri" w:hAnsi="Arial Narrow"/>
        </w:rPr>
        <w:t xml:space="preserve">de resultados en el Poder Judicial. </w:t>
      </w:r>
      <w:r w:rsidR="00EA2B39" w:rsidRPr="009D5823">
        <w:rPr>
          <w:rFonts w:ascii="Arial Narrow" w:eastAsia="Calibri" w:hAnsi="Arial Narrow"/>
        </w:rPr>
        <w:t xml:space="preserve">Se procede a verificar en el </w:t>
      </w:r>
      <w:r w:rsidR="00EA2B39" w:rsidRPr="009D5823">
        <w:rPr>
          <w:rFonts w:ascii="Arial Narrow" w:eastAsia="Calibri" w:hAnsi="Arial Narrow"/>
          <w:lang w:eastAsia="en-US"/>
        </w:rPr>
        <w:t xml:space="preserve">sistema el avance correspondiente al año 2020 y se observa que el Subproceso de Evaluación concluyó y trasladó la propuesta de la </w:t>
      </w:r>
      <w:r w:rsidR="00EA2B39" w:rsidRPr="00704B08">
        <w:rPr>
          <w:rFonts w:ascii="Arial Narrow" w:eastAsia="Calibri" w:hAnsi="Arial Narrow"/>
          <w:lang w:eastAsia="en-US"/>
        </w:rPr>
        <w:t>metodología de evaluación de resultados</w:t>
      </w:r>
      <w:r w:rsidR="003C1D46" w:rsidRPr="00704B08">
        <w:rPr>
          <w:rFonts w:ascii="Arial Narrow" w:eastAsia="Calibri" w:hAnsi="Arial Narrow"/>
          <w:lang w:eastAsia="en-US"/>
        </w:rPr>
        <w:t xml:space="preserve"> para aprobación de la Dirección.</w:t>
      </w:r>
      <w:r w:rsidRPr="009D5823">
        <w:rPr>
          <w:rFonts w:ascii="Arial Narrow" w:eastAsia="Calibri" w:hAnsi="Arial Narrow"/>
          <w:lang w:eastAsia="en-US"/>
        </w:rPr>
        <w:t xml:space="preserve"> </w:t>
      </w:r>
      <w:r w:rsidR="0054249E" w:rsidRPr="009D5823">
        <w:rPr>
          <w:rFonts w:ascii="Arial Narrow" w:eastAsia="Calibri" w:hAnsi="Arial Narrow"/>
        </w:rPr>
        <w:t xml:space="preserve">Con ello, se prevé que a partir del 2021 será posible efectuar al menos una evaluación de resultados por año, conforme la meta estratégica. </w:t>
      </w:r>
    </w:p>
    <w:p w14:paraId="150BD4CF" w14:textId="00932423" w:rsidR="00DD4259" w:rsidRDefault="00DD4259">
      <w:pPr>
        <w:spacing w:line="360" w:lineRule="auto"/>
        <w:jc w:val="both"/>
        <w:rPr>
          <w:rFonts w:ascii="Arial Narrow" w:hAnsi="Arial Narrow" w:cs="Calibri"/>
          <w:color w:val="000000"/>
          <w:lang w:val="es-CR" w:eastAsia="es-CR"/>
        </w:rPr>
      </w:pPr>
    </w:p>
    <w:p w14:paraId="1342D138" w14:textId="77777777" w:rsidR="009D5823" w:rsidRDefault="009D5823">
      <w:pPr>
        <w:spacing w:line="360" w:lineRule="auto"/>
        <w:jc w:val="both"/>
        <w:rPr>
          <w:rFonts w:ascii="Arial Narrow" w:hAnsi="Arial Narrow" w:cs="Calibri"/>
          <w:color w:val="000000"/>
          <w:lang w:val="es-CR" w:eastAsia="es-CR"/>
        </w:rPr>
        <w:sectPr w:rsidR="009D5823" w:rsidSect="009D5823">
          <w:pgSz w:w="12242" w:h="15842" w:code="1"/>
          <w:pgMar w:top="1701" w:right="1417" w:bottom="1701" w:left="1417" w:header="709" w:footer="709" w:gutter="0"/>
          <w:cols w:space="708"/>
          <w:docGrid w:linePitch="360"/>
        </w:sectPr>
      </w:pPr>
    </w:p>
    <w:p w14:paraId="27DDF4BC" w14:textId="344341DF" w:rsidR="00220A74" w:rsidRDefault="00220A74">
      <w:pPr>
        <w:spacing w:line="360" w:lineRule="auto"/>
        <w:jc w:val="both"/>
        <w:rPr>
          <w:rFonts w:ascii="Arial Narrow" w:hAnsi="Arial Narrow" w:cs="Calibri"/>
          <w:color w:val="000000"/>
          <w:lang w:val="es-CR" w:eastAsia="es-CR"/>
        </w:rPr>
      </w:pPr>
    </w:p>
    <w:p w14:paraId="16258BEF" w14:textId="4F459102" w:rsidR="009E6DA2" w:rsidRPr="002100DF" w:rsidRDefault="009E6DA2" w:rsidP="009E6DA2">
      <w:pPr>
        <w:pStyle w:val="Descripcin"/>
        <w:jc w:val="center"/>
        <w:rPr>
          <w:rFonts w:ascii="Arial Narrow" w:eastAsia="Calibri" w:hAnsi="Arial Narrow"/>
          <w:lang w:eastAsia="en-US"/>
        </w:rPr>
      </w:pPr>
      <w:bookmarkStart w:id="77" w:name="_Toc76062266"/>
      <w:r w:rsidRPr="00484CC1">
        <w:rPr>
          <w:rFonts w:ascii="Arial Narrow" w:hAnsi="Arial Narrow"/>
          <w:sz w:val="24"/>
          <w:szCs w:val="24"/>
        </w:rPr>
        <w:t>Cuadro</w:t>
      </w:r>
      <w:r>
        <w:rPr>
          <w:rFonts w:ascii="Arial Narrow" w:hAnsi="Arial Narrow"/>
          <w:sz w:val="24"/>
          <w:szCs w:val="24"/>
        </w:rPr>
        <w:t xml:space="preserve"> </w:t>
      </w:r>
      <w:r w:rsidRPr="00484CC1">
        <w:rPr>
          <w:rFonts w:ascii="Arial Narrow" w:hAnsi="Arial Narrow"/>
          <w:sz w:val="24"/>
          <w:szCs w:val="24"/>
        </w:rPr>
        <w:fldChar w:fldCharType="begin"/>
      </w:r>
      <w:r w:rsidRPr="00484CC1">
        <w:rPr>
          <w:rFonts w:ascii="Arial Narrow" w:hAnsi="Arial Narrow"/>
          <w:sz w:val="24"/>
          <w:szCs w:val="24"/>
        </w:rPr>
        <w:instrText xml:space="preserve"> SEQ Cuadro_No. \* ARABIC </w:instrText>
      </w:r>
      <w:r w:rsidRPr="00484CC1">
        <w:rPr>
          <w:rFonts w:ascii="Arial Narrow" w:hAnsi="Arial Narrow"/>
          <w:sz w:val="24"/>
          <w:szCs w:val="24"/>
        </w:rPr>
        <w:fldChar w:fldCharType="separate"/>
      </w:r>
      <w:r w:rsidR="009D5823">
        <w:rPr>
          <w:rFonts w:ascii="Arial Narrow" w:hAnsi="Arial Narrow"/>
          <w:noProof/>
          <w:sz w:val="24"/>
          <w:szCs w:val="24"/>
        </w:rPr>
        <w:t>43</w:t>
      </w:r>
      <w:r w:rsidRPr="00484CC1">
        <w:rPr>
          <w:rFonts w:ascii="Arial Narrow" w:hAnsi="Arial Narrow"/>
          <w:sz w:val="24"/>
          <w:szCs w:val="24"/>
        </w:rPr>
        <w:fldChar w:fldCharType="end"/>
      </w:r>
      <w:r w:rsidRPr="00484CC1">
        <w:rPr>
          <w:rFonts w:ascii="Arial Narrow" w:hAnsi="Arial Narrow"/>
          <w:sz w:val="24"/>
          <w:szCs w:val="24"/>
        </w:rPr>
        <w:t xml:space="preserve"> </w:t>
      </w:r>
      <w:r w:rsidRPr="00D657CE">
        <w:rPr>
          <w:rFonts w:ascii="Arial Narrow" w:eastAsia="Calibri" w:hAnsi="Arial Narrow"/>
          <w:sz w:val="24"/>
          <w:szCs w:val="24"/>
        </w:rPr>
        <w:t>Metas estratégicas de Desarrollo y optimización de servicios y procesos judiciales, y su cumplimiento para el 2019</w:t>
      </w:r>
      <w:r>
        <w:rPr>
          <w:rFonts w:ascii="Arial Narrow" w:eastAsia="Calibri" w:hAnsi="Arial Narrow"/>
          <w:sz w:val="24"/>
          <w:szCs w:val="24"/>
        </w:rPr>
        <w:t xml:space="preserve"> y 2020.</w:t>
      </w:r>
      <w:bookmarkEnd w:id="77"/>
    </w:p>
    <w:p w14:paraId="02E1AAB0" w14:textId="77777777" w:rsidR="009E6DA2" w:rsidRDefault="009E6DA2" w:rsidP="009E6DA2">
      <w:pPr>
        <w:rPr>
          <w:rFonts w:ascii="Arial Narrow" w:eastAsia="Calibri" w:hAnsi="Arial Narrow"/>
          <w:lang w:eastAsia="en-US"/>
        </w:rPr>
      </w:pPr>
    </w:p>
    <w:p w14:paraId="4D450795" w14:textId="3C2CCFCB" w:rsidR="009E6DA2" w:rsidRDefault="00C37FB0" w:rsidP="00704B08">
      <w:pPr>
        <w:jc w:val="center"/>
        <w:rPr>
          <w:rFonts w:ascii="Arial Narrow" w:eastAsia="Calibri" w:hAnsi="Arial Narrow"/>
          <w:lang w:eastAsia="en-US"/>
        </w:rPr>
      </w:pPr>
      <w:r>
        <w:rPr>
          <w:noProof/>
          <w:lang w:val="es-CR" w:eastAsia="es-CR"/>
        </w:rPr>
        <w:drawing>
          <wp:inline distT="0" distB="0" distL="0" distR="0" wp14:anchorId="0A489808" wp14:editId="24F7FA8B">
            <wp:extent cx="7899400" cy="2215515"/>
            <wp:effectExtent l="57150" t="57150" r="101600" b="89535"/>
            <wp:docPr id="138" name="Imagen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7899400" cy="2215515"/>
                    </a:xfrm>
                    <a:prstGeom prst="rect">
                      <a:avLst/>
                    </a:prstGeom>
                    <a:ln w="9525" cap="sq">
                      <a:solidFill>
                        <a:srgbClr val="00B0F0"/>
                      </a:solidFill>
                      <a:prstDash val="solid"/>
                      <a:miter lim="800000"/>
                    </a:ln>
                    <a:effectLst>
                      <a:outerShdw blurRad="50800" dist="38100" dir="2700000" algn="tl" rotWithShape="0">
                        <a:srgbClr val="000000">
                          <a:alpha val="43000"/>
                        </a:srgbClr>
                      </a:outerShdw>
                    </a:effectLst>
                  </pic:spPr>
                </pic:pic>
              </a:graphicData>
            </a:graphic>
          </wp:inline>
        </w:drawing>
      </w:r>
    </w:p>
    <w:p w14:paraId="6C40C9C0" w14:textId="77777777" w:rsidR="009E6DA2" w:rsidRDefault="009E6DA2" w:rsidP="009E6DA2">
      <w:pPr>
        <w:ind w:left="-142" w:firstLine="850"/>
        <w:rPr>
          <w:rFonts w:ascii="Arial Narrow" w:eastAsia="Calibri" w:hAnsi="Arial Narrow"/>
          <w:sz w:val="18"/>
          <w:szCs w:val="18"/>
          <w:lang w:eastAsia="en-US"/>
        </w:rPr>
      </w:pPr>
      <w:r w:rsidRPr="000B4845">
        <w:rPr>
          <w:rFonts w:ascii="Arial Narrow" w:eastAsia="Calibri" w:hAnsi="Arial Narrow"/>
          <w:sz w:val="18"/>
          <w:szCs w:val="18"/>
          <w:lang w:eastAsia="en-US"/>
        </w:rPr>
        <w:t>Fuente: Sistema PEI al 24 de enero del 2020 (año 2019)</w:t>
      </w:r>
      <w:r>
        <w:rPr>
          <w:rFonts w:ascii="Arial Narrow" w:eastAsia="Calibri" w:hAnsi="Arial Narrow"/>
          <w:sz w:val="18"/>
          <w:szCs w:val="18"/>
          <w:lang w:eastAsia="en-US"/>
        </w:rPr>
        <w:t xml:space="preserve"> y 04 de marzo del 2021 (año 2020).</w:t>
      </w:r>
    </w:p>
    <w:p w14:paraId="54737659" w14:textId="77777777" w:rsidR="009D5823" w:rsidRDefault="009D5823">
      <w:pPr>
        <w:spacing w:line="360" w:lineRule="auto"/>
        <w:jc w:val="both"/>
        <w:rPr>
          <w:rFonts w:ascii="Arial Narrow" w:hAnsi="Arial Narrow" w:cs="Calibri"/>
          <w:b/>
          <w:bCs/>
          <w:color w:val="000000"/>
          <w:lang w:val="es-CR" w:eastAsia="es-CR"/>
        </w:rPr>
        <w:sectPr w:rsidR="009D5823" w:rsidSect="009D5823">
          <w:pgSz w:w="15842" w:h="12242" w:orient="landscape" w:code="1"/>
          <w:pgMar w:top="1417" w:right="1701" w:bottom="1417" w:left="1701" w:header="709" w:footer="709" w:gutter="0"/>
          <w:cols w:space="708"/>
          <w:docGrid w:linePitch="360"/>
        </w:sectPr>
      </w:pPr>
    </w:p>
    <w:p w14:paraId="6E9F7180" w14:textId="7A72BB6E" w:rsidR="00DD4259" w:rsidRPr="00704B08" w:rsidRDefault="00220A74">
      <w:pPr>
        <w:spacing w:line="360" w:lineRule="auto"/>
        <w:jc w:val="both"/>
        <w:rPr>
          <w:rFonts w:ascii="Arial Narrow" w:hAnsi="Arial Narrow" w:cs="Calibri"/>
          <w:b/>
          <w:bCs/>
          <w:color w:val="000000"/>
          <w:lang w:val="es-CR" w:eastAsia="es-CR"/>
        </w:rPr>
      </w:pPr>
      <w:r>
        <w:rPr>
          <w:rFonts w:ascii="Arial Narrow" w:hAnsi="Arial Narrow" w:cs="Calibri"/>
          <w:color w:val="000000"/>
          <w:lang w:val="es-CR" w:eastAsia="es-CR"/>
        </w:rPr>
        <w:lastRenderedPageBreak/>
        <w:t>Por su parte, l</w:t>
      </w:r>
      <w:r w:rsidRPr="002E0B96">
        <w:rPr>
          <w:rFonts w:ascii="Arial Narrow" w:hAnsi="Arial Narrow" w:cs="Calibri"/>
          <w:color w:val="000000"/>
          <w:lang w:val="es-CR" w:eastAsia="es-CR"/>
        </w:rPr>
        <w:t>a meta estratégica</w:t>
      </w:r>
      <w:r w:rsidRPr="002E0B96">
        <w:rPr>
          <w:rFonts w:ascii="Arial Narrow" w:hAnsi="Arial Narrow" w:cs="Calibri"/>
          <w:b/>
          <w:bCs/>
          <w:color w:val="000000"/>
          <w:lang w:val="es-CR" w:eastAsia="es-CR"/>
        </w:rPr>
        <w:t xml:space="preserve"> </w:t>
      </w:r>
      <w:r>
        <w:rPr>
          <w:rFonts w:ascii="Arial Narrow" w:hAnsi="Arial Narrow" w:cs="Calibri"/>
          <w:b/>
          <w:bCs/>
          <w:color w:val="000000"/>
          <w:lang w:val="es-CR" w:eastAsia="es-CR"/>
        </w:rPr>
        <w:t>“</w:t>
      </w:r>
      <w:r w:rsidR="00DD4259" w:rsidRPr="00704B08">
        <w:rPr>
          <w:rFonts w:ascii="Arial Narrow" w:hAnsi="Arial Narrow" w:cs="Calibri"/>
          <w:b/>
          <w:bCs/>
          <w:i/>
          <w:iCs/>
          <w:color w:val="000000"/>
          <w:lang w:val="es-CR" w:eastAsia="es-CR"/>
        </w:rPr>
        <w:t>Que al finalizar el 2024, se haya implementado un modelo de mejora en la gestión de los despachos que tramitan la materia de pensiones alimentarias, que promueva la gestión eficiente de los procesos, basado en las experiencias de los Juzgados especializados y el uso de las tecnologías de la información</w:t>
      </w:r>
      <w:r>
        <w:rPr>
          <w:rFonts w:ascii="Arial Narrow" w:hAnsi="Arial Narrow" w:cs="Calibri"/>
          <w:b/>
          <w:bCs/>
          <w:color w:val="000000"/>
          <w:lang w:val="es-CR" w:eastAsia="es-CR"/>
        </w:rPr>
        <w:t>”</w:t>
      </w:r>
      <w:r w:rsidR="003D06EB">
        <w:rPr>
          <w:rFonts w:ascii="Arial Narrow" w:hAnsi="Arial Narrow" w:cs="Calibri"/>
          <w:b/>
          <w:bCs/>
          <w:color w:val="000000"/>
          <w:lang w:val="es-CR" w:eastAsia="es-CR"/>
        </w:rPr>
        <w:t>,</w:t>
      </w:r>
      <w:r>
        <w:rPr>
          <w:rFonts w:ascii="Arial Narrow" w:hAnsi="Arial Narrow"/>
          <w:lang w:val="es-CR" w:eastAsia="es-CR"/>
        </w:rPr>
        <w:t xml:space="preserve"> s</w:t>
      </w:r>
      <w:r w:rsidR="00880CED" w:rsidRPr="00704B08">
        <w:rPr>
          <w:rFonts w:ascii="Arial Narrow" w:hAnsi="Arial Narrow"/>
          <w:lang w:val="es-CR" w:eastAsia="es-CR"/>
        </w:rPr>
        <w:t>e</w:t>
      </w:r>
      <w:r w:rsidR="00444073">
        <w:rPr>
          <w:rFonts w:ascii="Arial Narrow" w:hAnsi="Arial Narrow"/>
          <w:lang w:val="es-CR" w:eastAsia="es-CR"/>
        </w:rPr>
        <w:t xml:space="preserve"> observa en los avances reportados por parte de la Dirección de Planificación que para el año 2019 </w:t>
      </w:r>
      <w:r>
        <w:rPr>
          <w:rFonts w:ascii="Arial Narrow" w:hAnsi="Arial Narrow"/>
          <w:lang w:val="es-CR" w:eastAsia="es-CR"/>
        </w:rPr>
        <w:t>relacionados con la implementación de</w:t>
      </w:r>
      <w:r w:rsidR="00880CED" w:rsidRPr="00704B08">
        <w:rPr>
          <w:rFonts w:ascii="Arial Narrow" w:hAnsi="Arial Narrow"/>
          <w:lang w:val="es-CR" w:eastAsia="es-CR"/>
        </w:rPr>
        <w:t xml:space="preserve"> un modelo de mejora en la gestión de los despachos que tramitan la materia de pensiones alimentarias en dos Circuitos Judiciales.</w:t>
      </w:r>
      <w:r w:rsidR="00444073">
        <w:rPr>
          <w:rFonts w:ascii="Arial Narrow" w:hAnsi="Arial Narrow"/>
        </w:rPr>
        <w:t>Para el año 2020</w:t>
      </w:r>
      <w:r w:rsidR="00EA2B39" w:rsidRPr="00704B08">
        <w:rPr>
          <w:rFonts w:ascii="Arial Narrow" w:hAnsi="Arial Narrow"/>
        </w:rPr>
        <w:t xml:space="preserve"> se </w:t>
      </w:r>
      <w:r w:rsidR="00444073">
        <w:rPr>
          <w:rFonts w:ascii="Arial Narrow" w:hAnsi="Arial Narrow"/>
        </w:rPr>
        <w:t>reportan</w:t>
      </w:r>
      <w:r w:rsidR="00EA2B39" w:rsidRPr="00704B08">
        <w:rPr>
          <w:rFonts w:ascii="Arial Narrow" w:hAnsi="Arial Narrow"/>
        </w:rPr>
        <w:t xml:space="preserve"> dos informes </w:t>
      </w:r>
      <w:r w:rsidR="0079146D">
        <w:rPr>
          <w:rFonts w:ascii="Arial Narrow" w:hAnsi="Arial Narrow"/>
        </w:rPr>
        <w:t>concluidos</w:t>
      </w:r>
      <w:r w:rsidR="00444073">
        <w:rPr>
          <w:rFonts w:ascii="Arial Narrow" w:hAnsi="Arial Narrow"/>
        </w:rPr>
        <w:t>,</w:t>
      </w:r>
      <w:r w:rsidR="00EA2B39" w:rsidRPr="00704B08">
        <w:rPr>
          <w:rFonts w:ascii="Arial Narrow" w:hAnsi="Arial Narrow"/>
        </w:rPr>
        <w:t xml:space="preserve"> para el caso de Juzgado Contravencional de San Isidro de Heredia se tiene el informe 1839-PLA-EV-2020, para el caso del Juzgado de Pensiones de Sarapiquí se tiene el informe 1762-PLA-EV-2020, lo que lleva a cumplir </w:t>
      </w:r>
      <w:r w:rsidR="00444073">
        <w:rPr>
          <w:rFonts w:ascii="Arial Narrow" w:hAnsi="Arial Narrow"/>
        </w:rPr>
        <w:t xml:space="preserve">la meta estratégica </w:t>
      </w:r>
      <w:r w:rsidR="00444073" w:rsidRPr="00444073">
        <w:rPr>
          <w:rFonts w:ascii="Arial Narrow" w:hAnsi="Arial Narrow"/>
        </w:rPr>
        <w:t>al</w:t>
      </w:r>
      <w:r w:rsidR="00EA2B39" w:rsidRPr="00704B08">
        <w:rPr>
          <w:rFonts w:ascii="Arial Narrow" w:hAnsi="Arial Narrow"/>
        </w:rPr>
        <w:t xml:space="preserve"> 100%</w:t>
      </w:r>
      <w:r w:rsidR="0079146D">
        <w:rPr>
          <w:rFonts w:ascii="Arial Narrow" w:hAnsi="Arial Narrow"/>
        </w:rPr>
        <w:t xml:space="preserve"> y un porcentaje de avance acumulado de 20%.</w:t>
      </w:r>
    </w:p>
    <w:p w14:paraId="3B7FAD92" w14:textId="50FDF424" w:rsidR="00EA2B39" w:rsidRPr="00704B08" w:rsidRDefault="00EA2B39" w:rsidP="00704B08">
      <w:pPr>
        <w:tabs>
          <w:tab w:val="left" w:pos="5070"/>
        </w:tabs>
        <w:spacing w:line="360" w:lineRule="auto"/>
        <w:jc w:val="both"/>
        <w:rPr>
          <w:rFonts w:ascii="Arial Narrow" w:hAnsi="Arial Narrow" w:cs="Calibri"/>
          <w:color w:val="000000"/>
          <w:lang w:val="es-CR" w:eastAsia="es-CR"/>
        </w:rPr>
      </w:pPr>
      <w:r w:rsidRPr="003C1D46">
        <w:rPr>
          <w:rFonts w:ascii="Arial Narrow" w:hAnsi="Arial Narrow" w:cs="Calibri"/>
          <w:color w:val="000000"/>
          <w:lang w:val="es-CR" w:eastAsia="es-CR"/>
        </w:rPr>
        <w:tab/>
      </w:r>
    </w:p>
    <w:p w14:paraId="21AF72A5" w14:textId="1E8D6F96" w:rsidR="005F71CA" w:rsidRDefault="00774B59">
      <w:pPr>
        <w:spacing w:line="360" w:lineRule="auto"/>
        <w:jc w:val="both"/>
        <w:rPr>
          <w:rFonts w:ascii="Arial Narrow" w:hAnsi="Arial Narrow" w:cs="Calibri"/>
          <w:color w:val="000000"/>
          <w:lang w:val="es-CR" w:eastAsia="es-CR"/>
        </w:rPr>
      </w:pPr>
      <w:r w:rsidRPr="00704B08">
        <w:rPr>
          <w:rFonts w:ascii="Arial Narrow" w:hAnsi="Arial Narrow" w:cs="Calibri"/>
          <w:color w:val="000000"/>
          <w:lang w:val="es-CR" w:eastAsia="es-CR"/>
        </w:rPr>
        <w:t xml:space="preserve">Por su parte, la meta </w:t>
      </w:r>
      <w:r w:rsidRPr="009D5823">
        <w:rPr>
          <w:rFonts w:ascii="Arial Narrow" w:hAnsi="Arial Narrow" w:cs="Calibri"/>
          <w:color w:val="000000"/>
          <w:lang w:val="es-CR" w:eastAsia="es-CR"/>
        </w:rPr>
        <w:t>estratégica</w:t>
      </w:r>
      <w:r w:rsidR="00DD4259" w:rsidRPr="00704B08">
        <w:rPr>
          <w:rFonts w:ascii="Arial Narrow" w:hAnsi="Arial Narrow" w:cs="Calibri"/>
          <w:b/>
          <w:bCs/>
          <w:color w:val="000000"/>
          <w:lang w:val="es-CR" w:eastAsia="es-CR"/>
        </w:rPr>
        <w:t xml:space="preserve"> </w:t>
      </w:r>
      <w:r>
        <w:rPr>
          <w:rFonts w:ascii="Arial Narrow" w:hAnsi="Arial Narrow" w:cs="Calibri"/>
          <w:b/>
          <w:bCs/>
          <w:color w:val="000000"/>
          <w:lang w:val="es-CR" w:eastAsia="es-CR"/>
        </w:rPr>
        <w:t>“</w:t>
      </w:r>
      <w:r w:rsidR="00DD4259" w:rsidRPr="00704B08">
        <w:rPr>
          <w:rFonts w:ascii="Arial Narrow" w:hAnsi="Arial Narrow" w:cs="Calibri"/>
          <w:b/>
          <w:bCs/>
          <w:i/>
          <w:iCs/>
          <w:color w:val="000000"/>
          <w:lang w:val="es-CR" w:eastAsia="es-CR"/>
        </w:rPr>
        <w:t>Que al finalizar el 2024, se haya implementado el proyecto de rediseño de procesos en el Departamento de Medicina Legal</w:t>
      </w:r>
      <w:r>
        <w:rPr>
          <w:rFonts w:ascii="Arial Narrow" w:hAnsi="Arial Narrow" w:cs="Calibri"/>
          <w:b/>
          <w:bCs/>
          <w:color w:val="000000"/>
          <w:lang w:val="es-CR" w:eastAsia="es-CR"/>
        </w:rPr>
        <w:t>”</w:t>
      </w:r>
      <w:r w:rsidR="003D06EB">
        <w:rPr>
          <w:rFonts w:ascii="Arial Narrow" w:hAnsi="Arial Narrow" w:cs="Calibri"/>
          <w:b/>
          <w:bCs/>
          <w:color w:val="000000"/>
          <w:lang w:val="es-CR" w:eastAsia="es-CR"/>
        </w:rPr>
        <w:t>,</w:t>
      </w:r>
      <w:r>
        <w:rPr>
          <w:rFonts w:ascii="Arial Narrow" w:hAnsi="Arial Narrow" w:cs="Calibri"/>
          <w:b/>
          <w:bCs/>
          <w:color w:val="000000"/>
          <w:lang w:val="es-CR" w:eastAsia="es-CR"/>
        </w:rPr>
        <w:t xml:space="preserve"> </w:t>
      </w:r>
      <w:r w:rsidRPr="00704B08">
        <w:rPr>
          <w:rFonts w:ascii="Arial Narrow" w:hAnsi="Arial Narrow" w:cs="Calibri"/>
          <w:color w:val="000000"/>
          <w:lang w:val="es-CR" w:eastAsia="es-CR"/>
        </w:rPr>
        <w:t>s</w:t>
      </w:r>
      <w:r w:rsidR="00792A7F" w:rsidRPr="00704B08">
        <w:rPr>
          <w:rFonts w:ascii="Arial Narrow" w:hAnsi="Arial Narrow"/>
        </w:rPr>
        <w:t xml:space="preserve">e tiene que para el 20 de febrero del año 2019 se realizó la apertura del proyecto de Rediseño de Procesos del Departamento de Medicina Legal, sin </w:t>
      </w:r>
      <w:r w:rsidR="002C49EA" w:rsidRPr="00704B08">
        <w:rPr>
          <w:rFonts w:ascii="Arial Narrow" w:hAnsi="Arial Narrow"/>
        </w:rPr>
        <w:t>embargo</w:t>
      </w:r>
      <w:r w:rsidR="00B477B4" w:rsidRPr="00704B08">
        <w:rPr>
          <w:rFonts w:ascii="Arial Narrow" w:hAnsi="Arial Narrow"/>
        </w:rPr>
        <w:t xml:space="preserve"> </w:t>
      </w:r>
      <w:r w:rsidRPr="009D5823">
        <w:rPr>
          <w:rFonts w:ascii="Arial Narrow" w:hAnsi="Arial Narrow"/>
        </w:rPr>
        <w:t>a pesar de que</w:t>
      </w:r>
      <w:r w:rsidR="00B477B4" w:rsidRPr="00704B08">
        <w:rPr>
          <w:rFonts w:ascii="Arial Narrow" w:hAnsi="Arial Narrow"/>
        </w:rPr>
        <w:t xml:space="preserve"> </w:t>
      </w:r>
      <w:r w:rsidR="00792A7F" w:rsidRPr="00704B08">
        <w:rPr>
          <w:rFonts w:ascii="Arial Narrow" w:hAnsi="Arial Narrow"/>
        </w:rPr>
        <w:t>inicialmente se tenía previsto para el 2019</w:t>
      </w:r>
      <w:r w:rsidR="002C49EA" w:rsidRPr="00704B08">
        <w:rPr>
          <w:rFonts w:ascii="Arial Narrow" w:hAnsi="Arial Narrow"/>
        </w:rPr>
        <w:t xml:space="preserve"> </w:t>
      </w:r>
      <w:r w:rsidR="00B477B4" w:rsidRPr="00704B08">
        <w:rPr>
          <w:rFonts w:ascii="Arial Narrow" w:hAnsi="Arial Narrow"/>
        </w:rPr>
        <w:t xml:space="preserve">se realizaron ajustes y </w:t>
      </w:r>
      <w:r w:rsidRPr="009D5823">
        <w:rPr>
          <w:rFonts w:ascii="Arial Narrow" w:hAnsi="Arial Narrow"/>
        </w:rPr>
        <w:t>de acuerdo con el</w:t>
      </w:r>
      <w:r w:rsidR="00B477B4" w:rsidRPr="00704B08">
        <w:rPr>
          <w:rFonts w:ascii="Arial Narrow" w:hAnsi="Arial Narrow"/>
        </w:rPr>
        <w:t xml:space="preserve"> </w:t>
      </w:r>
      <w:r w:rsidR="00792A7F" w:rsidRPr="00704B08">
        <w:rPr>
          <w:rFonts w:ascii="Arial Narrow" w:hAnsi="Arial Narrow"/>
        </w:rPr>
        <w:t xml:space="preserve">cronograma de trabajo se incorporó </w:t>
      </w:r>
      <w:r w:rsidR="002C49EA" w:rsidRPr="00704B08">
        <w:rPr>
          <w:rFonts w:ascii="Arial Narrow" w:hAnsi="Arial Narrow"/>
        </w:rPr>
        <w:t>en el</w:t>
      </w:r>
      <w:r w:rsidR="00792A7F" w:rsidRPr="00704B08">
        <w:rPr>
          <w:rFonts w:ascii="Arial Narrow" w:hAnsi="Arial Narrow"/>
        </w:rPr>
        <w:t xml:space="preserve"> PAO 2020.</w:t>
      </w:r>
      <w:r w:rsidR="002C49EA" w:rsidRPr="00704B08">
        <w:rPr>
          <w:rFonts w:ascii="Arial Narrow" w:hAnsi="Arial Narrow"/>
        </w:rPr>
        <w:t xml:space="preserve"> Durante </w:t>
      </w:r>
      <w:r w:rsidR="00792A7F" w:rsidRPr="00704B08">
        <w:rPr>
          <w:rFonts w:ascii="Arial Narrow" w:hAnsi="Arial Narrow"/>
        </w:rPr>
        <w:t>el</w:t>
      </w:r>
      <w:r w:rsidR="002C49EA" w:rsidRPr="00704B08">
        <w:rPr>
          <w:rFonts w:ascii="Arial Narrow" w:hAnsi="Arial Narrow"/>
        </w:rPr>
        <w:t xml:space="preserve"> año 2020</w:t>
      </w:r>
      <w:r>
        <w:rPr>
          <w:rFonts w:ascii="Arial Narrow" w:hAnsi="Arial Narrow"/>
        </w:rPr>
        <w:t>,</w:t>
      </w:r>
      <w:r w:rsidR="00792A7F" w:rsidRPr="00704B08">
        <w:rPr>
          <w:rFonts w:ascii="Arial Narrow" w:hAnsi="Arial Narrow"/>
        </w:rPr>
        <w:t xml:space="preserve"> se realiz</w:t>
      </w:r>
      <w:r w:rsidR="002C49EA" w:rsidRPr="00704B08">
        <w:rPr>
          <w:rFonts w:ascii="Arial Narrow" w:hAnsi="Arial Narrow"/>
        </w:rPr>
        <w:t>aron</w:t>
      </w:r>
      <w:r w:rsidR="00792A7F" w:rsidRPr="00704B08">
        <w:rPr>
          <w:rFonts w:ascii="Arial Narrow" w:hAnsi="Arial Narrow"/>
        </w:rPr>
        <w:t xml:space="preserve"> informes parciales </w:t>
      </w:r>
      <w:r w:rsidR="00B477B4" w:rsidRPr="00704B08">
        <w:rPr>
          <w:rFonts w:ascii="Arial Narrow" w:hAnsi="Arial Narrow"/>
        </w:rPr>
        <w:t xml:space="preserve">con </w:t>
      </w:r>
      <w:r w:rsidR="00792A7F" w:rsidRPr="00704B08">
        <w:rPr>
          <w:rFonts w:ascii="Arial Narrow" w:hAnsi="Arial Narrow"/>
        </w:rPr>
        <w:t xml:space="preserve">los avances y entregables de acuerdo </w:t>
      </w:r>
      <w:r>
        <w:rPr>
          <w:rFonts w:ascii="Arial Narrow" w:hAnsi="Arial Narrow"/>
        </w:rPr>
        <w:t>con el</w:t>
      </w:r>
      <w:r w:rsidR="00792A7F" w:rsidRPr="00704B08">
        <w:rPr>
          <w:rFonts w:ascii="Arial Narrow" w:hAnsi="Arial Narrow"/>
        </w:rPr>
        <w:t xml:space="preserve"> cronograma establecido en dicho proyecto.</w:t>
      </w:r>
      <w:r w:rsidR="00C37FB0" w:rsidRPr="00704B08">
        <w:rPr>
          <w:rFonts w:ascii="Arial Narrow" w:hAnsi="Arial Narrow"/>
        </w:rPr>
        <w:t xml:space="preserve"> </w:t>
      </w:r>
      <w:r w:rsidR="00B477B4" w:rsidRPr="00704B08">
        <w:rPr>
          <w:rFonts w:ascii="Arial Narrow" w:hAnsi="Arial Narrow" w:cs="Calibri"/>
          <w:color w:val="000000"/>
          <w:lang w:val="es-CR" w:eastAsia="es-CR"/>
        </w:rPr>
        <w:t>Es por lo anterior</w:t>
      </w:r>
      <w:r w:rsidR="004D107F">
        <w:rPr>
          <w:rFonts w:ascii="Arial Narrow" w:hAnsi="Arial Narrow" w:cs="Calibri"/>
          <w:color w:val="000000"/>
          <w:lang w:val="es-CR" w:eastAsia="es-CR"/>
        </w:rPr>
        <w:t>,</w:t>
      </w:r>
      <w:r w:rsidR="00B477B4" w:rsidRPr="00704B08">
        <w:rPr>
          <w:rFonts w:ascii="Arial Narrow" w:hAnsi="Arial Narrow" w:cs="Calibri"/>
          <w:color w:val="000000"/>
          <w:lang w:val="es-CR" w:eastAsia="es-CR"/>
        </w:rPr>
        <w:t xml:space="preserve"> que el porcentaje de avance acumulado </w:t>
      </w:r>
      <w:r w:rsidR="00AE2254" w:rsidRPr="00704B08">
        <w:rPr>
          <w:rFonts w:ascii="Arial Narrow" w:hAnsi="Arial Narrow" w:cs="Calibri"/>
          <w:color w:val="000000"/>
          <w:lang w:val="es-CR" w:eastAsia="es-CR"/>
        </w:rPr>
        <w:t>corresponde</w:t>
      </w:r>
      <w:r w:rsidR="00B477B4" w:rsidRPr="00704B08">
        <w:rPr>
          <w:rFonts w:ascii="Arial Narrow" w:hAnsi="Arial Narrow" w:cs="Calibri"/>
          <w:color w:val="000000"/>
          <w:lang w:val="es-CR" w:eastAsia="es-CR"/>
        </w:rPr>
        <w:t xml:space="preserve"> a un 20% </w:t>
      </w:r>
      <w:r w:rsidR="00AE2254" w:rsidRPr="00704B08">
        <w:rPr>
          <w:rFonts w:ascii="Arial Narrow" w:hAnsi="Arial Narrow" w:cs="Calibri"/>
          <w:color w:val="000000"/>
          <w:lang w:val="es-CR" w:eastAsia="es-CR"/>
        </w:rPr>
        <w:t>y un 100% de avance en el año 2020</w:t>
      </w:r>
      <w:r w:rsidR="00B64B9A">
        <w:rPr>
          <w:rFonts w:ascii="Arial Narrow" w:hAnsi="Arial Narrow" w:cs="Calibri"/>
          <w:color w:val="000000"/>
          <w:lang w:val="es-CR" w:eastAsia="es-CR"/>
        </w:rPr>
        <w:t xml:space="preserve"> cumpliendo a cabalidad con lo solicitado.</w:t>
      </w:r>
    </w:p>
    <w:p w14:paraId="6481BC3A" w14:textId="77777777" w:rsidR="009D5823" w:rsidRDefault="009D5823">
      <w:pPr>
        <w:spacing w:line="360" w:lineRule="auto"/>
        <w:jc w:val="both"/>
        <w:rPr>
          <w:rFonts w:ascii="Arial Narrow" w:hAnsi="Arial Narrow" w:cs="Calibri"/>
          <w:color w:val="000000"/>
          <w:lang w:val="es-CR" w:eastAsia="es-CR"/>
        </w:rPr>
        <w:sectPr w:rsidR="009D5823" w:rsidSect="009D5823">
          <w:pgSz w:w="12242" w:h="15842" w:code="1"/>
          <w:pgMar w:top="1701" w:right="1417" w:bottom="1701" w:left="1417" w:header="709" w:footer="709" w:gutter="0"/>
          <w:cols w:space="708"/>
          <w:docGrid w:linePitch="360"/>
        </w:sectPr>
      </w:pPr>
    </w:p>
    <w:p w14:paraId="49DEB398" w14:textId="7F6F1B92" w:rsidR="00774B59" w:rsidRDefault="00774B59">
      <w:pPr>
        <w:spacing w:line="360" w:lineRule="auto"/>
        <w:jc w:val="both"/>
        <w:rPr>
          <w:rFonts w:ascii="Arial Narrow" w:hAnsi="Arial Narrow" w:cs="Calibri"/>
          <w:color w:val="000000"/>
          <w:lang w:val="es-CR" w:eastAsia="es-CR"/>
        </w:rPr>
      </w:pPr>
    </w:p>
    <w:p w14:paraId="7BE782A6" w14:textId="7AB10E8E" w:rsidR="00774B59" w:rsidRPr="002100DF" w:rsidRDefault="00774B59" w:rsidP="00774B59">
      <w:pPr>
        <w:pStyle w:val="Descripcin"/>
        <w:jc w:val="center"/>
        <w:rPr>
          <w:rFonts w:ascii="Arial Narrow" w:eastAsia="Calibri" w:hAnsi="Arial Narrow"/>
          <w:lang w:eastAsia="en-US"/>
        </w:rPr>
      </w:pPr>
      <w:bookmarkStart w:id="78" w:name="_Toc76062267"/>
      <w:r w:rsidRPr="00484CC1">
        <w:rPr>
          <w:rFonts w:ascii="Arial Narrow" w:hAnsi="Arial Narrow"/>
          <w:sz w:val="24"/>
          <w:szCs w:val="24"/>
        </w:rPr>
        <w:t>Cuadro</w:t>
      </w:r>
      <w:r>
        <w:rPr>
          <w:rFonts w:ascii="Arial Narrow" w:hAnsi="Arial Narrow"/>
          <w:sz w:val="24"/>
          <w:szCs w:val="24"/>
        </w:rPr>
        <w:t xml:space="preserve"> </w:t>
      </w:r>
      <w:r w:rsidRPr="00484CC1">
        <w:rPr>
          <w:rFonts w:ascii="Arial Narrow" w:hAnsi="Arial Narrow"/>
          <w:sz w:val="24"/>
          <w:szCs w:val="24"/>
        </w:rPr>
        <w:fldChar w:fldCharType="begin"/>
      </w:r>
      <w:r w:rsidRPr="00484CC1">
        <w:rPr>
          <w:rFonts w:ascii="Arial Narrow" w:hAnsi="Arial Narrow"/>
          <w:sz w:val="24"/>
          <w:szCs w:val="24"/>
        </w:rPr>
        <w:instrText xml:space="preserve"> SEQ Cuadro_No. \* ARABIC </w:instrText>
      </w:r>
      <w:r w:rsidRPr="00484CC1">
        <w:rPr>
          <w:rFonts w:ascii="Arial Narrow" w:hAnsi="Arial Narrow"/>
          <w:sz w:val="24"/>
          <w:szCs w:val="24"/>
        </w:rPr>
        <w:fldChar w:fldCharType="separate"/>
      </w:r>
      <w:r w:rsidR="009D5823">
        <w:rPr>
          <w:rFonts w:ascii="Arial Narrow" w:hAnsi="Arial Narrow"/>
          <w:noProof/>
          <w:sz w:val="24"/>
          <w:szCs w:val="24"/>
        </w:rPr>
        <w:t>44</w:t>
      </w:r>
      <w:r w:rsidRPr="00484CC1">
        <w:rPr>
          <w:rFonts w:ascii="Arial Narrow" w:hAnsi="Arial Narrow"/>
          <w:sz w:val="24"/>
          <w:szCs w:val="24"/>
        </w:rPr>
        <w:fldChar w:fldCharType="end"/>
      </w:r>
      <w:r w:rsidRPr="00484CC1">
        <w:rPr>
          <w:rFonts w:ascii="Arial Narrow" w:hAnsi="Arial Narrow"/>
          <w:sz w:val="24"/>
          <w:szCs w:val="24"/>
        </w:rPr>
        <w:t xml:space="preserve"> </w:t>
      </w:r>
      <w:r w:rsidRPr="00D657CE">
        <w:rPr>
          <w:rFonts w:ascii="Arial Narrow" w:eastAsia="Calibri" w:hAnsi="Arial Narrow"/>
          <w:sz w:val="24"/>
          <w:szCs w:val="24"/>
        </w:rPr>
        <w:t>Metas estratégicas de Desarrollo y optimización de servicios y procesos judiciales, y su cumplimiento para el 2019</w:t>
      </w:r>
      <w:r>
        <w:rPr>
          <w:rFonts w:ascii="Arial Narrow" w:eastAsia="Calibri" w:hAnsi="Arial Narrow"/>
          <w:sz w:val="24"/>
          <w:szCs w:val="24"/>
        </w:rPr>
        <w:t xml:space="preserve"> y 2020.</w:t>
      </w:r>
      <w:bookmarkEnd w:id="78"/>
    </w:p>
    <w:p w14:paraId="531586F7" w14:textId="77777777" w:rsidR="00774B59" w:rsidRPr="00704B08" w:rsidRDefault="00774B59">
      <w:pPr>
        <w:spacing w:line="360" w:lineRule="auto"/>
        <w:jc w:val="both"/>
        <w:rPr>
          <w:rFonts w:ascii="Arial Narrow" w:hAnsi="Arial Narrow" w:cs="Calibri"/>
          <w:b/>
          <w:bCs/>
          <w:color w:val="000000"/>
          <w:lang w:val="es-CR" w:eastAsia="es-CR"/>
        </w:rPr>
      </w:pPr>
    </w:p>
    <w:p w14:paraId="29401D74" w14:textId="553FF4A9" w:rsidR="009E6DA2" w:rsidRDefault="00E80E7F" w:rsidP="00704B08">
      <w:pPr>
        <w:pStyle w:val="Ttulo"/>
        <w:jc w:val="center"/>
        <w:rPr>
          <w:rFonts w:ascii="Arial Narrow" w:eastAsia="Calibri" w:hAnsi="Arial Narrow"/>
        </w:rPr>
      </w:pPr>
      <w:r>
        <w:rPr>
          <w:noProof/>
          <w:lang w:val="es-CR" w:eastAsia="es-CR"/>
        </w:rPr>
        <w:drawing>
          <wp:inline distT="0" distB="0" distL="0" distR="0" wp14:anchorId="1199E29F" wp14:editId="1A98E72C">
            <wp:extent cx="7838327" cy="2518625"/>
            <wp:effectExtent l="57150" t="57150" r="86995" b="91440"/>
            <wp:docPr id="178" name="Imagen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6"/>
                    <a:srcRect l="321" t="2624" r="403" b="2830"/>
                    <a:stretch/>
                  </pic:blipFill>
                  <pic:spPr bwMode="auto">
                    <a:xfrm>
                      <a:off x="0" y="0"/>
                      <a:ext cx="7856522" cy="2524471"/>
                    </a:xfrm>
                    <a:prstGeom prst="rect">
                      <a:avLst/>
                    </a:prstGeom>
                    <a:ln w="9525" cap="sq" cmpd="sng" algn="ctr">
                      <a:solidFill>
                        <a:srgbClr val="00B0F0"/>
                      </a:solidFill>
                      <a:prstDash val="solid"/>
                      <a:miter lim="800000"/>
                      <a:headEnd type="none" w="med" len="med"/>
                      <a:tailEnd type="none" w="med" len="med"/>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4D08EA5B" w14:textId="77777777" w:rsidR="009E6DA2" w:rsidRDefault="009E6DA2" w:rsidP="009E6DA2">
      <w:pPr>
        <w:rPr>
          <w:rFonts w:ascii="Arial Narrow" w:eastAsia="Calibri" w:hAnsi="Arial Narrow"/>
          <w:lang w:eastAsia="en-US"/>
        </w:rPr>
      </w:pPr>
    </w:p>
    <w:p w14:paraId="6A13874A" w14:textId="77777777" w:rsidR="009E6DA2" w:rsidRDefault="009E6DA2" w:rsidP="009E6DA2">
      <w:pPr>
        <w:ind w:left="-142" w:firstLine="850"/>
        <w:rPr>
          <w:rFonts w:ascii="Arial Narrow" w:eastAsia="Calibri" w:hAnsi="Arial Narrow"/>
          <w:sz w:val="18"/>
          <w:szCs w:val="18"/>
          <w:lang w:eastAsia="en-US"/>
        </w:rPr>
      </w:pPr>
      <w:r w:rsidRPr="000B4845">
        <w:rPr>
          <w:rFonts w:ascii="Arial Narrow" w:eastAsia="Calibri" w:hAnsi="Arial Narrow"/>
          <w:sz w:val="18"/>
          <w:szCs w:val="18"/>
          <w:lang w:eastAsia="en-US"/>
        </w:rPr>
        <w:t>Fuente: Sistema PEI al 24 de enero del 2020 (año 2019)</w:t>
      </w:r>
      <w:r>
        <w:rPr>
          <w:rFonts w:ascii="Arial Narrow" w:eastAsia="Calibri" w:hAnsi="Arial Narrow"/>
          <w:sz w:val="18"/>
          <w:szCs w:val="18"/>
          <w:lang w:eastAsia="en-US"/>
        </w:rPr>
        <w:t xml:space="preserve"> y 04 de marzo del 2021 (año 2020).</w:t>
      </w:r>
    </w:p>
    <w:p w14:paraId="5DB32991" w14:textId="77777777" w:rsidR="009D5823" w:rsidRDefault="009D5823">
      <w:pPr>
        <w:spacing w:line="360" w:lineRule="auto"/>
        <w:jc w:val="both"/>
        <w:rPr>
          <w:rFonts w:ascii="Arial Narrow" w:hAnsi="Arial Narrow" w:cs="Calibri"/>
          <w:b/>
          <w:bCs/>
          <w:color w:val="000000"/>
          <w:lang w:val="es-CR" w:eastAsia="es-CR"/>
        </w:rPr>
        <w:sectPr w:rsidR="009D5823" w:rsidSect="009D5823">
          <w:pgSz w:w="15842" w:h="12242" w:orient="landscape" w:code="1"/>
          <w:pgMar w:top="1417" w:right="1701" w:bottom="1417" w:left="1701" w:header="709" w:footer="709" w:gutter="0"/>
          <w:cols w:space="708"/>
          <w:docGrid w:linePitch="360"/>
        </w:sectPr>
      </w:pPr>
    </w:p>
    <w:p w14:paraId="43E24F3D" w14:textId="77777777" w:rsidR="00E80E7F" w:rsidRPr="00704B08" w:rsidRDefault="00E80E7F" w:rsidP="00704B08">
      <w:pPr>
        <w:spacing w:line="360" w:lineRule="auto"/>
        <w:jc w:val="both"/>
        <w:rPr>
          <w:rFonts w:ascii="Arial Narrow" w:hAnsi="Arial Narrow" w:cs="Calibri"/>
          <w:b/>
          <w:bCs/>
          <w:color w:val="000000"/>
          <w:lang w:val="es-CR" w:eastAsia="es-CR"/>
        </w:rPr>
      </w:pPr>
    </w:p>
    <w:p w14:paraId="493FC1E8" w14:textId="32FE9473" w:rsidR="00DF0190" w:rsidRDefault="00774B59" w:rsidP="00704B08">
      <w:pPr>
        <w:spacing w:line="360" w:lineRule="auto"/>
        <w:jc w:val="both"/>
        <w:rPr>
          <w:rFonts w:ascii="Arial Narrow" w:eastAsia="Calibri" w:hAnsi="Arial Narrow"/>
          <w:lang w:eastAsia="en-US"/>
        </w:rPr>
      </w:pPr>
      <w:r w:rsidRPr="002E0B96">
        <w:rPr>
          <w:rFonts w:ascii="Arial Narrow" w:hAnsi="Arial Narrow" w:cs="Calibri"/>
          <w:color w:val="000000"/>
          <w:lang w:val="es-CR" w:eastAsia="es-CR"/>
        </w:rPr>
        <w:t>Por su parte, la meta estratégica</w:t>
      </w:r>
      <w:r w:rsidRPr="002E0B96">
        <w:rPr>
          <w:rFonts w:ascii="Arial Narrow" w:hAnsi="Arial Narrow" w:cs="Calibri"/>
          <w:b/>
          <w:bCs/>
          <w:color w:val="000000"/>
          <w:lang w:val="es-CR" w:eastAsia="es-CR"/>
        </w:rPr>
        <w:t xml:space="preserve"> </w:t>
      </w:r>
      <w:r w:rsidRPr="00704B08">
        <w:rPr>
          <w:rFonts w:ascii="Arial Narrow" w:hAnsi="Arial Narrow" w:cs="Calibri"/>
          <w:b/>
          <w:bCs/>
          <w:i/>
          <w:iCs/>
          <w:color w:val="000000"/>
          <w:lang w:val="es-CR" w:eastAsia="es-CR"/>
        </w:rPr>
        <w:t>“</w:t>
      </w:r>
      <w:r w:rsidR="00DD4259" w:rsidRPr="00704B08">
        <w:rPr>
          <w:rFonts w:ascii="Arial Narrow" w:hAnsi="Arial Narrow" w:cs="Calibri"/>
          <w:b/>
          <w:bCs/>
          <w:i/>
          <w:iCs/>
          <w:color w:val="000000"/>
          <w:lang w:val="es-CR" w:eastAsia="es-CR"/>
        </w:rPr>
        <w:t>Que al finalizar el 2024, se haya implementado el proyecto de abordaje a la entrada en vigencia del Código Procesal Agrario</w:t>
      </w:r>
      <w:r>
        <w:rPr>
          <w:rFonts w:ascii="Arial Narrow" w:hAnsi="Arial Narrow" w:cs="Calibri"/>
          <w:b/>
          <w:bCs/>
          <w:color w:val="000000"/>
          <w:lang w:val="es-CR" w:eastAsia="es-CR"/>
        </w:rPr>
        <w:t>”</w:t>
      </w:r>
      <w:r w:rsidR="003D06EB">
        <w:rPr>
          <w:rFonts w:ascii="Arial Narrow" w:hAnsi="Arial Narrow" w:cs="Calibri"/>
          <w:b/>
          <w:bCs/>
          <w:color w:val="000000"/>
          <w:lang w:val="es-CR" w:eastAsia="es-CR"/>
        </w:rPr>
        <w:t>,</w:t>
      </w:r>
      <w:r w:rsidR="00B64B9A">
        <w:rPr>
          <w:rFonts w:ascii="Arial Narrow" w:hAnsi="Arial Narrow" w:cs="Calibri"/>
          <w:b/>
          <w:bCs/>
          <w:color w:val="000000"/>
          <w:lang w:val="es-CR" w:eastAsia="es-CR"/>
        </w:rPr>
        <w:t xml:space="preserve"> </w:t>
      </w:r>
      <w:r>
        <w:rPr>
          <w:rFonts w:ascii="Arial Narrow" w:eastAsia="Calibri" w:hAnsi="Arial Narrow"/>
          <w:lang w:eastAsia="en-US"/>
        </w:rPr>
        <w:t>c</w:t>
      </w:r>
      <w:r w:rsidR="005F71CA" w:rsidRPr="00704B08">
        <w:rPr>
          <w:rFonts w:ascii="Arial Narrow" w:eastAsia="Calibri" w:hAnsi="Arial Narrow"/>
          <w:lang w:eastAsia="en-US"/>
        </w:rPr>
        <w:t xml:space="preserve">on respecto a esta meta se indica </w:t>
      </w:r>
      <w:r w:rsidR="00B64B9A">
        <w:rPr>
          <w:rFonts w:ascii="Arial Narrow" w:eastAsia="Calibri" w:hAnsi="Arial Narrow"/>
          <w:lang w:eastAsia="en-US"/>
        </w:rPr>
        <w:t>que d</w:t>
      </w:r>
      <w:r w:rsidR="009219A3" w:rsidRPr="00704B08">
        <w:rPr>
          <w:rFonts w:ascii="Arial Narrow" w:eastAsia="Calibri" w:hAnsi="Arial Narrow"/>
          <w:lang w:eastAsia="en-US"/>
        </w:rPr>
        <w:t>urante los años 2019 y 2020 se han realizado acciones con el objetivo de obtener la colaboración de CONAMAJ y la Contraloría de Servicios para el desarrollo de estrategias de participación ciudadana en la Jurisdicción Agraria para mejorar el servicio de las personas usuarias.</w:t>
      </w:r>
    </w:p>
    <w:p w14:paraId="0E35B78B" w14:textId="77777777" w:rsidR="00DF0190" w:rsidRDefault="00DF0190" w:rsidP="00704B08">
      <w:pPr>
        <w:spacing w:line="360" w:lineRule="auto"/>
        <w:jc w:val="both"/>
        <w:rPr>
          <w:rFonts w:ascii="Arial Narrow" w:eastAsia="Calibri" w:hAnsi="Arial Narrow"/>
          <w:lang w:eastAsia="en-US"/>
        </w:rPr>
      </w:pPr>
    </w:p>
    <w:p w14:paraId="0A4F27D3" w14:textId="62A3C230" w:rsidR="00ED523B" w:rsidRPr="00704B08" w:rsidRDefault="009219A3" w:rsidP="00704B08">
      <w:pPr>
        <w:spacing w:line="360" w:lineRule="auto"/>
        <w:jc w:val="both"/>
        <w:rPr>
          <w:rFonts w:ascii="Arial Narrow" w:eastAsia="Calibri" w:hAnsi="Arial Narrow"/>
          <w:lang w:eastAsia="en-US"/>
        </w:rPr>
      </w:pPr>
      <w:r w:rsidRPr="00704B08">
        <w:rPr>
          <w:rFonts w:ascii="Arial Narrow" w:eastAsia="Calibri" w:hAnsi="Arial Narrow"/>
          <w:lang w:eastAsia="en-US"/>
        </w:rPr>
        <w:t>Además, el Consejo Superior ha aprobado las solicitudes para que se apoye a los despachos agrarios con mayor circulante de personas de la judicatura que contribuyeran con los planes de descongestionamiento</w:t>
      </w:r>
      <w:r w:rsidR="00DF0190">
        <w:rPr>
          <w:rFonts w:ascii="Arial Narrow" w:eastAsia="Calibri" w:hAnsi="Arial Narrow"/>
          <w:lang w:eastAsia="en-US"/>
        </w:rPr>
        <w:t xml:space="preserve"> </w:t>
      </w:r>
      <w:r w:rsidRPr="00704B08">
        <w:rPr>
          <w:rFonts w:ascii="Arial Narrow" w:eastAsia="Calibri" w:hAnsi="Arial Narrow"/>
          <w:lang w:eastAsia="en-US"/>
        </w:rPr>
        <w:t>establecidos.</w:t>
      </w:r>
      <w:r w:rsidR="00B64B9A">
        <w:rPr>
          <w:rFonts w:ascii="Arial Narrow" w:eastAsia="Calibri" w:hAnsi="Arial Narrow"/>
          <w:lang w:eastAsia="en-US"/>
        </w:rPr>
        <w:t xml:space="preserve"> </w:t>
      </w:r>
      <w:r w:rsidRPr="00704B08">
        <w:rPr>
          <w:rFonts w:ascii="Arial Narrow" w:eastAsia="Calibri" w:hAnsi="Arial Narrow"/>
          <w:lang w:eastAsia="en-US"/>
        </w:rPr>
        <w:t xml:space="preserve">Por otra parte, </w:t>
      </w:r>
      <w:r w:rsidR="00DF0190">
        <w:rPr>
          <w:rFonts w:ascii="Arial Narrow" w:eastAsia="Calibri" w:hAnsi="Arial Narrow"/>
          <w:lang w:eastAsia="en-US"/>
        </w:rPr>
        <w:t>s</w:t>
      </w:r>
      <w:r w:rsidR="00DF0190" w:rsidRPr="00704B08">
        <w:rPr>
          <w:rFonts w:ascii="Arial Narrow" w:eastAsia="Calibri" w:hAnsi="Arial Narrow"/>
          <w:lang w:eastAsia="en-US"/>
        </w:rPr>
        <w:t xml:space="preserve">e </w:t>
      </w:r>
      <w:r w:rsidRPr="00704B08">
        <w:rPr>
          <w:rFonts w:ascii="Arial Narrow" w:eastAsia="Calibri" w:hAnsi="Arial Narrow"/>
          <w:lang w:eastAsia="en-US"/>
        </w:rPr>
        <w:t>han realizado acciones con la Dirección Jurídica y el Centro de Apoyo, Coordinación y Mejoramiento de la Función Jurisdiccional para la construcción del Reglamento del Código Procesal Agrario.</w:t>
      </w:r>
      <w:r w:rsidR="00ED6C1E">
        <w:rPr>
          <w:rFonts w:ascii="Arial Narrow" w:eastAsia="Calibri" w:hAnsi="Arial Narrow"/>
          <w:lang w:eastAsia="en-US"/>
        </w:rPr>
        <w:t xml:space="preserve"> Sin embargo, para el 2019 se presentó un porcentaje de avance de 95% en la meta estratégica esto debido a que según </w:t>
      </w:r>
      <w:r w:rsidR="00ED6C1E" w:rsidRPr="003A0F45">
        <w:rPr>
          <w:rFonts w:ascii="Arial Narrow" w:eastAsia="Calibri" w:hAnsi="Arial Narrow"/>
          <w:lang w:eastAsia="en-US"/>
        </w:rPr>
        <w:t>indic</w:t>
      </w:r>
      <w:r w:rsidR="003A0F45">
        <w:rPr>
          <w:rFonts w:ascii="Arial Narrow" w:eastAsia="Calibri" w:hAnsi="Arial Narrow"/>
          <w:lang w:eastAsia="en-US"/>
        </w:rPr>
        <w:t>ó</w:t>
      </w:r>
      <w:r w:rsidR="00ED6C1E" w:rsidRPr="003A0F45">
        <w:rPr>
          <w:rFonts w:ascii="Arial Narrow" w:eastAsia="Calibri" w:hAnsi="Arial Narrow"/>
          <w:lang w:eastAsia="en-US"/>
        </w:rPr>
        <w:t xml:space="preserve"> la Comisión Agrario Ambiental</w:t>
      </w:r>
      <w:r w:rsidR="003A0F45" w:rsidRPr="003A0F45">
        <w:rPr>
          <w:rFonts w:ascii="Arial Narrow" w:eastAsia="Calibri" w:hAnsi="Arial Narrow"/>
          <w:lang w:eastAsia="en-US"/>
        </w:rPr>
        <w:t xml:space="preserve">, </w:t>
      </w:r>
      <w:r w:rsidR="003A0F45">
        <w:rPr>
          <w:rFonts w:ascii="Arial Narrow" w:eastAsia="Calibri" w:hAnsi="Arial Narrow"/>
          <w:lang w:eastAsia="en-US"/>
        </w:rPr>
        <w:t>e</w:t>
      </w:r>
      <w:r w:rsidR="003A0F45" w:rsidRPr="00686BEF">
        <w:rPr>
          <w:rFonts w:ascii="Arial Narrow" w:eastAsia="Calibri" w:hAnsi="Arial Narrow"/>
          <w:lang w:eastAsia="en-US"/>
        </w:rPr>
        <w:t>l proceso de elaboración y aprobación de las reglas</w:t>
      </w:r>
      <w:r w:rsidR="003A0F45">
        <w:rPr>
          <w:rFonts w:ascii="Arial Narrow" w:eastAsia="Calibri" w:hAnsi="Arial Narrow"/>
          <w:lang w:eastAsia="en-US"/>
        </w:rPr>
        <w:t xml:space="preserve"> </w:t>
      </w:r>
      <w:r w:rsidR="003A0F45" w:rsidRPr="00686BEF">
        <w:rPr>
          <w:rFonts w:ascii="Arial Narrow" w:eastAsia="Calibri" w:hAnsi="Arial Narrow"/>
          <w:lang w:eastAsia="en-US"/>
        </w:rPr>
        <w:t>prácticas quedó en proceso al cierre de</w:t>
      </w:r>
      <w:r w:rsidR="003A0F45">
        <w:rPr>
          <w:rFonts w:ascii="Arial Narrow" w:eastAsia="Calibri" w:hAnsi="Arial Narrow"/>
          <w:lang w:eastAsia="en-US"/>
        </w:rPr>
        <w:t xml:space="preserve">l </w:t>
      </w:r>
      <w:r w:rsidR="003A0F45" w:rsidRPr="00686BEF">
        <w:rPr>
          <w:rFonts w:ascii="Arial Narrow" w:eastAsia="Calibri" w:hAnsi="Arial Narrow"/>
          <w:lang w:eastAsia="en-US"/>
        </w:rPr>
        <w:t>2019 debido a que la entrada en vigencia del Código Procesal Agrario se proyecta</w:t>
      </w:r>
      <w:r w:rsidR="003A0F45">
        <w:rPr>
          <w:rFonts w:ascii="Arial Narrow" w:eastAsia="Calibri" w:hAnsi="Arial Narrow"/>
          <w:lang w:eastAsia="en-US"/>
        </w:rPr>
        <w:t>ba</w:t>
      </w:r>
      <w:r w:rsidR="003A0F45" w:rsidRPr="00686BEF">
        <w:rPr>
          <w:rFonts w:ascii="Arial Narrow" w:eastAsia="Calibri" w:hAnsi="Arial Narrow"/>
          <w:lang w:eastAsia="en-US"/>
        </w:rPr>
        <w:t xml:space="preserve"> para el 27 de febrero de 2019; con posibilidades de ampliarse en caso de que la Asamblea Legislativa apruebe la solicitud de Corte Plena para que se amplíe la vacancia a un año más (Expediente 21.746). </w:t>
      </w:r>
      <w:r w:rsidR="003A0F45">
        <w:rPr>
          <w:rFonts w:ascii="Arial Narrow" w:eastAsia="Calibri" w:hAnsi="Arial Narrow"/>
          <w:lang w:eastAsia="en-US"/>
        </w:rPr>
        <w:t xml:space="preserve"> </w:t>
      </w:r>
      <w:r w:rsidR="005059CE">
        <w:rPr>
          <w:rFonts w:ascii="Arial Narrow" w:eastAsia="Calibri" w:hAnsi="Arial Narrow"/>
          <w:lang w:eastAsia="en-US"/>
        </w:rPr>
        <w:t xml:space="preserve">En conclusión, </w:t>
      </w:r>
      <w:r w:rsidR="00ED6C1E">
        <w:rPr>
          <w:rFonts w:ascii="Arial Narrow" w:eastAsia="Calibri" w:hAnsi="Arial Narrow"/>
          <w:lang w:eastAsia="en-US"/>
        </w:rPr>
        <w:t xml:space="preserve">para el año 2019 se presenta la meta con un nivel de avance alto de 95% y para el 2020 </w:t>
      </w:r>
      <w:r w:rsidR="005059CE">
        <w:rPr>
          <w:rFonts w:ascii="Arial Narrow" w:eastAsia="Calibri" w:hAnsi="Arial Narrow"/>
          <w:lang w:eastAsia="en-US"/>
        </w:rPr>
        <w:t xml:space="preserve">se tiene </w:t>
      </w:r>
      <w:r w:rsidR="00E80E7F">
        <w:rPr>
          <w:rFonts w:ascii="Arial Narrow" w:eastAsia="Calibri" w:hAnsi="Arial Narrow"/>
          <w:lang w:eastAsia="en-US"/>
        </w:rPr>
        <w:t xml:space="preserve">un cumplimiento anual de 100%. </w:t>
      </w:r>
    </w:p>
    <w:p w14:paraId="3F01308D" w14:textId="77777777" w:rsidR="00774B59" w:rsidRPr="002E0B96" w:rsidRDefault="00774B59" w:rsidP="00774B59">
      <w:pPr>
        <w:spacing w:line="360" w:lineRule="auto"/>
        <w:jc w:val="both"/>
        <w:rPr>
          <w:rFonts w:ascii="Arial Narrow" w:hAnsi="Arial Narrow" w:cs="Calibri"/>
          <w:b/>
          <w:bCs/>
          <w:color w:val="000000"/>
          <w:lang w:val="es-CR" w:eastAsia="es-CR"/>
        </w:rPr>
      </w:pPr>
    </w:p>
    <w:p w14:paraId="0642DBF9" w14:textId="6B91DA23" w:rsidR="00C77A52" w:rsidRPr="00704B08" w:rsidRDefault="00774B59" w:rsidP="00774B59">
      <w:pPr>
        <w:spacing w:line="360" w:lineRule="auto"/>
        <w:jc w:val="both"/>
        <w:rPr>
          <w:rFonts w:ascii="Arial Narrow" w:hAnsi="Arial Narrow" w:cs="Calibri"/>
          <w:b/>
          <w:bCs/>
          <w:color w:val="000000"/>
          <w:lang w:val="es-CR" w:eastAsia="es-CR"/>
        </w:rPr>
      </w:pPr>
      <w:r>
        <w:rPr>
          <w:rFonts w:ascii="Arial Narrow" w:hAnsi="Arial Narrow" w:cs="Calibri"/>
          <w:color w:val="000000"/>
          <w:lang w:val="es-CR" w:eastAsia="es-CR"/>
        </w:rPr>
        <w:t>Con respecto a</w:t>
      </w:r>
      <w:r w:rsidRPr="002E0B96">
        <w:rPr>
          <w:rFonts w:ascii="Arial Narrow" w:hAnsi="Arial Narrow" w:cs="Calibri"/>
          <w:color w:val="000000"/>
          <w:lang w:val="es-CR" w:eastAsia="es-CR"/>
        </w:rPr>
        <w:t xml:space="preserve"> la meta estratégica</w:t>
      </w:r>
      <w:r w:rsidRPr="002E0B96">
        <w:rPr>
          <w:rFonts w:ascii="Arial Narrow" w:hAnsi="Arial Narrow" w:cs="Calibri"/>
          <w:b/>
          <w:bCs/>
          <w:color w:val="000000"/>
          <w:lang w:val="es-CR" w:eastAsia="es-CR"/>
        </w:rPr>
        <w:t xml:space="preserve"> </w:t>
      </w:r>
      <w:r>
        <w:rPr>
          <w:rFonts w:ascii="Arial Narrow" w:hAnsi="Arial Narrow" w:cs="Calibri"/>
          <w:b/>
          <w:bCs/>
          <w:color w:val="000000"/>
          <w:lang w:val="es-CR" w:eastAsia="es-CR"/>
        </w:rPr>
        <w:t>“</w:t>
      </w:r>
      <w:r w:rsidR="00DD4259" w:rsidRPr="00704B08">
        <w:rPr>
          <w:rFonts w:ascii="Arial Narrow" w:hAnsi="Arial Narrow" w:cs="Calibri"/>
          <w:b/>
          <w:bCs/>
          <w:i/>
          <w:iCs/>
          <w:color w:val="000000"/>
          <w:lang w:val="es-CR" w:eastAsia="es-CR"/>
        </w:rPr>
        <w:t>Que al finalizar el 2024, se hayan implementado procesos estandarizados en las oficinas de la Defensa Pública, considerando las particularidades de sus oficinas</w:t>
      </w:r>
      <w:r>
        <w:rPr>
          <w:rFonts w:ascii="Arial Narrow" w:hAnsi="Arial Narrow" w:cs="Calibri"/>
          <w:b/>
          <w:bCs/>
          <w:color w:val="000000"/>
          <w:lang w:val="es-CR" w:eastAsia="es-CR"/>
        </w:rPr>
        <w:t>”</w:t>
      </w:r>
      <w:r w:rsidR="003D06EB">
        <w:rPr>
          <w:rFonts w:ascii="Arial Narrow" w:hAnsi="Arial Narrow" w:cs="Calibri"/>
          <w:b/>
          <w:bCs/>
          <w:color w:val="000000"/>
          <w:lang w:val="es-CR" w:eastAsia="es-CR"/>
        </w:rPr>
        <w:t>,</w:t>
      </w:r>
      <w:r>
        <w:rPr>
          <w:rFonts w:ascii="Arial Narrow" w:hAnsi="Arial Narrow" w:cs="Calibri"/>
          <w:b/>
          <w:bCs/>
          <w:color w:val="000000"/>
          <w:lang w:val="es-CR" w:eastAsia="es-CR"/>
        </w:rPr>
        <w:t xml:space="preserve"> </w:t>
      </w:r>
      <w:r>
        <w:rPr>
          <w:rFonts w:ascii="Arial Narrow" w:eastAsia="Calibri" w:hAnsi="Arial Narrow"/>
        </w:rPr>
        <w:t>d</w:t>
      </w:r>
      <w:r w:rsidR="00C77A52" w:rsidRPr="00704B08">
        <w:rPr>
          <w:rFonts w:ascii="Arial Narrow" w:eastAsia="Calibri" w:hAnsi="Arial Narrow"/>
        </w:rPr>
        <w:t xml:space="preserve">e acuerdo con la revisión efectuada se logró determinar que no se asoció a ningún PAO de oficina para el 2019, sin embargo, se retomó para cumplirse en el 2020 por medio de la ejecución operativa. </w:t>
      </w:r>
      <w:r w:rsidR="00C77A52" w:rsidRPr="00704B08">
        <w:rPr>
          <w:rFonts w:ascii="Arial Narrow" w:eastAsia="Calibri" w:hAnsi="Arial Narrow"/>
          <w:color w:val="FF0000"/>
        </w:rPr>
        <w:t xml:space="preserve"> </w:t>
      </w:r>
      <w:r w:rsidR="00E80E7F" w:rsidRPr="00704B08">
        <w:rPr>
          <w:rFonts w:ascii="Arial Narrow" w:hAnsi="Arial Narrow"/>
        </w:rPr>
        <w:t>Se verifican la información brindada po</w:t>
      </w:r>
      <w:r w:rsidR="00E80E7F">
        <w:rPr>
          <w:rFonts w:ascii="Arial Narrow" w:hAnsi="Arial Narrow"/>
        </w:rPr>
        <w:t>r</w:t>
      </w:r>
      <w:r w:rsidR="00E80E7F" w:rsidRPr="00704B08">
        <w:rPr>
          <w:rFonts w:ascii="Arial Narrow" w:hAnsi="Arial Narrow"/>
        </w:rPr>
        <w:t xml:space="preserve"> medio del PAO y se tiene que a</w:t>
      </w:r>
      <w:r w:rsidR="00C77A52" w:rsidRPr="00704B08">
        <w:rPr>
          <w:rFonts w:ascii="Arial Narrow" w:hAnsi="Arial Narrow"/>
        </w:rPr>
        <w:t xml:space="preserve"> partir de </w:t>
      </w:r>
      <w:r w:rsidR="00087CD1" w:rsidRPr="00704B08">
        <w:rPr>
          <w:rFonts w:ascii="Arial Narrow" w:hAnsi="Arial Narrow"/>
        </w:rPr>
        <w:t>2020 la Defensa Pública trabajó de manera conjunta con el Subproceso de Modernización Institucional de la Dirección de Planificación en una propuesta de mejoras en el Sistema de Seguimiento de Casos. Así mismo, realizaron requerimientos y reportes para mejorar la herramienta de extracción de información SIGMA, en materia Penal.</w:t>
      </w:r>
    </w:p>
    <w:p w14:paraId="0C538B84" w14:textId="0296C813" w:rsidR="00DD4259" w:rsidRDefault="00DD4259" w:rsidP="00A5186A">
      <w:pPr>
        <w:spacing w:line="360" w:lineRule="auto"/>
        <w:jc w:val="both"/>
        <w:rPr>
          <w:rFonts w:ascii="Arial Narrow" w:hAnsi="Arial Narrow" w:cs="Calibri"/>
          <w:b/>
          <w:bCs/>
          <w:color w:val="000000"/>
          <w:lang w:val="es-CR" w:eastAsia="es-CR"/>
        </w:rPr>
      </w:pPr>
    </w:p>
    <w:p w14:paraId="4224826F" w14:textId="77777777" w:rsidR="009D5823" w:rsidRDefault="009D5823" w:rsidP="00A5186A">
      <w:pPr>
        <w:spacing w:line="360" w:lineRule="auto"/>
        <w:jc w:val="both"/>
        <w:rPr>
          <w:rFonts w:ascii="Arial Narrow" w:hAnsi="Arial Narrow" w:cs="Calibri"/>
          <w:b/>
          <w:bCs/>
          <w:color w:val="000000"/>
          <w:lang w:val="es-CR" w:eastAsia="es-CR"/>
        </w:rPr>
        <w:sectPr w:rsidR="009D5823" w:rsidSect="009D5823">
          <w:pgSz w:w="12242" w:h="15842" w:code="1"/>
          <w:pgMar w:top="1701" w:right="1417" w:bottom="1701" w:left="1417" w:header="709" w:footer="709" w:gutter="0"/>
          <w:cols w:space="708"/>
          <w:docGrid w:linePitch="360"/>
        </w:sectPr>
      </w:pPr>
    </w:p>
    <w:p w14:paraId="33B9F4F2" w14:textId="77777777" w:rsidR="00E80E7F" w:rsidRDefault="00E80E7F" w:rsidP="00A5186A">
      <w:pPr>
        <w:spacing w:line="360" w:lineRule="auto"/>
        <w:jc w:val="both"/>
        <w:rPr>
          <w:rFonts w:ascii="Arial Narrow" w:hAnsi="Arial Narrow" w:cs="Calibri"/>
          <w:b/>
          <w:bCs/>
          <w:color w:val="000000"/>
          <w:lang w:val="es-CR" w:eastAsia="es-CR"/>
        </w:rPr>
      </w:pPr>
    </w:p>
    <w:p w14:paraId="74A77CCD" w14:textId="2C1CDCFA" w:rsidR="009E6DA2" w:rsidRPr="002100DF" w:rsidRDefault="009E6DA2" w:rsidP="009E6DA2">
      <w:pPr>
        <w:pStyle w:val="Descripcin"/>
        <w:jc w:val="center"/>
        <w:rPr>
          <w:rFonts w:ascii="Arial Narrow" w:eastAsia="Calibri" w:hAnsi="Arial Narrow"/>
          <w:lang w:eastAsia="en-US"/>
        </w:rPr>
      </w:pPr>
      <w:bookmarkStart w:id="79" w:name="_Toc76062268"/>
      <w:r w:rsidRPr="00484CC1">
        <w:rPr>
          <w:rFonts w:ascii="Arial Narrow" w:hAnsi="Arial Narrow"/>
          <w:sz w:val="24"/>
          <w:szCs w:val="24"/>
        </w:rPr>
        <w:t>Cuadro</w:t>
      </w:r>
      <w:r>
        <w:rPr>
          <w:rFonts w:ascii="Arial Narrow" w:hAnsi="Arial Narrow"/>
          <w:sz w:val="24"/>
          <w:szCs w:val="24"/>
        </w:rPr>
        <w:t xml:space="preserve"> </w:t>
      </w:r>
      <w:r w:rsidRPr="00484CC1">
        <w:rPr>
          <w:rFonts w:ascii="Arial Narrow" w:hAnsi="Arial Narrow"/>
          <w:sz w:val="24"/>
          <w:szCs w:val="24"/>
        </w:rPr>
        <w:fldChar w:fldCharType="begin"/>
      </w:r>
      <w:r w:rsidRPr="00484CC1">
        <w:rPr>
          <w:rFonts w:ascii="Arial Narrow" w:hAnsi="Arial Narrow"/>
          <w:sz w:val="24"/>
          <w:szCs w:val="24"/>
        </w:rPr>
        <w:instrText xml:space="preserve"> SEQ Cuadro_No. \* ARABIC </w:instrText>
      </w:r>
      <w:r w:rsidRPr="00484CC1">
        <w:rPr>
          <w:rFonts w:ascii="Arial Narrow" w:hAnsi="Arial Narrow"/>
          <w:sz w:val="24"/>
          <w:szCs w:val="24"/>
        </w:rPr>
        <w:fldChar w:fldCharType="separate"/>
      </w:r>
      <w:r w:rsidR="009D5823">
        <w:rPr>
          <w:rFonts w:ascii="Arial Narrow" w:hAnsi="Arial Narrow"/>
          <w:noProof/>
          <w:sz w:val="24"/>
          <w:szCs w:val="24"/>
        </w:rPr>
        <w:t>45</w:t>
      </w:r>
      <w:r w:rsidRPr="00484CC1">
        <w:rPr>
          <w:rFonts w:ascii="Arial Narrow" w:hAnsi="Arial Narrow"/>
          <w:sz w:val="24"/>
          <w:szCs w:val="24"/>
        </w:rPr>
        <w:fldChar w:fldCharType="end"/>
      </w:r>
      <w:r w:rsidRPr="00484CC1">
        <w:rPr>
          <w:rFonts w:ascii="Arial Narrow" w:hAnsi="Arial Narrow"/>
          <w:sz w:val="24"/>
          <w:szCs w:val="24"/>
        </w:rPr>
        <w:t xml:space="preserve"> </w:t>
      </w:r>
      <w:r w:rsidRPr="00D657CE">
        <w:rPr>
          <w:rFonts w:ascii="Arial Narrow" w:eastAsia="Calibri" w:hAnsi="Arial Narrow"/>
          <w:sz w:val="24"/>
          <w:szCs w:val="24"/>
        </w:rPr>
        <w:t>Metas estratégicas de Desarrollo y optimización de servicios y procesos judiciales, y su cumplimiento para el 2019</w:t>
      </w:r>
      <w:r>
        <w:rPr>
          <w:rFonts w:ascii="Arial Narrow" w:eastAsia="Calibri" w:hAnsi="Arial Narrow"/>
          <w:sz w:val="24"/>
          <w:szCs w:val="24"/>
        </w:rPr>
        <w:t xml:space="preserve"> y 2020.</w:t>
      </w:r>
      <w:bookmarkEnd w:id="79"/>
    </w:p>
    <w:p w14:paraId="586BABCC" w14:textId="77777777" w:rsidR="009E6DA2" w:rsidRDefault="009E6DA2" w:rsidP="009E6DA2">
      <w:pPr>
        <w:rPr>
          <w:rFonts w:ascii="Arial Narrow" w:eastAsia="Calibri" w:hAnsi="Arial Narrow"/>
          <w:lang w:eastAsia="en-US"/>
        </w:rPr>
      </w:pPr>
    </w:p>
    <w:p w14:paraId="6D6A3DE0" w14:textId="16EEF362" w:rsidR="009E6DA2" w:rsidRDefault="00BC3410" w:rsidP="009E6DA2">
      <w:pPr>
        <w:rPr>
          <w:rFonts w:ascii="Arial Narrow" w:eastAsia="Calibri" w:hAnsi="Arial Narrow"/>
          <w:lang w:eastAsia="en-US"/>
        </w:rPr>
      </w:pPr>
      <w:r>
        <w:rPr>
          <w:noProof/>
          <w:lang w:val="es-CR" w:eastAsia="es-CR"/>
        </w:rPr>
        <w:drawing>
          <wp:inline distT="0" distB="0" distL="0" distR="0" wp14:anchorId="74F96983" wp14:editId="32136A1F">
            <wp:extent cx="7899400" cy="2492330"/>
            <wp:effectExtent l="19050" t="19050" r="25400" b="22860"/>
            <wp:docPr id="140" name="Imagen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7"/>
                    <a:srcRect b="408"/>
                    <a:stretch/>
                  </pic:blipFill>
                  <pic:spPr bwMode="auto">
                    <a:xfrm>
                      <a:off x="0" y="0"/>
                      <a:ext cx="7907307" cy="2494825"/>
                    </a:xfrm>
                    <a:prstGeom prst="rect">
                      <a:avLst/>
                    </a:prstGeom>
                    <a:ln w="9525">
                      <a:solidFill>
                        <a:srgbClr val="00B0F0"/>
                      </a:solidFill>
                    </a:ln>
                    <a:extLst>
                      <a:ext uri="{53640926-AAD7-44D8-BBD7-CCE9431645EC}">
                        <a14:shadowObscured xmlns:a14="http://schemas.microsoft.com/office/drawing/2010/main"/>
                      </a:ext>
                    </a:extLst>
                  </pic:spPr>
                </pic:pic>
              </a:graphicData>
            </a:graphic>
          </wp:inline>
        </w:drawing>
      </w:r>
    </w:p>
    <w:p w14:paraId="3B467CB5" w14:textId="77777777" w:rsidR="009E6DA2" w:rsidRDefault="009E6DA2" w:rsidP="009E6DA2">
      <w:pPr>
        <w:rPr>
          <w:rFonts w:ascii="Arial Narrow" w:eastAsia="Calibri" w:hAnsi="Arial Narrow"/>
          <w:lang w:eastAsia="en-US"/>
        </w:rPr>
      </w:pPr>
    </w:p>
    <w:p w14:paraId="1A2B0778" w14:textId="77777777" w:rsidR="009E6DA2" w:rsidRDefault="009E6DA2" w:rsidP="009E6DA2">
      <w:pPr>
        <w:ind w:left="-142" w:firstLine="850"/>
        <w:rPr>
          <w:rFonts w:ascii="Arial Narrow" w:eastAsia="Calibri" w:hAnsi="Arial Narrow"/>
          <w:sz w:val="18"/>
          <w:szCs w:val="18"/>
          <w:lang w:eastAsia="en-US"/>
        </w:rPr>
      </w:pPr>
      <w:r w:rsidRPr="000B4845">
        <w:rPr>
          <w:rFonts w:ascii="Arial Narrow" w:eastAsia="Calibri" w:hAnsi="Arial Narrow"/>
          <w:sz w:val="18"/>
          <w:szCs w:val="18"/>
          <w:lang w:eastAsia="en-US"/>
        </w:rPr>
        <w:t>Fuente: Sistema PEI al 24 de enero del 2020 (año 2019)</w:t>
      </w:r>
      <w:r>
        <w:rPr>
          <w:rFonts w:ascii="Arial Narrow" w:eastAsia="Calibri" w:hAnsi="Arial Narrow"/>
          <w:sz w:val="18"/>
          <w:szCs w:val="18"/>
          <w:lang w:eastAsia="en-US"/>
        </w:rPr>
        <w:t xml:space="preserve"> y 04 de marzo del 2021 (año 2020).</w:t>
      </w:r>
    </w:p>
    <w:p w14:paraId="43001410" w14:textId="77777777" w:rsidR="009D5823" w:rsidRDefault="009D5823">
      <w:pPr>
        <w:spacing w:line="360" w:lineRule="auto"/>
        <w:jc w:val="both"/>
        <w:rPr>
          <w:rFonts w:ascii="Arial Narrow" w:hAnsi="Arial Narrow" w:cs="Calibri"/>
          <w:b/>
          <w:bCs/>
          <w:color w:val="000000"/>
          <w:lang w:val="es-CR" w:eastAsia="es-CR"/>
        </w:rPr>
        <w:sectPr w:rsidR="009D5823" w:rsidSect="009D5823">
          <w:pgSz w:w="15842" w:h="12242" w:orient="landscape" w:code="1"/>
          <w:pgMar w:top="1417" w:right="1701" w:bottom="1417" w:left="1701" w:header="709" w:footer="709" w:gutter="0"/>
          <w:cols w:space="708"/>
          <w:docGrid w:linePitch="360"/>
        </w:sectPr>
      </w:pPr>
    </w:p>
    <w:p w14:paraId="2539E372" w14:textId="2DDAEE98" w:rsidR="00087CD1" w:rsidRPr="00704B08" w:rsidRDefault="00087CD1" w:rsidP="00704B08">
      <w:pPr>
        <w:spacing w:line="360" w:lineRule="auto"/>
        <w:jc w:val="both"/>
        <w:rPr>
          <w:rFonts w:ascii="Arial Narrow" w:hAnsi="Arial Narrow" w:cs="Calibri"/>
          <w:b/>
          <w:bCs/>
          <w:color w:val="000000"/>
          <w:lang w:val="es-CR" w:eastAsia="es-CR"/>
        </w:rPr>
      </w:pPr>
    </w:p>
    <w:p w14:paraId="62359628" w14:textId="23412D09" w:rsidR="00087CD1" w:rsidRPr="00704B08" w:rsidRDefault="00774B59" w:rsidP="00704B08">
      <w:pPr>
        <w:spacing w:line="360" w:lineRule="auto"/>
        <w:jc w:val="both"/>
        <w:rPr>
          <w:rFonts w:ascii="Arial Narrow" w:eastAsia="Calibri" w:hAnsi="Arial Narrow"/>
          <w:i/>
          <w:iCs/>
        </w:rPr>
      </w:pPr>
      <w:r w:rsidRPr="002E0B96">
        <w:rPr>
          <w:rFonts w:ascii="Arial Narrow" w:hAnsi="Arial Narrow" w:cs="Calibri"/>
          <w:color w:val="000000"/>
          <w:lang w:val="es-CR" w:eastAsia="es-CR"/>
        </w:rPr>
        <w:t>Por su parte, la meta estratégica</w:t>
      </w:r>
      <w:r w:rsidRPr="002E0B96">
        <w:rPr>
          <w:rFonts w:ascii="Arial Narrow" w:hAnsi="Arial Narrow" w:cs="Calibri"/>
          <w:b/>
          <w:bCs/>
          <w:color w:val="000000"/>
          <w:lang w:val="es-CR" w:eastAsia="es-CR"/>
        </w:rPr>
        <w:t xml:space="preserve"> </w:t>
      </w:r>
      <w:r>
        <w:rPr>
          <w:rFonts w:ascii="Arial Narrow" w:hAnsi="Arial Narrow" w:cs="Calibri"/>
          <w:b/>
          <w:bCs/>
          <w:color w:val="000000"/>
          <w:lang w:val="es-CR" w:eastAsia="es-CR"/>
        </w:rPr>
        <w:t>“</w:t>
      </w:r>
      <w:r w:rsidR="00DD4259" w:rsidRPr="00704B08">
        <w:rPr>
          <w:rFonts w:ascii="Arial Narrow" w:hAnsi="Arial Narrow" w:cs="Calibri"/>
          <w:b/>
          <w:bCs/>
          <w:i/>
          <w:iCs/>
          <w:color w:val="000000"/>
          <w:lang w:val="es-CR" w:eastAsia="es-CR"/>
        </w:rPr>
        <w:t>Que al finalizar el 2024, se haya implementado el proyecto de abordaje a la entrada en vigencia del Código Procesal de Familia</w:t>
      </w:r>
      <w:r>
        <w:rPr>
          <w:rFonts w:ascii="Arial Narrow" w:hAnsi="Arial Narrow" w:cs="Calibri"/>
          <w:b/>
          <w:bCs/>
          <w:color w:val="000000"/>
          <w:lang w:val="es-CR" w:eastAsia="es-CR"/>
        </w:rPr>
        <w:t xml:space="preserve">” </w:t>
      </w:r>
      <w:r>
        <w:rPr>
          <w:rFonts w:ascii="Arial Narrow" w:eastAsia="Calibri" w:hAnsi="Arial Narrow"/>
        </w:rPr>
        <w:t>e</w:t>
      </w:r>
      <w:r w:rsidR="004A7FB6" w:rsidRPr="00484CC1">
        <w:rPr>
          <w:rFonts w:ascii="Arial Narrow" w:eastAsia="Calibri" w:hAnsi="Arial Narrow"/>
        </w:rPr>
        <w:t xml:space="preserve">s importante señalar que en la Matriz del PEI 2019-2024 adicionalmente se incluye la meta estratégica </w:t>
      </w:r>
      <w:r w:rsidR="004A7FB6" w:rsidRPr="00FD121F">
        <w:rPr>
          <w:rFonts w:ascii="Arial Narrow" w:eastAsia="Calibri" w:hAnsi="Arial Narrow"/>
        </w:rPr>
        <w:t>“</w:t>
      </w:r>
      <w:r w:rsidR="004A7FB6" w:rsidRPr="00484CC1">
        <w:rPr>
          <w:rFonts w:ascii="Arial Narrow" w:eastAsia="Calibri" w:hAnsi="Arial Narrow"/>
        </w:rPr>
        <w:t>Que al finalizar el 2024, se haya implementado el proyecto de abordaje a la entrada en vigencia del Código Procesal de Familia.  Indicador: Cantidad de despachos abordados con la entrada en vigencia del Código Procesal de Familia</w:t>
      </w:r>
      <w:r w:rsidR="004A7FB6">
        <w:rPr>
          <w:rFonts w:ascii="Arial Narrow" w:eastAsia="Calibri" w:hAnsi="Arial Narrow"/>
        </w:rPr>
        <w:t xml:space="preserve">. Al respecto, desde el 2019 con posterioridad a </w:t>
      </w:r>
      <w:r w:rsidR="004A7FB6" w:rsidRPr="00006558">
        <w:rPr>
          <w:rFonts w:ascii="Arial Narrow" w:eastAsia="Calibri" w:hAnsi="Arial Narrow"/>
        </w:rPr>
        <w:t xml:space="preserve">los acuerdos del Consejo Superior en sesión Extraordinaria 45-20 (Presupuesto 2020), celebrada el 8 de mayo del 2020, artículo XIX y sesión Extraordinaria 48-20 del 14 de mayo de 2020, artículo XIII y por el acuerdo de Corte Plena en sesión 31-2020 del dos de junio del 2020, artículo I, se aprobó el informe 656-PLA-RH-MI- 2020 relacionado con el “Impacto organizacional y presupuestario en el Poder Judicial a partir de la promulgación del Código Procesal de Familia”, que consideraba las acciones a seguir para la implementación de la Ley 9747 previsto para el primero </w:t>
      </w:r>
      <w:r w:rsidR="004A7FB6" w:rsidRPr="005059CE">
        <w:rPr>
          <w:rFonts w:ascii="Arial Narrow" w:eastAsia="Calibri" w:hAnsi="Arial Narrow"/>
        </w:rPr>
        <w:t>de octubre del</w:t>
      </w:r>
      <w:r w:rsidR="005059CE" w:rsidRPr="00704B08">
        <w:rPr>
          <w:rFonts w:ascii="Arial Narrow" w:eastAsia="Calibri" w:hAnsi="Arial Narrow"/>
        </w:rPr>
        <w:t xml:space="preserve"> 2020</w:t>
      </w:r>
      <w:r w:rsidR="004A7FB6" w:rsidRPr="005059CE">
        <w:rPr>
          <w:rFonts w:ascii="Arial Narrow" w:eastAsia="Calibri" w:hAnsi="Arial Narrow"/>
        </w:rPr>
        <w:t>.</w:t>
      </w:r>
      <w:r w:rsidR="004A7FB6" w:rsidRPr="00006558">
        <w:rPr>
          <w:rFonts w:ascii="Arial Narrow" w:eastAsia="Calibri" w:hAnsi="Arial Narrow"/>
        </w:rPr>
        <w:t xml:space="preserve"> </w:t>
      </w:r>
      <w:r>
        <w:rPr>
          <w:rFonts w:ascii="Arial Narrow" w:eastAsia="Calibri" w:hAnsi="Arial Narrow"/>
        </w:rPr>
        <w:t xml:space="preserve"> </w:t>
      </w:r>
      <w:r w:rsidR="004A7FB6" w:rsidRPr="00006558">
        <w:rPr>
          <w:rFonts w:ascii="Arial Narrow" w:eastAsia="Calibri" w:hAnsi="Arial Narrow"/>
        </w:rPr>
        <w:t>Adicionalmente, mediante el acuerdo del Consejo Superior en sesión 19-2020 celebrada el 10 de marzo del 2020, artículo LI, se conoció el detalle del informe de la Contraloría General de la República (CGR) número DFOE-PG-0098 (2683)-2020, relacionado con el informe DFOE-PG-IF-00002-2020 “Informe de Auditoría Operativa sobre la gestión del Poder Judicial en cuanto a la oportunidad de la prestación del servicio público de administración de la justicia de los juzgados de Familia y de Pensiones alimentarias”, que contiene una serie de recomendaciones vinculantes que deben ser cumplidas por la institución</w:t>
      </w:r>
      <w:r w:rsidR="004A7FB6">
        <w:rPr>
          <w:rFonts w:ascii="Arial Narrow" w:eastAsia="Calibri" w:hAnsi="Arial Narrow"/>
        </w:rPr>
        <w:t xml:space="preserve">, siendo que ha sido necesario el análisis de 106 despachos que conocen la materia de Familia. </w:t>
      </w:r>
      <w:r w:rsidR="00087CD1" w:rsidRPr="00704B08">
        <w:rPr>
          <w:rFonts w:ascii="Arial Narrow" w:eastAsia="Calibri" w:hAnsi="Arial Narrow"/>
        </w:rPr>
        <w:t xml:space="preserve">Acuerdo posteriormente conocido también por Corte Plena en sesión 17-2020 celebrada el 30 de marzo del 2020, artículo XXXIII. </w:t>
      </w:r>
      <w:r>
        <w:rPr>
          <w:rFonts w:ascii="Arial Narrow" w:eastAsia="Calibri" w:hAnsi="Arial Narrow"/>
        </w:rPr>
        <w:t xml:space="preserve">  </w:t>
      </w:r>
      <w:r w:rsidR="00087CD1" w:rsidRPr="00704B08">
        <w:rPr>
          <w:rFonts w:ascii="Arial Narrow" w:eastAsia="Calibri" w:hAnsi="Arial Narrow"/>
        </w:rPr>
        <w:t>En atención a los acuerdos citados y como parte de las labores de implementación del Código Procesal de Familia, Ley 9747 “Código Procesal de Familia” vigente a partir del 1° de octubre de 2020, la Dirección de Planificación emite el oficio 991-PLA-EV-ES-2020 de la Dirección de Planificación, relacionado con la gestión del Poder Judicial en cuanto a la oportunidad de la prestación del servicio público de administración de la justicia de los Juzgados de Familia y de Pensiones Alimentarias con el respectivo plan de trabajo, oficio aprobado por el Consejo Superior en sesión 70-2020 celebrada el 09 de julio del 2020 artículo LVIII, que dentro de las tareas incluyen:</w:t>
      </w:r>
      <w:r>
        <w:rPr>
          <w:rFonts w:ascii="Arial Narrow" w:eastAsia="Calibri" w:hAnsi="Arial Narrow"/>
        </w:rPr>
        <w:t xml:space="preserve"> </w:t>
      </w:r>
    </w:p>
    <w:p w14:paraId="3CCE68F4" w14:textId="684FFD22" w:rsidR="00087CD1" w:rsidRPr="00704B08" w:rsidRDefault="00087CD1" w:rsidP="00704B08">
      <w:pPr>
        <w:spacing w:line="360" w:lineRule="auto"/>
        <w:jc w:val="both"/>
        <w:rPr>
          <w:rFonts w:ascii="Arial Narrow" w:eastAsia="Calibri" w:hAnsi="Arial Narrow"/>
          <w:i/>
          <w:iCs/>
        </w:rPr>
      </w:pPr>
      <w:r w:rsidRPr="00704B08">
        <w:rPr>
          <w:rFonts w:ascii="Arial Narrow" w:eastAsia="Calibri" w:hAnsi="Arial Narrow"/>
          <w:i/>
          <w:iCs/>
        </w:rPr>
        <w:lastRenderedPageBreak/>
        <w:t>“Debido a lo anterior, se presentan a continuación, las</w:t>
      </w:r>
      <w:r w:rsidR="00A64E47" w:rsidRPr="00704B08">
        <w:rPr>
          <w:rFonts w:ascii="Arial Narrow" w:eastAsia="Calibri" w:hAnsi="Arial Narrow"/>
          <w:i/>
          <w:iCs/>
        </w:rPr>
        <w:t xml:space="preserve"> </w:t>
      </w:r>
      <w:r w:rsidRPr="00704B08">
        <w:rPr>
          <w:rFonts w:ascii="Arial Narrow" w:eastAsia="Calibri" w:hAnsi="Arial Narrow"/>
          <w:i/>
          <w:iCs/>
        </w:rPr>
        <w:t>tareas que se ejecutarán en los despachos involucrados en cumplimiento a lo establecido por la Contraloría y a la vez, prepararlos para la entrada en vigor del Código Procesal de Familia:</w:t>
      </w:r>
    </w:p>
    <w:p w14:paraId="559D2C1C" w14:textId="77777777" w:rsidR="00087CD1" w:rsidRPr="00704B08" w:rsidRDefault="00087CD1" w:rsidP="00704B08">
      <w:pPr>
        <w:spacing w:line="360" w:lineRule="auto"/>
        <w:jc w:val="both"/>
        <w:rPr>
          <w:rFonts w:ascii="Arial Narrow" w:eastAsia="Calibri" w:hAnsi="Arial Narrow"/>
          <w:i/>
          <w:iCs/>
        </w:rPr>
      </w:pPr>
    </w:p>
    <w:p w14:paraId="4369FEF7" w14:textId="4209FAC3" w:rsidR="00087CD1" w:rsidRPr="00704B08" w:rsidRDefault="00087CD1" w:rsidP="00704B08">
      <w:pPr>
        <w:pStyle w:val="Textoindependiente2"/>
        <w:spacing w:line="360" w:lineRule="auto"/>
        <w:rPr>
          <w:rFonts w:ascii="Arial Narrow" w:eastAsia="Calibri" w:hAnsi="Arial Narrow"/>
          <w:i/>
          <w:iCs/>
        </w:rPr>
      </w:pPr>
      <w:r w:rsidRPr="00704B08">
        <w:rPr>
          <w:rFonts w:ascii="Arial Narrow" w:eastAsia="Calibri" w:hAnsi="Arial Narrow"/>
          <w:i/>
          <w:iCs/>
        </w:rPr>
        <w:t>Reunión inicial con el equipo de trabajo para mostrar la metodología de trabajo</w:t>
      </w:r>
      <w:r w:rsidR="00774B59" w:rsidRPr="00774B59">
        <w:rPr>
          <w:rFonts w:ascii="Arial Narrow" w:eastAsia="Calibri" w:hAnsi="Arial Narrow"/>
          <w:i/>
          <w:iCs/>
        </w:rPr>
        <w:t>, a</w:t>
      </w:r>
      <w:r w:rsidRPr="00704B08">
        <w:rPr>
          <w:rFonts w:ascii="Arial Narrow" w:eastAsia="Calibri" w:hAnsi="Arial Narrow"/>
          <w:i/>
          <w:iCs/>
        </w:rPr>
        <w:t>nálisis de la estructura organizacional y funcional</w:t>
      </w:r>
      <w:r w:rsidR="00774B59" w:rsidRPr="00774B59">
        <w:rPr>
          <w:rFonts w:ascii="Arial Narrow" w:eastAsia="Calibri" w:hAnsi="Arial Narrow"/>
          <w:i/>
          <w:iCs/>
        </w:rPr>
        <w:t>, a</w:t>
      </w:r>
      <w:r w:rsidRPr="00704B08">
        <w:rPr>
          <w:rFonts w:ascii="Arial Narrow" w:eastAsia="Calibri" w:hAnsi="Arial Narrow"/>
          <w:i/>
          <w:iCs/>
        </w:rPr>
        <w:t>nálisis de la distribución de la carga de trabajo, desde el reparto inicial de casos como de la carga asignada actualmente por cada persona involucrada en el equipo (entrada y circulante)</w:t>
      </w:r>
      <w:r w:rsidR="00774B59" w:rsidRPr="00774B59">
        <w:rPr>
          <w:rFonts w:ascii="Arial Narrow" w:eastAsia="Calibri" w:hAnsi="Arial Narrow"/>
          <w:i/>
          <w:iCs/>
        </w:rPr>
        <w:t>, d</w:t>
      </w:r>
      <w:r w:rsidRPr="00704B08">
        <w:rPr>
          <w:rFonts w:ascii="Arial Narrow" w:eastAsia="Calibri" w:hAnsi="Arial Narrow"/>
          <w:i/>
          <w:iCs/>
        </w:rPr>
        <w:t>efinición del diseño del reparto de causas nuevas para la implementación o ajuste de la herramienta de reparto automático de casos, así como diseño de herramienta de reparto en Excel, en los casos que corresponda</w:t>
      </w:r>
      <w:r w:rsidR="00774B59" w:rsidRPr="00774B59">
        <w:rPr>
          <w:rFonts w:ascii="Arial Narrow" w:eastAsia="Calibri" w:hAnsi="Arial Narrow"/>
          <w:i/>
          <w:iCs/>
        </w:rPr>
        <w:t>, i</w:t>
      </w:r>
      <w:r w:rsidRPr="00704B08">
        <w:rPr>
          <w:rFonts w:ascii="Arial Narrow" w:eastAsia="Calibri" w:hAnsi="Arial Narrow"/>
          <w:i/>
          <w:iCs/>
        </w:rPr>
        <w:t>mplementación de la herramienta de pase a fallo en el Escritorio Virtual e implementación de libro de pase a fallo según los lineamientos establecidos</w:t>
      </w:r>
      <w:r w:rsidR="00774B59" w:rsidRPr="00774B59">
        <w:rPr>
          <w:rFonts w:ascii="Arial Narrow" w:eastAsia="Calibri" w:hAnsi="Arial Narrow"/>
          <w:i/>
          <w:iCs/>
        </w:rPr>
        <w:t>, c</w:t>
      </w:r>
      <w:r w:rsidRPr="00704B08">
        <w:rPr>
          <w:rFonts w:ascii="Arial Narrow" w:eastAsia="Calibri" w:hAnsi="Arial Narrow"/>
          <w:i/>
          <w:iCs/>
        </w:rPr>
        <w:t>onformación del Equipo de Mejora en el Despacho</w:t>
      </w:r>
      <w:r w:rsidR="00774B59" w:rsidRPr="00774B59">
        <w:rPr>
          <w:rFonts w:ascii="Arial Narrow" w:eastAsia="Calibri" w:hAnsi="Arial Narrow"/>
          <w:i/>
          <w:iCs/>
        </w:rPr>
        <w:t>, i</w:t>
      </w:r>
      <w:r w:rsidRPr="00704B08">
        <w:rPr>
          <w:rFonts w:ascii="Arial Narrow" w:eastAsia="Calibri" w:hAnsi="Arial Narrow"/>
          <w:i/>
          <w:iCs/>
        </w:rPr>
        <w:t>mplementación del Modelo de Sostenibilidad en cada uno de los despachos involucrados</w:t>
      </w:r>
      <w:r w:rsidR="00774B59" w:rsidRPr="00774B59">
        <w:rPr>
          <w:rFonts w:ascii="Arial Narrow" w:eastAsia="Calibri" w:hAnsi="Arial Narrow"/>
          <w:i/>
          <w:iCs/>
        </w:rPr>
        <w:t xml:space="preserve"> y c</w:t>
      </w:r>
      <w:r w:rsidRPr="00704B08">
        <w:rPr>
          <w:rFonts w:ascii="Arial Narrow" w:eastAsia="Calibri" w:hAnsi="Arial Narrow"/>
          <w:b w:val="0"/>
          <w:bCs w:val="0"/>
          <w:i/>
          <w:iCs/>
        </w:rPr>
        <w:t>apacitación e implementación de los Indicadores de Gestión.”</w:t>
      </w:r>
    </w:p>
    <w:p w14:paraId="54671E53" w14:textId="77777777" w:rsidR="00087CD1" w:rsidRPr="00704B08" w:rsidRDefault="00087CD1" w:rsidP="00704B08">
      <w:pPr>
        <w:spacing w:line="360" w:lineRule="auto"/>
        <w:jc w:val="both"/>
        <w:rPr>
          <w:rFonts w:ascii="Arial Narrow" w:eastAsia="Calibri" w:hAnsi="Arial Narrow"/>
        </w:rPr>
      </w:pPr>
    </w:p>
    <w:p w14:paraId="01204849" w14:textId="2FB272C5" w:rsidR="00A5186A" w:rsidRDefault="000D6BB3">
      <w:pPr>
        <w:spacing w:line="360" w:lineRule="auto"/>
        <w:jc w:val="both"/>
        <w:rPr>
          <w:rFonts w:ascii="Arial Narrow" w:hAnsi="Arial Narrow" w:cs="Calibri"/>
          <w:color w:val="000000"/>
          <w:lang w:val="es-CR" w:eastAsia="es-CR"/>
        </w:rPr>
      </w:pPr>
      <w:r w:rsidRPr="00704B08">
        <w:rPr>
          <w:rFonts w:ascii="Arial Narrow" w:hAnsi="Arial Narrow" w:cs="Calibri"/>
          <w:color w:val="000000"/>
          <w:lang w:val="es-CR" w:eastAsia="es-CR"/>
        </w:rPr>
        <w:t xml:space="preserve">Finalmente, de acuerdo con los </w:t>
      </w:r>
      <w:r w:rsidRPr="000D6BB3">
        <w:rPr>
          <w:rFonts w:ascii="Arial Narrow" w:hAnsi="Arial Narrow" w:cs="Calibri"/>
          <w:color w:val="000000"/>
          <w:lang w:val="es-CR" w:eastAsia="es-CR"/>
        </w:rPr>
        <w:t>resultados obtenidos</w:t>
      </w:r>
      <w:r w:rsidRPr="00704B08">
        <w:rPr>
          <w:rFonts w:ascii="Arial Narrow" w:hAnsi="Arial Narrow" w:cs="Calibri"/>
          <w:color w:val="000000"/>
          <w:lang w:val="es-CR" w:eastAsia="es-CR"/>
        </w:rPr>
        <w:t xml:space="preserve"> se logra determinar un cumplimiento del 100% en esta meta estratégica</w:t>
      </w:r>
      <w:r>
        <w:rPr>
          <w:rFonts w:ascii="Arial Narrow" w:hAnsi="Arial Narrow" w:cs="Calibri"/>
          <w:color w:val="000000"/>
          <w:lang w:val="es-CR" w:eastAsia="es-CR"/>
        </w:rPr>
        <w:t xml:space="preserve"> ubicándose en el estado completado tanto el cumplimiento anual como el acumulado.</w:t>
      </w:r>
    </w:p>
    <w:p w14:paraId="13E2FA18" w14:textId="77777777" w:rsidR="000D6BB3" w:rsidRPr="00704B08" w:rsidRDefault="000D6BB3" w:rsidP="00704B08">
      <w:pPr>
        <w:spacing w:line="360" w:lineRule="auto"/>
        <w:jc w:val="both"/>
        <w:rPr>
          <w:rFonts w:ascii="Arial Narrow" w:hAnsi="Arial Narrow" w:cs="Calibri"/>
          <w:color w:val="000000"/>
          <w:lang w:val="es-CR" w:eastAsia="es-CR"/>
        </w:rPr>
      </w:pPr>
    </w:p>
    <w:p w14:paraId="0873989F" w14:textId="395FA252" w:rsidR="002A2426" w:rsidRDefault="00774B59">
      <w:pPr>
        <w:spacing w:line="360" w:lineRule="auto"/>
        <w:jc w:val="both"/>
        <w:rPr>
          <w:rFonts w:ascii="Arial Narrow" w:hAnsi="Arial Narrow"/>
        </w:rPr>
      </w:pPr>
      <w:r w:rsidRPr="00704B08">
        <w:rPr>
          <w:rFonts w:ascii="Arial Narrow" w:hAnsi="Arial Narrow" w:cs="Calibri"/>
          <w:color w:val="000000"/>
          <w:lang w:val="es-CR" w:eastAsia="es-CR"/>
        </w:rPr>
        <w:t xml:space="preserve">Por su parte, </w:t>
      </w:r>
      <w:r>
        <w:rPr>
          <w:rFonts w:ascii="Arial Narrow" w:hAnsi="Arial Narrow" w:cs="Calibri"/>
          <w:color w:val="000000"/>
          <w:lang w:val="es-CR" w:eastAsia="es-CR"/>
        </w:rPr>
        <w:t xml:space="preserve">para </w:t>
      </w:r>
      <w:r w:rsidRPr="00704B08">
        <w:rPr>
          <w:rFonts w:ascii="Arial Narrow" w:hAnsi="Arial Narrow" w:cs="Calibri"/>
          <w:color w:val="000000"/>
          <w:lang w:val="es-CR" w:eastAsia="es-CR"/>
        </w:rPr>
        <w:t>la meta estratégica</w:t>
      </w:r>
      <w:r>
        <w:rPr>
          <w:rFonts w:ascii="Arial Narrow" w:hAnsi="Arial Narrow" w:cs="Calibri"/>
          <w:b/>
          <w:bCs/>
          <w:color w:val="000000"/>
          <w:lang w:val="es-CR" w:eastAsia="es-CR"/>
        </w:rPr>
        <w:t xml:space="preserve"> </w:t>
      </w:r>
      <w:r w:rsidRPr="00704B08">
        <w:rPr>
          <w:rFonts w:ascii="Arial Narrow" w:hAnsi="Arial Narrow" w:cs="Calibri"/>
          <w:b/>
          <w:bCs/>
          <w:i/>
          <w:iCs/>
          <w:color w:val="000000"/>
          <w:lang w:val="es-CR" w:eastAsia="es-CR"/>
        </w:rPr>
        <w:t>“</w:t>
      </w:r>
      <w:r w:rsidR="00A5186A" w:rsidRPr="00704B08">
        <w:rPr>
          <w:rFonts w:ascii="Arial Narrow" w:hAnsi="Arial Narrow" w:cs="Calibri"/>
          <w:b/>
          <w:bCs/>
          <w:i/>
          <w:iCs/>
          <w:color w:val="000000"/>
          <w:lang w:val="es-CR" w:eastAsia="es-CR"/>
        </w:rPr>
        <w:t>Que al finalizar el 2024, se haya implementado el proyecto sobre el modelo de mejora integral del proceso penal</w:t>
      </w:r>
      <w:r>
        <w:rPr>
          <w:rFonts w:ascii="Arial Narrow" w:hAnsi="Arial Narrow" w:cs="Calibri"/>
          <w:b/>
          <w:bCs/>
          <w:color w:val="000000"/>
          <w:lang w:val="es-CR" w:eastAsia="es-CR"/>
        </w:rPr>
        <w:t xml:space="preserve">”, </w:t>
      </w:r>
      <w:r>
        <w:rPr>
          <w:rFonts w:ascii="Arial Narrow" w:hAnsi="Arial Narrow"/>
        </w:rPr>
        <w:t>e</w:t>
      </w:r>
      <w:r w:rsidR="00227125" w:rsidRPr="00704B08">
        <w:rPr>
          <w:rFonts w:ascii="Arial Narrow" w:hAnsi="Arial Narrow"/>
        </w:rPr>
        <w:t>l porcentaje de avance en el cumplimiento de esta meta estratégica</w:t>
      </w:r>
      <w:r w:rsidR="002C6573" w:rsidRPr="00034C19">
        <w:rPr>
          <w:rFonts w:ascii="Arial Narrow" w:hAnsi="Arial Narrow"/>
        </w:rPr>
        <w:t xml:space="preserve"> </w:t>
      </w:r>
      <w:r w:rsidR="00227125" w:rsidRPr="00704B08">
        <w:rPr>
          <w:rFonts w:ascii="Arial Narrow" w:hAnsi="Arial Narrow"/>
        </w:rPr>
        <w:t>equivale a un 100%. Lo anterior debido a que,</w:t>
      </w:r>
      <w:r w:rsidR="00227125" w:rsidRPr="00704B08">
        <w:rPr>
          <w:rFonts w:ascii="Arial Narrow" w:hAnsi="Arial Narrow"/>
          <w:lang w:val="es-CR" w:eastAsia="es-CR"/>
        </w:rPr>
        <w:t xml:space="preserve"> para el año 2019 se evaluaron los 17  planes remediales </w:t>
      </w:r>
      <w:r w:rsidR="002C6573" w:rsidRPr="00034C19">
        <w:rPr>
          <w:rFonts w:ascii="Arial Narrow" w:hAnsi="Arial Narrow"/>
          <w:lang w:val="es-CR" w:eastAsia="es-CR"/>
        </w:rPr>
        <w:t>implementados</w:t>
      </w:r>
      <w:r w:rsidR="00227125" w:rsidRPr="00704B08">
        <w:rPr>
          <w:rFonts w:ascii="Arial Narrow" w:hAnsi="Arial Narrow"/>
          <w:lang w:val="es-CR" w:eastAsia="es-CR"/>
        </w:rPr>
        <w:t xml:space="preserve"> a nivel nacional en los Tribunales de Juicio de los siguientes Circuitos:  I, II y III (Pavas) Circuito Judicial de San José, I Circuito Judicial de Alajuela, Circuito Judicial de Heredia y en Sarapiquí, I Circuito Judicial de Cartago y en Turrialba, I Circuito Judicial de Guanacaste y Cañas y II Circuito Judicial de Guanacaste y Nicoya; Circuito Judicial de Puntarenas y Quepos, I y II Circuito Judicial de la Zona Atlántica, y Siquirres</w:t>
      </w:r>
      <w:r w:rsidR="002C6573" w:rsidRPr="00034C19">
        <w:rPr>
          <w:rFonts w:ascii="Arial Narrow" w:hAnsi="Arial Narrow"/>
          <w:lang w:val="es-CR" w:eastAsia="es-CR"/>
        </w:rPr>
        <w:t xml:space="preserve"> y </w:t>
      </w:r>
      <w:r w:rsidR="0097438A" w:rsidRPr="00034C19">
        <w:rPr>
          <w:rFonts w:ascii="Arial Narrow" w:hAnsi="Arial Narrow"/>
          <w:lang w:val="es-CR" w:eastAsia="es-CR"/>
        </w:rPr>
        <w:t xml:space="preserve"> para el año 2020 se atendieron los juzgados</w:t>
      </w:r>
      <w:r w:rsidR="0097438A" w:rsidRPr="00704B08">
        <w:rPr>
          <w:rFonts w:ascii="Arial Narrow" w:hAnsi="Arial Narrow"/>
        </w:rPr>
        <w:t xml:space="preserve"> Penales de Guápiles, Siquirres y Flagrancia de Guápiles, Juzgado Penal de Bribri </w:t>
      </w:r>
      <w:r w:rsidR="0095558E" w:rsidRPr="00704B08">
        <w:rPr>
          <w:rFonts w:ascii="Arial Narrow" w:hAnsi="Arial Narrow"/>
        </w:rPr>
        <w:t>,</w:t>
      </w:r>
      <w:r w:rsidR="0097438A" w:rsidRPr="00704B08">
        <w:rPr>
          <w:rFonts w:ascii="Arial Narrow" w:hAnsi="Arial Narrow"/>
        </w:rPr>
        <w:t>Juzgado Penal de Cañas y Flagrancia de Liberia</w:t>
      </w:r>
      <w:r w:rsidR="0095558E" w:rsidRPr="00704B08">
        <w:rPr>
          <w:rFonts w:ascii="Arial Narrow" w:hAnsi="Arial Narrow"/>
        </w:rPr>
        <w:t>, Tribunal de Guápiles y el de Siquirres, Tribunal Penal de Liberia y el Tribunal Penal de Limón.</w:t>
      </w:r>
    </w:p>
    <w:p w14:paraId="461D2F06" w14:textId="77777777" w:rsidR="009D5823" w:rsidRDefault="009D5823">
      <w:pPr>
        <w:spacing w:line="360" w:lineRule="auto"/>
        <w:jc w:val="both"/>
        <w:rPr>
          <w:rFonts w:ascii="Arial Narrow" w:hAnsi="Arial Narrow"/>
        </w:rPr>
        <w:sectPr w:rsidR="009D5823" w:rsidSect="009D5823">
          <w:pgSz w:w="12242" w:h="15842" w:code="1"/>
          <w:pgMar w:top="1701" w:right="1417" w:bottom="1701" w:left="1417" w:header="709" w:footer="709" w:gutter="0"/>
          <w:cols w:space="708"/>
          <w:docGrid w:linePitch="360"/>
        </w:sectPr>
      </w:pPr>
    </w:p>
    <w:p w14:paraId="56F846A1" w14:textId="750E714B" w:rsidR="00774B59" w:rsidRDefault="00774B59">
      <w:pPr>
        <w:spacing w:line="360" w:lineRule="auto"/>
        <w:jc w:val="both"/>
        <w:rPr>
          <w:rFonts w:ascii="Arial Narrow" w:hAnsi="Arial Narrow"/>
        </w:rPr>
      </w:pPr>
    </w:p>
    <w:p w14:paraId="34B7B7D8" w14:textId="1ABD8515" w:rsidR="00774B59" w:rsidRPr="002100DF" w:rsidRDefault="00774B59" w:rsidP="00774B59">
      <w:pPr>
        <w:pStyle w:val="Descripcin"/>
        <w:jc w:val="center"/>
        <w:rPr>
          <w:rFonts w:ascii="Arial Narrow" w:eastAsia="Calibri" w:hAnsi="Arial Narrow"/>
          <w:lang w:eastAsia="en-US"/>
        </w:rPr>
      </w:pPr>
      <w:bookmarkStart w:id="80" w:name="_Toc76062269"/>
      <w:r w:rsidRPr="00484CC1">
        <w:rPr>
          <w:rFonts w:ascii="Arial Narrow" w:hAnsi="Arial Narrow"/>
          <w:sz w:val="24"/>
          <w:szCs w:val="24"/>
        </w:rPr>
        <w:t>Cuadro</w:t>
      </w:r>
      <w:r>
        <w:rPr>
          <w:rFonts w:ascii="Arial Narrow" w:hAnsi="Arial Narrow"/>
          <w:sz w:val="24"/>
          <w:szCs w:val="24"/>
        </w:rPr>
        <w:t xml:space="preserve"> </w:t>
      </w:r>
      <w:r w:rsidRPr="00484CC1">
        <w:rPr>
          <w:rFonts w:ascii="Arial Narrow" w:hAnsi="Arial Narrow"/>
          <w:sz w:val="24"/>
          <w:szCs w:val="24"/>
        </w:rPr>
        <w:fldChar w:fldCharType="begin"/>
      </w:r>
      <w:r w:rsidRPr="00484CC1">
        <w:rPr>
          <w:rFonts w:ascii="Arial Narrow" w:hAnsi="Arial Narrow"/>
          <w:sz w:val="24"/>
          <w:szCs w:val="24"/>
        </w:rPr>
        <w:instrText xml:space="preserve"> SEQ Cuadro_No. \* ARABIC </w:instrText>
      </w:r>
      <w:r w:rsidRPr="00484CC1">
        <w:rPr>
          <w:rFonts w:ascii="Arial Narrow" w:hAnsi="Arial Narrow"/>
          <w:sz w:val="24"/>
          <w:szCs w:val="24"/>
        </w:rPr>
        <w:fldChar w:fldCharType="separate"/>
      </w:r>
      <w:r w:rsidR="009D5823">
        <w:rPr>
          <w:rFonts w:ascii="Arial Narrow" w:hAnsi="Arial Narrow"/>
          <w:noProof/>
          <w:sz w:val="24"/>
          <w:szCs w:val="24"/>
        </w:rPr>
        <w:t>46</w:t>
      </w:r>
      <w:r w:rsidRPr="00484CC1">
        <w:rPr>
          <w:rFonts w:ascii="Arial Narrow" w:hAnsi="Arial Narrow"/>
          <w:sz w:val="24"/>
          <w:szCs w:val="24"/>
        </w:rPr>
        <w:fldChar w:fldCharType="end"/>
      </w:r>
      <w:r w:rsidRPr="00484CC1">
        <w:rPr>
          <w:rFonts w:ascii="Arial Narrow" w:hAnsi="Arial Narrow"/>
          <w:sz w:val="24"/>
          <w:szCs w:val="24"/>
        </w:rPr>
        <w:t xml:space="preserve"> </w:t>
      </w:r>
      <w:r w:rsidRPr="00D657CE">
        <w:rPr>
          <w:rFonts w:ascii="Arial Narrow" w:eastAsia="Calibri" w:hAnsi="Arial Narrow"/>
          <w:sz w:val="24"/>
          <w:szCs w:val="24"/>
        </w:rPr>
        <w:t>Metas estratégicas de Desarrollo y optimización de servicios y procesos judiciales, y su cumplimiento para el 2019</w:t>
      </w:r>
      <w:r>
        <w:rPr>
          <w:rFonts w:ascii="Arial Narrow" w:eastAsia="Calibri" w:hAnsi="Arial Narrow"/>
          <w:sz w:val="24"/>
          <w:szCs w:val="24"/>
        </w:rPr>
        <w:t xml:space="preserve"> y 2020.</w:t>
      </w:r>
      <w:bookmarkEnd w:id="80"/>
    </w:p>
    <w:p w14:paraId="03251F2B" w14:textId="187D65E8" w:rsidR="009E6DA2" w:rsidRDefault="00034C19" w:rsidP="00704B08">
      <w:pPr>
        <w:jc w:val="center"/>
        <w:rPr>
          <w:rFonts w:ascii="Arial Narrow" w:eastAsia="Calibri" w:hAnsi="Arial Narrow"/>
          <w:lang w:eastAsia="en-US"/>
        </w:rPr>
      </w:pPr>
      <w:r>
        <w:rPr>
          <w:noProof/>
          <w:lang w:val="es-CR" w:eastAsia="es-CR"/>
        </w:rPr>
        <w:drawing>
          <wp:inline distT="0" distB="0" distL="0" distR="0" wp14:anchorId="1DBB2E27" wp14:editId="69E20D60">
            <wp:extent cx="7886700" cy="2479988"/>
            <wp:effectExtent l="57150" t="57150" r="95250" b="92075"/>
            <wp:docPr id="180" name="Imagen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8"/>
                    <a:srcRect l="161" b="764"/>
                    <a:stretch/>
                  </pic:blipFill>
                  <pic:spPr bwMode="auto">
                    <a:xfrm>
                      <a:off x="0" y="0"/>
                      <a:ext cx="7891598" cy="2481528"/>
                    </a:xfrm>
                    <a:prstGeom prst="rect">
                      <a:avLst/>
                    </a:prstGeom>
                    <a:ln w="9525" cap="sq">
                      <a:solidFill>
                        <a:srgbClr val="00B0F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4229785B" w14:textId="6A965039" w:rsidR="009E6DA2" w:rsidRDefault="009E6DA2" w:rsidP="009E6DA2">
      <w:pPr>
        <w:rPr>
          <w:rFonts w:ascii="Arial Narrow" w:eastAsia="Calibri" w:hAnsi="Arial Narrow"/>
          <w:lang w:eastAsia="en-US"/>
        </w:rPr>
      </w:pPr>
    </w:p>
    <w:p w14:paraId="4BFB1CB1" w14:textId="77777777" w:rsidR="009E6DA2" w:rsidRDefault="009E6DA2" w:rsidP="009E6DA2">
      <w:pPr>
        <w:ind w:left="-142" w:firstLine="850"/>
        <w:rPr>
          <w:rFonts w:ascii="Arial Narrow" w:eastAsia="Calibri" w:hAnsi="Arial Narrow"/>
          <w:sz w:val="18"/>
          <w:szCs w:val="18"/>
          <w:lang w:eastAsia="en-US"/>
        </w:rPr>
      </w:pPr>
      <w:r w:rsidRPr="000B4845">
        <w:rPr>
          <w:rFonts w:ascii="Arial Narrow" w:eastAsia="Calibri" w:hAnsi="Arial Narrow"/>
          <w:sz w:val="18"/>
          <w:szCs w:val="18"/>
          <w:lang w:eastAsia="en-US"/>
        </w:rPr>
        <w:t>Fuente: Sistema PEI al 24 de enero del 2020 (año 2019)</w:t>
      </w:r>
      <w:r>
        <w:rPr>
          <w:rFonts w:ascii="Arial Narrow" w:eastAsia="Calibri" w:hAnsi="Arial Narrow"/>
          <w:sz w:val="18"/>
          <w:szCs w:val="18"/>
          <w:lang w:eastAsia="en-US"/>
        </w:rPr>
        <w:t xml:space="preserve"> y 04 de marzo del 2021 (año 2020).</w:t>
      </w:r>
    </w:p>
    <w:p w14:paraId="3B7F9752" w14:textId="77777777" w:rsidR="009D5823" w:rsidRDefault="009D5823">
      <w:pPr>
        <w:spacing w:line="360" w:lineRule="auto"/>
        <w:jc w:val="both"/>
        <w:rPr>
          <w:rFonts w:ascii="Arial Narrow" w:hAnsi="Arial Narrow" w:cs="Calibri"/>
          <w:b/>
          <w:bCs/>
          <w:color w:val="000000"/>
          <w:lang w:val="es-CR" w:eastAsia="es-CR"/>
        </w:rPr>
        <w:sectPr w:rsidR="009D5823" w:rsidSect="009D5823">
          <w:pgSz w:w="15842" w:h="12242" w:orient="landscape" w:code="1"/>
          <w:pgMar w:top="1417" w:right="1701" w:bottom="1417" w:left="1701" w:header="709" w:footer="709" w:gutter="0"/>
          <w:cols w:space="708"/>
          <w:docGrid w:linePitch="360"/>
        </w:sectPr>
      </w:pPr>
    </w:p>
    <w:p w14:paraId="53A9C756" w14:textId="20280CCB" w:rsidR="0095558E" w:rsidRPr="00704B08" w:rsidRDefault="0095558E" w:rsidP="00704B08">
      <w:pPr>
        <w:spacing w:line="360" w:lineRule="auto"/>
        <w:jc w:val="both"/>
        <w:rPr>
          <w:rFonts w:ascii="Arial Narrow" w:hAnsi="Arial Narrow" w:cs="Calibri"/>
          <w:b/>
          <w:bCs/>
          <w:color w:val="000000"/>
          <w:lang w:val="es-CR" w:eastAsia="es-CR"/>
        </w:rPr>
      </w:pPr>
    </w:p>
    <w:p w14:paraId="7E1CDB36" w14:textId="556A732A" w:rsidR="0095558E" w:rsidRPr="00704B08" w:rsidRDefault="00774B59" w:rsidP="00822B3B">
      <w:pPr>
        <w:spacing w:line="360" w:lineRule="auto"/>
        <w:jc w:val="both"/>
        <w:rPr>
          <w:rFonts w:ascii="Arial Narrow" w:hAnsi="Arial Narrow"/>
          <w:lang w:val="es-CR" w:eastAsia="es-CR"/>
        </w:rPr>
      </w:pPr>
      <w:r w:rsidRPr="006114AE">
        <w:rPr>
          <w:rFonts w:ascii="Arial Narrow" w:hAnsi="Arial Narrow" w:cs="Calibri"/>
          <w:color w:val="000000"/>
          <w:lang w:val="es-CR" w:eastAsia="es-CR"/>
        </w:rPr>
        <w:t>La meta estratégica</w:t>
      </w:r>
      <w:r w:rsidRPr="006114AE">
        <w:rPr>
          <w:rFonts w:ascii="Arial Narrow" w:hAnsi="Arial Narrow" w:cs="Calibri"/>
          <w:b/>
          <w:bCs/>
          <w:color w:val="000000"/>
          <w:lang w:val="es-CR" w:eastAsia="es-CR"/>
        </w:rPr>
        <w:t xml:space="preserve"> “</w:t>
      </w:r>
      <w:r w:rsidR="00A5186A" w:rsidRPr="006114AE">
        <w:rPr>
          <w:rFonts w:ascii="Arial Narrow" w:hAnsi="Arial Narrow" w:cs="Calibri"/>
          <w:b/>
          <w:bCs/>
          <w:i/>
          <w:iCs/>
          <w:color w:val="000000"/>
          <w:lang w:val="es-CR" w:eastAsia="es-CR"/>
        </w:rPr>
        <w:t>Que al finalizar el 2024, se haya implementado el proyecto de rediseño en al menos 7 circuitos judiciales, que involucre el ámbito jurisdiccional, auxiliar de justica y administrativo</w:t>
      </w:r>
      <w:r w:rsidRPr="006114AE">
        <w:rPr>
          <w:rFonts w:ascii="Arial Narrow" w:hAnsi="Arial Narrow" w:cs="Calibri"/>
          <w:b/>
          <w:bCs/>
          <w:color w:val="000000"/>
          <w:lang w:val="es-CR" w:eastAsia="es-CR"/>
        </w:rPr>
        <w:t>”</w:t>
      </w:r>
      <w:r w:rsidR="003D06EB" w:rsidRPr="006114AE">
        <w:rPr>
          <w:rFonts w:ascii="Arial Narrow" w:hAnsi="Arial Narrow" w:cs="Calibri"/>
          <w:b/>
          <w:bCs/>
          <w:color w:val="000000"/>
          <w:lang w:val="es-CR" w:eastAsia="es-CR"/>
        </w:rPr>
        <w:t>,</w:t>
      </w:r>
      <w:r w:rsidR="00034C19" w:rsidRPr="006114AE">
        <w:rPr>
          <w:rFonts w:ascii="Arial Narrow" w:hAnsi="Arial Narrow" w:cs="Calibri"/>
          <w:b/>
          <w:bCs/>
          <w:color w:val="000000"/>
          <w:lang w:val="es-CR" w:eastAsia="es-CR"/>
        </w:rPr>
        <w:t xml:space="preserve"> </w:t>
      </w:r>
      <w:r w:rsidRPr="006114AE">
        <w:rPr>
          <w:rFonts w:ascii="Arial Narrow" w:eastAsia="Calibri" w:hAnsi="Arial Narrow"/>
        </w:rPr>
        <w:t>e</w:t>
      </w:r>
      <w:r w:rsidR="0054249E" w:rsidRPr="006114AE">
        <w:rPr>
          <w:rFonts w:ascii="Arial Narrow" w:eastAsia="Calibri" w:hAnsi="Arial Narrow"/>
        </w:rPr>
        <w:t>s importante señalar que en la Matriz del PEI 2019-2024 adicionalmente se incluye la meta estratégica “</w:t>
      </w:r>
      <w:r w:rsidR="0054249E" w:rsidRPr="006114AE">
        <w:rPr>
          <w:rFonts w:ascii="Arial Narrow" w:eastAsia="Calibri" w:hAnsi="Arial Narrow"/>
          <w:lang w:eastAsia="en-US"/>
        </w:rPr>
        <w:t>Que al finalizar el 2024, se haya implementado el proyecto de rediseño en al menos 7 circuitos judiciales, que involucre el ámbito jurisdiccional, auxiliar de justica y administrativo</w:t>
      </w:r>
      <w:r w:rsidRPr="006114AE">
        <w:rPr>
          <w:rFonts w:ascii="Arial Narrow" w:eastAsia="Calibri" w:hAnsi="Arial Narrow"/>
          <w:lang w:eastAsia="en-US"/>
        </w:rPr>
        <w:t>”</w:t>
      </w:r>
      <w:r w:rsidR="0054249E" w:rsidRPr="006114AE">
        <w:rPr>
          <w:rFonts w:ascii="Arial Narrow" w:eastAsia="Calibri" w:hAnsi="Arial Narrow"/>
        </w:rPr>
        <w:t>,</w:t>
      </w:r>
      <w:r w:rsidR="0054249E" w:rsidRPr="00704B08">
        <w:rPr>
          <w:rFonts w:ascii="Arial Narrow" w:eastAsia="Calibri" w:hAnsi="Arial Narrow"/>
        </w:rPr>
        <w:t xml:space="preserve"> en cuyo cumplimiento se ha estado trabajando desde el 2019, siendo que conforme el informe 217-PLA-2020 se tiene personal de la Dirección de Planificación destacado permanentemente en los circuitos de Cartago, I y II Circuito Judicial de Alajuela, Heredia, I Circuito Judicial de Guanacaste, Puntarenas, I Circuito Judicial de la Zona Atlántica</w:t>
      </w:r>
      <w:r w:rsidR="0095558E" w:rsidRPr="00704B08">
        <w:rPr>
          <w:rFonts w:ascii="Arial Narrow" w:eastAsia="Calibri" w:hAnsi="Arial Narrow"/>
        </w:rPr>
        <w:t xml:space="preserve">. </w:t>
      </w:r>
      <w:r w:rsidR="0095558E" w:rsidRPr="00704B08">
        <w:rPr>
          <w:rFonts w:ascii="Arial Narrow" w:hAnsi="Arial Narrow"/>
          <w:lang w:val="es-CR" w:eastAsia="es-CR"/>
        </w:rPr>
        <w:t>P</w:t>
      </w:r>
      <w:r w:rsidR="00822B3B" w:rsidRPr="00704B08">
        <w:rPr>
          <w:rFonts w:ascii="Arial Narrow" w:hAnsi="Arial Narrow"/>
          <w:lang w:val="es-CR" w:eastAsia="es-CR"/>
        </w:rPr>
        <w:t xml:space="preserve">ara el año 2020 </w:t>
      </w:r>
      <w:r w:rsidR="0095558E" w:rsidRPr="00704B08">
        <w:rPr>
          <w:rFonts w:ascii="Arial Narrow" w:hAnsi="Arial Narrow"/>
        </w:rPr>
        <w:t xml:space="preserve">donde se </w:t>
      </w:r>
      <w:r w:rsidR="00822B3B" w:rsidRPr="00704B08">
        <w:rPr>
          <w:rFonts w:ascii="Arial Narrow" w:hAnsi="Arial Narrow"/>
        </w:rPr>
        <w:t xml:space="preserve">estableció que se abordaran al menos cuatro circuitos judiciales, la Dirección de </w:t>
      </w:r>
      <w:r w:rsidR="002A2426" w:rsidRPr="00704B08">
        <w:rPr>
          <w:rFonts w:ascii="Arial Narrow" w:hAnsi="Arial Narrow"/>
        </w:rPr>
        <w:t>Planificación logró</w:t>
      </w:r>
      <w:r w:rsidR="00822B3B" w:rsidRPr="00704B08">
        <w:rPr>
          <w:rFonts w:ascii="Arial Narrow" w:hAnsi="Arial Narrow"/>
        </w:rPr>
        <w:t xml:space="preserve"> abordar los siguientes Circuitos judiciales: Segundo Circuito Judicial de la Zona Atlántica, Circuito Judicial de </w:t>
      </w:r>
      <w:r w:rsidR="002A2426" w:rsidRPr="00704B08">
        <w:rPr>
          <w:rFonts w:ascii="Arial Narrow" w:hAnsi="Arial Narrow"/>
        </w:rPr>
        <w:t>Heredia</w:t>
      </w:r>
      <w:r w:rsidR="002A2426" w:rsidRPr="00704B08">
        <w:rPr>
          <w:rFonts w:ascii="Arial Narrow" w:hAnsi="Arial Narrow"/>
          <w:lang w:val="es-CR" w:eastAsia="es-CR"/>
        </w:rPr>
        <w:t>,</w:t>
      </w:r>
      <w:r w:rsidR="002A2426" w:rsidRPr="00704B08">
        <w:rPr>
          <w:rFonts w:ascii="Arial Narrow" w:hAnsi="Arial Narrow"/>
        </w:rPr>
        <w:t xml:space="preserve"> Segundo</w:t>
      </w:r>
      <w:r w:rsidR="00822B3B" w:rsidRPr="00704B08">
        <w:rPr>
          <w:rFonts w:ascii="Arial Narrow" w:hAnsi="Arial Narrow"/>
        </w:rPr>
        <w:t xml:space="preserve"> Circuito Judicial de </w:t>
      </w:r>
      <w:r w:rsidR="002A2426" w:rsidRPr="00704B08">
        <w:rPr>
          <w:rFonts w:ascii="Arial Narrow" w:hAnsi="Arial Narrow"/>
        </w:rPr>
        <w:t>Guanacaste</w:t>
      </w:r>
      <w:r w:rsidR="002A2426" w:rsidRPr="00704B08">
        <w:rPr>
          <w:rFonts w:ascii="Arial Narrow" w:hAnsi="Arial Narrow"/>
          <w:lang w:val="es-CR" w:eastAsia="es-CR"/>
        </w:rPr>
        <w:t>,</w:t>
      </w:r>
      <w:r w:rsidR="002A2426" w:rsidRPr="00704B08">
        <w:rPr>
          <w:rFonts w:ascii="Arial Narrow" w:hAnsi="Arial Narrow"/>
        </w:rPr>
        <w:t xml:space="preserve"> Circuito</w:t>
      </w:r>
      <w:r w:rsidR="00822B3B" w:rsidRPr="00704B08">
        <w:rPr>
          <w:rFonts w:ascii="Arial Narrow" w:hAnsi="Arial Narrow"/>
        </w:rPr>
        <w:t xml:space="preserve"> Judicial de Alajuela, Circuito Judicial de </w:t>
      </w:r>
      <w:r w:rsidR="002A2426" w:rsidRPr="00704B08">
        <w:rPr>
          <w:rFonts w:ascii="Arial Narrow" w:hAnsi="Arial Narrow"/>
        </w:rPr>
        <w:t>Corredores.</w:t>
      </w:r>
      <w:r w:rsidR="0095558E" w:rsidRPr="00704B08">
        <w:rPr>
          <w:rFonts w:ascii="Arial Narrow" w:hAnsi="Arial Narrow" w:cs="Calibri"/>
          <w:color w:val="000000"/>
          <w:lang w:val="es-CR" w:eastAsia="es-CR"/>
        </w:rPr>
        <w:t xml:space="preserve">Esta meta estratégica reporta un 93% de avance debido a que </w:t>
      </w:r>
      <w:r w:rsidR="00C0716E" w:rsidRPr="00704B08">
        <w:rPr>
          <w:rFonts w:ascii="Arial Narrow" w:hAnsi="Arial Narrow" w:cs="Calibri"/>
          <w:color w:val="000000"/>
          <w:lang w:val="es-CR" w:eastAsia="es-CR"/>
        </w:rPr>
        <w:t xml:space="preserve">la </w:t>
      </w:r>
      <w:r w:rsidR="00F4446F" w:rsidRPr="00704B08">
        <w:rPr>
          <w:rFonts w:ascii="Arial Narrow" w:hAnsi="Arial Narrow" w:cs="Calibri"/>
          <w:color w:val="000000"/>
          <w:lang w:val="es-CR" w:eastAsia="es-CR"/>
        </w:rPr>
        <w:t>C</w:t>
      </w:r>
      <w:r w:rsidR="00C0716E" w:rsidRPr="00704B08">
        <w:rPr>
          <w:rFonts w:ascii="Arial Narrow" w:hAnsi="Arial Narrow" w:cs="Calibri"/>
          <w:color w:val="000000"/>
          <w:lang w:val="es-CR" w:eastAsia="es-CR"/>
        </w:rPr>
        <w:t xml:space="preserve">omisión </w:t>
      </w:r>
      <w:r w:rsidR="00F4446F" w:rsidRPr="00704B08">
        <w:rPr>
          <w:rFonts w:ascii="Arial Narrow" w:hAnsi="Arial Narrow" w:cs="Calibri"/>
          <w:color w:val="000000"/>
          <w:lang w:val="es-CR" w:eastAsia="es-CR"/>
        </w:rPr>
        <w:t xml:space="preserve">de la </w:t>
      </w:r>
      <w:r>
        <w:rPr>
          <w:rFonts w:ascii="Arial Narrow" w:hAnsi="Arial Narrow" w:cs="Calibri"/>
          <w:color w:val="000000"/>
          <w:lang w:val="es-CR" w:eastAsia="es-CR"/>
        </w:rPr>
        <w:t>J</w:t>
      </w:r>
      <w:r w:rsidR="00F4446F" w:rsidRPr="00704B08">
        <w:rPr>
          <w:rFonts w:ascii="Arial Narrow" w:hAnsi="Arial Narrow" w:cs="Calibri"/>
          <w:color w:val="000000"/>
          <w:lang w:val="es-CR" w:eastAsia="es-CR"/>
        </w:rPr>
        <w:t xml:space="preserve">urisdicción de </w:t>
      </w:r>
      <w:r>
        <w:rPr>
          <w:rFonts w:ascii="Arial Narrow" w:hAnsi="Arial Narrow" w:cs="Calibri"/>
          <w:color w:val="000000"/>
          <w:lang w:val="es-CR" w:eastAsia="es-CR"/>
        </w:rPr>
        <w:t>F</w:t>
      </w:r>
      <w:r w:rsidR="006C3C12" w:rsidRPr="00704B08">
        <w:rPr>
          <w:rFonts w:ascii="Arial Narrow" w:hAnsi="Arial Narrow" w:cs="Calibri"/>
          <w:color w:val="000000"/>
          <w:lang w:val="es-CR" w:eastAsia="es-CR"/>
        </w:rPr>
        <w:t xml:space="preserve">amilia, </w:t>
      </w:r>
      <w:r>
        <w:rPr>
          <w:rFonts w:ascii="Arial Narrow" w:hAnsi="Arial Narrow" w:cs="Calibri"/>
          <w:color w:val="000000"/>
          <w:lang w:val="es-CR" w:eastAsia="es-CR"/>
        </w:rPr>
        <w:t>N</w:t>
      </w:r>
      <w:r w:rsidR="006C3C12" w:rsidRPr="00704B08">
        <w:rPr>
          <w:rFonts w:ascii="Arial Narrow" w:hAnsi="Arial Narrow" w:cs="Calibri"/>
          <w:color w:val="000000"/>
          <w:lang w:val="es-CR" w:eastAsia="es-CR"/>
        </w:rPr>
        <w:t>iñez y</w:t>
      </w:r>
      <w:r w:rsidR="00F4446F" w:rsidRPr="00704B08">
        <w:rPr>
          <w:rFonts w:ascii="Arial Narrow" w:hAnsi="Arial Narrow" w:cs="Calibri"/>
          <w:color w:val="000000"/>
          <w:lang w:val="es-CR" w:eastAsia="es-CR"/>
        </w:rPr>
        <w:t xml:space="preserve"> </w:t>
      </w:r>
      <w:r>
        <w:rPr>
          <w:rFonts w:ascii="Arial Narrow" w:hAnsi="Arial Narrow" w:cs="Calibri"/>
          <w:color w:val="000000"/>
          <w:lang w:val="es-CR" w:eastAsia="es-CR"/>
        </w:rPr>
        <w:t>A</w:t>
      </w:r>
      <w:r w:rsidR="00F4446F" w:rsidRPr="00704B08">
        <w:rPr>
          <w:rFonts w:ascii="Arial Narrow" w:hAnsi="Arial Narrow" w:cs="Calibri"/>
          <w:color w:val="000000"/>
          <w:lang w:val="es-CR" w:eastAsia="es-CR"/>
        </w:rPr>
        <w:t>dolescencia no reportó avances durante el año 2020</w:t>
      </w:r>
      <w:r w:rsidR="006C3C12" w:rsidRPr="00704B08">
        <w:rPr>
          <w:rFonts w:ascii="Arial Narrow" w:hAnsi="Arial Narrow" w:cs="Calibri"/>
          <w:color w:val="000000"/>
          <w:lang w:val="es-CR" w:eastAsia="es-CR"/>
        </w:rPr>
        <w:t xml:space="preserve"> a la meta operativa relaciona a esta meta </w:t>
      </w:r>
      <w:r w:rsidR="00034C19" w:rsidRPr="00034C19">
        <w:rPr>
          <w:rFonts w:ascii="Arial Narrow" w:hAnsi="Arial Narrow" w:cs="Calibri"/>
          <w:color w:val="000000"/>
          <w:lang w:val="es-CR" w:eastAsia="es-CR"/>
        </w:rPr>
        <w:t>estratégica</w:t>
      </w:r>
      <w:r w:rsidR="006C3C12" w:rsidRPr="00704B08">
        <w:rPr>
          <w:rFonts w:ascii="Arial Narrow" w:hAnsi="Arial Narrow" w:cs="Calibri"/>
          <w:color w:val="000000"/>
          <w:lang w:val="es-CR" w:eastAsia="es-CR"/>
        </w:rPr>
        <w:t>.</w:t>
      </w:r>
    </w:p>
    <w:p w14:paraId="42E974F1" w14:textId="11382848" w:rsidR="00DD4259" w:rsidRPr="00704B08" w:rsidRDefault="00DD4259" w:rsidP="00704B08">
      <w:pPr>
        <w:spacing w:line="360" w:lineRule="auto"/>
        <w:jc w:val="both"/>
        <w:rPr>
          <w:rFonts w:ascii="Arial Narrow" w:hAnsi="Arial Narrow" w:cs="Calibri"/>
          <w:b/>
          <w:bCs/>
          <w:color w:val="000000"/>
          <w:lang w:val="es-CR" w:eastAsia="es-CR"/>
        </w:rPr>
      </w:pPr>
    </w:p>
    <w:p w14:paraId="40917EA0" w14:textId="3F9ADB7B" w:rsidR="009D5823" w:rsidRDefault="00774B59" w:rsidP="00034C19">
      <w:pPr>
        <w:spacing w:line="360" w:lineRule="auto"/>
        <w:jc w:val="both"/>
        <w:sectPr w:rsidR="009D5823" w:rsidSect="009D5823">
          <w:pgSz w:w="12242" w:h="15842" w:code="1"/>
          <w:pgMar w:top="1701" w:right="1417" w:bottom="1701" w:left="1417" w:header="709" w:footer="709" w:gutter="0"/>
          <w:cols w:space="708"/>
          <w:docGrid w:linePitch="360"/>
        </w:sectPr>
      </w:pPr>
      <w:r>
        <w:rPr>
          <w:rFonts w:ascii="Arial Narrow" w:hAnsi="Arial Narrow" w:cs="Calibri"/>
          <w:color w:val="000000"/>
          <w:lang w:val="es-CR" w:eastAsia="es-CR"/>
        </w:rPr>
        <w:t>Con respecto, a l</w:t>
      </w:r>
      <w:r w:rsidRPr="002E0B96">
        <w:rPr>
          <w:rFonts w:ascii="Arial Narrow" w:hAnsi="Arial Narrow" w:cs="Calibri"/>
          <w:color w:val="000000"/>
          <w:lang w:val="es-CR" w:eastAsia="es-CR"/>
        </w:rPr>
        <w:t>a meta estratégica</w:t>
      </w:r>
      <w:r>
        <w:rPr>
          <w:rFonts w:ascii="Arial Narrow" w:hAnsi="Arial Narrow" w:cs="Calibri"/>
          <w:b/>
          <w:bCs/>
          <w:color w:val="000000"/>
          <w:lang w:val="es-CR" w:eastAsia="es-CR"/>
        </w:rPr>
        <w:t xml:space="preserve"> “</w:t>
      </w:r>
      <w:r w:rsidR="00A5186A" w:rsidRPr="00704B08">
        <w:rPr>
          <w:rFonts w:ascii="Arial Narrow" w:hAnsi="Arial Narrow" w:cs="Calibri"/>
          <w:b/>
          <w:bCs/>
          <w:i/>
          <w:iCs/>
          <w:color w:val="000000"/>
          <w:lang w:val="es-CR" w:eastAsia="es-CR"/>
        </w:rPr>
        <w:t>Que al finalizar el 2024, se haya ampliado el modelo de sostenibilidad a 7 Circuitos Judiciales; a partir del Modelo establecido por la Dirección de Planificación en los Circuitos Judiciales de Cartago y San Carlos</w:t>
      </w:r>
      <w:r w:rsidRPr="00704B08">
        <w:rPr>
          <w:rFonts w:ascii="Arial Narrow" w:hAnsi="Arial Narrow" w:cs="Calibri"/>
          <w:b/>
          <w:bCs/>
          <w:i/>
          <w:iCs/>
          <w:color w:val="000000"/>
          <w:lang w:val="es-CR" w:eastAsia="es-CR"/>
        </w:rPr>
        <w:t>”</w:t>
      </w:r>
      <w:r w:rsidR="006114AE">
        <w:rPr>
          <w:rFonts w:ascii="Arial Narrow" w:hAnsi="Arial Narrow" w:cs="Calibri"/>
          <w:b/>
          <w:bCs/>
          <w:i/>
          <w:iCs/>
          <w:color w:val="000000"/>
          <w:lang w:val="es-CR" w:eastAsia="es-CR"/>
        </w:rPr>
        <w:t>,</w:t>
      </w:r>
      <w:r w:rsidR="00034C19">
        <w:rPr>
          <w:rFonts w:ascii="Arial Narrow" w:hAnsi="Arial Narrow" w:cs="Calibri"/>
          <w:b/>
          <w:bCs/>
          <w:color w:val="000000"/>
          <w:lang w:val="es-CR" w:eastAsia="es-CR"/>
        </w:rPr>
        <w:t xml:space="preserve"> </w:t>
      </w:r>
      <w:r>
        <w:rPr>
          <w:rFonts w:ascii="Arial Narrow" w:hAnsi="Arial Narrow"/>
        </w:rPr>
        <w:t>s</w:t>
      </w:r>
      <w:r w:rsidR="006C3C12" w:rsidRPr="00704B08">
        <w:rPr>
          <w:rFonts w:ascii="Arial Narrow" w:hAnsi="Arial Narrow"/>
        </w:rPr>
        <w:t>e</w:t>
      </w:r>
      <w:r w:rsidR="00915F3C" w:rsidRPr="00704B08">
        <w:rPr>
          <w:rFonts w:ascii="Arial Narrow" w:hAnsi="Arial Narrow"/>
        </w:rPr>
        <w:t xml:space="preserve"> observa por medio del sistema PAO que la Dirección de Planificación </w:t>
      </w:r>
      <w:r w:rsidR="00034C19">
        <w:rPr>
          <w:rFonts w:ascii="Arial Narrow" w:hAnsi="Arial Narrow"/>
        </w:rPr>
        <w:t>en los años 2019 y 2020 ha</w:t>
      </w:r>
      <w:r w:rsidR="006C3C12" w:rsidRPr="00704B08">
        <w:rPr>
          <w:rFonts w:ascii="Arial Narrow" w:hAnsi="Arial Narrow"/>
        </w:rPr>
        <w:t xml:space="preserve"> realizado esfuerzos por cumplir con la totalidad de las labores programadas para dar sostenibilidad en los proyectos de rediseño</w:t>
      </w:r>
      <w:r w:rsidR="00915F3C" w:rsidRPr="00704B08">
        <w:rPr>
          <w:rFonts w:ascii="Arial Narrow" w:hAnsi="Arial Narrow"/>
        </w:rPr>
        <w:t xml:space="preserve">, dando un seguimiento cercano a todos los despachos que forman parte del modelo de sostenibilidad, por medio </w:t>
      </w:r>
      <w:r w:rsidR="00034C19" w:rsidRPr="00034C19">
        <w:rPr>
          <w:rFonts w:ascii="Arial Narrow" w:hAnsi="Arial Narrow"/>
        </w:rPr>
        <w:t>de los análisis mensuales</w:t>
      </w:r>
      <w:r w:rsidR="00915F3C" w:rsidRPr="00704B08">
        <w:rPr>
          <w:rFonts w:ascii="Arial Narrow" w:hAnsi="Arial Narrow"/>
        </w:rPr>
        <w:t xml:space="preserve"> de los indicadores de gestión</w:t>
      </w:r>
      <w:r w:rsidR="00034C19">
        <w:rPr>
          <w:rFonts w:ascii="Arial Narrow" w:hAnsi="Arial Narrow"/>
        </w:rPr>
        <w:t xml:space="preserve">. Adicionalmente durante el año 2020 la Dirección de Planificación brindó el apoyo </w:t>
      </w:r>
      <w:r w:rsidR="00915F3C" w:rsidRPr="00704B08">
        <w:rPr>
          <w:rFonts w:ascii="Arial Narrow" w:hAnsi="Arial Narrow"/>
        </w:rPr>
        <w:t>mediante planes remediales y participación</w:t>
      </w:r>
      <w:r>
        <w:rPr>
          <w:rFonts w:ascii="Arial Narrow" w:hAnsi="Arial Narrow"/>
        </w:rPr>
        <w:t xml:space="preserve"> </w:t>
      </w:r>
      <w:r w:rsidR="00915F3C" w:rsidRPr="00704B08">
        <w:rPr>
          <w:rFonts w:ascii="Arial Narrow" w:hAnsi="Arial Narrow"/>
        </w:rPr>
        <w:t>activa con los equipos de mejora y con la</w:t>
      </w:r>
      <w:r w:rsidR="00034C19">
        <w:rPr>
          <w:rFonts w:ascii="Arial Narrow" w:hAnsi="Arial Narrow"/>
        </w:rPr>
        <w:t>s</w:t>
      </w:r>
      <w:r w:rsidR="00915F3C" w:rsidRPr="00704B08">
        <w:rPr>
          <w:rFonts w:ascii="Arial Narrow" w:hAnsi="Arial Narrow"/>
        </w:rPr>
        <w:t xml:space="preserve"> Administraciones Regionales para minimizar el impacto COVID 19, así como por apoyar la virtualización de los procesos judiciales.</w:t>
      </w:r>
      <w:r w:rsidR="00915F3C">
        <w:t xml:space="preserve"> </w:t>
      </w:r>
      <w:r>
        <w:t xml:space="preserve"> </w:t>
      </w:r>
      <w:r w:rsidR="00915F3C" w:rsidRPr="00704B08">
        <w:rPr>
          <w:rFonts w:ascii="Arial Narrow" w:hAnsi="Arial Narrow"/>
        </w:rPr>
        <w:t xml:space="preserve">Cabe mencionar que al finalizar el año 2020 la Dirección de Planificación </w:t>
      </w:r>
      <w:r w:rsidR="00E01C4C" w:rsidRPr="00034C19">
        <w:rPr>
          <w:rFonts w:ascii="Arial Narrow" w:hAnsi="Arial Narrow"/>
        </w:rPr>
        <w:t>cu</w:t>
      </w:r>
      <w:r w:rsidR="00E01C4C">
        <w:rPr>
          <w:rFonts w:ascii="Arial Narrow" w:hAnsi="Arial Narrow"/>
        </w:rPr>
        <w:t>en</w:t>
      </w:r>
      <w:r w:rsidR="00E01C4C" w:rsidRPr="00034C19">
        <w:rPr>
          <w:rFonts w:ascii="Arial Narrow" w:hAnsi="Arial Narrow"/>
        </w:rPr>
        <w:t>ta</w:t>
      </w:r>
      <w:r w:rsidR="00915F3C" w:rsidRPr="00704B08">
        <w:rPr>
          <w:rFonts w:ascii="Arial Narrow" w:hAnsi="Arial Narrow"/>
        </w:rPr>
        <w:t xml:space="preserve"> con un total de </w:t>
      </w:r>
      <w:r w:rsidR="00CF32CB" w:rsidRPr="00704B08">
        <w:rPr>
          <w:rFonts w:ascii="Arial Narrow" w:hAnsi="Arial Narrow"/>
        </w:rPr>
        <w:t>7 profesionales en el modelo de Sostenibilidad destacándose en los circuitos de Alajuela, Heredia, Cartago, San Carlos, Limón, Puntarenas y Liberia</w:t>
      </w:r>
      <w:r w:rsidR="00CF32CB">
        <w:t>.</w:t>
      </w:r>
      <w:r w:rsidR="00915F3C">
        <w:t xml:space="preserve"> </w:t>
      </w:r>
    </w:p>
    <w:p w14:paraId="51278B87" w14:textId="77777777" w:rsidR="00C27EA7" w:rsidRDefault="00C27EA7" w:rsidP="009E6DA2">
      <w:pPr>
        <w:pStyle w:val="Descripcin"/>
        <w:jc w:val="center"/>
        <w:rPr>
          <w:rFonts w:ascii="Arial Narrow" w:hAnsi="Arial Narrow"/>
          <w:sz w:val="24"/>
          <w:szCs w:val="24"/>
        </w:rPr>
      </w:pPr>
    </w:p>
    <w:p w14:paraId="116BE59E" w14:textId="484E3BC4" w:rsidR="009E6DA2" w:rsidRPr="002100DF" w:rsidRDefault="009E6DA2" w:rsidP="009E6DA2">
      <w:pPr>
        <w:pStyle w:val="Descripcin"/>
        <w:jc w:val="center"/>
        <w:rPr>
          <w:rFonts w:ascii="Arial Narrow" w:eastAsia="Calibri" w:hAnsi="Arial Narrow"/>
          <w:lang w:eastAsia="en-US"/>
        </w:rPr>
      </w:pPr>
      <w:bookmarkStart w:id="81" w:name="_Toc76062270"/>
      <w:r w:rsidRPr="00484CC1">
        <w:rPr>
          <w:rFonts w:ascii="Arial Narrow" w:hAnsi="Arial Narrow"/>
          <w:sz w:val="24"/>
          <w:szCs w:val="24"/>
        </w:rPr>
        <w:t>Cuadro</w:t>
      </w:r>
      <w:r>
        <w:rPr>
          <w:rFonts w:ascii="Arial Narrow" w:hAnsi="Arial Narrow"/>
          <w:sz w:val="24"/>
          <w:szCs w:val="24"/>
        </w:rPr>
        <w:t xml:space="preserve"> </w:t>
      </w:r>
      <w:r w:rsidRPr="00484CC1">
        <w:rPr>
          <w:rFonts w:ascii="Arial Narrow" w:hAnsi="Arial Narrow"/>
          <w:sz w:val="24"/>
          <w:szCs w:val="24"/>
        </w:rPr>
        <w:fldChar w:fldCharType="begin"/>
      </w:r>
      <w:r w:rsidRPr="00484CC1">
        <w:rPr>
          <w:rFonts w:ascii="Arial Narrow" w:hAnsi="Arial Narrow"/>
          <w:sz w:val="24"/>
          <w:szCs w:val="24"/>
        </w:rPr>
        <w:instrText xml:space="preserve"> SEQ Cuadro_No. \* ARABIC </w:instrText>
      </w:r>
      <w:r w:rsidRPr="00484CC1">
        <w:rPr>
          <w:rFonts w:ascii="Arial Narrow" w:hAnsi="Arial Narrow"/>
          <w:sz w:val="24"/>
          <w:szCs w:val="24"/>
        </w:rPr>
        <w:fldChar w:fldCharType="separate"/>
      </w:r>
      <w:r w:rsidR="009D5823">
        <w:rPr>
          <w:rFonts w:ascii="Arial Narrow" w:hAnsi="Arial Narrow"/>
          <w:noProof/>
          <w:sz w:val="24"/>
          <w:szCs w:val="24"/>
        </w:rPr>
        <w:t>47</w:t>
      </w:r>
      <w:r w:rsidRPr="00484CC1">
        <w:rPr>
          <w:rFonts w:ascii="Arial Narrow" w:hAnsi="Arial Narrow"/>
          <w:sz w:val="24"/>
          <w:szCs w:val="24"/>
        </w:rPr>
        <w:fldChar w:fldCharType="end"/>
      </w:r>
      <w:r w:rsidRPr="00484CC1">
        <w:rPr>
          <w:rFonts w:ascii="Arial Narrow" w:hAnsi="Arial Narrow"/>
          <w:sz w:val="24"/>
          <w:szCs w:val="24"/>
        </w:rPr>
        <w:t xml:space="preserve"> </w:t>
      </w:r>
      <w:r w:rsidRPr="00D657CE">
        <w:rPr>
          <w:rFonts w:ascii="Arial Narrow" w:eastAsia="Calibri" w:hAnsi="Arial Narrow"/>
          <w:sz w:val="24"/>
          <w:szCs w:val="24"/>
        </w:rPr>
        <w:t>Metas estratégicas de Desarrollo y optimización de servicios y procesos judiciales, y su cumplimiento para el 2019</w:t>
      </w:r>
      <w:r>
        <w:rPr>
          <w:rFonts w:ascii="Arial Narrow" w:eastAsia="Calibri" w:hAnsi="Arial Narrow"/>
          <w:sz w:val="24"/>
          <w:szCs w:val="24"/>
        </w:rPr>
        <w:t xml:space="preserve"> y 2020.</w:t>
      </w:r>
      <w:bookmarkEnd w:id="81"/>
    </w:p>
    <w:p w14:paraId="0EE13F20" w14:textId="77777777" w:rsidR="009E6DA2" w:rsidRDefault="009E6DA2" w:rsidP="009E6DA2">
      <w:pPr>
        <w:rPr>
          <w:rFonts w:ascii="Arial Narrow" w:eastAsia="Calibri" w:hAnsi="Arial Narrow"/>
          <w:lang w:eastAsia="en-US"/>
        </w:rPr>
      </w:pPr>
    </w:p>
    <w:p w14:paraId="723F6D90" w14:textId="048E5639" w:rsidR="009E6DA2" w:rsidRDefault="00C27EA7" w:rsidP="009E6DA2">
      <w:pPr>
        <w:rPr>
          <w:rFonts w:ascii="Arial Narrow" w:eastAsia="Calibri" w:hAnsi="Arial Narrow"/>
          <w:lang w:eastAsia="en-US"/>
        </w:rPr>
      </w:pPr>
      <w:r>
        <w:rPr>
          <w:noProof/>
          <w:lang w:val="es-CR" w:eastAsia="es-CR"/>
        </w:rPr>
        <w:drawing>
          <wp:inline distT="0" distB="0" distL="0" distR="0" wp14:anchorId="638E6FAB" wp14:editId="1303A562">
            <wp:extent cx="7899400" cy="2686050"/>
            <wp:effectExtent l="57150" t="57150" r="101600" b="95250"/>
            <wp:docPr id="142" name="Imagen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7900730" cy="2686502"/>
                    </a:xfrm>
                    <a:prstGeom prst="rect">
                      <a:avLst/>
                    </a:prstGeom>
                    <a:ln w="9525" cap="sq">
                      <a:solidFill>
                        <a:srgbClr val="00B0F0"/>
                      </a:solidFill>
                      <a:prstDash val="solid"/>
                      <a:miter lim="800000"/>
                    </a:ln>
                    <a:effectLst>
                      <a:outerShdw blurRad="50800" dist="38100" dir="2700000" algn="tl" rotWithShape="0">
                        <a:srgbClr val="000000">
                          <a:alpha val="43000"/>
                        </a:srgbClr>
                      </a:outerShdw>
                    </a:effectLst>
                  </pic:spPr>
                </pic:pic>
              </a:graphicData>
            </a:graphic>
          </wp:inline>
        </w:drawing>
      </w:r>
    </w:p>
    <w:p w14:paraId="70810EA2" w14:textId="7DE91FC8" w:rsidR="009E6DA2" w:rsidRDefault="00077BF3" w:rsidP="00704B08">
      <w:pPr>
        <w:rPr>
          <w:rFonts w:ascii="Arial Narrow" w:eastAsia="Calibri" w:hAnsi="Arial Narrow"/>
          <w:sz w:val="18"/>
          <w:szCs w:val="18"/>
          <w:lang w:eastAsia="en-US"/>
        </w:rPr>
      </w:pPr>
      <w:r>
        <w:rPr>
          <w:rFonts w:ascii="Arial Narrow" w:eastAsia="Calibri" w:hAnsi="Arial Narrow"/>
          <w:lang w:eastAsia="en-US"/>
        </w:rPr>
        <w:t xml:space="preserve">  </w:t>
      </w:r>
      <w:r w:rsidR="009E6DA2" w:rsidRPr="000B4845">
        <w:rPr>
          <w:rFonts w:ascii="Arial Narrow" w:eastAsia="Calibri" w:hAnsi="Arial Narrow"/>
          <w:sz w:val="18"/>
          <w:szCs w:val="18"/>
          <w:lang w:eastAsia="en-US"/>
        </w:rPr>
        <w:t>Fuente: Sistema PEI al 24 de enero del 2020 (año 2019)</w:t>
      </w:r>
      <w:r w:rsidR="009E6DA2">
        <w:rPr>
          <w:rFonts w:ascii="Arial Narrow" w:eastAsia="Calibri" w:hAnsi="Arial Narrow"/>
          <w:sz w:val="18"/>
          <w:szCs w:val="18"/>
          <w:lang w:eastAsia="en-US"/>
        </w:rPr>
        <w:t xml:space="preserve"> y 04 de marzo del 2021 (año 2020).</w:t>
      </w:r>
    </w:p>
    <w:p w14:paraId="41E8EC54" w14:textId="77777777" w:rsidR="009D5823" w:rsidRDefault="009D5823">
      <w:pPr>
        <w:spacing w:line="360" w:lineRule="auto"/>
        <w:jc w:val="both"/>
        <w:sectPr w:rsidR="009D5823" w:rsidSect="009D5823">
          <w:pgSz w:w="15842" w:h="12242" w:orient="landscape" w:code="1"/>
          <w:pgMar w:top="1417" w:right="1701" w:bottom="1417" w:left="1701" w:header="709" w:footer="709" w:gutter="0"/>
          <w:cols w:space="708"/>
          <w:docGrid w:linePitch="360"/>
        </w:sectPr>
      </w:pPr>
    </w:p>
    <w:p w14:paraId="3F5CD702" w14:textId="32E2E6E2" w:rsidR="00D1749D" w:rsidRPr="00704B08" w:rsidRDefault="00774B59" w:rsidP="00704B08">
      <w:pPr>
        <w:spacing w:line="360" w:lineRule="auto"/>
        <w:jc w:val="both"/>
        <w:rPr>
          <w:rFonts w:ascii="Arial Narrow" w:hAnsi="Arial Narrow" w:cs="Calibri"/>
          <w:b/>
          <w:bCs/>
          <w:color w:val="000000"/>
          <w:lang w:val="es-CR" w:eastAsia="es-CR"/>
        </w:rPr>
      </w:pPr>
      <w:r>
        <w:rPr>
          <w:rFonts w:ascii="Arial Narrow" w:hAnsi="Arial Narrow" w:cs="Calibri"/>
          <w:color w:val="000000"/>
          <w:lang w:val="es-CR" w:eastAsia="es-CR"/>
        </w:rPr>
        <w:lastRenderedPageBreak/>
        <w:t>Con respecto, a l</w:t>
      </w:r>
      <w:r w:rsidRPr="002E0B96">
        <w:rPr>
          <w:rFonts w:ascii="Arial Narrow" w:hAnsi="Arial Narrow" w:cs="Calibri"/>
          <w:color w:val="000000"/>
          <w:lang w:val="es-CR" w:eastAsia="es-CR"/>
        </w:rPr>
        <w:t>a meta estratégica</w:t>
      </w:r>
      <w:r>
        <w:rPr>
          <w:rFonts w:ascii="Arial Narrow" w:hAnsi="Arial Narrow" w:cs="Calibri"/>
          <w:b/>
          <w:bCs/>
          <w:color w:val="000000"/>
          <w:lang w:val="es-CR" w:eastAsia="es-CR"/>
        </w:rPr>
        <w:t xml:space="preserve"> “</w:t>
      </w:r>
      <w:r w:rsidR="00A5186A" w:rsidRPr="00704B08">
        <w:rPr>
          <w:rFonts w:ascii="Arial Narrow" w:hAnsi="Arial Narrow" w:cs="Calibri"/>
          <w:b/>
          <w:bCs/>
          <w:i/>
          <w:iCs/>
          <w:color w:val="000000"/>
          <w:lang w:val="es-CR" w:eastAsia="es-CR"/>
        </w:rPr>
        <w:t xml:space="preserve">Que al finalizar el 2024, se hayan implementado un plan de trabajo para la adquisición de los bienes, muebles e inmuebles, así como los insumos, suministros, herramientas, </w:t>
      </w:r>
      <w:r w:rsidR="00CF32CB" w:rsidRPr="00704B08">
        <w:rPr>
          <w:rFonts w:ascii="Arial Narrow" w:hAnsi="Arial Narrow" w:cs="Calibri"/>
          <w:b/>
          <w:bCs/>
          <w:i/>
          <w:iCs/>
          <w:color w:val="000000"/>
          <w:lang w:val="es-CR" w:eastAsia="es-CR"/>
        </w:rPr>
        <w:t>laboratorios y</w:t>
      </w:r>
      <w:r w:rsidR="00A5186A" w:rsidRPr="00704B08">
        <w:rPr>
          <w:rFonts w:ascii="Arial Narrow" w:hAnsi="Arial Narrow" w:cs="Calibri"/>
          <w:b/>
          <w:bCs/>
          <w:i/>
          <w:iCs/>
          <w:color w:val="000000"/>
          <w:lang w:val="es-CR" w:eastAsia="es-CR"/>
        </w:rPr>
        <w:t xml:space="preserve"> equipos analíticoinstrumental, entre otros, para el Organismo de Investigación Judicial</w:t>
      </w:r>
      <w:r>
        <w:rPr>
          <w:rFonts w:ascii="Arial Narrow" w:hAnsi="Arial Narrow" w:cs="Calibri"/>
          <w:b/>
          <w:bCs/>
          <w:color w:val="000000"/>
          <w:lang w:val="es-CR" w:eastAsia="es-CR"/>
        </w:rPr>
        <w:t>”</w:t>
      </w:r>
      <w:r w:rsidR="006114AE">
        <w:rPr>
          <w:rFonts w:ascii="Arial Narrow" w:hAnsi="Arial Narrow" w:cs="Calibri"/>
          <w:b/>
          <w:bCs/>
          <w:color w:val="000000"/>
          <w:lang w:val="es-CR" w:eastAsia="es-CR"/>
        </w:rPr>
        <w:t>,</w:t>
      </w:r>
      <w:r w:rsidR="00AE7240">
        <w:rPr>
          <w:rFonts w:ascii="Arial Narrow" w:hAnsi="Arial Narrow" w:cs="Calibri"/>
          <w:b/>
          <w:bCs/>
          <w:color w:val="000000"/>
          <w:lang w:val="es-CR" w:eastAsia="es-CR"/>
        </w:rPr>
        <w:t xml:space="preserve"> </w:t>
      </w:r>
      <w:r w:rsidR="00D1749D" w:rsidRPr="00704B08">
        <w:rPr>
          <w:rFonts w:ascii="Arial Narrow" w:eastAsia="Calibri" w:hAnsi="Arial Narrow"/>
          <w:lang w:eastAsia="en-US"/>
        </w:rPr>
        <w:t xml:space="preserve">se tiene un cumplimiento de un 83% para el 2019 debido a </w:t>
      </w:r>
      <w:r w:rsidR="00CF32CB" w:rsidRPr="00CF32CB">
        <w:rPr>
          <w:rFonts w:ascii="Arial Narrow" w:eastAsia="Calibri" w:hAnsi="Arial Narrow"/>
          <w:lang w:eastAsia="en-US"/>
        </w:rPr>
        <w:t>que,</w:t>
      </w:r>
      <w:r w:rsidR="00D1749D" w:rsidRPr="00EC36C0">
        <w:t xml:space="preserve"> </w:t>
      </w:r>
      <w:r w:rsidR="00D1749D" w:rsidRPr="00704B08">
        <w:rPr>
          <w:rFonts w:ascii="Arial Narrow" w:eastAsia="Calibri" w:hAnsi="Arial Narrow"/>
          <w:lang w:eastAsia="en-US"/>
        </w:rPr>
        <w:t xml:space="preserve">a pesar de haber llevado a cabo múltiples esfuerzos, quedó pendiente tener un </w:t>
      </w:r>
      <w:r w:rsidR="00CF32CB" w:rsidRPr="00CF32CB">
        <w:rPr>
          <w:rFonts w:ascii="Arial Narrow" w:eastAsia="Calibri" w:hAnsi="Arial Narrow"/>
          <w:lang w:eastAsia="en-US"/>
        </w:rPr>
        <w:t>listado que</w:t>
      </w:r>
      <w:r w:rsidR="00D1749D" w:rsidRPr="00704B08">
        <w:rPr>
          <w:rFonts w:ascii="Arial Narrow" w:eastAsia="Calibri" w:hAnsi="Arial Narrow"/>
          <w:lang w:eastAsia="en-US"/>
        </w:rPr>
        <w:t xml:space="preserve"> priorice la necesidad de adquisición y/o sustitución de equipo instrumental necesario para garantizar pericias forenses certeras y de calidad; así como de infraestructura necesaria para atender adecuadamente la demanda de pericias que requiere el sistema de administración de justicia.  </w:t>
      </w:r>
    </w:p>
    <w:p w14:paraId="1AFFC613" w14:textId="0DA90B40" w:rsidR="00FD2201" w:rsidRDefault="00FD2201" w:rsidP="00CF32CB">
      <w:pPr>
        <w:spacing w:line="360" w:lineRule="auto"/>
        <w:ind w:right="512"/>
        <w:jc w:val="both"/>
        <w:rPr>
          <w:rFonts w:ascii="Arial Narrow" w:eastAsia="Calibri" w:hAnsi="Arial Narrow"/>
          <w:lang w:eastAsia="en-US"/>
        </w:rPr>
      </w:pPr>
    </w:p>
    <w:p w14:paraId="548727CF" w14:textId="68E9A56D" w:rsidR="000B7EC2" w:rsidRDefault="00FD2201" w:rsidP="00CF32CB">
      <w:pPr>
        <w:spacing w:line="360" w:lineRule="auto"/>
        <w:ind w:right="512"/>
        <w:jc w:val="both"/>
        <w:rPr>
          <w:rFonts w:ascii="Arial Narrow" w:eastAsia="Calibri" w:hAnsi="Arial Narrow"/>
          <w:lang w:eastAsia="en-US"/>
        </w:rPr>
      </w:pPr>
      <w:r>
        <w:rPr>
          <w:rFonts w:ascii="Arial Narrow" w:eastAsia="Calibri" w:hAnsi="Arial Narrow"/>
          <w:lang w:eastAsia="en-US"/>
        </w:rPr>
        <w:t xml:space="preserve">Para el año 2020 se tiene un cumplimiento del 100% indicando el OIJ </w:t>
      </w:r>
      <w:r w:rsidR="000B7EC2">
        <w:rPr>
          <w:rFonts w:ascii="Arial Narrow" w:eastAsia="Calibri" w:hAnsi="Arial Narrow"/>
          <w:lang w:eastAsia="en-US"/>
        </w:rPr>
        <w:t xml:space="preserve">que elaboró un procedimiento para el </w:t>
      </w:r>
      <w:r w:rsidR="00B46BB3">
        <w:rPr>
          <w:rFonts w:ascii="Arial Narrow" w:eastAsia="Calibri" w:hAnsi="Arial Narrow"/>
          <w:lang w:eastAsia="en-US"/>
        </w:rPr>
        <w:t>trámite</w:t>
      </w:r>
      <w:r w:rsidR="000B7EC2">
        <w:rPr>
          <w:rFonts w:ascii="Arial Narrow" w:eastAsia="Calibri" w:hAnsi="Arial Narrow"/>
          <w:lang w:eastAsia="en-US"/>
        </w:rPr>
        <w:t xml:space="preserve"> de reparaciones de carrocería en la sección de trasportes </w:t>
      </w:r>
      <w:r w:rsidR="00B46BB3">
        <w:rPr>
          <w:rFonts w:ascii="Arial Narrow" w:eastAsia="Calibri" w:hAnsi="Arial Narrow"/>
          <w:lang w:eastAsia="en-US"/>
        </w:rPr>
        <w:t>esto con el objetivo de atender</w:t>
      </w:r>
      <w:r w:rsidR="00B46BB3" w:rsidRPr="00F65D28">
        <w:rPr>
          <w:rFonts w:ascii="Arial Narrow" w:eastAsia="Calibri" w:hAnsi="Arial Narrow"/>
          <w:lang w:eastAsia="en-US"/>
        </w:rPr>
        <w:t xml:space="preserve"> las actividades incluidas en el objetivo operativo</w:t>
      </w:r>
      <w:r w:rsidR="00B46BB3">
        <w:rPr>
          <w:rFonts w:ascii="Arial Narrow" w:eastAsia="Calibri" w:hAnsi="Arial Narrow"/>
          <w:lang w:eastAsia="en-US"/>
        </w:rPr>
        <w:t>. Además, por medio del oficio 565-ADM-OIJ-2020 se realizaron diligencias ante a la Proveeduría Judicial con el fin de manifestar la necesidad de contar con más área de terreno para poder albergar unidades oficiales, debido a la saturación y falta de espacio para poder parquear los vehículos de una manera adecuada.</w:t>
      </w:r>
    </w:p>
    <w:p w14:paraId="1EEC0CB8" w14:textId="77777777" w:rsidR="00B46BB3" w:rsidRPr="00704B08" w:rsidRDefault="00B46BB3" w:rsidP="00704B08">
      <w:pPr>
        <w:spacing w:line="360" w:lineRule="auto"/>
        <w:jc w:val="both"/>
        <w:rPr>
          <w:rFonts w:ascii="Arial Narrow" w:hAnsi="Arial Narrow" w:cs="Calibri"/>
          <w:b/>
          <w:bCs/>
          <w:color w:val="000000"/>
          <w:lang w:val="es-CR" w:eastAsia="es-CR"/>
        </w:rPr>
      </w:pPr>
    </w:p>
    <w:p w14:paraId="2C31D4C1" w14:textId="45C046D7" w:rsidR="00A5186A" w:rsidRPr="00704B08" w:rsidRDefault="00774B59">
      <w:pPr>
        <w:spacing w:line="360" w:lineRule="auto"/>
        <w:jc w:val="both"/>
        <w:rPr>
          <w:rFonts w:ascii="Arial Narrow" w:hAnsi="Arial Narrow" w:cs="Calibri"/>
          <w:b/>
          <w:bCs/>
          <w:color w:val="000000"/>
          <w:lang w:val="es-CR" w:eastAsia="es-CR"/>
        </w:rPr>
      </w:pPr>
      <w:r>
        <w:rPr>
          <w:rFonts w:ascii="Arial Narrow" w:hAnsi="Arial Narrow" w:cs="Calibri"/>
          <w:color w:val="000000"/>
          <w:lang w:val="es-CR" w:eastAsia="es-CR"/>
        </w:rPr>
        <w:t>La</w:t>
      </w:r>
      <w:r w:rsidRPr="002E0B96">
        <w:rPr>
          <w:rFonts w:ascii="Arial Narrow" w:hAnsi="Arial Narrow" w:cs="Calibri"/>
          <w:color w:val="000000"/>
          <w:lang w:val="es-CR" w:eastAsia="es-CR"/>
        </w:rPr>
        <w:t xml:space="preserve"> meta estratégica</w:t>
      </w:r>
      <w:r>
        <w:rPr>
          <w:rFonts w:ascii="Arial Narrow" w:hAnsi="Arial Narrow" w:cs="Calibri"/>
          <w:b/>
          <w:bCs/>
          <w:color w:val="000000"/>
          <w:lang w:val="es-CR" w:eastAsia="es-CR"/>
        </w:rPr>
        <w:t xml:space="preserve"> “</w:t>
      </w:r>
      <w:r w:rsidR="00A5186A" w:rsidRPr="00704B08">
        <w:rPr>
          <w:rFonts w:ascii="Arial Narrow" w:hAnsi="Arial Narrow" w:cs="Calibri"/>
          <w:b/>
          <w:bCs/>
          <w:i/>
          <w:iCs/>
          <w:color w:val="000000"/>
          <w:lang w:val="es-CR" w:eastAsia="es-CR"/>
        </w:rPr>
        <w:t>Que al finalizar el 2024, se haya finalizado la implementación del plan de gestión ambiental institucional (PGAI) y se haya definido el nuevo PGAI para el periodo 2022 al 2026</w:t>
      </w:r>
      <w:r>
        <w:rPr>
          <w:rFonts w:ascii="Arial Narrow" w:hAnsi="Arial Narrow" w:cs="Calibri"/>
          <w:b/>
          <w:bCs/>
          <w:color w:val="000000"/>
          <w:lang w:val="es-CR" w:eastAsia="es-CR"/>
        </w:rPr>
        <w:t>”</w:t>
      </w:r>
      <w:r w:rsidR="006114AE">
        <w:rPr>
          <w:rFonts w:ascii="Arial Narrow" w:hAnsi="Arial Narrow" w:cs="Calibri"/>
          <w:b/>
          <w:bCs/>
          <w:color w:val="000000"/>
          <w:lang w:val="es-CR" w:eastAsia="es-CR"/>
        </w:rPr>
        <w:t>,</w:t>
      </w:r>
      <w:r w:rsidR="00C27EA7">
        <w:rPr>
          <w:rFonts w:ascii="Arial Narrow" w:hAnsi="Arial Narrow" w:cs="Calibri"/>
          <w:b/>
          <w:bCs/>
          <w:color w:val="000000"/>
          <w:lang w:val="es-CR" w:eastAsia="es-CR"/>
        </w:rPr>
        <w:t xml:space="preserve"> </w:t>
      </w:r>
      <w:r>
        <w:rPr>
          <w:rFonts w:ascii="Arial Narrow" w:hAnsi="Arial Narrow"/>
        </w:rPr>
        <w:t>s</w:t>
      </w:r>
      <w:r w:rsidR="00ED5598" w:rsidRPr="00704B08">
        <w:rPr>
          <w:rFonts w:ascii="Arial Narrow" w:hAnsi="Arial Narrow"/>
        </w:rPr>
        <w:t xml:space="preserve">e entregó a la Dirección de Gestión de Calidad Ambiental del Ministerio de Ambiente y Energía, </w:t>
      </w:r>
      <w:r w:rsidR="00BA52E2" w:rsidRPr="00704B08">
        <w:rPr>
          <w:rFonts w:ascii="Arial Narrow" w:hAnsi="Arial Narrow"/>
        </w:rPr>
        <w:t xml:space="preserve">los informes semestrales de seguimiento de los años 2019 y 2020. De la misma forma, se gestionaron las actualizaciones de los planes de gestión ambiental. </w:t>
      </w:r>
      <w:r w:rsidR="00091D09" w:rsidRPr="00704B08">
        <w:rPr>
          <w:rFonts w:ascii="Arial Narrow" w:hAnsi="Arial Narrow" w:cs="Calibri"/>
          <w:color w:val="000000"/>
          <w:lang w:val="es-CR" w:eastAsia="es-CR"/>
        </w:rPr>
        <w:t xml:space="preserve">Por </w:t>
      </w:r>
      <w:r w:rsidR="00DD3583" w:rsidRPr="00DD3583">
        <w:rPr>
          <w:rFonts w:ascii="Arial Narrow" w:hAnsi="Arial Narrow" w:cs="Calibri"/>
          <w:color w:val="000000"/>
          <w:lang w:val="es-CR" w:eastAsia="es-CR"/>
        </w:rPr>
        <w:t>lo anterior</w:t>
      </w:r>
      <w:r w:rsidR="00091D09" w:rsidRPr="00704B08">
        <w:rPr>
          <w:rFonts w:ascii="Arial Narrow" w:hAnsi="Arial Narrow" w:cs="Calibri"/>
          <w:color w:val="000000"/>
          <w:lang w:val="es-CR" w:eastAsia="es-CR"/>
        </w:rPr>
        <w:t xml:space="preserve"> se tiene un </w:t>
      </w:r>
      <w:r w:rsidR="00091D09" w:rsidRPr="00DD3583">
        <w:rPr>
          <w:rFonts w:ascii="Arial Narrow" w:hAnsi="Arial Narrow" w:cs="Calibri"/>
          <w:color w:val="000000"/>
          <w:lang w:val="es-CR" w:eastAsia="es-CR"/>
        </w:rPr>
        <w:t xml:space="preserve">cumplimiento </w:t>
      </w:r>
      <w:r w:rsidR="00DD3583" w:rsidRPr="00DD3583">
        <w:rPr>
          <w:rFonts w:ascii="Arial Narrow" w:hAnsi="Arial Narrow" w:cs="Calibri"/>
          <w:color w:val="000000"/>
          <w:lang w:val="es-CR" w:eastAsia="es-CR"/>
        </w:rPr>
        <w:t xml:space="preserve">del 100% anual y un 20% en el porcentaje acumulado </w:t>
      </w:r>
      <w:r w:rsidR="00091D09" w:rsidRPr="00704B08">
        <w:rPr>
          <w:rFonts w:ascii="Arial Narrow" w:hAnsi="Arial Narrow" w:cs="Calibri"/>
          <w:color w:val="000000"/>
          <w:lang w:val="es-CR" w:eastAsia="es-CR"/>
        </w:rPr>
        <w:t>de la meta estratégica</w:t>
      </w:r>
      <w:r w:rsidR="00DD3583">
        <w:rPr>
          <w:rFonts w:ascii="Arial Narrow" w:hAnsi="Arial Narrow" w:cs="Calibri"/>
          <w:color w:val="000000"/>
          <w:lang w:val="es-CR" w:eastAsia="es-CR"/>
        </w:rPr>
        <w:t>.</w:t>
      </w:r>
    </w:p>
    <w:p w14:paraId="21E128E5" w14:textId="77777777" w:rsidR="009D5823" w:rsidRDefault="009D5823">
      <w:pPr>
        <w:spacing w:line="360" w:lineRule="auto"/>
        <w:jc w:val="both"/>
        <w:rPr>
          <w:rFonts w:ascii="Arial Narrow" w:hAnsi="Arial Narrow" w:cs="Calibri"/>
          <w:color w:val="000000"/>
          <w:lang w:val="es-CR" w:eastAsia="es-CR"/>
        </w:rPr>
        <w:sectPr w:rsidR="009D5823" w:rsidSect="009D5823">
          <w:pgSz w:w="12242" w:h="15842" w:code="1"/>
          <w:pgMar w:top="1701" w:right="1417" w:bottom="1701" w:left="1417" w:header="709" w:footer="709" w:gutter="0"/>
          <w:cols w:space="708"/>
          <w:docGrid w:linePitch="360"/>
        </w:sectPr>
      </w:pPr>
    </w:p>
    <w:p w14:paraId="79BE7EF5" w14:textId="0590DFAA" w:rsidR="00C27EA7" w:rsidRDefault="00C27EA7">
      <w:pPr>
        <w:spacing w:line="360" w:lineRule="auto"/>
        <w:jc w:val="both"/>
        <w:rPr>
          <w:rFonts w:ascii="Arial Narrow" w:hAnsi="Arial Narrow" w:cs="Calibri"/>
          <w:color w:val="000000"/>
          <w:lang w:val="es-CR" w:eastAsia="es-CR"/>
        </w:rPr>
      </w:pPr>
    </w:p>
    <w:p w14:paraId="3783B160" w14:textId="77777777" w:rsidR="00AE7240" w:rsidRPr="00704B08" w:rsidRDefault="00AE7240">
      <w:pPr>
        <w:spacing w:line="360" w:lineRule="auto"/>
        <w:jc w:val="both"/>
        <w:rPr>
          <w:rFonts w:ascii="Arial Narrow" w:hAnsi="Arial Narrow" w:cs="Calibri"/>
          <w:color w:val="000000"/>
          <w:lang w:val="es-CR" w:eastAsia="es-CR"/>
        </w:rPr>
      </w:pPr>
    </w:p>
    <w:p w14:paraId="3E30EBB4" w14:textId="6C00F1C8" w:rsidR="009E6DA2" w:rsidRPr="002100DF" w:rsidRDefault="009E6DA2" w:rsidP="009E6DA2">
      <w:pPr>
        <w:pStyle w:val="Descripcin"/>
        <w:jc w:val="center"/>
        <w:rPr>
          <w:rFonts w:ascii="Arial Narrow" w:eastAsia="Calibri" w:hAnsi="Arial Narrow"/>
          <w:lang w:eastAsia="en-US"/>
        </w:rPr>
      </w:pPr>
      <w:bookmarkStart w:id="82" w:name="_Toc76062271"/>
      <w:r w:rsidRPr="00484CC1">
        <w:rPr>
          <w:rFonts w:ascii="Arial Narrow" w:hAnsi="Arial Narrow"/>
          <w:sz w:val="24"/>
          <w:szCs w:val="24"/>
        </w:rPr>
        <w:t>Cuadro</w:t>
      </w:r>
      <w:r>
        <w:rPr>
          <w:rFonts w:ascii="Arial Narrow" w:hAnsi="Arial Narrow"/>
          <w:sz w:val="24"/>
          <w:szCs w:val="24"/>
        </w:rPr>
        <w:t xml:space="preserve"> </w:t>
      </w:r>
      <w:r w:rsidRPr="00484CC1">
        <w:rPr>
          <w:rFonts w:ascii="Arial Narrow" w:hAnsi="Arial Narrow"/>
          <w:sz w:val="24"/>
          <w:szCs w:val="24"/>
        </w:rPr>
        <w:fldChar w:fldCharType="begin"/>
      </w:r>
      <w:r w:rsidRPr="00484CC1">
        <w:rPr>
          <w:rFonts w:ascii="Arial Narrow" w:hAnsi="Arial Narrow"/>
          <w:sz w:val="24"/>
          <w:szCs w:val="24"/>
        </w:rPr>
        <w:instrText xml:space="preserve"> SEQ Cuadro_No. \* ARABIC </w:instrText>
      </w:r>
      <w:r w:rsidRPr="00484CC1">
        <w:rPr>
          <w:rFonts w:ascii="Arial Narrow" w:hAnsi="Arial Narrow"/>
          <w:sz w:val="24"/>
          <w:szCs w:val="24"/>
        </w:rPr>
        <w:fldChar w:fldCharType="separate"/>
      </w:r>
      <w:r w:rsidR="009D5823">
        <w:rPr>
          <w:rFonts w:ascii="Arial Narrow" w:hAnsi="Arial Narrow"/>
          <w:noProof/>
          <w:sz w:val="24"/>
          <w:szCs w:val="24"/>
        </w:rPr>
        <w:t>48</w:t>
      </w:r>
      <w:r w:rsidRPr="00484CC1">
        <w:rPr>
          <w:rFonts w:ascii="Arial Narrow" w:hAnsi="Arial Narrow"/>
          <w:sz w:val="24"/>
          <w:szCs w:val="24"/>
        </w:rPr>
        <w:fldChar w:fldCharType="end"/>
      </w:r>
      <w:r w:rsidRPr="00484CC1">
        <w:rPr>
          <w:rFonts w:ascii="Arial Narrow" w:hAnsi="Arial Narrow"/>
          <w:sz w:val="24"/>
          <w:szCs w:val="24"/>
        </w:rPr>
        <w:t xml:space="preserve"> </w:t>
      </w:r>
      <w:r w:rsidRPr="00D657CE">
        <w:rPr>
          <w:rFonts w:ascii="Arial Narrow" w:eastAsia="Calibri" w:hAnsi="Arial Narrow"/>
          <w:sz w:val="24"/>
          <w:szCs w:val="24"/>
        </w:rPr>
        <w:t>Metas estratégicas de Desarrollo y optimización de servicios y procesos judiciales, y su cumplimiento para el 2019</w:t>
      </w:r>
      <w:r>
        <w:rPr>
          <w:rFonts w:ascii="Arial Narrow" w:eastAsia="Calibri" w:hAnsi="Arial Narrow"/>
          <w:sz w:val="24"/>
          <w:szCs w:val="24"/>
        </w:rPr>
        <w:t xml:space="preserve"> y 2020.</w:t>
      </w:r>
      <w:bookmarkEnd w:id="82"/>
    </w:p>
    <w:p w14:paraId="2AC67C16" w14:textId="77777777" w:rsidR="009E6DA2" w:rsidRDefault="009E6DA2" w:rsidP="009E6DA2">
      <w:pPr>
        <w:rPr>
          <w:rFonts w:ascii="Arial Narrow" w:eastAsia="Calibri" w:hAnsi="Arial Narrow"/>
          <w:lang w:eastAsia="en-US"/>
        </w:rPr>
      </w:pPr>
    </w:p>
    <w:p w14:paraId="1B932CBD" w14:textId="42BE28DF" w:rsidR="009E6DA2" w:rsidRDefault="00C27EA7" w:rsidP="009E6DA2">
      <w:pPr>
        <w:rPr>
          <w:rFonts w:ascii="Arial Narrow" w:eastAsia="Calibri" w:hAnsi="Arial Narrow"/>
          <w:lang w:eastAsia="en-US"/>
        </w:rPr>
      </w:pPr>
      <w:r>
        <w:rPr>
          <w:noProof/>
          <w:lang w:val="es-CR" w:eastAsia="es-CR"/>
        </w:rPr>
        <w:drawing>
          <wp:inline distT="0" distB="0" distL="0" distR="0" wp14:anchorId="1432DD43" wp14:editId="73211589">
            <wp:extent cx="7897951" cy="2763324"/>
            <wp:effectExtent l="57150" t="57150" r="103505" b="94615"/>
            <wp:docPr id="143" name="Imagen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7905123" cy="2765833"/>
                    </a:xfrm>
                    <a:prstGeom prst="rect">
                      <a:avLst/>
                    </a:prstGeom>
                    <a:ln w="9525" cap="sq">
                      <a:solidFill>
                        <a:srgbClr val="00B0F0"/>
                      </a:solidFill>
                      <a:prstDash val="solid"/>
                      <a:miter lim="800000"/>
                    </a:ln>
                    <a:effectLst>
                      <a:outerShdw blurRad="50800" dist="38100" dir="2700000" algn="tl" rotWithShape="0">
                        <a:srgbClr val="000000">
                          <a:alpha val="43000"/>
                        </a:srgbClr>
                      </a:outerShdw>
                    </a:effectLst>
                  </pic:spPr>
                </pic:pic>
              </a:graphicData>
            </a:graphic>
          </wp:inline>
        </w:drawing>
      </w:r>
    </w:p>
    <w:p w14:paraId="0D454F0D" w14:textId="74AECF01" w:rsidR="009E6DA2" w:rsidRDefault="00154B60" w:rsidP="00704B08">
      <w:pPr>
        <w:rPr>
          <w:rFonts w:ascii="Arial Narrow" w:eastAsia="Calibri" w:hAnsi="Arial Narrow"/>
          <w:sz w:val="18"/>
          <w:szCs w:val="18"/>
          <w:lang w:eastAsia="en-US"/>
        </w:rPr>
      </w:pPr>
      <w:r>
        <w:rPr>
          <w:rFonts w:ascii="Arial Narrow" w:eastAsia="Calibri" w:hAnsi="Arial Narrow"/>
          <w:lang w:eastAsia="en-US"/>
        </w:rPr>
        <w:t xml:space="preserve">  </w:t>
      </w:r>
      <w:r w:rsidR="009E6DA2" w:rsidRPr="000B4845">
        <w:rPr>
          <w:rFonts w:ascii="Arial Narrow" w:eastAsia="Calibri" w:hAnsi="Arial Narrow"/>
          <w:sz w:val="18"/>
          <w:szCs w:val="18"/>
          <w:lang w:eastAsia="en-US"/>
        </w:rPr>
        <w:t>Fuente: Sistema PEI al 24 de enero del 2020 (año 2019)</w:t>
      </w:r>
      <w:r w:rsidR="009E6DA2">
        <w:rPr>
          <w:rFonts w:ascii="Arial Narrow" w:eastAsia="Calibri" w:hAnsi="Arial Narrow"/>
          <w:sz w:val="18"/>
          <w:szCs w:val="18"/>
          <w:lang w:eastAsia="en-US"/>
        </w:rPr>
        <w:t xml:space="preserve"> y 04 de marzo del 2021 (año 2020).</w:t>
      </w:r>
    </w:p>
    <w:p w14:paraId="5B62BAF3" w14:textId="77777777" w:rsidR="009D5823" w:rsidRDefault="009D5823">
      <w:pPr>
        <w:spacing w:line="360" w:lineRule="auto"/>
        <w:jc w:val="both"/>
        <w:rPr>
          <w:rFonts w:ascii="Arial Narrow" w:hAnsi="Arial Narrow" w:cs="Calibri"/>
          <w:b/>
          <w:bCs/>
          <w:color w:val="000000"/>
          <w:lang w:val="es-CR" w:eastAsia="es-CR"/>
        </w:rPr>
        <w:sectPr w:rsidR="009D5823" w:rsidSect="009D5823">
          <w:pgSz w:w="15842" w:h="12242" w:orient="landscape" w:code="1"/>
          <w:pgMar w:top="1417" w:right="1701" w:bottom="1417" w:left="1701" w:header="709" w:footer="709" w:gutter="0"/>
          <w:cols w:space="708"/>
          <w:docGrid w:linePitch="360"/>
        </w:sectPr>
      </w:pPr>
    </w:p>
    <w:p w14:paraId="421DACBF" w14:textId="54083EEC" w:rsidR="00091D09" w:rsidRPr="00704B08" w:rsidRDefault="00091D09" w:rsidP="00704B08">
      <w:pPr>
        <w:spacing w:line="360" w:lineRule="auto"/>
        <w:jc w:val="both"/>
        <w:rPr>
          <w:rFonts w:ascii="Arial Narrow" w:hAnsi="Arial Narrow" w:cs="Calibri"/>
          <w:b/>
          <w:bCs/>
          <w:color w:val="000000"/>
          <w:lang w:val="es-CR" w:eastAsia="es-CR"/>
        </w:rPr>
      </w:pPr>
    </w:p>
    <w:p w14:paraId="43924793" w14:textId="7C6A7EAB" w:rsidR="00DD3583" w:rsidRPr="00704B08" w:rsidRDefault="00774B59" w:rsidP="00704B08">
      <w:pPr>
        <w:spacing w:line="360" w:lineRule="auto"/>
        <w:jc w:val="both"/>
        <w:rPr>
          <w:rFonts w:ascii="Arial Narrow" w:hAnsi="Arial Narrow" w:cs="Calibri"/>
          <w:b/>
          <w:bCs/>
          <w:color w:val="000000"/>
          <w:lang w:val="es-CR" w:eastAsia="es-CR"/>
        </w:rPr>
      </w:pPr>
      <w:r>
        <w:rPr>
          <w:rFonts w:ascii="Arial Narrow" w:hAnsi="Arial Narrow" w:cs="Calibri"/>
          <w:color w:val="000000"/>
          <w:lang w:val="es-CR" w:eastAsia="es-CR"/>
        </w:rPr>
        <w:t>Con respecto a la</w:t>
      </w:r>
      <w:r w:rsidRPr="002E0B96">
        <w:rPr>
          <w:rFonts w:ascii="Arial Narrow" w:hAnsi="Arial Narrow" w:cs="Calibri"/>
          <w:color w:val="000000"/>
          <w:lang w:val="es-CR" w:eastAsia="es-CR"/>
        </w:rPr>
        <w:t xml:space="preserve"> meta estratégica</w:t>
      </w:r>
      <w:r>
        <w:rPr>
          <w:rFonts w:ascii="Arial Narrow" w:hAnsi="Arial Narrow" w:cs="Calibri"/>
          <w:b/>
          <w:bCs/>
          <w:color w:val="000000"/>
          <w:lang w:val="es-CR" w:eastAsia="es-CR"/>
        </w:rPr>
        <w:t xml:space="preserve"> “</w:t>
      </w:r>
      <w:r w:rsidR="00A5186A" w:rsidRPr="00704B08">
        <w:rPr>
          <w:rFonts w:ascii="Arial Narrow" w:hAnsi="Arial Narrow" w:cs="Calibri"/>
          <w:b/>
          <w:bCs/>
          <w:i/>
          <w:iCs/>
          <w:color w:val="000000"/>
          <w:lang w:val="es-CR" w:eastAsia="es-CR"/>
        </w:rPr>
        <w:t>Que al finalizar el 2024, se haya definido un plan para identificar e implementar aquellos servicios del Organismo de Investigación Judicial que puedan ser realizados en otras zonas del país</w:t>
      </w:r>
      <w:r>
        <w:rPr>
          <w:rFonts w:ascii="Arial Narrow" w:hAnsi="Arial Narrow" w:cs="Calibri"/>
          <w:b/>
          <w:bCs/>
          <w:color w:val="000000"/>
          <w:lang w:val="es-CR" w:eastAsia="es-CR"/>
        </w:rPr>
        <w:t>”</w:t>
      </w:r>
      <w:r w:rsidR="006114AE">
        <w:rPr>
          <w:rFonts w:ascii="Arial Narrow" w:hAnsi="Arial Narrow" w:cs="Calibri"/>
          <w:b/>
          <w:bCs/>
          <w:color w:val="000000"/>
          <w:lang w:val="es-CR" w:eastAsia="es-CR"/>
        </w:rPr>
        <w:t>,</w:t>
      </w:r>
      <w:r w:rsidR="00154B60">
        <w:rPr>
          <w:rFonts w:ascii="Arial Narrow" w:hAnsi="Arial Narrow" w:cs="Calibri"/>
          <w:b/>
          <w:bCs/>
          <w:color w:val="000000"/>
          <w:lang w:val="es-CR" w:eastAsia="es-CR"/>
        </w:rPr>
        <w:t xml:space="preserve"> </w:t>
      </w:r>
      <w:r>
        <w:rPr>
          <w:rFonts w:ascii="Arial Narrow" w:hAnsi="Arial Narrow"/>
          <w:lang w:val="es-CR" w:eastAsia="es-CR"/>
        </w:rPr>
        <w:t>d</w:t>
      </w:r>
      <w:r w:rsidR="008D3502" w:rsidRPr="00704B08">
        <w:rPr>
          <w:rFonts w:ascii="Arial Narrow" w:hAnsi="Arial Narrow"/>
          <w:lang w:val="es-CR" w:eastAsia="es-CR"/>
        </w:rPr>
        <w:t xml:space="preserve">entro de la información brindada </w:t>
      </w:r>
      <w:r w:rsidR="00154B60">
        <w:rPr>
          <w:rFonts w:ascii="Arial Narrow" w:hAnsi="Arial Narrow"/>
          <w:lang w:val="es-CR" w:eastAsia="es-CR"/>
        </w:rPr>
        <w:t xml:space="preserve">de los años 2019 y 2020 </w:t>
      </w:r>
      <w:r w:rsidR="008D3502" w:rsidRPr="00704B08">
        <w:rPr>
          <w:rFonts w:ascii="Arial Narrow" w:hAnsi="Arial Narrow"/>
          <w:lang w:val="es-CR" w:eastAsia="es-CR"/>
        </w:rPr>
        <w:t xml:space="preserve">por el Organismo de Investigación Judicial se observa que llevaron a </w:t>
      </w:r>
      <w:r w:rsidR="008D3502" w:rsidRPr="008D3502">
        <w:rPr>
          <w:rFonts w:ascii="Arial Narrow" w:hAnsi="Arial Narrow"/>
          <w:lang w:val="es-CR" w:eastAsia="es-CR"/>
        </w:rPr>
        <w:t>cabo un</w:t>
      </w:r>
      <w:r w:rsidR="00DD3583" w:rsidRPr="00704B08">
        <w:rPr>
          <w:rFonts w:ascii="Arial Narrow" w:hAnsi="Arial Narrow"/>
          <w:lang w:val="es-CR" w:eastAsia="es-CR"/>
        </w:rPr>
        <w:t xml:space="preserve"> diagnóstico para determinar aquellos servicios que se puedan descentralizar del OIJ.</w:t>
      </w:r>
      <w:r w:rsidR="008D3502" w:rsidRPr="00704B08">
        <w:rPr>
          <w:rFonts w:ascii="Arial Narrow" w:hAnsi="Arial Narrow"/>
        </w:rPr>
        <w:t xml:space="preserve"> Así mismo se incorpora la descentralización de los servicios de Patología Forense en San Carlos. Cabe mencionar que </w:t>
      </w:r>
      <w:r w:rsidR="008D3502" w:rsidRPr="008D3502">
        <w:rPr>
          <w:rFonts w:ascii="Arial Narrow" w:hAnsi="Arial Narrow"/>
        </w:rPr>
        <w:t>el proyecto</w:t>
      </w:r>
      <w:r w:rsidR="008D3502" w:rsidRPr="00704B08">
        <w:rPr>
          <w:rFonts w:ascii="Arial Narrow" w:hAnsi="Arial Narrow"/>
        </w:rPr>
        <w:t xml:space="preserve"> relacionado con la descentralización de los servicios que ofrece la Oficina de Planes y Operaciones para el año 2020 no fue aprobado por lo tanto el alcance del objetivo se centralizó únicamente en los servicios brindados por la Sección de Patología Forense.</w:t>
      </w:r>
    </w:p>
    <w:p w14:paraId="7C0FD5FB" w14:textId="0690FACB" w:rsidR="00A5186A" w:rsidRPr="00704B08" w:rsidRDefault="00A5186A" w:rsidP="00704B08">
      <w:pPr>
        <w:spacing w:line="360" w:lineRule="auto"/>
        <w:jc w:val="both"/>
        <w:rPr>
          <w:rFonts w:ascii="Arial Narrow" w:hAnsi="Arial Narrow" w:cs="Calibri"/>
          <w:b/>
          <w:bCs/>
          <w:color w:val="000000"/>
          <w:lang w:val="es-CR" w:eastAsia="es-CR"/>
        </w:rPr>
      </w:pPr>
    </w:p>
    <w:p w14:paraId="296BFDC0" w14:textId="77777777" w:rsidR="00154B60" w:rsidRDefault="00154B60" w:rsidP="00154B60">
      <w:pPr>
        <w:spacing w:line="360" w:lineRule="auto"/>
        <w:jc w:val="both"/>
        <w:rPr>
          <w:rFonts w:ascii="Arial Narrow" w:hAnsi="Arial Narrow" w:cs="Calibri"/>
          <w:b/>
          <w:bCs/>
          <w:color w:val="000000"/>
          <w:lang w:val="es-CR" w:eastAsia="es-CR"/>
        </w:rPr>
      </w:pPr>
    </w:p>
    <w:p w14:paraId="5D4FEBB1" w14:textId="1C8A5AC9" w:rsidR="00A5186A" w:rsidRPr="00704B08" w:rsidRDefault="00774B59">
      <w:pPr>
        <w:spacing w:line="360" w:lineRule="auto"/>
        <w:jc w:val="both"/>
        <w:rPr>
          <w:rFonts w:ascii="Arial Narrow" w:hAnsi="Arial Narrow" w:cs="Calibri"/>
          <w:b/>
          <w:bCs/>
          <w:color w:val="000000"/>
          <w:lang w:val="es-CR" w:eastAsia="es-CR"/>
        </w:rPr>
      </w:pPr>
      <w:r w:rsidRPr="002E0B96">
        <w:rPr>
          <w:rFonts w:ascii="Arial Narrow" w:hAnsi="Arial Narrow" w:cs="Calibri"/>
          <w:color w:val="000000"/>
          <w:lang w:val="es-CR" w:eastAsia="es-CR"/>
        </w:rPr>
        <w:t xml:space="preserve"> </w:t>
      </w:r>
      <w:r>
        <w:rPr>
          <w:rFonts w:ascii="Arial Narrow" w:hAnsi="Arial Narrow" w:cs="Calibri"/>
          <w:color w:val="000000"/>
          <w:lang w:val="es-CR" w:eastAsia="es-CR"/>
        </w:rPr>
        <w:t xml:space="preserve">La </w:t>
      </w:r>
      <w:r w:rsidRPr="002E0B96">
        <w:rPr>
          <w:rFonts w:ascii="Arial Narrow" w:hAnsi="Arial Narrow" w:cs="Calibri"/>
          <w:color w:val="000000"/>
          <w:lang w:val="es-CR" w:eastAsia="es-CR"/>
        </w:rPr>
        <w:t>meta estratégica</w:t>
      </w:r>
      <w:r>
        <w:rPr>
          <w:rFonts w:ascii="Arial Narrow" w:hAnsi="Arial Narrow" w:cs="Calibri"/>
          <w:b/>
          <w:bCs/>
          <w:color w:val="000000"/>
          <w:lang w:val="es-CR" w:eastAsia="es-CR"/>
        </w:rPr>
        <w:t xml:space="preserve"> “</w:t>
      </w:r>
      <w:r w:rsidR="00A5186A" w:rsidRPr="00704B08">
        <w:rPr>
          <w:rFonts w:ascii="Arial Narrow" w:hAnsi="Arial Narrow" w:cs="Calibri"/>
          <w:b/>
          <w:bCs/>
          <w:i/>
          <w:iCs/>
          <w:color w:val="000000"/>
          <w:lang w:val="es-CR" w:eastAsia="es-CR"/>
        </w:rPr>
        <w:t>Que al finalizar el 2024, se haya diseñado e implementado el plan para optimizar la calidad y capacidad de la respuesta técnica, administrativa y operativa para afrontar las diferentes manifestaciones de la criminalidad, que permita asegurar un servicio efectivo para cumplir con las necesidades y expectativas de las personas usuarias internas y externas</w:t>
      </w:r>
      <w:r>
        <w:rPr>
          <w:rFonts w:ascii="Arial Narrow" w:hAnsi="Arial Narrow" w:cs="Calibri"/>
          <w:b/>
          <w:bCs/>
          <w:color w:val="000000"/>
          <w:lang w:val="es-CR" w:eastAsia="es-CR"/>
        </w:rPr>
        <w:t>”</w:t>
      </w:r>
      <w:r w:rsidR="006114AE">
        <w:rPr>
          <w:rFonts w:ascii="Arial Narrow" w:hAnsi="Arial Narrow" w:cs="Calibri"/>
          <w:b/>
          <w:bCs/>
          <w:color w:val="000000"/>
          <w:lang w:val="es-CR" w:eastAsia="es-CR"/>
        </w:rPr>
        <w:t>,</w:t>
      </w:r>
      <w:r>
        <w:rPr>
          <w:rFonts w:ascii="Arial Narrow" w:hAnsi="Arial Narrow" w:cs="Calibri"/>
          <w:b/>
          <w:bCs/>
          <w:color w:val="000000"/>
          <w:lang w:val="es-CR" w:eastAsia="es-CR"/>
        </w:rPr>
        <w:t xml:space="preserve"> </w:t>
      </w:r>
      <w:r>
        <w:rPr>
          <w:rFonts w:ascii="Arial Narrow" w:hAnsi="Arial Narrow"/>
          <w:lang w:val="es-CR" w:eastAsia="es-CR"/>
        </w:rPr>
        <w:t>p</w:t>
      </w:r>
      <w:r w:rsidR="00441745">
        <w:rPr>
          <w:rFonts w:ascii="Arial Narrow" w:hAnsi="Arial Narrow"/>
          <w:lang w:val="es-CR" w:eastAsia="es-CR"/>
        </w:rPr>
        <w:t xml:space="preserve">ara los años 2019 y 2020 </w:t>
      </w:r>
      <w:r w:rsidR="00441745" w:rsidRPr="00704B08">
        <w:rPr>
          <w:rFonts w:ascii="Arial Narrow" w:hAnsi="Arial Narrow"/>
          <w:lang w:val="es-CR" w:eastAsia="es-CR"/>
        </w:rPr>
        <w:t>por parte de diversas oficinas del OIJ</w:t>
      </w:r>
      <w:r w:rsidR="00247908">
        <w:rPr>
          <w:rFonts w:ascii="Arial Narrow" w:hAnsi="Arial Narrow"/>
          <w:lang w:val="es-CR" w:eastAsia="es-CR"/>
        </w:rPr>
        <w:t xml:space="preserve">, </w:t>
      </w:r>
      <w:r w:rsidR="00441745">
        <w:rPr>
          <w:rFonts w:ascii="Arial Narrow" w:hAnsi="Arial Narrow"/>
          <w:lang w:val="es-CR" w:eastAsia="es-CR"/>
        </w:rPr>
        <w:t xml:space="preserve">se trabajó en un </w:t>
      </w:r>
      <w:r w:rsidR="00441745" w:rsidRPr="00441745">
        <w:rPr>
          <w:rFonts w:ascii="Arial Narrow" w:hAnsi="Arial Narrow"/>
          <w:lang w:val="es-CR" w:eastAsia="es-CR"/>
        </w:rPr>
        <w:t>diagnóstico</w:t>
      </w:r>
      <w:r w:rsidR="00247908">
        <w:rPr>
          <w:rFonts w:ascii="Arial Narrow" w:hAnsi="Arial Narrow"/>
          <w:lang w:val="es-CR" w:eastAsia="es-CR"/>
        </w:rPr>
        <w:t xml:space="preserve"> completo del 100% de todas las oficinas</w:t>
      </w:r>
      <w:r w:rsidR="00441745">
        <w:rPr>
          <w:rFonts w:ascii="Arial Narrow" w:hAnsi="Arial Narrow"/>
          <w:lang w:val="es-CR" w:eastAsia="es-CR"/>
        </w:rPr>
        <w:t xml:space="preserve"> con el </w:t>
      </w:r>
      <w:r w:rsidR="00441745" w:rsidRPr="00441745">
        <w:rPr>
          <w:rFonts w:ascii="Arial Narrow" w:hAnsi="Arial Narrow"/>
          <w:lang w:val="es-CR" w:eastAsia="es-CR"/>
        </w:rPr>
        <w:t>fin</w:t>
      </w:r>
      <w:r w:rsidR="00441745" w:rsidRPr="00704B08">
        <w:rPr>
          <w:rFonts w:ascii="Arial Narrow" w:hAnsi="Arial Narrow"/>
          <w:lang w:val="es-CR" w:eastAsia="es-CR"/>
        </w:rPr>
        <w:t xml:space="preserve"> de determinar cuáles son sus necesidades.</w:t>
      </w:r>
      <w:r w:rsidR="00441745">
        <w:rPr>
          <w:rFonts w:ascii="Arial Narrow" w:hAnsi="Arial Narrow"/>
          <w:lang w:val="es-CR" w:eastAsia="es-CR"/>
        </w:rPr>
        <w:t xml:space="preserve"> Simultáneamente</w:t>
      </w:r>
      <w:r w:rsidR="00247908">
        <w:rPr>
          <w:rFonts w:ascii="Arial Narrow" w:hAnsi="Arial Narrow"/>
          <w:lang w:val="es-CR" w:eastAsia="es-CR"/>
        </w:rPr>
        <w:t>,</w:t>
      </w:r>
      <w:r w:rsidR="00441745">
        <w:rPr>
          <w:rFonts w:ascii="Arial Narrow" w:hAnsi="Arial Narrow"/>
          <w:lang w:val="es-CR" w:eastAsia="es-CR"/>
        </w:rPr>
        <w:t xml:space="preserve"> se realizaron </w:t>
      </w:r>
      <w:r w:rsidR="00441745" w:rsidRPr="00704B08">
        <w:rPr>
          <w:rFonts w:ascii="Arial Narrow" w:hAnsi="Arial Narrow"/>
        </w:rPr>
        <w:t>trabajos</w:t>
      </w:r>
      <w:r w:rsidR="008D3502" w:rsidRPr="00704B08">
        <w:rPr>
          <w:rFonts w:ascii="Arial Narrow" w:hAnsi="Arial Narrow"/>
        </w:rPr>
        <w:t xml:space="preserve"> orientados a la investigación de objetivos </w:t>
      </w:r>
      <w:r w:rsidR="00441745">
        <w:rPr>
          <w:rFonts w:ascii="Arial Narrow" w:hAnsi="Arial Narrow"/>
        </w:rPr>
        <w:t>r</w:t>
      </w:r>
      <w:r w:rsidR="008D3502" w:rsidRPr="00704B08">
        <w:rPr>
          <w:rFonts w:ascii="Arial Narrow" w:hAnsi="Arial Narrow"/>
        </w:rPr>
        <w:t>elacionados con el crimen organizado</w:t>
      </w:r>
      <w:r w:rsidR="00441745">
        <w:rPr>
          <w:rFonts w:ascii="Arial Narrow" w:hAnsi="Arial Narrow"/>
        </w:rPr>
        <w:t>.</w:t>
      </w:r>
    </w:p>
    <w:p w14:paraId="569F0198" w14:textId="77777777" w:rsidR="009D5823" w:rsidRDefault="009D5823" w:rsidP="00441745">
      <w:pPr>
        <w:spacing w:line="360" w:lineRule="auto"/>
        <w:jc w:val="both"/>
        <w:rPr>
          <w:rFonts w:ascii="Arial Narrow" w:hAnsi="Arial Narrow"/>
        </w:rPr>
        <w:sectPr w:rsidR="009D5823" w:rsidSect="009D5823">
          <w:pgSz w:w="12242" w:h="15842" w:code="1"/>
          <w:pgMar w:top="1701" w:right="1417" w:bottom="1701" w:left="1417" w:header="709" w:footer="709" w:gutter="0"/>
          <w:cols w:space="708"/>
          <w:docGrid w:linePitch="360"/>
        </w:sectPr>
      </w:pPr>
    </w:p>
    <w:p w14:paraId="78F95CE5" w14:textId="693CA551" w:rsidR="00C27EA7" w:rsidRDefault="00C27EA7" w:rsidP="00441745">
      <w:pPr>
        <w:spacing w:line="360" w:lineRule="auto"/>
        <w:jc w:val="both"/>
        <w:rPr>
          <w:rFonts w:ascii="Arial Narrow" w:hAnsi="Arial Narrow"/>
        </w:rPr>
      </w:pPr>
    </w:p>
    <w:p w14:paraId="67223BBE" w14:textId="6CC8FA9B" w:rsidR="009E6DA2" w:rsidRDefault="009E6DA2" w:rsidP="00154B60">
      <w:pPr>
        <w:pStyle w:val="Descripcin"/>
        <w:jc w:val="center"/>
        <w:rPr>
          <w:rFonts w:ascii="Arial Narrow" w:eastAsia="Calibri" w:hAnsi="Arial Narrow"/>
          <w:sz w:val="24"/>
          <w:szCs w:val="24"/>
        </w:rPr>
      </w:pPr>
      <w:bookmarkStart w:id="83" w:name="_Toc76062272"/>
      <w:r w:rsidRPr="00484CC1">
        <w:rPr>
          <w:rFonts w:ascii="Arial Narrow" w:hAnsi="Arial Narrow"/>
          <w:sz w:val="24"/>
          <w:szCs w:val="24"/>
        </w:rPr>
        <w:t>Cuadro</w:t>
      </w:r>
      <w:r>
        <w:rPr>
          <w:rFonts w:ascii="Arial Narrow" w:hAnsi="Arial Narrow"/>
          <w:sz w:val="24"/>
          <w:szCs w:val="24"/>
        </w:rPr>
        <w:t xml:space="preserve"> </w:t>
      </w:r>
      <w:r w:rsidRPr="00484CC1">
        <w:rPr>
          <w:rFonts w:ascii="Arial Narrow" w:hAnsi="Arial Narrow"/>
          <w:sz w:val="24"/>
          <w:szCs w:val="24"/>
        </w:rPr>
        <w:fldChar w:fldCharType="begin"/>
      </w:r>
      <w:r w:rsidRPr="00484CC1">
        <w:rPr>
          <w:rFonts w:ascii="Arial Narrow" w:hAnsi="Arial Narrow"/>
          <w:sz w:val="24"/>
          <w:szCs w:val="24"/>
        </w:rPr>
        <w:instrText xml:space="preserve"> SEQ Cuadro_No. \* ARABIC </w:instrText>
      </w:r>
      <w:r w:rsidRPr="00484CC1">
        <w:rPr>
          <w:rFonts w:ascii="Arial Narrow" w:hAnsi="Arial Narrow"/>
          <w:sz w:val="24"/>
          <w:szCs w:val="24"/>
        </w:rPr>
        <w:fldChar w:fldCharType="separate"/>
      </w:r>
      <w:r w:rsidR="009D5823">
        <w:rPr>
          <w:rFonts w:ascii="Arial Narrow" w:hAnsi="Arial Narrow"/>
          <w:noProof/>
          <w:sz w:val="24"/>
          <w:szCs w:val="24"/>
        </w:rPr>
        <w:t>49</w:t>
      </w:r>
      <w:r w:rsidRPr="00484CC1">
        <w:rPr>
          <w:rFonts w:ascii="Arial Narrow" w:hAnsi="Arial Narrow"/>
          <w:sz w:val="24"/>
          <w:szCs w:val="24"/>
        </w:rPr>
        <w:fldChar w:fldCharType="end"/>
      </w:r>
      <w:r w:rsidRPr="00484CC1">
        <w:rPr>
          <w:rFonts w:ascii="Arial Narrow" w:hAnsi="Arial Narrow"/>
          <w:sz w:val="24"/>
          <w:szCs w:val="24"/>
        </w:rPr>
        <w:t xml:space="preserve"> </w:t>
      </w:r>
      <w:r w:rsidRPr="00D657CE">
        <w:rPr>
          <w:rFonts w:ascii="Arial Narrow" w:eastAsia="Calibri" w:hAnsi="Arial Narrow"/>
          <w:sz w:val="24"/>
          <w:szCs w:val="24"/>
        </w:rPr>
        <w:t>Metas estratégicas de Desarrollo y optimización de servicios y procesos judiciales, y su cumplimiento para el 2019</w:t>
      </w:r>
      <w:r>
        <w:rPr>
          <w:rFonts w:ascii="Arial Narrow" w:eastAsia="Calibri" w:hAnsi="Arial Narrow"/>
          <w:sz w:val="24"/>
          <w:szCs w:val="24"/>
        </w:rPr>
        <w:t xml:space="preserve"> y 2020.</w:t>
      </w:r>
      <w:bookmarkEnd w:id="83"/>
    </w:p>
    <w:p w14:paraId="2A6CE2D8" w14:textId="77777777" w:rsidR="009E73BD" w:rsidRDefault="009E73BD" w:rsidP="009E73BD">
      <w:pPr>
        <w:rPr>
          <w:noProof/>
        </w:rPr>
      </w:pPr>
    </w:p>
    <w:p w14:paraId="49814778" w14:textId="428604A4" w:rsidR="009E73BD" w:rsidRPr="00704B08" w:rsidRDefault="009E73BD">
      <w:pPr>
        <w:rPr>
          <w:rFonts w:eastAsia="Calibri"/>
        </w:rPr>
      </w:pPr>
      <w:r>
        <w:rPr>
          <w:noProof/>
          <w:lang w:val="es-CR" w:eastAsia="es-CR"/>
        </w:rPr>
        <w:drawing>
          <wp:inline distT="0" distB="0" distL="0" distR="0" wp14:anchorId="6E16EBAD" wp14:editId="44BF0897">
            <wp:extent cx="7848264" cy="2686050"/>
            <wp:effectExtent l="57150" t="57150" r="95885" b="95250"/>
            <wp:docPr id="181" name="Imagen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1"/>
                    <a:srcRect r="643"/>
                    <a:stretch/>
                  </pic:blipFill>
                  <pic:spPr bwMode="auto">
                    <a:xfrm>
                      <a:off x="0" y="0"/>
                      <a:ext cx="7857591" cy="2689242"/>
                    </a:xfrm>
                    <a:prstGeom prst="rect">
                      <a:avLst/>
                    </a:prstGeom>
                    <a:ln w="9525" cap="sq">
                      <a:solidFill>
                        <a:srgbClr val="00B0F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275AE77A" w14:textId="6311C858" w:rsidR="009E6DA2" w:rsidRDefault="009E6DA2" w:rsidP="009E6DA2">
      <w:pPr>
        <w:rPr>
          <w:rFonts w:ascii="Arial Narrow" w:eastAsia="Calibri" w:hAnsi="Arial Narrow"/>
          <w:lang w:eastAsia="en-US"/>
        </w:rPr>
      </w:pPr>
    </w:p>
    <w:p w14:paraId="702D9181" w14:textId="77777777" w:rsidR="009E6DA2" w:rsidRDefault="009E6DA2" w:rsidP="009E6DA2">
      <w:pPr>
        <w:rPr>
          <w:rFonts w:ascii="Arial Narrow" w:eastAsia="Calibri" w:hAnsi="Arial Narrow"/>
          <w:lang w:eastAsia="en-US"/>
        </w:rPr>
      </w:pPr>
    </w:p>
    <w:p w14:paraId="1F33F2B5" w14:textId="77777777" w:rsidR="009E6DA2" w:rsidRDefault="009E6DA2" w:rsidP="009E6DA2">
      <w:pPr>
        <w:ind w:left="-142" w:firstLine="850"/>
        <w:rPr>
          <w:rFonts w:ascii="Arial Narrow" w:eastAsia="Calibri" w:hAnsi="Arial Narrow"/>
          <w:sz w:val="18"/>
          <w:szCs w:val="18"/>
          <w:lang w:eastAsia="en-US"/>
        </w:rPr>
      </w:pPr>
      <w:r w:rsidRPr="000B4845">
        <w:rPr>
          <w:rFonts w:ascii="Arial Narrow" w:eastAsia="Calibri" w:hAnsi="Arial Narrow"/>
          <w:sz w:val="18"/>
          <w:szCs w:val="18"/>
          <w:lang w:eastAsia="en-US"/>
        </w:rPr>
        <w:t>Fuente: Sistema PEI al 24 de enero del 2020 (año 2019)</w:t>
      </w:r>
      <w:r>
        <w:rPr>
          <w:rFonts w:ascii="Arial Narrow" w:eastAsia="Calibri" w:hAnsi="Arial Narrow"/>
          <w:sz w:val="18"/>
          <w:szCs w:val="18"/>
          <w:lang w:eastAsia="en-US"/>
        </w:rPr>
        <w:t xml:space="preserve"> y 04 de marzo del 2021 (año 2020).</w:t>
      </w:r>
    </w:p>
    <w:p w14:paraId="1BD77775" w14:textId="77777777" w:rsidR="009D5823" w:rsidRDefault="009D5823">
      <w:pPr>
        <w:spacing w:line="360" w:lineRule="auto"/>
        <w:jc w:val="both"/>
        <w:rPr>
          <w:rFonts w:ascii="Arial Narrow" w:hAnsi="Arial Narrow" w:cs="Calibri"/>
          <w:b/>
          <w:bCs/>
          <w:color w:val="000000"/>
          <w:lang w:val="es-CR" w:eastAsia="es-CR"/>
        </w:rPr>
        <w:sectPr w:rsidR="009D5823" w:rsidSect="009D5823">
          <w:pgSz w:w="15842" w:h="12242" w:orient="landscape" w:code="1"/>
          <w:pgMar w:top="1417" w:right="1701" w:bottom="1417" w:left="1701" w:header="709" w:footer="709" w:gutter="0"/>
          <w:cols w:space="708"/>
          <w:docGrid w:linePitch="360"/>
        </w:sectPr>
      </w:pPr>
    </w:p>
    <w:p w14:paraId="17CFC375" w14:textId="6DEF9942" w:rsidR="00441745" w:rsidRDefault="00441745">
      <w:pPr>
        <w:spacing w:line="360" w:lineRule="auto"/>
        <w:jc w:val="both"/>
        <w:rPr>
          <w:rFonts w:ascii="Arial Narrow" w:hAnsi="Arial Narrow" w:cs="Calibri"/>
          <w:b/>
          <w:bCs/>
          <w:color w:val="000000"/>
          <w:lang w:val="es-CR" w:eastAsia="es-CR"/>
        </w:rPr>
      </w:pPr>
    </w:p>
    <w:p w14:paraId="242CACB1" w14:textId="77777777" w:rsidR="006114AE" w:rsidRDefault="006114AE">
      <w:pPr>
        <w:spacing w:line="360" w:lineRule="auto"/>
        <w:jc w:val="both"/>
        <w:rPr>
          <w:rFonts w:ascii="Arial Narrow" w:hAnsi="Arial Narrow" w:cs="Calibri"/>
          <w:color w:val="000000"/>
          <w:lang w:val="es-CR" w:eastAsia="es-CR"/>
        </w:rPr>
      </w:pPr>
    </w:p>
    <w:p w14:paraId="040E8104" w14:textId="77777777" w:rsidR="006114AE" w:rsidRDefault="006114AE">
      <w:pPr>
        <w:spacing w:line="360" w:lineRule="auto"/>
        <w:jc w:val="both"/>
        <w:rPr>
          <w:rFonts w:ascii="Arial Narrow" w:hAnsi="Arial Narrow" w:cs="Calibri"/>
          <w:color w:val="000000"/>
          <w:lang w:val="es-CR" w:eastAsia="es-CR"/>
        </w:rPr>
      </w:pPr>
    </w:p>
    <w:p w14:paraId="0CA558DC" w14:textId="77777777" w:rsidR="006114AE" w:rsidRDefault="006114AE">
      <w:pPr>
        <w:spacing w:line="360" w:lineRule="auto"/>
        <w:jc w:val="both"/>
        <w:rPr>
          <w:rFonts w:ascii="Arial Narrow" w:hAnsi="Arial Narrow" w:cs="Calibri"/>
          <w:color w:val="000000"/>
          <w:lang w:val="es-CR" w:eastAsia="es-CR"/>
        </w:rPr>
      </w:pPr>
    </w:p>
    <w:p w14:paraId="14F36D08" w14:textId="3B782EBA" w:rsidR="00DD4259" w:rsidRPr="00704B08" w:rsidRDefault="00774B59">
      <w:pPr>
        <w:spacing w:line="360" w:lineRule="auto"/>
        <w:jc w:val="both"/>
        <w:rPr>
          <w:rFonts w:ascii="Arial Narrow" w:hAnsi="Arial Narrow" w:cs="Calibri"/>
          <w:b/>
          <w:bCs/>
          <w:color w:val="000000"/>
          <w:lang w:val="es-CR" w:eastAsia="es-CR"/>
        </w:rPr>
      </w:pPr>
      <w:r>
        <w:rPr>
          <w:rFonts w:ascii="Arial Narrow" w:hAnsi="Arial Narrow" w:cs="Calibri"/>
          <w:color w:val="000000"/>
          <w:lang w:val="es-CR" w:eastAsia="es-CR"/>
        </w:rPr>
        <w:t xml:space="preserve">Con respecto a la </w:t>
      </w:r>
      <w:r w:rsidRPr="002E0B96">
        <w:rPr>
          <w:rFonts w:ascii="Arial Narrow" w:hAnsi="Arial Narrow" w:cs="Calibri"/>
          <w:color w:val="000000"/>
          <w:lang w:val="es-CR" w:eastAsia="es-CR"/>
        </w:rPr>
        <w:t>meta estratégica</w:t>
      </w:r>
      <w:r>
        <w:rPr>
          <w:rFonts w:ascii="Arial Narrow" w:hAnsi="Arial Narrow" w:cs="Calibri"/>
          <w:b/>
          <w:bCs/>
          <w:color w:val="000000"/>
          <w:lang w:val="es-CR" w:eastAsia="es-CR"/>
        </w:rPr>
        <w:t xml:space="preserve"> “</w:t>
      </w:r>
      <w:r w:rsidR="00A5186A" w:rsidRPr="00704B08">
        <w:rPr>
          <w:rFonts w:ascii="Arial Narrow" w:hAnsi="Arial Narrow" w:cs="Calibri"/>
          <w:b/>
          <w:bCs/>
          <w:i/>
          <w:iCs/>
          <w:color w:val="000000"/>
          <w:lang w:val="es-CR" w:eastAsia="es-CR"/>
        </w:rPr>
        <w:t>Que al finalizar el 2024, se haya estandarizado, sistematizado y automatizado al menos 3 procesos manuales identificados del Organismo de Investigación Judicial</w:t>
      </w:r>
      <w:r w:rsidRPr="00704B08">
        <w:rPr>
          <w:rFonts w:ascii="Arial Narrow" w:hAnsi="Arial Narrow" w:cs="Calibri"/>
          <w:b/>
          <w:bCs/>
          <w:i/>
          <w:iCs/>
          <w:color w:val="000000"/>
          <w:lang w:val="es-CR" w:eastAsia="es-CR"/>
        </w:rPr>
        <w:t>”</w:t>
      </w:r>
      <w:r w:rsidR="006114AE">
        <w:rPr>
          <w:rFonts w:ascii="Arial Narrow" w:hAnsi="Arial Narrow" w:cs="Calibri"/>
          <w:b/>
          <w:bCs/>
          <w:color w:val="000000"/>
          <w:lang w:val="es-CR" w:eastAsia="es-CR"/>
        </w:rPr>
        <w:t xml:space="preserve">, </w:t>
      </w:r>
      <w:r>
        <w:rPr>
          <w:rFonts w:ascii="Arial Narrow" w:hAnsi="Arial Narrow"/>
          <w:lang w:val="es-CR" w:eastAsia="es-CR"/>
        </w:rPr>
        <w:t>e</w:t>
      </w:r>
      <w:r w:rsidR="00037369" w:rsidRPr="00704B08">
        <w:rPr>
          <w:rFonts w:ascii="Arial Narrow" w:hAnsi="Arial Narrow"/>
          <w:lang w:val="es-CR" w:eastAsia="es-CR"/>
        </w:rPr>
        <w:t xml:space="preserve">n cumplimiento con meta estratégica </w:t>
      </w:r>
      <w:r w:rsidR="00247908" w:rsidRPr="00704B08">
        <w:rPr>
          <w:rFonts w:ascii="Arial Narrow" w:hAnsi="Arial Narrow"/>
          <w:lang w:val="es-CR" w:eastAsia="es-CR"/>
        </w:rPr>
        <w:t>la Unidad de</w:t>
      </w:r>
      <w:r w:rsidR="00037369">
        <w:rPr>
          <w:rFonts w:ascii="Arial Narrow" w:hAnsi="Arial Narrow"/>
          <w:lang w:val="es-CR" w:eastAsia="es-CR"/>
        </w:rPr>
        <w:t xml:space="preserve"> </w:t>
      </w:r>
      <w:r w:rsidR="00247908" w:rsidRPr="00704B08">
        <w:rPr>
          <w:rFonts w:ascii="Arial Narrow" w:hAnsi="Arial Narrow"/>
          <w:lang w:val="es-CR" w:eastAsia="es-CR"/>
        </w:rPr>
        <w:t>Supervisión implement</w:t>
      </w:r>
      <w:r w:rsidR="00037369" w:rsidRPr="00704B08">
        <w:rPr>
          <w:rFonts w:ascii="Arial Narrow" w:hAnsi="Arial Narrow"/>
          <w:lang w:val="es-CR" w:eastAsia="es-CR"/>
        </w:rPr>
        <w:t>ó</w:t>
      </w:r>
      <w:r w:rsidR="00247908" w:rsidRPr="00704B08">
        <w:rPr>
          <w:rFonts w:ascii="Arial Narrow" w:hAnsi="Arial Narrow"/>
          <w:lang w:val="es-CR" w:eastAsia="es-CR"/>
        </w:rPr>
        <w:t xml:space="preserve"> a nivel nacional el Sistema de Controles Administrativos (SISCOA) en todas</w:t>
      </w:r>
      <w:r w:rsidR="00037369">
        <w:rPr>
          <w:rFonts w:ascii="Arial Narrow" w:hAnsi="Arial Narrow"/>
          <w:lang w:val="es-CR" w:eastAsia="es-CR"/>
        </w:rPr>
        <w:t xml:space="preserve"> </w:t>
      </w:r>
      <w:r w:rsidR="00247908" w:rsidRPr="00704B08">
        <w:rPr>
          <w:rFonts w:ascii="Arial Narrow" w:hAnsi="Arial Narrow"/>
          <w:lang w:val="es-CR" w:eastAsia="es-CR"/>
        </w:rPr>
        <w:t>las sedes policiales que conforman el Organismo de Investigación Judicial, esto con la</w:t>
      </w:r>
      <w:r w:rsidR="00037369">
        <w:rPr>
          <w:rFonts w:ascii="Arial Narrow" w:hAnsi="Arial Narrow"/>
          <w:lang w:val="es-CR" w:eastAsia="es-CR"/>
        </w:rPr>
        <w:t xml:space="preserve"> f</w:t>
      </w:r>
      <w:r w:rsidR="00247908" w:rsidRPr="00704B08">
        <w:rPr>
          <w:rFonts w:ascii="Arial Narrow" w:hAnsi="Arial Narrow"/>
          <w:lang w:val="es-CR" w:eastAsia="es-CR"/>
        </w:rPr>
        <w:t>inalidad</w:t>
      </w:r>
      <w:r w:rsidR="00037369">
        <w:rPr>
          <w:rFonts w:ascii="Arial Narrow" w:hAnsi="Arial Narrow"/>
          <w:lang w:val="es-CR" w:eastAsia="es-CR"/>
        </w:rPr>
        <w:t xml:space="preserve"> </w:t>
      </w:r>
      <w:r w:rsidR="00247908" w:rsidRPr="00704B08">
        <w:rPr>
          <w:rFonts w:ascii="Arial Narrow" w:hAnsi="Arial Narrow"/>
          <w:lang w:val="es-CR" w:eastAsia="es-CR"/>
        </w:rPr>
        <w:t>de realizar la ejecución de las supervisiones ordinarias de manera digital y así</w:t>
      </w:r>
      <w:r w:rsidR="00037369">
        <w:rPr>
          <w:rFonts w:ascii="Arial Narrow" w:hAnsi="Arial Narrow"/>
          <w:lang w:val="es-CR" w:eastAsia="es-CR"/>
        </w:rPr>
        <w:t xml:space="preserve"> </w:t>
      </w:r>
      <w:r w:rsidR="00247908" w:rsidRPr="00704B08">
        <w:rPr>
          <w:rFonts w:ascii="Arial Narrow" w:hAnsi="Arial Narrow"/>
          <w:lang w:val="es-CR" w:eastAsia="es-CR"/>
        </w:rPr>
        <w:t>facilitar las labores tanto de las jefaturas, como del personal administrativo y de</w:t>
      </w:r>
      <w:r w:rsidR="00037369">
        <w:rPr>
          <w:rFonts w:ascii="Arial Narrow" w:hAnsi="Arial Narrow"/>
          <w:lang w:val="es-CR" w:eastAsia="es-CR"/>
        </w:rPr>
        <w:t xml:space="preserve"> </w:t>
      </w:r>
      <w:r w:rsidR="00247908" w:rsidRPr="00704B08">
        <w:rPr>
          <w:rFonts w:ascii="Arial Narrow" w:hAnsi="Arial Narrow"/>
          <w:lang w:val="es-CR" w:eastAsia="es-CR"/>
        </w:rPr>
        <w:t>investigación</w:t>
      </w:r>
      <w:r w:rsidR="00037369" w:rsidRPr="00704B08">
        <w:rPr>
          <w:rFonts w:ascii="Arial Narrow" w:hAnsi="Arial Narrow"/>
          <w:lang w:val="es-CR" w:eastAsia="es-CR"/>
        </w:rPr>
        <w:t>.</w:t>
      </w:r>
    </w:p>
    <w:p w14:paraId="2A4CA4FA" w14:textId="58BBCBDC" w:rsidR="00247908" w:rsidRDefault="00247908">
      <w:pPr>
        <w:spacing w:line="360" w:lineRule="auto"/>
        <w:jc w:val="both"/>
        <w:rPr>
          <w:rFonts w:ascii="Arial Narrow" w:eastAsia="Calibri" w:hAnsi="Arial Narrow"/>
          <w:lang w:eastAsia="en-US"/>
        </w:rPr>
      </w:pPr>
    </w:p>
    <w:p w14:paraId="7CAF0455" w14:textId="5EE815D4" w:rsidR="00037369" w:rsidRDefault="00774B59">
      <w:pPr>
        <w:spacing w:line="360" w:lineRule="auto"/>
        <w:jc w:val="both"/>
        <w:rPr>
          <w:rFonts w:ascii="Arial Narrow" w:hAnsi="Arial Narrow"/>
        </w:rPr>
      </w:pPr>
      <w:r>
        <w:rPr>
          <w:rFonts w:ascii="Arial Narrow" w:hAnsi="Arial Narrow" w:cs="Calibri"/>
          <w:color w:val="000000"/>
          <w:lang w:val="es-CR" w:eastAsia="es-CR"/>
        </w:rPr>
        <w:t xml:space="preserve">La </w:t>
      </w:r>
      <w:r w:rsidRPr="002E0B96">
        <w:rPr>
          <w:rFonts w:ascii="Arial Narrow" w:hAnsi="Arial Narrow" w:cs="Calibri"/>
          <w:color w:val="000000"/>
          <w:lang w:val="es-CR" w:eastAsia="es-CR"/>
        </w:rPr>
        <w:t>meta estratégica</w:t>
      </w:r>
      <w:r>
        <w:rPr>
          <w:rFonts w:ascii="Arial Narrow" w:hAnsi="Arial Narrow" w:cs="Calibri"/>
          <w:b/>
          <w:bCs/>
          <w:color w:val="000000"/>
          <w:lang w:val="es-CR" w:eastAsia="es-CR"/>
        </w:rPr>
        <w:t xml:space="preserve"> </w:t>
      </w:r>
      <w:r w:rsidRPr="00704B08">
        <w:rPr>
          <w:rFonts w:ascii="Arial Narrow" w:hAnsi="Arial Narrow" w:cs="Calibri"/>
          <w:b/>
          <w:bCs/>
          <w:i/>
          <w:iCs/>
          <w:color w:val="000000"/>
          <w:lang w:val="es-CR" w:eastAsia="es-CR"/>
        </w:rPr>
        <w:t>“</w:t>
      </w:r>
      <w:r w:rsidR="00A5186A" w:rsidRPr="00704B08">
        <w:rPr>
          <w:rFonts w:ascii="Arial Narrow" w:hAnsi="Arial Narrow" w:cs="Calibri"/>
          <w:b/>
          <w:bCs/>
          <w:i/>
          <w:iCs/>
          <w:color w:val="000000"/>
          <w:lang w:val="es-CR" w:eastAsia="es-CR"/>
        </w:rPr>
        <w:t>Que al finalizar el 2024, se cuente con la política rectora para la gestión de las personas que laboran en el Poder Judicial</w:t>
      </w:r>
      <w:r>
        <w:rPr>
          <w:rFonts w:ascii="Arial Narrow" w:hAnsi="Arial Narrow" w:cs="Calibri"/>
          <w:b/>
          <w:bCs/>
          <w:color w:val="000000"/>
          <w:lang w:val="es-CR" w:eastAsia="es-CR"/>
        </w:rPr>
        <w:t>”</w:t>
      </w:r>
      <w:r w:rsidR="006114AE">
        <w:rPr>
          <w:rFonts w:ascii="Arial Narrow" w:hAnsi="Arial Narrow" w:cs="Calibri"/>
          <w:b/>
          <w:bCs/>
          <w:color w:val="000000"/>
          <w:lang w:val="es-CR" w:eastAsia="es-CR"/>
        </w:rPr>
        <w:t>,</w:t>
      </w:r>
      <w:r>
        <w:rPr>
          <w:rFonts w:ascii="Arial Narrow" w:hAnsi="Arial Narrow" w:cs="Calibri"/>
          <w:b/>
          <w:bCs/>
          <w:color w:val="000000"/>
          <w:lang w:val="es-CR" w:eastAsia="es-CR"/>
        </w:rPr>
        <w:t xml:space="preserve"> </w:t>
      </w:r>
      <w:r>
        <w:rPr>
          <w:rFonts w:ascii="Arial Narrow" w:hAnsi="Arial Narrow"/>
        </w:rPr>
        <w:t>l</w:t>
      </w:r>
      <w:r w:rsidR="00515ECF" w:rsidRPr="00704B08">
        <w:rPr>
          <w:rFonts w:ascii="Arial Narrow" w:hAnsi="Arial Narrow"/>
        </w:rPr>
        <w:t xml:space="preserve">a Dirección de Gestión Humana </w:t>
      </w:r>
      <w:r w:rsidR="00421AB8" w:rsidRPr="00704B08">
        <w:rPr>
          <w:rFonts w:ascii="Arial Narrow" w:hAnsi="Arial Narrow"/>
        </w:rPr>
        <w:t xml:space="preserve">elaboró un informe </w:t>
      </w:r>
      <w:r w:rsidR="00515ECF" w:rsidRPr="00704B08">
        <w:rPr>
          <w:rFonts w:ascii="Arial Narrow" w:hAnsi="Arial Narrow" w:cs="Calibri"/>
          <w:color w:val="000000"/>
          <w:lang w:val="es-CR" w:eastAsia="es-CR"/>
        </w:rPr>
        <w:t xml:space="preserve">con la política rectora para la gestión de las personas que laboran en el Poder </w:t>
      </w:r>
      <w:r w:rsidR="00515ECF" w:rsidRPr="00515ECF">
        <w:rPr>
          <w:rFonts w:ascii="Arial Narrow" w:hAnsi="Arial Narrow" w:cs="Calibri"/>
          <w:color w:val="000000"/>
          <w:lang w:val="es-CR" w:eastAsia="es-CR"/>
        </w:rPr>
        <w:t>Judicial</w:t>
      </w:r>
      <w:r w:rsidR="00515ECF" w:rsidRPr="00704B08">
        <w:rPr>
          <w:rFonts w:ascii="Arial Narrow" w:hAnsi="Arial Narrow"/>
        </w:rPr>
        <w:t xml:space="preserve">. Al respecto se indica </w:t>
      </w:r>
      <w:r w:rsidR="00421AB8" w:rsidRPr="00704B08">
        <w:rPr>
          <w:rFonts w:ascii="Arial Narrow" w:hAnsi="Arial Narrow"/>
        </w:rPr>
        <w:t>La Política Rectora, es un documento susceptible a los cambios que se generan en el entorno como la ley 9635, Ley de Empleo Público, entre otras.</w:t>
      </w:r>
      <w:r w:rsidR="00515ECF" w:rsidRPr="00704B08">
        <w:rPr>
          <w:rFonts w:ascii="Arial Narrow" w:hAnsi="Arial Narrow"/>
        </w:rPr>
        <w:t xml:space="preserve"> De acuerdo con la evidencia brindada por la Dirección de Gestión Humana </w:t>
      </w:r>
      <w:r w:rsidR="00515ECF">
        <w:rPr>
          <w:rFonts w:ascii="Arial Narrow" w:hAnsi="Arial Narrow"/>
        </w:rPr>
        <w:t>se tiene un estado de cumplimiento del 100% de esta meta estratégica.</w:t>
      </w:r>
    </w:p>
    <w:p w14:paraId="4B696603" w14:textId="257B5DA1" w:rsidR="00461274" w:rsidRDefault="00461274">
      <w:pPr>
        <w:spacing w:line="360" w:lineRule="auto"/>
        <w:jc w:val="both"/>
        <w:rPr>
          <w:rFonts w:ascii="Arial Narrow" w:hAnsi="Arial Narrow"/>
        </w:rPr>
      </w:pPr>
    </w:p>
    <w:p w14:paraId="3D9F4713" w14:textId="77777777" w:rsidR="009D5823" w:rsidRDefault="009D5823">
      <w:pPr>
        <w:spacing w:line="360" w:lineRule="auto"/>
        <w:jc w:val="both"/>
        <w:rPr>
          <w:rFonts w:ascii="Arial Narrow" w:hAnsi="Arial Narrow"/>
        </w:rPr>
        <w:sectPr w:rsidR="009D5823" w:rsidSect="009D5823">
          <w:pgSz w:w="12242" w:h="15842" w:code="1"/>
          <w:pgMar w:top="1701" w:right="1417" w:bottom="1701" w:left="1417" w:header="709" w:footer="709" w:gutter="0"/>
          <w:cols w:space="708"/>
          <w:docGrid w:linePitch="360"/>
        </w:sectPr>
      </w:pPr>
    </w:p>
    <w:p w14:paraId="1D6BD225" w14:textId="77777777" w:rsidR="00461274" w:rsidRPr="00704B08" w:rsidRDefault="00461274">
      <w:pPr>
        <w:spacing w:line="360" w:lineRule="auto"/>
        <w:jc w:val="both"/>
        <w:rPr>
          <w:rFonts w:ascii="Arial Narrow" w:hAnsi="Arial Narrow" w:cs="Calibri"/>
          <w:b/>
          <w:bCs/>
          <w:color w:val="000000"/>
          <w:lang w:val="es-CR" w:eastAsia="es-CR"/>
        </w:rPr>
      </w:pPr>
    </w:p>
    <w:p w14:paraId="26F2D283" w14:textId="417FA82A" w:rsidR="009E6DA2" w:rsidRPr="002100DF" w:rsidRDefault="009E6DA2" w:rsidP="009E6DA2">
      <w:pPr>
        <w:pStyle w:val="Descripcin"/>
        <w:jc w:val="center"/>
        <w:rPr>
          <w:rFonts w:ascii="Arial Narrow" w:eastAsia="Calibri" w:hAnsi="Arial Narrow"/>
          <w:lang w:eastAsia="en-US"/>
        </w:rPr>
      </w:pPr>
      <w:bookmarkStart w:id="84" w:name="_Toc76062273"/>
      <w:r w:rsidRPr="00484CC1">
        <w:rPr>
          <w:rFonts w:ascii="Arial Narrow" w:hAnsi="Arial Narrow"/>
          <w:sz w:val="24"/>
          <w:szCs w:val="24"/>
        </w:rPr>
        <w:t>Cuadro</w:t>
      </w:r>
      <w:r>
        <w:rPr>
          <w:rFonts w:ascii="Arial Narrow" w:hAnsi="Arial Narrow"/>
          <w:sz w:val="24"/>
          <w:szCs w:val="24"/>
        </w:rPr>
        <w:t xml:space="preserve"> </w:t>
      </w:r>
      <w:r w:rsidRPr="00484CC1">
        <w:rPr>
          <w:rFonts w:ascii="Arial Narrow" w:hAnsi="Arial Narrow"/>
          <w:sz w:val="24"/>
          <w:szCs w:val="24"/>
        </w:rPr>
        <w:fldChar w:fldCharType="begin"/>
      </w:r>
      <w:r w:rsidRPr="00484CC1">
        <w:rPr>
          <w:rFonts w:ascii="Arial Narrow" w:hAnsi="Arial Narrow"/>
          <w:sz w:val="24"/>
          <w:szCs w:val="24"/>
        </w:rPr>
        <w:instrText xml:space="preserve"> SEQ Cuadro_No. \* ARABIC </w:instrText>
      </w:r>
      <w:r w:rsidRPr="00484CC1">
        <w:rPr>
          <w:rFonts w:ascii="Arial Narrow" w:hAnsi="Arial Narrow"/>
          <w:sz w:val="24"/>
          <w:szCs w:val="24"/>
        </w:rPr>
        <w:fldChar w:fldCharType="separate"/>
      </w:r>
      <w:r w:rsidR="009D5823">
        <w:rPr>
          <w:rFonts w:ascii="Arial Narrow" w:hAnsi="Arial Narrow"/>
          <w:noProof/>
          <w:sz w:val="24"/>
          <w:szCs w:val="24"/>
        </w:rPr>
        <w:t>50</w:t>
      </w:r>
      <w:r w:rsidRPr="00484CC1">
        <w:rPr>
          <w:rFonts w:ascii="Arial Narrow" w:hAnsi="Arial Narrow"/>
          <w:sz w:val="24"/>
          <w:szCs w:val="24"/>
        </w:rPr>
        <w:fldChar w:fldCharType="end"/>
      </w:r>
      <w:r w:rsidRPr="00484CC1">
        <w:rPr>
          <w:rFonts w:ascii="Arial Narrow" w:hAnsi="Arial Narrow"/>
          <w:sz w:val="24"/>
          <w:szCs w:val="24"/>
        </w:rPr>
        <w:t xml:space="preserve"> </w:t>
      </w:r>
      <w:r w:rsidRPr="00D657CE">
        <w:rPr>
          <w:rFonts w:ascii="Arial Narrow" w:eastAsia="Calibri" w:hAnsi="Arial Narrow"/>
          <w:sz w:val="24"/>
          <w:szCs w:val="24"/>
        </w:rPr>
        <w:t>Metas estratégicas de Desarrollo y optimización de servicios y procesos judiciales, y su cumplimiento para el 2019</w:t>
      </w:r>
      <w:r>
        <w:rPr>
          <w:rFonts w:ascii="Arial Narrow" w:eastAsia="Calibri" w:hAnsi="Arial Narrow"/>
          <w:sz w:val="24"/>
          <w:szCs w:val="24"/>
        </w:rPr>
        <w:t xml:space="preserve"> y 2020.</w:t>
      </w:r>
      <w:bookmarkEnd w:id="84"/>
    </w:p>
    <w:p w14:paraId="4C422825" w14:textId="77777777" w:rsidR="009E6DA2" w:rsidRDefault="009E6DA2" w:rsidP="009E6DA2">
      <w:pPr>
        <w:rPr>
          <w:rFonts w:ascii="Arial Narrow" w:eastAsia="Calibri" w:hAnsi="Arial Narrow"/>
          <w:lang w:eastAsia="en-US"/>
        </w:rPr>
      </w:pPr>
    </w:p>
    <w:p w14:paraId="1998B20F" w14:textId="43AE3AF6" w:rsidR="009E6DA2" w:rsidRDefault="00501BF0" w:rsidP="00704B08">
      <w:pPr>
        <w:jc w:val="center"/>
        <w:rPr>
          <w:rFonts w:ascii="Arial Narrow" w:eastAsia="Calibri" w:hAnsi="Arial Narrow"/>
          <w:lang w:eastAsia="en-US"/>
        </w:rPr>
      </w:pPr>
      <w:r>
        <w:rPr>
          <w:noProof/>
          <w:lang w:val="es-CR" w:eastAsia="es-CR"/>
        </w:rPr>
        <w:drawing>
          <wp:inline distT="0" distB="0" distL="0" distR="0" wp14:anchorId="21153945" wp14:editId="29919345">
            <wp:extent cx="7899400" cy="3020901"/>
            <wp:effectExtent l="57150" t="57150" r="101600" b="103505"/>
            <wp:docPr id="145" name="Imagen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7907376" cy="3023951"/>
                    </a:xfrm>
                    <a:prstGeom prst="rect">
                      <a:avLst/>
                    </a:prstGeom>
                    <a:ln w="9525" cap="sq">
                      <a:solidFill>
                        <a:srgbClr val="00B0F0"/>
                      </a:solidFill>
                      <a:prstDash val="solid"/>
                      <a:miter lim="800000"/>
                    </a:ln>
                    <a:effectLst>
                      <a:outerShdw blurRad="50800" dist="38100" dir="2700000" algn="tl" rotWithShape="0">
                        <a:srgbClr val="000000">
                          <a:alpha val="43000"/>
                        </a:srgbClr>
                      </a:outerShdw>
                    </a:effectLst>
                  </pic:spPr>
                </pic:pic>
              </a:graphicData>
            </a:graphic>
          </wp:inline>
        </w:drawing>
      </w:r>
    </w:p>
    <w:p w14:paraId="11F39EE0" w14:textId="77777777" w:rsidR="009E6DA2" w:rsidRDefault="009E6DA2" w:rsidP="009E6DA2">
      <w:pPr>
        <w:ind w:left="-142" w:firstLine="850"/>
        <w:rPr>
          <w:rFonts w:ascii="Arial Narrow" w:eastAsia="Calibri" w:hAnsi="Arial Narrow"/>
          <w:sz w:val="18"/>
          <w:szCs w:val="18"/>
          <w:lang w:eastAsia="en-US"/>
        </w:rPr>
      </w:pPr>
      <w:r w:rsidRPr="000B4845">
        <w:rPr>
          <w:rFonts w:ascii="Arial Narrow" w:eastAsia="Calibri" w:hAnsi="Arial Narrow"/>
          <w:sz w:val="18"/>
          <w:szCs w:val="18"/>
          <w:lang w:eastAsia="en-US"/>
        </w:rPr>
        <w:t>Fuente: Sistema PEI al 24 de enero del 2020 (año 2019)</w:t>
      </w:r>
      <w:r>
        <w:rPr>
          <w:rFonts w:ascii="Arial Narrow" w:eastAsia="Calibri" w:hAnsi="Arial Narrow"/>
          <w:sz w:val="18"/>
          <w:szCs w:val="18"/>
          <w:lang w:eastAsia="en-US"/>
        </w:rPr>
        <w:t xml:space="preserve"> y 04 de marzo del 2021 (año 2020).</w:t>
      </w:r>
    </w:p>
    <w:p w14:paraId="42232637" w14:textId="1DA9B0E7" w:rsidR="00515ECF" w:rsidRDefault="00515ECF">
      <w:pPr>
        <w:spacing w:line="360" w:lineRule="auto"/>
        <w:jc w:val="both"/>
        <w:rPr>
          <w:rFonts w:ascii="Arial Narrow" w:eastAsia="Calibri" w:hAnsi="Arial Narrow"/>
          <w:b/>
          <w:bCs/>
          <w:lang w:eastAsia="en-US"/>
        </w:rPr>
      </w:pPr>
    </w:p>
    <w:p w14:paraId="65CFE1AB" w14:textId="77777777" w:rsidR="009D5823" w:rsidRDefault="009D5823">
      <w:pPr>
        <w:spacing w:line="360" w:lineRule="auto"/>
        <w:jc w:val="both"/>
        <w:rPr>
          <w:rFonts w:ascii="Arial Narrow" w:eastAsia="Calibri" w:hAnsi="Arial Narrow"/>
          <w:b/>
          <w:bCs/>
          <w:lang w:eastAsia="en-US"/>
        </w:rPr>
        <w:sectPr w:rsidR="009D5823" w:rsidSect="009D5823">
          <w:pgSz w:w="15842" w:h="12242" w:orient="landscape" w:code="1"/>
          <w:pgMar w:top="1417" w:right="1701" w:bottom="1417" w:left="1701" w:header="709" w:footer="709" w:gutter="0"/>
          <w:cols w:space="708"/>
          <w:docGrid w:linePitch="360"/>
        </w:sectPr>
      </w:pPr>
    </w:p>
    <w:p w14:paraId="6A860A39" w14:textId="77777777" w:rsidR="006114AE" w:rsidRDefault="006114AE">
      <w:pPr>
        <w:spacing w:line="360" w:lineRule="auto"/>
        <w:jc w:val="both"/>
        <w:rPr>
          <w:rFonts w:ascii="Arial Narrow" w:hAnsi="Arial Narrow" w:cs="Calibri"/>
          <w:color w:val="000000"/>
          <w:lang w:val="es-CR" w:eastAsia="es-CR"/>
        </w:rPr>
      </w:pPr>
    </w:p>
    <w:p w14:paraId="31BA485B" w14:textId="77777777" w:rsidR="006114AE" w:rsidRDefault="006114AE">
      <w:pPr>
        <w:spacing w:line="360" w:lineRule="auto"/>
        <w:jc w:val="both"/>
        <w:rPr>
          <w:rFonts w:ascii="Arial Narrow" w:hAnsi="Arial Narrow" w:cs="Calibri"/>
          <w:color w:val="000000"/>
          <w:lang w:val="es-CR" w:eastAsia="es-CR"/>
        </w:rPr>
      </w:pPr>
    </w:p>
    <w:p w14:paraId="188DEC6C" w14:textId="52768A5F" w:rsidR="00BE7239" w:rsidRPr="00704B08" w:rsidRDefault="00774B59">
      <w:pPr>
        <w:spacing w:line="360" w:lineRule="auto"/>
        <w:jc w:val="both"/>
        <w:rPr>
          <w:rFonts w:ascii="Arial Narrow" w:hAnsi="Arial Narrow" w:cs="Calibri"/>
          <w:b/>
          <w:bCs/>
          <w:color w:val="000000"/>
          <w:lang w:val="es-CR" w:eastAsia="es-CR"/>
        </w:rPr>
      </w:pPr>
      <w:r>
        <w:rPr>
          <w:rFonts w:ascii="Arial Narrow" w:hAnsi="Arial Narrow" w:cs="Calibri"/>
          <w:color w:val="000000"/>
          <w:lang w:val="es-CR" w:eastAsia="es-CR"/>
        </w:rPr>
        <w:t xml:space="preserve">Por otra parte, la </w:t>
      </w:r>
      <w:r w:rsidRPr="002E0B96">
        <w:rPr>
          <w:rFonts w:ascii="Arial Narrow" w:hAnsi="Arial Narrow" w:cs="Calibri"/>
          <w:color w:val="000000"/>
          <w:lang w:val="es-CR" w:eastAsia="es-CR"/>
        </w:rPr>
        <w:t>meta estratégica</w:t>
      </w:r>
      <w:r>
        <w:rPr>
          <w:rFonts w:ascii="Arial Narrow" w:hAnsi="Arial Narrow" w:cs="Calibri"/>
          <w:b/>
          <w:bCs/>
          <w:color w:val="000000"/>
          <w:lang w:val="es-CR" w:eastAsia="es-CR"/>
        </w:rPr>
        <w:t xml:space="preserve"> “</w:t>
      </w:r>
      <w:r w:rsidR="00A5186A" w:rsidRPr="00704B08">
        <w:rPr>
          <w:rFonts w:ascii="Arial Narrow" w:hAnsi="Arial Narrow" w:cs="Calibri"/>
          <w:b/>
          <w:bCs/>
          <w:i/>
          <w:iCs/>
          <w:color w:val="000000"/>
          <w:lang w:val="es-CR" w:eastAsia="es-CR"/>
        </w:rPr>
        <w:t>Que al finalizar el 2024, se haya implementado el proyecto de Rediseño de Procesos en el Departamento de Ciencias Forenses</w:t>
      </w:r>
      <w:r>
        <w:rPr>
          <w:rFonts w:ascii="Arial Narrow" w:hAnsi="Arial Narrow" w:cs="Calibri"/>
          <w:b/>
          <w:bCs/>
          <w:color w:val="000000"/>
          <w:lang w:val="es-CR" w:eastAsia="es-CR"/>
        </w:rPr>
        <w:t>”</w:t>
      </w:r>
      <w:r w:rsidR="006114AE">
        <w:rPr>
          <w:rFonts w:ascii="Arial Narrow" w:hAnsi="Arial Narrow" w:cs="Calibri"/>
          <w:b/>
          <w:bCs/>
          <w:color w:val="000000"/>
          <w:lang w:val="es-CR" w:eastAsia="es-CR"/>
        </w:rPr>
        <w:t>,</w:t>
      </w:r>
      <w:r w:rsidR="00627C59">
        <w:rPr>
          <w:rFonts w:ascii="Arial Narrow" w:hAnsi="Arial Narrow" w:cs="Calibri"/>
          <w:b/>
          <w:bCs/>
          <w:color w:val="000000"/>
          <w:lang w:val="es-CR" w:eastAsia="es-CR"/>
        </w:rPr>
        <w:t xml:space="preserve"> </w:t>
      </w:r>
      <w:r>
        <w:rPr>
          <w:rFonts w:ascii="Arial Narrow" w:eastAsia="Calibri" w:hAnsi="Arial Narrow"/>
        </w:rPr>
        <w:t>e</w:t>
      </w:r>
      <w:r w:rsidR="0054249E" w:rsidRPr="00BE7239">
        <w:rPr>
          <w:rFonts w:ascii="Arial Narrow" w:eastAsia="Calibri" w:hAnsi="Arial Narrow"/>
        </w:rPr>
        <w:t xml:space="preserve">n cuanto a </w:t>
      </w:r>
      <w:r w:rsidR="00D06533" w:rsidRPr="00BE7239">
        <w:rPr>
          <w:rFonts w:ascii="Arial Narrow" w:eastAsia="Calibri" w:hAnsi="Arial Narrow"/>
        </w:rPr>
        <w:t>esta</w:t>
      </w:r>
      <w:r w:rsidR="0054249E" w:rsidRPr="00BE7239">
        <w:rPr>
          <w:rFonts w:ascii="Arial Narrow" w:eastAsia="Calibri" w:hAnsi="Arial Narrow"/>
        </w:rPr>
        <w:t xml:space="preserve"> meta estratégica </w:t>
      </w:r>
      <w:r w:rsidR="0054249E" w:rsidRPr="00704B08">
        <w:rPr>
          <w:rFonts w:ascii="Arial Narrow" w:eastAsia="Calibri" w:hAnsi="Arial Narrow"/>
        </w:rPr>
        <w:t>inicialmente</w:t>
      </w:r>
      <w:r w:rsidR="00D06533" w:rsidRPr="00704B08">
        <w:rPr>
          <w:rFonts w:ascii="Arial Narrow" w:eastAsia="Calibri" w:hAnsi="Arial Narrow"/>
        </w:rPr>
        <w:t xml:space="preserve"> se encontraba prevista</w:t>
      </w:r>
      <w:r w:rsidR="0054249E" w:rsidRPr="00704B08">
        <w:rPr>
          <w:rFonts w:ascii="Arial Narrow" w:eastAsia="Calibri" w:hAnsi="Arial Narrow"/>
        </w:rPr>
        <w:t xml:space="preserve"> para el 2019, sin embargo, por cronograma de trabajo se incorporó como parte del PAO </w:t>
      </w:r>
      <w:r w:rsidR="0054249E" w:rsidRPr="00BE7239">
        <w:rPr>
          <w:rFonts w:ascii="Arial Narrow" w:eastAsia="Calibri" w:hAnsi="Arial Narrow"/>
        </w:rPr>
        <w:t>2020.</w:t>
      </w:r>
      <w:r w:rsidR="00BE7239" w:rsidRPr="00704B08">
        <w:rPr>
          <w:rFonts w:ascii="Arial Narrow" w:eastAsia="Calibri" w:hAnsi="Arial Narrow"/>
        </w:rPr>
        <w:t>Seguido se verifica los avances del año 2020 por medio del sistema PAO y se observa que el Subproceso de Modernización Institucional elaboró el informe correspondiente al Proyecto de Rediseño procesos del Departamento de Ciencias Forenses que contempló: la Sección de análisis de escritura y documentos dudosos, la Sección de Biología Forense, Bioquímica, Imagen y sonido forense, Ingeniería Forense, pericias Físicas, Química Analítica, Toxicología.</w:t>
      </w:r>
      <w:r w:rsidR="00BE7239" w:rsidRPr="00704B08">
        <w:rPr>
          <w:rFonts w:ascii="Arial Narrow" w:hAnsi="Arial Narrow" w:cs="Calibri"/>
          <w:color w:val="000000"/>
          <w:lang w:val="es-CR" w:eastAsia="es-CR"/>
        </w:rPr>
        <w:t xml:space="preserve">Conforme a lo planteado anteriormente </w:t>
      </w:r>
      <w:r w:rsidR="00BE7239">
        <w:rPr>
          <w:rFonts w:ascii="Arial Narrow" w:hAnsi="Arial Narrow" w:cs="Calibri"/>
          <w:color w:val="000000"/>
          <w:lang w:val="es-CR" w:eastAsia="es-CR"/>
        </w:rPr>
        <w:t>se evidencia que se ha cumplido a cabalidad con lo establecido en la meta estratégica obteniendo un 100% de avance en el Plan Estratégico Institucional.</w:t>
      </w:r>
    </w:p>
    <w:p w14:paraId="6A160772" w14:textId="77777777" w:rsidR="00627C59" w:rsidRDefault="00627C59">
      <w:pPr>
        <w:spacing w:line="360" w:lineRule="auto"/>
        <w:jc w:val="both"/>
        <w:rPr>
          <w:rFonts w:ascii="Arial Narrow" w:hAnsi="Arial Narrow" w:cs="Calibri"/>
          <w:b/>
          <w:bCs/>
          <w:color w:val="000000"/>
          <w:lang w:val="es-CR" w:eastAsia="es-CR"/>
        </w:rPr>
      </w:pPr>
    </w:p>
    <w:p w14:paraId="0C6B71F6" w14:textId="28A74B02" w:rsidR="00217A84" w:rsidRPr="00704B08" w:rsidRDefault="00615614">
      <w:pPr>
        <w:spacing w:line="360" w:lineRule="auto"/>
        <w:jc w:val="both"/>
        <w:rPr>
          <w:rFonts w:ascii="Arial Narrow" w:eastAsia="Calibri" w:hAnsi="Arial Narrow"/>
          <w:b/>
          <w:bCs/>
          <w:lang w:eastAsia="en-US"/>
        </w:rPr>
      </w:pPr>
      <w:r>
        <w:rPr>
          <w:rFonts w:ascii="Arial Narrow" w:hAnsi="Arial Narrow" w:cs="Calibri"/>
          <w:color w:val="000000"/>
          <w:lang w:val="es-CR" w:eastAsia="es-CR"/>
        </w:rPr>
        <w:t xml:space="preserve">La </w:t>
      </w:r>
      <w:r w:rsidRPr="002E0B96">
        <w:rPr>
          <w:rFonts w:ascii="Arial Narrow" w:hAnsi="Arial Narrow" w:cs="Calibri"/>
          <w:color w:val="000000"/>
          <w:lang w:val="es-CR" w:eastAsia="es-CR"/>
        </w:rPr>
        <w:t>meta estratégica</w:t>
      </w:r>
      <w:r>
        <w:rPr>
          <w:rFonts w:ascii="Arial Narrow" w:hAnsi="Arial Narrow" w:cs="Calibri"/>
          <w:b/>
          <w:bCs/>
          <w:color w:val="000000"/>
          <w:lang w:val="es-CR" w:eastAsia="es-CR"/>
        </w:rPr>
        <w:t xml:space="preserve"> “</w:t>
      </w:r>
      <w:r w:rsidR="00A5186A" w:rsidRPr="00704B08">
        <w:rPr>
          <w:rFonts w:ascii="Arial Narrow" w:hAnsi="Arial Narrow" w:cs="Calibri"/>
          <w:b/>
          <w:bCs/>
          <w:i/>
          <w:iCs/>
          <w:color w:val="000000"/>
          <w:lang w:val="es-CR" w:eastAsia="es-CR"/>
        </w:rPr>
        <w:t>Que al finalizar el 2024, se haya estandarizado y optimizado al menos el 80% de los procedimientos de Oficina de Atención a la Víctima de Delitos y la Unidad de Protección de Víctimas y Testigos, incorporando las diversas condiciones y necesidades de las oficinas centrales y regionales, así como la moderna gestión y nuevas tecnologías</w:t>
      </w:r>
      <w:r>
        <w:rPr>
          <w:rFonts w:ascii="Arial Narrow" w:hAnsi="Arial Narrow" w:cs="Calibri"/>
          <w:b/>
          <w:bCs/>
          <w:color w:val="000000"/>
          <w:lang w:val="es-CR" w:eastAsia="es-CR"/>
        </w:rPr>
        <w:t>”</w:t>
      </w:r>
      <w:r w:rsidR="006114AE">
        <w:rPr>
          <w:rFonts w:ascii="Arial Narrow" w:hAnsi="Arial Narrow" w:cs="Calibri"/>
          <w:b/>
          <w:bCs/>
          <w:color w:val="000000"/>
          <w:lang w:val="es-CR" w:eastAsia="es-CR"/>
        </w:rPr>
        <w:t>,</w:t>
      </w:r>
      <w:r w:rsidR="00627C59">
        <w:rPr>
          <w:rFonts w:ascii="Arial Narrow" w:hAnsi="Arial Narrow" w:cs="Calibri"/>
          <w:b/>
          <w:bCs/>
          <w:color w:val="000000"/>
          <w:lang w:val="es-CR" w:eastAsia="es-CR"/>
        </w:rPr>
        <w:t xml:space="preserve"> </w:t>
      </w:r>
      <w:r>
        <w:rPr>
          <w:rFonts w:ascii="Arial Narrow" w:hAnsi="Arial Narrow"/>
        </w:rPr>
        <w:t>s</w:t>
      </w:r>
      <w:r w:rsidR="00217A84">
        <w:rPr>
          <w:rFonts w:ascii="Arial Narrow" w:hAnsi="Arial Narrow"/>
        </w:rPr>
        <w:t>e procedió a verificar la información suministrada por medio de sistema PAO</w:t>
      </w:r>
      <w:r w:rsidR="00627C59">
        <w:rPr>
          <w:rFonts w:ascii="Arial Narrow" w:hAnsi="Arial Narrow"/>
        </w:rPr>
        <w:t xml:space="preserve"> para los años 2019 y 2020 </w:t>
      </w:r>
      <w:r w:rsidR="00217A84">
        <w:rPr>
          <w:rFonts w:ascii="Arial Narrow" w:hAnsi="Arial Narrow"/>
        </w:rPr>
        <w:t xml:space="preserve"> y se tiene que l</w:t>
      </w:r>
      <w:r w:rsidR="00217A84" w:rsidRPr="00704B08">
        <w:rPr>
          <w:rFonts w:ascii="Arial Narrow" w:hAnsi="Arial Narrow"/>
        </w:rPr>
        <w:t xml:space="preserve">a Oficina de Atención a la Víctima de Delitos elaboró el </w:t>
      </w:r>
      <w:r w:rsidR="00BE7239" w:rsidRPr="00704B08">
        <w:rPr>
          <w:rFonts w:ascii="Arial Narrow" w:hAnsi="Arial Narrow"/>
        </w:rPr>
        <w:t xml:space="preserve">manual de los procedimientos administrativos y técnicos de la UPROV </w:t>
      </w:r>
      <w:r w:rsidR="00217A84" w:rsidRPr="00704B08">
        <w:rPr>
          <w:rFonts w:ascii="Arial Narrow" w:hAnsi="Arial Narrow"/>
        </w:rPr>
        <w:t xml:space="preserve">el cual </w:t>
      </w:r>
      <w:r w:rsidR="00217A84">
        <w:rPr>
          <w:rFonts w:ascii="Arial Narrow" w:hAnsi="Arial Narrow"/>
        </w:rPr>
        <w:t>fue</w:t>
      </w:r>
      <w:r w:rsidR="00BE7239" w:rsidRPr="00704B08">
        <w:rPr>
          <w:rFonts w:ascii="Arial Narrow" w:hAnsi="Arial Narrow"/>
        </w:rPr>
        <w:t xml:space="preserve"> </w:t>
      </w:r>
      <w:r w:rsidR="00217A84" w:rsidRPr="00704B08">
        <w:rPr>
          <w:rFonts w:ascii="Arial Narrow" w:hAnsi="Arial Narrow"/>
        </w:rPr>
        <w:t>comparti</w:t>
      </w:r>
      <w:r w:rsidR="00217A84">
        <w:rPr>
          <w:rFonts w:ascii="Arial Narrow" w:hAnsi="Arial Narrow"/>
        </w:rPr>
        <w:t>do</w:t>
      </w:r>
      <w:r w:rsidR="00BE7239" w:rsidRPr="00704B08">
        <w:rPr>
          <w:rFonts w:ascii="Arial Narrow" w:hAnsi="Arial Narrow"/>
        </w:rPr>
        <w:t xml:space="preserve"> en forma digital en una carpeta común </w:t>
      </w:r>
      <w:r w:rsidR="00217A84" w:rsidRPr="00704B08">
        <w:rPr>
          <w:rFonts w:ascii="Arial Narrow" w:hAnsi="Arial Narrow"/>
        </w:rPr>
        <w:t>a todo el</w:t>
      </w:r>
      <w:r w:rsidR="00BE7239" w:rsidRPr="00704B08">
        <w:rPr>
          <w:rFonts w:ascii="Arial Narrow" w:hAnsi="Arial Narrow"/>
        </w:rPr>
        <w:t xml:space="preserve"> personal </w:t>
      </w:r>
      <w:r w:rsidR="00217A84" w:rsidRPr="00704B08">
        <w:rPr>
          <w:rFonts w:ascii="Arial Narrow" w:hAnsi="Arial Narrow"/>
        </w:rPr>
        <w:t>para que puedan consultarlo. De este modo se logra un cumplimiento del 100% anual y un 20% del cumplimiento acumulado.</w:t>
      </w:r>
    </w:p>
    <w:p w14:paraId="3FE6C8A8" w14:textId="77777777" w:rsidR="00401F8A" w:rsidRPr="00704B08" w:rsidRDefault="00401F8A" w:rsidP="00704B08">
      <w:pPr>
        <w:spacing w:line="360" w:lineRule="auto"/>
        <w:jc w:val="both"/>
        <w:rPr>
          <w:rFonts w:ascii="Arial Narrow" w:hAnsi="Arial Narrow" w:cs="Calibri"/>
          <w:b/>
          <w:bCs/>
          <w:color w:val="000000"/>
          <w:lang w:val="es-CR" w:eastAsia="es-CR"/>
        </w:rPr>
      </w:pPr>
    </w:p>
    <w:p w14:paraId="5F682B7C" w14:textId="455D3C50" w:rsidR="00910FF3" w:rsidRDefault="00615614" w:rsidP="00910FF3">
      <w:pPr>
        <w:spacing w:line="360" w:lineRule="auto"/>
        <w:jc w:val="both"/>
        <w:rPr>
          <w:rFonts w:ascii="Arial Narrow" w:eastAsia="Calibri" w:hAnsi="Arial Narrow"/>
        </w:rPr>
      </w:pPr>
      <w:r>
        <w:rPr>
          <w:rFonts w:ascii="Arial Narrow" w:hAnsi="Arial Narrow" w:cs="Calibri"/>
          <w:color w:val="000000"/>
          <w:lang w:val="es-CR" w:eastAsia="es-CR"/>
        </w:rPr>
        <w:t xml:space="preserve">Con respecto a la </w:t>
      </w:r>
      <w:r w:rsidRPr="002E0B96">
        <w:rPr>
          <w:rFonts w:ascii="Arial Narrow" w:hAnsi="Arial Narrow" w:cs="Calibri"/>
          <w:color w:val="000000"/>
          <w:lang w:val="es-CR" w:eastAsia="es-CR"/>
        </w:rPr>
        <w:t>meta estratégica</w:t>
      </w:r>
      <w:r>
        <w:rPr>
          <w:rFonts w:ascii="Arial Narrow" w:hAnsi="Arial Narrow" w:cs="Calibri"/>
          <w:b/>
          <w:bCs/>
          <w:color w:val="000000"/>
          <w:lang w:val="es-CR" w:eastAsia="es-CR"/>
        </w:rPr>
        <w:t xml:space="preserve"> “</w:t>
      </w:r>
      <w:r w:rsidR="00A5186A" w:rsidRPr="00704B08">
        <w:rPr>
          <w:rFonts w:ascii="Arial Narrow" w:hAnsi="Arial Narrow" w:cs="Calibri"/>
          <w:b/>
          <w:bCs/>
          <w:i/>
          <w:iCs/>
          <w:color w:val="000000"/>
          <w:lang w:val="es-CR" w:eastAsia="es-CR"/>
        </w:rPr>
        <w:t>Que al finalizar el 2024, se cuente con un proceso estandarizado de seguimiento que permita optimizar la ejecución presupuestaria</w:t>
      </w:r>
      <w:r>
        <w:rPr>
          <w:rFonts w:ascii="Arial Narrow" w:hAnsi="Arial Narrow" w:cs="Calibri"/>
          <w:b/>
          <w:bCs/>
          <w:color w:val="000000"/>
          <w:lang w:val="es-CR" w:eastAsia="es-CR"/>
        </w:rPr>
        <w:t>”</w:t>
      </w:r>
      <w:r w:rsidR="006114AE">
        <w:rPr>
          <w:rFonts w:ascii="Arial Narrow" w:hAnsi="Arial Narrow" w:cs="Calibri"/>
          <w:b/>
          <w:bCs/>
          <w:color w:val="000000"/>
          <w:lang w:val="es-CR" w:eastAsia="es-CR"/>
        </w:rPr>
        <w:t>,</w:t>
      </w:r>
      <w:r w:rsidR="00627C59">
        <w:rPr>
          <w:rFonts w:ascii="Arial Narrow" w:hAnsi="Arial Narrow" w:cs="Calibri"/>
          <w:b/>
          <w:bCs/>
          <w:color w:val="000000"/>
          <w:lang w:val="es-CR" w:eastAsia="es-CR"/>
        </w:rPr>
        <w:t xml:space="preserve"> </w:t>
      </w:r>
      <w:r>
        <w:rPr>
          <w:rFonts w:ascii="Arial Narrow" w:eastAsia="Calibri" w:hAnsi="Arial Narrow"/>
        </w:rPr>
        <w:t>e</w:t>
      </w:r>
      <w:r w:rsidR="00C77A52" w:rsidRPr="00484CC1">
        <w:rPr>
          <w:rFonts w:ascii="Arial Narrow" w:eastAsia="Calibri" w:hAnsi="Arial Narrow"/>
        </w:rPr>
        <w:t>s importante señalar que en la Matriz del PEI 2019-2024 adicionalmente se incluye la meta estratégica “</w:t>
      </w:r>
      <w:r w:rsidR="00C77A52" w:rsidRPr="00704B08">
        <w:rPr>
          <w:rFonts w:ascii="Arial Narrow" w:eastAsia="Calibri" w:hAnsi="Arial Narrow"/>
          <w:i/>
          <w:iCs/>
          <w:lang w:eastAsia="en-US"/>
        </w:rPr>
        <w:t xml:space="preserve">Que al finalizar el 2024, se haya reducido el tiempo de los procesos y los procedimientos de la ejecución presupuestaria. </w:t>
      </w:r>
      <w:r w:rsidR="00C77A52" w:rsidRPr="00704B08">
        <w:rPr>
          <w:rFonts w:ascii="Arial Narrow" w:eastAsia="Calibri" w:hAnsi="Arial Narrow"/>
          <w:i/>
          <w:iCs/>
        </w:rPr>
        <w:t>Indicador: % de avance del proyecto para la agilización y reducción de tiempos de los procesos y los procedimientos de la ejecución presupuestaria implementado</w:t>
      </w:r>
      <w:r w:rsidR="00C77A52" w:rsidRPr="00484CC1">
        <w:rPr>
          <w:rFonts w:ascii="Arial Narrow" w:eastAsia="Calibri" w:hAnsi="Arial Narrow"/>
          <w:b/>
          <w:bCs/>
          <w:i/>
          <w:iCs/>
        </w:rPr>
        <w:t>”</w:t>
      </w:r>
      <w:r w:rsidR="006114AE">
        <w:rPr>
          <w:rFonts w:ascii="Arial Narrow" w:eastAsia="Calibri" w:hAnsi="Arial Narrow"/>
          <w:b/>
          <w:bCs/>
          <w:i/>
          <w:iCs/>
        </w:rPr>
        <w:t>,</w:t>
      </w:r>
      <w:r w:rsidR="00C77A52" w:rsidRPr="00484CC1">
        <w:rPr>
          <w:rFonts w:ascii="Arial Narrow" w:eastAsia="Calibri" w:hAnsi="Arial Narrow"/>
        </w:rPr>
        <w:t xml:space="preserve"> la cual de acuerdo con la revisión efectuada se logró determinar que no se asoció a ningún PAO de oficina para el 2019, sin embargo, se retomó para cumplirse en el 2020 </w:t>
      </w:r>
      <w:r w:rsidR="00C77A52" w:rsidRPr="00484CC1">
        <w:rPr>
          <w:rFonts w:ascii="Arial Narrow" w:eastAsia="Calibri" w:hAnsi="Arial Narrow"/>
        </w:rPr>
        <w:lastRenderedPageBreak/>
        <w:t xml:space="preserve">por medio de la ejecución operativa.  </w:t>
      </w:r>
      <w:r w:rsidR="00C77A52">
        <w:rPr>
          <w:rFonts w:ascii="Arial Narrow" w:eastAsia="Calibri" w:hAnsi="Arial Narrow"/>
        </w:rPr>
        <w:t>Sin embargo, desde el 2019 existe un proyecto entre la Dirección de Tecnología de la Información y la Dirección Ejecutiva para poder ejecutarlo, el cual se concentra en reducir o disminuir los compromisos no devengados por medio de los procesos de ejecución y contratación.</w:t>
      </w:r>
      <w:r w:rsidR="00397F92">
        <w:rPr>
          <w:rFonts w:ascii="Arial Narrow" w:eastAsia="Calibri" w:hAnsi="Arial Narrow"/>
        </w:rPr>
        <w:t xml:space="preserve"> Para el año 2020</w:t>
      </w:r>
      <w:r>
        <w:rPr>
          <w:rFonts w:ascii="Arial Narrow" w:eastAsia="Calibri" w:hAnsi="Arial Narrow"/>
        </w:rPr>
        <w:t>,</w:t>
      </w:r>
      <w:r w:rsidR="00397F92">
        <w:rPr>
          <w:rFonts w:ascii="Arial Narrow" w:eastAsia="Calibri" w:hAnsi="Arial Narrow"/>
        </w:rPr>
        <w:t xml:space="preserve"> se asoció la meta operativa “</w:t>
      </w:r>
      <w:r w:rsidR="001155E2" w:rsidRPr="00397F92">
        <w:rPr>
          <w:rFonts w:ascii="Arial Narrow" w:eastAsia="Calibri" w:hAnsi="Arial Narrow"/>
        </w:rPr>
        <w:t>Que</w:t>
      </w:r>
      <w:r w:rsidR="00397F92" w:rsidRPr="00704B08">
        <w:rPr>
          <w:rFonts w:ascii="Arial Narrow" w:eastAsia="Calibri" w:hAnsi="Arial Narrow"/>
        </w:rPr>
        <w:t xml:space="preserve"> al 31 de diciembre 2020, se haya implementado con todos los centros de responsabilidad el instrumento estandarizado de seguimiento presupuestario</w:t>
      </w:r>
      <w:r w:rsidR="00397F92">
        <w:rPr>
          <w:rFonts w:ascii="Arial Narrow" w:eastAsia="Calibri" w:hAnsi="Arial Narrow"/>
        </w:rPr>
        <w:t xml:space="preserve">” </w:t>
      </w:r>
      <w:r w:rsidR="00910FF3">
        <w:rPr>
          <w:rFonts w:ascii="Arial Narrow" w:eastAsia="Calibri" w:hAnsi="Arial Narrow"/>
        </w:rPr>
        <w:t xml:space="preserve">donde reporta que mediante la </w:t>
      </w:r>
      <w:r w:rsidR="00910FF3" w:rsidRPr="00704B08">
        <w:rPr>
          <w:rFonts w:ascii="Arial Narrow" w:eastAsia="Calibri" w:hAnsi="Arial Narrow"/>
        </w:rPr>
        <w:t>circular 18-2020</w:t>
      </w:r>
      <w:r w:rsidR="00910FF3">
        <w:rPr>
          <w:rFonts w:ascii="Arial Narrow" w:eastAsia="Calibri" w:hAnsi="Arial Narrow"/>
        </w:rPr>
        <w:t xml:space="preserve"> </w:t>
      </w:r>
      <w:r w:rsidR="00910FF3" w:rsidRPr="00704B08">
        <w:rPr>
          <w:rFonts w:ascii="Arial Narrow" w:eastAsia="Calibri" w:hAnsi="Arial Narrow"/>
        </w:rPr>
        <w:t>se dio a conocer a todos los centros gestores el cronograma para la ejecución presupuestaria institucional, el cual consolida todas las actividades que realizan el Departamento Financiero Contable, Departamento de Proveeduría y demás centros gestores durante el ejercicio presupuestario, con el fin de realizar dichas actividades de forma oportuna para asegurar una mejora en la ejecución presupuestaria.</w:t>
      </w:r>
      <w:r w:rsidR="00910FF3">
        <w:rPr>
          <w:rFonts w:ascii="Arial Narrow" w:eastAsia="Calibri" w:hAnsi="Arial Narrow"/>
        </w:rPr>
        <w:t xml:space="preserve"> Por lo expuesto anteriormente se tiene que la meta estratégica fue cumplida en su totalidad reportando un porcentaje de cumplimiento acumulado del 20%.</w:t>
      </w:r>
    </w:p>
    <w:p w14:paraId="510CF672" w14:textId="77777777" w:rsidR="009D5823" w:rsidRDefault="009D5823" w:rsidP="00910FF3">
      <w:pPr>
        <w:spacing w:line="360" w:lineRule="auto"/>
        <w:jc w:val="both"/>
        <w:rPr>
          <w:rFonts w:ascii="Arial Narrow" w:eastAsia="Calibri" w:hAnsi="Arial Narrow"/>
        </w:rPr>
        <w:sectPr w:rsidR="009D5823" w:rsidSect="009D5823">
          <w:pgSz w:w="12242" w:h="15842" w:code="1"/>
          <w:pgMar w:top="1701" w:right="1417" w:bottom="1701" w:left="1417" w:header="709" w:footer="709" w:gutter="0"/>
          <w:cols w:space="708"/>
          <w:docGrid w:linePitch="360"/>
        </w:sectPr>
      </w:pPr>
    </w:p>
    <w:p w14:paraId="240E8452" w14:textId="0D06984A" w:rsidR="009D5823" w:rsidRDefault="009D5823" w:rsidP="00910FF3">
      <w:pPr>
        <w:spacing w:line="360" w:lineRule="auto"/>
        <w:jc w:val="both"/>
        <w:rPr>
          <w:rFonts w:ascii="Arial Narrow" w:eastAsia="Calibri" w:hAnsi="Arial Narrow"/>
        </w:rPr>
      </w:pPr>
    </w:p>
    <w:p w14:paraId="44AE5B67" w14:textId="77777777" w:rsidR="00615614" w:rsidRPr="00704B08" w:rsidRDefault="00615614" w:rsidP="00910FF3">
      <w:pPr>
        <w:spacing w:line="360" w:lineRule="auto"/>
        <w:jc w:val="both"/>
        <w:rPr>
          <w:rFonts w:ascii="Arial Narrow" w:eastAsia="Calibri" w:hAnsi="Arial Narrow"/>
        </w:rPr>
      </w:pPr>
    </w:p>
    <w:p w14:paraId="4B53FCD4" w14:textId="1E837894" w:rsidR="00615614" w:rsidRPr="002100DF" w:rsidRDefault="00615614" w:rsidP="00615614">
      <w:pPr>
        <w:pStyle w:val="Descripcin"/>
        <w:jc w:val="center"/>
        <w:rPr>
          <w:rFonts w:ascii="Arial Narrow" w:eastAsia="Calibri" w:hAnsi="Arial Narrow"/>
          <w:lang w:eastAsia="en-US"/>
        </w:rPr>
      </w:pPr>
      <w:bookmarkStart w:id="85" w:name="_Toc76062274"/>
      <w:r w:rsidRPr="00484CC1">
        <w:rPr>
          <w:rFonts w:ascii="Arial Narrow" w:hAnsi="Arial Narrow"/>
          <w:sz w:val="24"/>
          <w:szCs w:val="24"/>
        </w:rPr>
        <w:t>Cuadro</w:t>
      </w:r>
      <w:r>
        <w:rPr>
          <w:rFonts w:ascii="Arial Narrow" w:hAnsi="Arial Narrow"/>
          <w:sz w:val="24"/>
          <w:szCs w:val="24"/>
        </w:rPr>
        <w:t xml:space="preserve"> </w:t>
      </w:r>
      <w:r w:rsidRPr="00484CC1">
        <w:rPr>
          <w:rFonts w:ascii="Arial Narrow" w:hAnsi="Arial Narrow"/>
          <w:sz w:val="24"/>
          <w:szCs w:val="24"/>
        </w:rPr>
        <w:fldChar w:fldCharType="begin"/>
      </w:r>
      <w:r w:rsidRPr="00484CC1">
        <w:rPr>
          <w:rFonts w:ascii="Arial Narrow" w:hAnsi="Arial Narrow"/>
          <w:sz w:val="24"/>
          <w:szCs w:val="24"/>
        </w:rPr>
        <w:instrText xml:space="preserve"> SEQ Cuadro_No. \* ARABIC </w:instrText>
      </w:r>
      <w:r w:rsidRPr="00484CC1">
        <w:rPr>
          <w:rFonts w:ascii="Arial Narrow" w:hAnsi="Arial Narrow"/>
          <w:sz w:val="24"/>
          <w:szCs w:val="24"/>
        </w:rPr>
        <w:fldChar w:fldCharType="separate"/>
      </w:r>
      <w:r w:rsidR="00A70B40">
        <w:rPr>
          <w:rFonts w:ascii="Arial Narrow" w:hAnsi="Arial Narrow"/>
          <w:noProof/>
          <w:sz w:val="24"/>
          <w:szCs w:val="24"/>
        </w:rPr>
        <w:t>51</w:t>
      </w:r>
      <w:r w:rsidRPr="00484CC1">
        <w:rPr>
          <w:rFonts w:ascii="Arial Narrow" w:hAnsi="Arial Narrow"/>
          <w:sz w:val="24"/>
          <w:szCs w:val="24"/>
        </w:rPr>
        <w:fldChar w:fldCharType="end"/>
      </w:r>
      <w:r w:rsidRPr="00484CC1">
        <w:rPr>
          <w:rFonts w:ascii="Arial Narrow" w:hAnsi="Arial Narrow"/>
          <w:sz w:val="24"/>
          <w:szCs w:val="24"/>
        </w:rPr>
        <w:t xml:space="preserve"> </w:t>
      </w:r>
      <w:r w:rsidRPr="00D657CE">
        <w:rPr>
          <w:rFonts w:ascii="Arial Narrow" w:eastAsia="Calibri" w:hAnsi="Arial Narrow"/>
          <w:sz w:val="24"/>
          <w:szCs w:val="24"/>
        </w:rPr>
        <w:t>Metas estratégicas de Desarrollo y optimización de servicios y procesos judiciales, y su cumplimiento para el 2019</w:t>
      </w:r>
      <w:r>
        <w:rPr>
          <w:rFonts w:ascii="Arial Narrow" w:eastAsia="Calibri" w:hAnsi="Arial Narrow"/>
          <w:sz w:val="24"/>
          <w:szCs w:val="24"/>
        </w:rPr>
        <w:t xml:space="preserve"> y 2020.</w:t>
      </w:r>
      <w:bookmarkEnd w:id="85"/>
    </w:p>
    <w:p w14:paraId="36B3052B" w14:textId="518DA1D2" w:rsidR="00501BF0" w:rsidRDefault="00501BF0" w:rsidP="00501BF0">
      <w:pPr>
        <w:rPr>
          <w:rFonts w:ascii="Arial Narrow" w:eastAsia="Calibri" w:hAnsi="Arial Narrow"/>
          <w:lang w:eastAsia="en-US"/>
        </w:rPr>
      </w:pPr>
      <w:r>
        <w:rPr>
          <w:noProof/>
          <w:lang w:val="es-CR" w:eastAsia="es-CR"/>
        </w:rPr>
        <w:drawing>
          <wp:inline distT="0" distB="0" distL="0" distR="0" wp14:anchorId="4185D1FA" wp14:editId="616B795B">
            <wp:extent cx="7899400" cy="3445904"/>
            <wp:effectExtent l="57150" t="57150" r="101600" b="97790"/>
            <wp:docPr id="146" name="Imagen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7903025" cy="3447485"/>
                    </a:xfrm>
                    <a:prstGeom prst="rect">
                      <a:avLst/>
                    </a:prstGeom>
                    <a:ln w="9525" cap="sq">
                      <a:solidFill>
                        <a:srgbClr val="00B0F0"/>
                      </a:solidFill>
                      <a:prstDash val="solid"/>
                      <a:miter lim="800000"/>
                    </a:ln>
                    <a:effectLst>
                      <a:outerShdw blurRad="50800" dist="38100" dir="2700000" algn="tl" rotWithShape="0">
                        <a:srgbClr val="000000">
                          <a:alpha val="43000"/>
                        </a:srgbClr>
                      </a:outerShdw>
                    </a:effectLst>
                  </pic:spPr>
                </pic:pic>
              </a:graphicData>
            </a:graphic>
          </wp:inline>
        </w:drawing>
      </w:r>
    </w:p>
    <w:p w14:paraId="26185153" w14:textId="77777777" w:rsidR="00501BF0" w:rsidRDefault="00501BF0" w:rsidP="00501BF0">
      <w:pPr>
        <w:rPr>
          <w:rFonts w:ascii="Arial Narrow" w:eastAsia="Calibri" w:hAnsi="Arial Narrow"/>
          <w:lang w:eastAsia="en-US"/>
        </w:rPr>
      </w:pPr>
    </w:p>
    <w:p w14:paraId="0DF4B592" w14:textId="77777777" w:rsidR="00501BF0" w:rsidRDefault="00501BF0" w:rsidP="00501BF0">
      <w:pPr>
        <w:ind w:left="-142" w:firstLine="850"/>
        <w:rPr>
          <w:rFonts w:ascii="Arial Narrow" w:eastAsia="Calibri" w:hAnsi="Arial Narrow"/>
          <w:sz w:val="18"/>
          <w:szCs w:val="18"/>
          <w:lang w:eastAsia="en-US"/>
        </w:rPr>
      </w:pPr>
      <w:r w:rsidRPr="000B4845">
        <w:rPr>
          <w:rFonts w:ascii="Arial Narrow" w:eastAsia="Calibri" w:hAnsi="Arial Narrow"/>
          <w:sz w:val="18"/>
          <w:szCs w:val="18"/>
          <w:lang w:eastAsia="en-US"/>
        </w:rPr>
        <w:t>Fuente: Sistema PEI al 24 de enero del 2020 (año 2019)</w:t>
      </w:r>
      <w:r>
        <w:rPr>
          <w:rFonts w:ascii="Arial Narrow" w:eastAsia="Calibri" w:hAnsi="Arial Narrow"/>
          <w:sz w:val="18"/>
          <w:szCs w:val="18"/>
          <w:lang w:eastAsia="en-US"/>
        </w:rPr>
        <w:t xml:space="preserve"> y 04 de marzo del 2021 (año 2020).</w:t>
      </w:r>
    </w:p>
    <w:p w14:paraId="1A2CA281" w14:textId="122DB435" w:rsidR="00A5186A" w:rsidRDefault="00A5186A">
      <w:pPr>
        <w:spacing w:line="360" w:lineRule="auto"/>
        <w:jc w:val="both"/>
        <w:rPr>
          <w:rFonts w:ascii="Arial Narrow" w:eastAsia="Calibri" w:hAnsi="Arial Narrow"/>
          <w:b/>
          <w:bCs/>
          <w:lang w:eastAsia="en-US"/>
        </w:rPr>
      </w:pPr>
    </w:p>
    <w:p w14:paraId="0115C17B" w14:textId="77777777" w:rsidR="009D5823" w:rsidRDefault="009D5823">
      <w:pPr>
        <w:spacing w:line="360" w:lineRule="auto"/>
        <w:jc w:val="both"/>
        <w:rPr>
          <w:rFonts w:ascii="Arial Narrow" w:eastAsia="Calibri" w:hAnsi="Arial Narrow"/>
          <w:b/>
          <w:bCs/>
          <w:lang w:eastAsia="en-US"/>
        </w:rPr>
        <w:sectPr w:rsidR="009D5823" w:rsidSect="009D5823">
          <w:pgSz w:w="15842" w:h="12242" w:orient="landscape" w:code="1"/>
          <w:pgMar w:top="1417" w:right="1701" w:bottom="1417" w:left="1701" w:header="709" w:footer="709" w:gutter="0"/>
          <w:cols w:space="708"/>
          <w:docGrid w:linePitch="360"/>
        </w:sectPr>
      </w:pPr>
    </w:p>
    <w:p w14:paraId="7E6706C7" w14:textId="4B150962" w:rsidR="00165848" w:rsidRPr="00704B08" w:rsidRDefault="00165848" w:rsidP="00704B08">
      <w:pPr>
        <w:spacing w:line="360" w:lineRule="auto"/>
        <w:jc w:val="both"/>
        <w:rPr>
          <w:rFonts w:ascii="Arial Narrow" w:eastAsia="Calibri" w:hAnsi="Arial Narrow"/>
          <w:b/>
          <w:bCs/>
          <w:lang w:eastAsia="en-US"/>
        </w:rPr>
      </w:pPr>
    </w:p>
    <w:p w14:paraId="2B0E3745" w14:textId="1F484430" w:rsidR="00444A18" w:rsidRPr="00704B08" w:rsidRDefault="00615614" w:rsidP="00C77A52">
      <w:pPr>
        <w:spacing w:line="360" w:lineRule="auto"/>
        <w:jc w:val="both"/>
        <w:rPr>
          <w:rFonts w:ascii="Arial Narrow" w:hAnsi="Arial Narrow" w:cs="Arial"/>
        </w:rPr>
      </w:pPr>
      <w:r>
        <w:rPr>
          <w:rFonts w:ascii="Arial Narrow" w:hAnsi="Arial Narrow" w:cs="Calibri"/>
          <w:color w:val="000000"/>
          <w:lang w:val="es-CR" w:eastAsia="es-CR"/>
        </w:rPr>
        <w:t xml:space="preserve">Con respecto a la </w:t>
      </w:r>
      <w:r w:rsidRPr="002E0B96">
        <w:rPr>
          <w:rFonts w:ascii="Arial Narrow" w:hAnsi="Arial Narrow" w:cs="Calibri"/>
          <w:color w:val="000000"/>
          <w:lang w:val="es-CR" w:eastAsia="es-CR"/>
        </w:rPr>
        <w:t>meta estratégica</w:t>
      </w:r>
      <w:r>
        <w:rPr>
          <w:rFonts w:ascii="Arial Narrow" w:hAnsi="Arial Narrow" w:cs="Calibri"/>
          <w:b/>
          <w:bCs/>
          <w:color w:val="000000"/>
          <w:lang w:val="es-CR" w:eastAsia="es-CR"/>
        </w:rPr>
        <w:t xml:space="preserve"> “</w:t>
      </w:r>
      <w:r w:rsidR="00A5186A" w:rsidRPr="00704B08">
        <w:rPr>
          <w:rFonts w:ascii="Arial Narrow" w:hAnsi="Arial Narrow" w:cs="Calibri"/>
          <w:b/>
          <w:bCs/>
          <w:i/>
          <w:iCs/>
          <w:color w:val="000000"/>
          <w:lang w:val="es-CR" w:eastAsia="es-CR"/>
        </w:rPr>
        <w:t>Que al finalizar el 2024, se haya realizado al menos 3 mediciones que permita obtener el grado de satisfacción en los servicios claves prestados al personal judicial</w:t>
      </w:r>
      <w:r>
        <w:rPr>
          <w:rFonts w:ascii="Arial Narrow" w:hAnsi="Arial Narrow" w:cs="Calibri"/>
          <w:b/>
          <w:bCs/>
          <w:color w:val="000000"/>
          <w:lang w:val="es-CR" w:eastAsia="es-CR"/>
        </w:rPr>
        <w:t>”</w:t>
      </w:r>
      <w:r w:rsidR="00DD2BFA">
        <w:rPr>
          <w:rFonts w:ascii="Arial Narrow" w:hAnsi="Arial Narrow" w:cs="Calibri"/>
          <w:b/>
          <w:bCs/>
          <w:color w:val="000000"/>
          <w:lang w:val="es-CR" w:eastAsia="es-CR"/>
        </w:rPr>
        <w:t xml:space="preserve">, </w:t>
      </w:r>
      <w:r>
        <w:rPr>
          <w:rFonts w:ascii="Arial Narrow" w:eastAsia="Calibri" w:hAnsi="Arial Narrow"/>
        </w:rPr>
        <w:t>e</w:t>
      </w:r>
      <w:r w:rsidR="00C77A52" w:rsidRPr="00704B08">
        <w:rPr>
          <w:rFonts w:ascii="Arial Narrow" w:eastAsia="Calibri" w:hAnsi="Arial Narrow"/>
        </w:rPr>
        <w:t xml:space="preserve">s importante señalar que en la Matriz del PEI 2019-2024 adicionalmente se incluye </w:t>
      </w:r>
      <w:r w:rsidR="00165848">
        <w:rPr>
          <w:rFonts w:ascii="Arial Narrow" w:eastAsia="Calibri" w:hAnsi="Arial Narrow"/>
        </w:rPr>
        <w:t xml:space="preserve">esta </w:t>
      </w:r>
      <w:r w:rsidR="00C77A52" w:rsidRPr="00704B08">
        <w:rPr>
          <w:rFonts w:ascii="Arial Narrow" w:eastAsia="Calibri" w:hAnsi="Arial Narrow"/>
        </w:rPr>
        <w:t xml:space="preserve">meta </w:t>
      </w:r>
      <w:r w:rsidR="00165848" w:rsidRPr="005E4899">
        <w:rPr>
          <w:rFonts w:ascii="Arial Narrow" w:eastAsia="Calibri" w:hAnsi="Arial Narrow"/>
        </w:rPr>
        <w:t>estratégica la</w:t>
      </w:r>
      <w:r w:rsidR="00C77A52" w:rsidRPr="00704B08">
        <w:rPr>
          <w:rFonts w:ascii="Arial Narrow" w:eastAsia="Calibri" w:hAnsi="Arial Narrow"/>
        </w:rPr>
        <w:t xml:space="preserve"> cual de acuerdo con la revisión efectuada se logró determinar que no se asoció a ningún PAO de oficina para el 2019, sin embargo, se retomó para cumplirse en el 2020 por medio de la ejecución operativa.  </w:t>
      </w:r>
      <w:r w:rsidR="00444A18" w:rsidRPr="00704B08">
        <w:rPr>
          <w:rFonts w:ascii="Arial Narrow" w:eastAsia="Calibri" w:hAnsi="Arial Narrow"/>
        </w:rPr>
        <w:t>Sobre el</w:t>
      </w:r>
      <w:r w:rsidR="001D4E74" w:rsidRPr="00704B08">
        <w:rPr>
          <w:rFonts w:ascii="Arial Narrow" w:eastAsia="Calibri" w:hAnsi="Arial Narrow"/>
        </w:rPr>
        <w:t xml:space="preserve"> año 2020 </w:t>
      </w:r>
      <w:r w:rsidR="005E4899" w:rsidRPr="00704B08">
        <w:rPr>
          <w:rFonts w:ascii="Arial Narrow" w:eastAsia="Calibri" w:hAnsi="Arial Narrow"/>
        </w:rPr>
        <w:t>la Dirección de Gestión Humana aprobó el Proyecto de Servicios y Procedimientos propuesto por la Unidad de Investigación y Control de Calidad. Este proyecto incluye a todos los subprocesos y unidades adscritas a la Dirección de Gestión Humana el cual será desarrollado mediante una metodología secuencial, es decir se ejecutará por etapas; las cuales iniciaron en el año 2020 y finalizan en el año 2024.</w:t>
      </w:r>
      <w:r w:rsidR="005E4899" w:rsidRPr="00704B08">
        <w:rPr>
          <w:rFonts w:ascii="Arial Narrow" w:hAnsi="Arial Narrow" w:cs="Arial"/>
        </w:rPr>
        <w:t xml:space="preserve"> Dentro de las actividades realizadas en el año 2020 se tiene la ejecución de las primeras etapas del proyecto correspondientes a la investigación, desarrollo y planificación del trabajo. Seguido se realizó la etapa que corresponde a la ejecución; donde cada Subproceso y Unidad realizó un inventario de los servicios que ofrece y documentó los procedimientos asociados a cada servicio. Para estas actividades se utilizaron los instrumentos brindados por medio de la circular </w:t>
      </w:r>
      <w:r w:rsidR="005E4899" w:rsidRPr="00935D7F">
        <w:rPr>
          <w:rFonts w:ascii="Arial Narrow" w:hAnsi="Arial Narrow" w:cs="Arial"/>
        </w:rPr>
        <w:t xml:space="preserve">número </w:t>
      </w:r>
      <w:r w:rsidR="005E4899" w:rsidRPr="00704B08">
        <w:rPr>
          <w:rFonts w:ascii="Arial Narrow" w:hAnsi="Arial Narrow"/>
          <w:shd w:val="clear" w:color="auto" w:fill="FFFFFF"/>
          <w:lang w:val="es-ES"/>
        </w:rPr>
        <w:t>PJ-DGH-C-008-2020.</w:t>
      </w:r>
      <w:r>
        <w:rPr>
          <w:rFonts w:ascii="Arial Narrow" w:hAnsi="Arial Narrow"/>
          <w:shd w:val="clear" w:color="auto" w:fill="FFFFFF"/>
          <w:lang w:val="es-ES"/>
        </w:rPr>
        <w:t xml:space="preserve"> </w:t>
      </w:r>
      <w:r w:rsidR="005E4899" w:rsidRPr="00704B08">
        <w:rPr>
          <w:rFonts w:ascii="Arial Narrow" w:hAnsi="Arial Narrow" w:cs="Arial"/>
        </w:rPr>
        <w:t>En función de lo planteado</w:t>
      </w:r>
      <w:r w:rsidR="009423B1" w:rsidRPr="00704B08">
        <w:rPr>
          <w:rFonts w:ascii="Arial Narrow" w:hAnsi="Arial Narrow" w:cs="Arial"/>
        </w:rPr>
        <w:t xml:space="preserve">, se tiene se tiene un estado de cumplimiento </w:t>
      </w:r>
      <w:r>
        <w:rPr>
          <w:rFonts w:ascii="Arial Narrow" w:hAnsi="Arial Narrow" w:cs="Arial"/>
        </w:rPr>
        <w:t>total l</w:t>
      </w:r>
      <w:r w:rsidR="009423B1" w:rsidRPr="00704B08">
        <w:rPr>
          <w:rFonts w:ascii="Arial Narrow" w:hAnsi="Arial Narrow" w:cs="Arial"/>
        </w:rPr>
        <w:t xml:space="preserve">ogrando un 100% de avance en esta meta </w:t>
      </w:r>
      <w:r w:rsidR="0027246A" w:rsidRPr="00704B08">
        <w:rPr>
          <w:rFonts w:ascii="Arial Narrow" w:hAnsi="Arial Narrow" w:cs="Arial"/>
        </w:rPr>
        <w:t>estratégica</w:t>
      </w:r>
      <w:r w:rsidR="009423B1" w:rsidRPr="00704B08">
        <w:rPr>
          <w:rFonts w:ascii="Arial Narrow" w:hAnsi="Arial Narrow" w:cs="Arial"/>
        </w:rPr>
        <w:t>.</w:t>
      </w:r>
    </w:p>
    <w:p w14:paraId="57D3DDB2" w14:textId="77777777" w:rsidR="00A5186A" w:rsidRPr="00704B08" w:rsidRDefault="00A5186A" w:rsidP="00704B08">
      <w:pPr>
        <w:spacing w:line="360" w:lineRule="auto"/>
        <w:jc w:val="both"/>
        <w:rPr>
          <w:rFonts w:ascii="Arial Narrow" w:hAnsi="Arial Narrow" w:cs="Calibri"/>
          <w:color w:val="000000"/>
          <w:lang w:val="es-CR" w:eastAsia="es-CR"/>
        </w:rPr>
      </w:pPr>
    </w:p>
    <w:p w14:paraId="3654244C" w14:textId="326CB2B1" w:rsidR="009423B1" w:rsidRPr="00704B08" w:rsidRDefault="00165848" w:rsidP="004B4199">
      <w:pPr>
        <w:spacing w:line="360" w:lineRule="auto"/>
        <w:jc w:val="both"/>
        <w:rPr>
          <w:rFonts w:ascii="Arial Narrow" w:hAnsi="Arial Narrow" w:cs="Calibri"/>
          <w:b/>
          <w:bCs/>
          <w:color w:val="000000"/>
          <w:lang w:val="es-CR" w:eastAsia="es-CR"/>
        </w:rPr>
      </w:pPr>
      <w:r w:rsidRPr="00704B08">
        <w:rPr>
          <w:rFonts w:ascii="Arial Narrow" w:hAnsi="Arial Narrow" w:cs="Calibri"/>
          <w:color w:val="000000"/>
          <w:lang w:val="es-CR" w:eastAsia="es-CR"/>
        </w:rPr>
        <w:t xml:space="preserve">En lo que respecta a la meta </w:t>
      </w:r>
      <w:r w:rsidR="00615614" w:rsidRPr="00704B08">
        <w:rPr>
          <w:rFonts w:ascii="Arial Narrow" w:hAnsi="Arial Narrow" w:cs="Calibri"/>
          <w:color w:val="000000"/>
          <w:lang w:val="es-CR" w:eastAsia="es-CR"/>
        </w:rPr>
        <w:t>estratégica</w:t>
      </w:r>
      <w:r w:rsidR="00615614">
        <w:rPr>
          <w:rFonts w:ascii="Arial Narrow" w:hAnsi="Arial Narrow" w:cs="Calibri"/>
          <w:b/>
          <w:bCs/>
          <w:color w:val="000000"/>
          <w:lang w:val="es-CR" w:eastAsia="es-CR"/>
        </w:rPr>
        <w:t xml:space="preserve"> “</w:t>
      </w:r>
      <w:r w:rsidR="00A5186A" w:rsidRPr="00704B08">
        <w:rPr>
          <w:rFonts w:ascii="Arial Narrow" w:hAnsi="Arial Narrow" w:cs="Calibri"/>
          <w:b/>
          <w:bCs/>
          <w:i/>
          <w:iCs/>
          <w:color w:val="000000"/>
          <w:lang w:val="es-CR" w:eastAsia="es-CR"/>
        </w:rPr>
        <w:t>Que al finalizar el 2024, se hayan implementado medios alternativos para la atención de los servicios de gestión del personal judicial</w:t>
      </w:r>
      <w:r w:rsidR="00615614">
        <w:rPr>
          <w:rFonts w:ascii="Arial Narrow" w:hAnsi="Arial Narrow" w:cs="Calibri"/>
          <w:b/>
          <w:bCs/>
          <w:color w:val="000000"/>
          <w:lang w:val="es-CR" w:eastAsia="es-CR"/>
        </w:rPr>
        <w:t>”</w:t>
      </w:r>
      <w:r w:rsidR="00DD2BFA">
        <w:rPr>
          <w:rFonts w:ascii="Arial Narrow" w:hAnsi="Arial Narrow" w:cs="Calibri"/>
          <w:b/>
          <w:bCs/>
          <w:color w:val="000000"/>
          <w:lang w:val="es-CR" w:eastAsia="es-CR"/>
        </w:rPr>
        <w:t>,</w:t>
      </w:r>
      <w:r>
        <w:rPr>
          <w:rFonts w:ascii="Arial Narrow" w:hAnsi="Arial Narrow" w:cs="Calibri"/>
          <w:b/>
          <w:bCs/>
          <w:color w:val="000000"/>
          <w:lang w:val="es-CR" w:eastAsia="es-CR"/>
        </w:rPr>
        <w:t xml:space="preserve"> </w:t>
      </w:r>
      <w:r w:rsidR="00DD12A0">
        <w:rPr>
          <w:rFonts w:ascii="Arial Narrow" w:hAnsi="Arial Narrow"/>
        </w:rPr>
        <w:t xml:space="preserve">se tiene un estado de cumplimiento “completado” </w:t>
      </w:r>
      <w:r w:rsidR="003C65F0">
        <w:rPr>
          <w:rFonts w:ascii="Arial Narrow" w:hAnsi="Arial Narrow"/>
        </w:rPr>
        <w:t>para los años 2019 y 2020 reportando un</w:t>
      </w:r>
      <w:r w:rsidR="00DD12A0">
        <w:rPr>
          <w:rFonts w:ascii="Arial Narrow" w:hAnsi="Arial Narrow"/>
        </w:rPr>
        <w:t xml:space="preserve"> 100% de avance y un 20% en el cumplimiento acumulado, dentro de las acciones realizadas se tiene que la Dirección de Gestión Humana implementó</w:t>
      </w:r>
      <w:r w:rsidR="004B4199" w:rsidRPr="00704B08">
        <w:rPr>
          <w:rFonts w:ascii="Arial Narrow" w:hAnsi="Arial Narrow"/>
        </w:rPr>
        <w:t xml:space="preserve"> las mejoras relacionadas a la autogestión en </w:t>
      </w:r>
      <w:r w:rsidR="00DD12A0">
        <w:rPr>
          <w:rFonts w:ascii="Arial Narrow" w:hAnsi="Arial Narrow"/>
        </w:rPr>
        <w:t>“</w:t>
      </w:r>
      <w:r w:rsidR="004B4199" w:rsidRPr="00704B08">
        <w:rPr>
          <w:rFonts w:ascii="Arial Narrow" w:hAnsi="Arial Narrow"/>
        </w:rPr>
        <w:t>GH en Línea</w:t>
      </w:r>
      <w:r w:rsidR="00DD12A0">
        <w:rPr>
          <w:rFonts w:ascii="Arial Narrow" w:hAnsi="Arial Narrow"/>
        </w:rPr>
        <w:t>”</w:t>
      </w:r>
      <w:r w:rsidR="004B4199" w:rsidRPr="00704B08">
        <w:rPr>
          <w:rFonts w:ascii="Arial Narrow" w:hAnsi="Arial Narrow"/>
        </w:rPr>
        <w:t xml:space="preserve"> y de </w:t>
      </w:r>
      <w:r w:rsidR="00DD12A0">
        <w:rPr>
          <w:rFonts w:ascii="Arial Narrow" w:hAnsi="Arial Narrow"/>
        </w:rPr>
        <w:t>“</w:t>
      </w:r>
      <w:r w:rsidR="004B4199" w:rsidRPr="00704B08">
        <w:rPr>
          <w:rFonts w:ascii="Arial Narrow" w:hAnsi="Arial Narrow"/>
        </w:rPr>
        <w:t>Active Directory</w:t>
      </w:r>
      <w:r w:rsidR="00DD12A0">
        <w:rPr>
          <w:rFonts w:ascii="Arial Narrow" w:hAnsi="Arial Narrow"/>
        </w:rPr>
        <w:t>”</w:t>
      </w:r>
      <w:r w:rsidR="004B4199" w:rsidRPr="00704B08">
        <w:rPr>
          <w:rFonts w:ascii="Arial Narrow" w:hAnsi="Arial Narrow"/>
        </w:rPr>
        <w:t xml:space="preserve">, que eran fundamentales para el personal judicial y </w:t>
      </w:r>
      <w:r w:rsidR="00DD12A0" w:rsidRPr="004B4199">
        <w:rPr>
          <w:rFonts w:ascii="Arial Narrow" w:hAnsi="Arial Narrow"/>
        </w:rPr>
        <w:t>que,</w:t>
      </w:r>
      <w:r w:rsidR="004B4199" w:rsidRPr="00704B08">
        <w:rPr>
          <w:rFonts w:ascii="Arial Narrow" w:hAnsi="Arial Narrow"/>
        </w:rPr>
        <w:t xml:space="preserve"> a su vez, se cumpliera con los protocolos de seguridad de </w:t>
      </w:r>
      <w:r w:rsidR="00DD12A0">
        <w:rPr>
          <w:rFonts w:ascii="Arial Narrow" w:hAnsi="Arial Narrow"/>
        </w:rPr>
        <w:t>la Dirección de Tecnología de la Información.</w:t>
      </w:r>
      <w:r w:rsidR="004B4199" w:rsidRPr="00704B08">
        <w:rPr>
          <w:rFonts w:ascii="Arial Narrow" w:hAnsi="Arial Narrow"/>
        </w:rPr>
        <w:t xml:space="preserve"> </w:t>
      </w:r>
    </w:p>
    <w:p w14:paraId="58639C45" w14:textId="77777777" w:rsidR="00DD12A0" w:rsidRDefault="00DD12A0" w:rsidP="004B4199">
      <w:pPr>
        <w:spacing w:line="360" w:lineRule="auto"/>
        <w:jc w:val="both"/>
        <w:rPr>
          <w:rFonts w:ascii="Arial Narrow" w:hAnsi="Arial Narrow" w:cs="Calibri"/>
          <w:b/>
          <w:bCs/>
          <w:color w:val="000000"/>
          <w:lang w:val="es-CR" w:eastAsia="es-CR"/>
        </w:rPr>
      </w:pPr>
    </w:p>
    <w:p w14:paraId="174F0C07" w14:textId="219E60C1" w:rsidR="009423B1" w:rsidRPr="00DD12A0" w:rsidRDefault="00DD12A0" w:rsidP="004B4199">
      <w:pPr>
        <w:spacing w:line="360" w:lineRule="auto"/>
        <w:jc w:val="both"/>
        <w:rPr>
          <w:rFonts w:ascii="Arial Narrow" w:hAnsi="Arial Narrow"/>
        </w:rPr>
      </w:pPr>
      <w:r w:rsidRPr="00704B08">
        <w:rPr>
          <w:rFonts w:ascii="Arial Narrow" w:hAnsi="Arial Narrow" w:cs="Calibri"/>
          <w:color w:val="000000"/>
          <w:lang w:val="es-CR" w:eastAsia="es-CR"/>
        </w:rPr>
        <w:t xml:space="preserve">Por otra parte, la Dirección de Planificación </w:t>
      </w:r>
      <w:r w:rsidRPr="00DD12A0">
        <w:rPr>
          <w:rFonts w:ascii="Arial Narrow" w:hAnsi="Arial Narrow"/>
        </w:rPr>
        <w:t>realizó</w:t>
      </w:r>
      <w:r w:rsidR="004B4199" w:rsidRPr="00704B08">
        <w:rPr>
          <w:rFonts w:ascii="Arial Narrow" w:hAnsi="Arial Narrow"/>
        </w:rPr>
        <w:t xml:space="preserve"> ajus</w:t>
      </w:r>
      <w:r w:rsidRPr="00DD12A0">
        <w:rPr>
          <w:rFonts w:ascii="Arial Narrow" w:hAnsi="Arial Narrow"/>
        </w:rPr>
        <w:t>tes a las</w:t>
      </w:r>
      <w:r w:rsidR="004B4199" w:rsidRPr="00704B08">
        <w:rPr>
          <w:rFonts w:ascii="Arial Narrow" w:hAnsi="Arial Narrow"/>
        </w:rPr>
        <w:t xml:space="preserve"> metodologías de trabajo para atender </w:t>
      </w:r>
      <w:r w:rsidR="003C65F0">
        <w:rPr>
          <w:rFonts w:ascii="Arial Narrow" w:hAnsi="Arial Narrow"/>
        </w:rPr>
        <w:t xml:space="preserve">asuntos </w:t>
      </w:r>
      <w:r w:rsidR="004B4199" w:rsidRPr="00704B08">
        <w:rPr>
          <w:rFonts w:ascii="Arial Narrow" w:hAnsi="Arial Narrow"/>
        </w:rPr>
        <w:t>desde una modalidad virtual (rediseño modelo penal, estudio de estructura y organización, formularios, manuales de procedimientos).</w:t>
      </w:r>
    </w:p>
    <w:p w14:paraId="79EA0E98" w14:textId="77777777" w:rsidR="004B4199" w:rsidRPr="00704B08" w:rsidRDefault="004B4199" w:rsidP="00704B08">
      <w:pPr>
        <w:spacing w:line="360" w:lineRule="auto"/>
        <w:jc w:val="both"/>
        <w:rPr>
          <w:rFonts w:ascii="Arial Narrow" w:eastAsia="Calibri" w:hAnsi="Arial Narrow"/>
          <w:lang w:eastAsia="en-US"/>
        </w:rPr>
      </w:pPr>
    </w:p>
    <w:p w14:paraId="6EA74573" w14:textId="77777777" w:rsidR="00DD2BFA" w:rsidRDefault="00DD2BFA" w:rsidP="00704B08">
      <w:pPr>
        <w:spacing w:line="360" w:lineRule="auto"/>
        <w:jc w:val="both"/>
        <w:rPr>
          <w:rFonts w:ascii="Arial Narrow" w:hAnsi="Arial Narrow" w:cs="Calibri"/>
          <w:color w:val="000000"/>
          <w:lang w:val="es-CR" w:eastAsia="es-CR"/>
        </w:rPr>
      </w:pPr>
    </w:p>
    <w:p w14:paraId="4C194C39" w14:textId="77777777" w:rsidR="00DD2BFA" w:rsidRDefault="00DD2BFA" w:rsidP="00704B08">
      <w:pPr>
        <w:spacing w:line="360" w:lineRule="auto"/>
        <w:jc w:val="both"/>
        <w:rPr>
          <w:rFonts w:ascii="Arial Narrow" w:hAnsi="Arial Narrow" w:cs="Calibri"/>
          <w:color w:val="000000"/>
          <w:lang w:val="es-CR" w:eastAsia="es-CR"/>
        </w:rPr>
      </w:pPr>
    </w:p>
    <w:p w14:paraId="411F1C5E" w14:textId="77777777" w:rsidR="00DD2BFA" w:rsidRDefault="00DD2BFA" w:rsidP="00704B08">
      <w:pPr>
        <w:spacing w:line="360" w:lineRule="auto"/>
        <w:jc w:val="both"/>
        <w:rPr>
          <w:rFonts w:ascii="Arial Narrow" w:hAnsi="Arial Narrow" w:cs="Calibri"/>
          <w:color w:val="000000"/>
          <w:lang w:val="es-CR" w:eastAsia="es-CR"/>
        </w:rPr>
      </w:pPr>
    </w:p>
    <w:p w14:paraId="1CDBB1A2" w14:textId="018E09EB" w:rsidR="00A5186A" w:rsidRPr="00704B08" w:rsidRDefault="00615614" w:rsidP="00704B08">
      <w:pPr>
        <w:spacing w:line="360" w:lineRule="auto"/>
        <w:jc w:val="both"/>
        <w:rPr>
          <w:rFonts w:ascii="Arial Narrow" w:hAnsi="Arial Narrow" w:cs="Calibri"/>
          <w:color w:val="000000"/>
          <w:lang w:val="es-CR" w:eastAsia="es-CR"/>
        </w:rPr>
      </w:pPr>
      <w:r w:rsidRPr="002E0B96">
        <w:rPr>
          <w:rFonts w:ascii="Arial Narrow" w:hAnsi="Arial Narrow" w:cs="Calibri"/>
          <w:color w:val="000000"/>
          <w:lang w:val="es-CR" w:eastAsia="es-CR"/>
        </w:rPr>
        <w:t>En lo que respecta a la meta estratégica</w:t>
      </w:r>
      <w:r>
        <w:rPr>
          <w:rFonts w:ascii="Arial Narrow" w:hAnsi="Arial Narrow" w:cs="Calibri"/>
          <w:b/>
          <w:bCs/>
          <w:color w:val="000000"/>
          <w:lang w:val="es-CR" w:eastAsia="es-CR"/>
        </w:rPr>
        <w:t xml:space="preserve"> “</w:t>
      </w:r>
      <w:r w:rsidR="00A5186A" w:rsidRPr="00704B08">
        <w:rPr>
          <w:rFonts w:ascii="Arial Narrow" w:hAnsi="Arial Narrow" w:cs="Calibri"/>
          <w:b/>
          <w:bCs/>
          <w:i/>
          <w:iCs/>
          <w:color w:val="000000"/>
          <w:lang w:val="es-CR" w:eastAsia="es-CR"/>
        </w:rPr>
        <w:t>Que al finalizar el 2024, se hayan implementado un plan de trabajo para efectuar evaluaciones anuales sobre la calidad del servicio brindado a las personas usuarias internas y externas de la Oficina de Atención a la Víctima de Delitos y la Unidad de Protección de Víctimas y Testigos</w:t>
      </w:r>
      <w:r>
        <w:rPr>
          <w:rFonts w:ascii="Arial Narrow" w:hAnsi="Arial Narrow" w:cs="Calibri"/>
          <w:b/>
          <w:bCs/>
          <w:color w:val="000000"/>
          <w:lang w:val="es-CR" w:eastAsia="es-CR"/>
        </w:rPr>
        <w:t>”</w:t>
      </w:r>
      <w:r w:rsidR="00DD2BFA">
        <w:rPr>
          <w:rFonts w:ascii="Arial Narrow" w:hAnsi="Arial Narrow" w:cs="Calibri"/>
          <w:b/>
          <w:bCs/>
          <w:color w:val="000000"/>
          <w:lang w:val="es-CR" w:eastAsia="es-CR"/>
        </w:rPr>
        <w:t>,</w:t>
      </w:r>
      <w:r w:rsidR="00165848" w:rsidRPr="00704B08">
        <w:rPr>
          <w:rFonts w:ascii="Arial Narrow" w:hAnsi="Arial Narrow" w:cs="Calibri"/>
          <w:color w:val="000000"/>
          <w:lang w:val="es-CR" w:eastAsia="es-CR"/>
        </w:rPr>
        <w:t xml:space="preserve"> </w:t>
      </w:r>
      <w:r w:rsidR="00705D20" w:rsidRPr="00704B08">
        <w:rPr>
          <w:rFonts w:ascii="Arial Narrow" w:hAnsi="Arial Narrow" w:cs="Calibri"/>
          <w:color w:val="000000"/>
          <w:lang w:val="es-CR" w:eastAsia="es-CR"/>
        </w:rPr>
        <w:t xml:space="preserve">se observa que se diseñó por medio de la herramienta </w:t>
      </w:r>
      <w:r w:rsidR="00705D20" w:rsidRPr="00165848">
        <w:rPr>
          <w:rFonts w:ascii="Arial Narrow" w:hAnsi="Arial Narrow" w:cs="Calibri"/>
          <w:color w:val="000000"/>
          <w:lang w:val="es-CR" w:eastAsia="es-CR"/>
        </w:rPr>
        <w:t>“</w:t>
      </w:r>
      <w:r w:rsidR="00705D20" w:rsidRPr="00704B08">
        <w:rPr>
          <w:rFonts w:ascii="Arial Narrow" w:hAnsi="Arial Narrow"/>
        </w:rPr>
        <w:t xml:space="preserve">surveymonkey” una encuesta </w:t>
      </w:r>
      <w:r w:rsidR="00457DEE" w:rsidRPr="00704B08">
        <w:rPr>
          <w:rFonts w:ascii="Arial Narrow" w:hAnsi="Arial Narrow"/>
        </w:rPr>
        <w:t>de evaluación del servicio brindado a la persona usuaria donde se le indica al usuario que la información obtenida es confidencial.</w:t>
      </w:r>
      <w:r w:rsidR="00AA3DF7" w:rsidRPr="00704B08">
        <w:rPr>
          <w:rFonts w:ascii="Arial Narrow" w:hAnsi="Arial Narrow"/>
        </w:rPr>
        <w:t xml:space="preserve"> De lo anterior, se tiene un cumplimiento del 100% y un porcentaje de avance del 20% acumulado.</w:t>
      </w:r>
    </w:p>
    <w:p w14:paraId="2C792B11" w14:textId="77777777" w:rsidR="00CA6324" w:rsidRPr="00704B08" w:rsidRDefault="00CA6324" w:rsidP="00704B08">
      <w:pPr>
        <w:spacing w:line="360" w:lineRule="auto"/>
        <w:jc w:val="both"/>
        <w:rPr>
          <w:rFonts w:ascii="Arial Narrow" w:eastAsia="Calibri" w:hAnsi="Arial Narrow"/>
          <w:lang w:eastAsia="en-US"/>
        </w:rPr>
      </w:pPr>
    </w:p>
    <w:p w14:paraId="035A6D9B" w14:textId="04F3D656" w:rsidR="00A5186A" w:rsidRPr="00704B08" w:rsidRDefault="00615614" w:rsidP="00704B08">
      <w:pPr>
        <w:spacing w:line="360" w:lineRule="auto"/>
        <w:jc w:val="both"/>
        <w:rPr>
          <w:rFonts w:ascii="Arial Narrow" w:hAnsi="Arial Narrow" w:cs="Calibri"/>
          <w:color w:val="000000"/>
          <w:lang w:val="es-CR" w:eastAsia="es-CR"/>
        </w:rPr>
      </w:pPr>
      <w:r>
        <w:rPr>
          <w:rFonts w:ascii="Arial Narrow" w:hAnsi="Arial Narrow" w:cs="Calibri"/>
          <w:color w:val="000000"/>
          <w:lang w:val="es-CR" w:eastAsia="es-CR"/>
        </w:rPr>
        <w:t>L</w:t>
      </w:r>
      <w:r w:rsidRPr="002E0B96">
        <w:rPr>
          <w:rFonts w:ascii="Arial Narrow" w:hAnsi="Arial Narrow" w:cs="Calibri"/>
          <w:color w:val="000000"/>
          <w:lang w:val="es-CR" w:eastAsia="es-CR"/>
        </w:rPr>
        <w:t>a meta estratégica</w:t>
      </w:r>
      <w:r>
        <w:rPr>
          <w:rFonts w:ascii="Arial Narrow" w:hAnsi="Arial Narrow" w:cs="Calibri"/>
          <w:b/>
          <w:bCs/>
          <w:color w:val="000000"/>
          <w:lang w:val="es-CR" w:eastAsia="es-CR"/>
        </w:rPr>
        <w:t xml:space="preserve"> “</w:t>
      </w:r>
      <w:r w:rsidR="00A5186A" w:rsidRPr="00704B08">
        <w:rPr>
          <w:rFonts w:ascii="Arial Narrow" w:hAnsi="Arial Narrow" w:cs="Calibri"/>
          <w:b/>
          <w:bCs/>
          <w:i/>
          <w:iCs/>
          <w:color w:val="000000"/>
          <w:lang w:val="es-CR" w:eastAsia="es-CR"/>
        </w:rPr>
        <w:t xml:space="preserve">Que al finalizar el 2024, haya logrado la acreditación en al menos 3 nuevas áreas avaladas por la Dirección General la reacreditacion en </w:t>
      </w:r>
      <w:r w:rsidR="00996052" w:rsidRPr="00704B08">
        <w:rPr>
          <w:rFonts w:ascii="Arial Narrow" w:hAnsi="Arial Narrow" w:cs="Calibri"/>
          <w:b/>
          <w:bCs/>
          <w:i/>
          <w:iCs/>
          <w:color w:val="000000"/>
          <w:lang w:val="es-CR" w:eastAsia="es-CR"/>
        </w:rPr>
        <w:t>los 4</w:t>
      </w:r>
      <w:r w:rsidR="00A5186A" w:rsidRPr="00704B08">
        <w:rPr>
          <w:rFonts w:ascii="Arial Narrow" w:hAnsi="Arial Narrow" w:cs="Calibri"/>
          <w:b/>
          <w:bCs/>
          <w:i/>
          <w:iCs/>
          <w:color w:val="000000"/>
          <w:lang w:val="es-CR" w:eastAsia="es-CR"/>
        </w:rPr>
        <w:t xml:space="preserve"> alcances que al 2018 ya se encuentran acreditas</w:t>
      </w:r>
      <w:r w:rsidRPr="00704B08">
        <w:rPr>
          <w:rFonts w:ascii="Arial Narrow" w:hAnsi="Arial Narrow" w:cs="Calibri"/>
          <w:b/>
          <w:bCs/>
          <w:i/>
          <w:iCs/>
          <w:color w:val="000000"/>
          <w:lang w:val="es-CR" w:eastAsia="es-CR"/>
        </w:rPr>
        <w:t>”</w:t>
      </w:r>
      <w:r w:rsidR="00CA6324" w:rsidRPr="00704B08">
        <w:rPr>
          <w:rFonts w:ascii="Arial Narrow" w:hAnsi="Arial Narrow" w:cs="Calibri"/>
          <w:b/>
          <w:bCs/>
          <w:i/>
          <w:iCs/>
          <w:color w:val="000000"/>
          <w:lang w:val="es-CR" w:eastAsia="es-CR"/>
        </w:rPr>
        <w:t>,</w:t>
      </w:r>
      <w:r w:rsidR="00CA6324">
        <w:rPr>
          <w:rFonts w:ascii="Arial Narrow" w:hAnsi="Arial Narrow" w:cs="Calibri"/>
          <w:b/>
          <w:bCs/>
          <w:color w:val="000000"/>
          <w:lang w:val="es-CR" w:eastAsia="es-CR"/>
        </w:rPr>
        <w:t xml:space="preserve"> </w:t>
      </w:r>
      <w:r w:rsidR="00CA6324" w:rsidRPr="00704B08">
        <w:rPr>
          <w:rFonts w:ascii="Arial Narrow" w:hAnsi="Arial Narrow" w:cs="Calibri"/>
          <w:color w:val="000000"/>
          <w:lang w:val="es-CR" w:eastAsia="es-CR"/>
        </w:rPr>
        <w:t xml:space="preserve">se tiene que el Organismo de Investigación Judicial </w:t>
      </w:r>
      <w:r w:rsidR="00282F79" w:rsidRPr="00704B08">
        <w:rPr>
          <w:rFonts w:ascii="Arial Narrow" w:hAnsi="Arial Narrow"/>
        </w:rPr>
        <w:t xml:space="preserve">generó el oficio N°722SG con el informe para optar por la acreditación de la Secretaría General </w:t>
      </w:r>
      <w:r w:rsidR="006B497D" w:rsidRPr="00704B08">
        <w:rPr>
          <w:rFonts w:ascii="Arial Narrow" w:hAnsi="Arial Narrow"/>
        </w:rPr>
        <w:t xml:space="preserve">del OIJ </w:t>
      </w:r>
      <w:r w:rsidR="00282F79" w:rsidRPr="00704B08">
        <w:rPr>
          <w:rFonts w:ascii="Arial Narrow" w:hAnsi="Arial Narrow"/>
        </w:rPr>
        <w:t xml:space="preserve">en el sello documental, </w:t>
      </w:r>
      <w:r w:rsidR="006B497D" w:rsidRPr="00704B08">
        <w:rPr>
          <w:rFonts w:ascii="Arial Narrow" w:hAnsi="Arial Narrow"/>
        </w:rPr>
        <w:t>el cual quedó</w:t>
      </w:r>
      <w:r w:rsidR="00282F79" w:rsidRPr="00704B08">
        <w:rPr>
          <w:rFonts w:ascii="Arial Narrow" w:hAnsi="Arial Narrow"/>
        </w:rPr>
        <w:t xml:space="preserve"> pendiente de la evaluación, así como de la reacreditación de</w:t>
      </w:r>
      <w:r w:rsidR="006B497D" w:rsidRPr="00704B08">
        <w:rPr>
          <w:rFonts w:ascii="Arial Narrow" w:hAnsi="Arial Narrow"/>
        </w:rPr>
        <w:t xml:space="preserve"> la Sección de </w:t>
      </w:r>
      <w:r w:rsidR="00282F79" w:rsidRPr="00704B08">
        <w:rPr>
          <w:rFonts w:ascii="Arial Narrow" w:hAnsi="Arial Narrow"/>
        </w:rPr>
        <w:t>A</w:t>
      </w:r>
      <w:r w:rsidR="006B497D" w:rsidRPr="00704B08">
        <w:rPr>
          <w:rFonts w:ascii="Arial Narrow" w:hAnsi="Arial Narrow"/>
        </w:rPr>
        <w:t xml:space="preserve">poyo Psicológico </w:t>
      </w:r>
      <w:r w:rsidR="00282F79" w:rsidRPr="00704B08">
        <w:rPr>
          <w:rFonts w:ascii="Arial Narrow" w:hAnsi="Arial Narrow"/>
        </w:rPr>
        <w:t>O</w:t>
      </w:r>
      <w:r w:rsidR="006B497D" w:rsidRPr="00704B08">
        <w:rPr>
          <w:rFonts w:ascii="Arial Narrow" w:hAnsi="Arial Narrow"/>
        </w:rPr>
        <w:t>peracional</w:t>
      </w:r>
      <w:r w:rsidR="00282F79" w:rsidRPr="00704B08">
        <w:rPr>
          <w:rFonts w:ascii="Arial Narrow" w:hAnsi="Arial Narrow"/>
        </w:rPr>
        <w:t xml:space="preserve">, por su parte el Archivo Criminal finalizó el proceso. </w:t>
      </w:r>
      <w:r w:rsidR="00821261" w:rsidRPr="00704B08">
        <w:rPr>
          <w:rFonts w:ascii="Arial Narrow" w:hAnsi="Arial Narrow"/>
        </w:rPr>
        <w:t xml:space="preserve">En </w:t>
      </w:r>
      <w:r w:rsidR="006B497D" w:rsidRPr="00704B08">
        <w:rPr>
          <w:rFonts w:ascii="Arial Narrow" w:hAnsi="Arial Narrow"/>
        </w:rPr>
        <w:t xml:space="preserve">cuanto a la Oficina de Recepción de Denuncias y la Sección de Comunicaciones del OIJ </w:t>
      </w:r>
      <w:r w:rsidR="00821261" w:rsidRPr="00704B08">
        <w:rPr>
          <w:rFonts w:ascii="Arial Narrow" w:hAnsi="Arial Narrow"/>
        </w:rPr>
        <w:t>se inició con el proceso inductivo pero debido a la pandemia Covid 19 fue suspendido el proceso. Cabe mencionar que la Secretaría General del OIJ tuvo la representación del OIJ en la Comisión GICA Justicia. Es por lo anterior, que se da un cumplimiento del 100% de la meta ya que el proceso se realizó, pero fue suspendido por situaciones que son justificadas</w:t>
      </w:r>
      <w:r w:rsidR="00821261" w:rsidRPr="009D5823">
        <w:rPr>
          <w:rFonts w:ascii="Arial Narrow" w:hAnsi="Arial Narrow"/>
        </w:rPr>
        <w:t>. El porcentaje acumulado no se indica debido a que en la matriz del PEI no se tienen con los datos de formulación.</w:t>
      </w:r>
    </w:p>
    <w:p w14:paraId="490B20BC" w14:textId="6F8D1357" w:rsidR="00DD4259" w:rsidRDefault="00DD4259" w:rsidP="008B6366">
      <w:pPr>
        <w:rPr>
          <w:rFonts w:ascii="Arial Narrow" w:eastAsia="Calibri" w:hAnsi="Arial Narrow"/>
          <w:lang w:eastAsia="en-US"/>
        </w:rPr>
      </w:pPr>
    </w:p>
    <w:p w14:paraId="122BDFCD" w14:textId="77777777" w:rsidR="00821261" w:rsidRDefault="00821261" w:rsidP="008B6366">
      <w:pPr>
        <w:rPr>
          <w:rFonts w:ascii="Arial Narrow" w:eastAsia="Calibri" w:hAnsi="Arial Narrow"/>
          <w:lang w:eastAsia="en-US"/>
        </w:rPr>
      </w:pPr>
    </w:p>
    <w:p w14:paraId="6E07D324" w14:textId="77777777" w:rsidR="00DD2BFA" w:rsidRDefault="00DD2BFA" w:rsidP="00704B08">
      <w:pPr>
        <w:spacing w:line="360" w:lineRule="auto"/>
        <w:ind w:right="512"/>
        <w:jc w:val="both"/>
        <w:rPr>
          <w:rFonts w:ascii="Arial Narrow" w:eastAsia="Calibri" w:hAnsi="Arial Narrow"/>
          <w:lang w:eastAsia="en-US"/>
        </w:rPr>
      </w:pPr>
    </w:p>
    <w:p w14:paraId="43653B44" w14:textId="77777777" w:rsidR="00DD2BFA" w:rsidRDefault="00DD2BFA" w:rsidP="00704B08">
      <w:pPr>
        <w:spacing w:line="360" w:lineRule="auto"/>
        <w:ind w:right="512"/>
        <w:jc w:val="both"/>
        <w:rPr>
          <w:rFonts w:ascii="Arial Narrow" w:eastAsia="Calibri" w:hAnsi="Arial Narrow"/>
          <w:lang w:eastAsia="en-US"/>
        </w:rPr>
      </w:pPr>
    </w:p>
    <w:p w14:paraId="09CFFDA1" w14:textId="77777777" w:rsidR="00DD2BFA" w:rsidRDefault="00DD2BFA" w:rsidP="00704B08">
      <w:pPr>
        <w:spacing w:line="360" w:lineRule="auto"/>
        <w:ind w:right="512"/>
        <w:jc w:val="both"/>
        <w:rPr>
          <w:rFonts w:ascii="Arial Narrow" w:eastAsia="Calibri" w:hAnsi="Arial Narrow"/>
          <w:lang w:eastAsia="en-US"/>
        </w:rPr>
      </w:pPr>
    </w:p>
    <w:p w14:paraId="74263F76" w14:textId="77777777" w:rsidR="00DD2BFA" w:rsidRDefault="00DD2BFA" w:rsidP="00704B08">
      <w:pPr>
        <w:spacing w:line="360" w:lineRule="auto"/>
        <w:ind w:right="512"/>
        <w:jc w:val="both"/>
        <w:rPr>
          <w:rFonts w:ascii="Arial Narrow" w:eastAsia="Calibri" w:hAnsi="Arial Narrow"/>
          <w:lang w:eastAsia="en-US"/>
        </w:rPr>
      </w:pPr>
    </w:p>
    <w:p w14:paraId="6F249777" w14:textId="77777777" w:rsidR="00DD2BFA" w:rsidRDefault="00DD2BFA" w:rsidP="00704B08">
      <w:pPr>
        <w:spacing w:line="360" w:lineRule="auto"/>
        <w:ind w:right="512"/>
        <w:jc w:val="both"/>
        <w:rPr>
          <w:rFonts w:ascii="Arial Narrow" w:eastAsia="Calibri" w:hAnsi="Arial Narrow"/>
          <w:lang w:eastAsia="en-US"/>
        </w:rPr>
      </w:pPr>
    </w:p>
    <w:p w14:paraId="74E01536" w14:textId="77777777" w:rsidR="00DD2BFA" w:rsidRDefault="00DD2BFA" w:rsidP="00704B08">
      <w:pPr>
        <w:spacing w:line="360" w:lineRule="auto"/>
        <w:ind w:right="512"/>
        <w:jc w:val="both"/>
        <w:rPr>
          <w:rFonts w:ascii="Arial Narrow" w:eastAsia="Calibri" w:hAnsi="Arial Narrow"/>
          <w:lang w:eastAsia="en-US"/>
        </w:rPr>
      </w:pPr>
    </w:p>
    <w:p w14:paraId="71A2C2C1" w14:textId="77777777" w:rsidR="00DD2BFA" w:rsidRDefault="00DD2BFA" w:rsidP="00704B08">
      <w:pPr>
        <w:spacing w:line="360" w:lineRule="auto"/>
        <w:ind w:right="512"/>
        <w:jc w:val="both"/>
        <w:rPr>
          <w:rFonts w:ascii="Arial Narrow" w:eastAsia="Calibri" w:hAnsi="Arial Narrow"/>
          <w:lang w:eastAsia="en-US"/>
        </w:rPr>
      </w:pPr>
    </w:p>
    <w:p w14:paraId="51BC2A9E" w14:textId="77777777" w:rsidR="00DD2BFA" w:rsidRDefault="00DD2BFA" w:rsidP="00704B08">
      <w:pPr>
        <w:spacing w:line="360" w:lineRule="auto"/>
        <w:ind w:right="512"/>
        <w:jc w:val="both"/>
        <w:rPr>
          <w:rFonts w:ascii="Arial Narrow" w:eastAsia="Calibri" w:hAnsi="Arial Narrow"/>
          <w:lang w:eastAsia="en-US"/>
        </w:rPr>
      </w:pPr>
    </w:p>
    <w:p w14:paraId="53DE7B68" w14:textId="77777777" w:rsidR="00DD2BFA" w:rsidRDefault="00DD2BFA" w:rsidP="00704B08">
      <w:pPr>
        <w:spacing w:line="360" w:lineRule="auto"/>
        <w:ind w:right="512"/>
        <w:jc w:val="both"/>
        <w:rPr>
          <w:rFonts w:ascii="Arial Narrow" w:eastAsia="Calibri" w:hAnsi="Arial Narrow"/>
          <w:lang w:eastAsia="en-US"/>
        </w:rPr>
      </w:pPr>
    </w:p>
    <w:p w14:paraId="4A8FE1B0" w14:textId="19311A34" w:rsidR="00EC36C0" w:rsidRDefault="000E095D" w:rsidP="00704B08">
      <w:pPr>
        <w:spacing w:line="360" w:lineRule="auto"/>
        <w:ind w:right="512"/>
        <w:jc w:val="both"/>
        <w:rPr>
          <w:rFonts w:ascii="Arial Narrow" w:eastAsia="Calibri" w:hAnsi="Arial Narrow"/>
          <w:b/>
          <w:bCs/>
          <w:lang w:eastAsia="en-US"/>
        </w:rPr>
      </w:pPr>
      <w:r w:rsidRPr="009D5823">
        <w:rPr>
          <w:rFonts w:ascii="Arial Narrow" w:eastAsia="Calibri" w:hAnsi="Arial Narrow"/>
          <w:lang w:eastAsia="en-US"/>
        </w:rPr>
        <w:t>Finalmente,</w:t>
      </w:r>
      <w:r w:rsidR="00821261" w:rsidRPr="009D5823">
        <w:rPr>
          <w:rFonts w:ascii="Arial Narrow" w:eastAsia="Calibri" w:hAnsi="Arial Narrow"/>
          <w:lang w:eastAsia="en-US"/>
        </w:rPr>
        <w:t xml:space="preserve"> para la meta </w:t>
      </w:r>
      <w:r w:rsidR="00821261" w:rsidRPr="00704B08">
        <w:rPr>
          <w:rFonts w:ascii="Arial Narrow" w:eastAsia="Calibri" w:hAnsi="Arial Narrow"/>
          <w:lang w:eastAsia="en-US"/>
        </w:rPr>
        <w:t>“</w:t>
      </w:r>
      <w:r w:rsidR="00EC36C0" w:rsidRPr="00704B08">
        <w:rPr>
          <w:rFonts w:ascii="Arial Narrow" w:eastAsia="Calibri" w:hAnsi="Arial Narrow"/>
          <w:b/>
          <w:bCs/>
          <w:i/>
          <w:iCs/>
          <w:lang w:eastAsia="en-US"/>
        </w:rPr>
        <w:t>Que al finalizar el 2024, se haya desarrollado y aprobado el reglamento que rija las funciones y competencias del Centro de Apoyo, Coordinación y Mejoramiento de la Función Jurisdiccional</w:t>
      </w:r>
      <w:r w:rsidRPr="00704B08">
        <w:rPr>
          <w:rFonts w:ascii="Arial Narrow" w:eastAsia="Calibri" w:hAnsi="Arial Narrow"/>
          <w:lang w:eastAsia="en-US"/>
        </w:rPr>
        <w:t>”</w:t>
      </w:r>
      <w:r w:rsidR="00DD2BFA">
        <w:rPr>
          <w:rFonts w:ascii="Arial Narrow" w:eastAsia="Calibri" w:hAnsi="Arial Narrow"/>
          <w:lang w:eastAsia="en-US"/>
        </w:rPr>
        <w:t>,</w:t>
      </w:r>
      <w:r w:rsidRPr="00704B08">
        <w:rPr>
          <w:rFonts w:ascii="Arial Narrow" w:eastAsia="Calibri" w:hAnsi="Arial Narrow"/>
          <w:lang w:eastAsia="en-US"/>
        </w:rPr>
        <w:t xml:space="preserve"> </w:t>
      </w:r>
      <w:r w:rsidR="00EC36C0" w:rsidRPr="009D5823">
        <w:rPr>
          <w:rFonts w:ascii="Arial Narrow" w:eastAsia="Calibri" w:hAnsi="Arial Narrow"/>
          <w:lang w:eastAsia="en-US"/>
        </w:rPr>
        <w:t>se aclara que el reglamento de las funciones y competencia es resorte de la Dirección Jurídica, pero se trabaja en el proyecto. El Centro a lo interno confeccion</w:t>
      </w:r>
      <w:r w:rsidR="00F47524">
        <w:rPr>
          <w:rFonts w:ascii="Arial Narrow" w:eastAsia="Calibri" w:hAnsi="Arial Narrow"/>
          <w:lang w:eastAsia="en-US"/>
        </w:rPr>
        <w:t>ó</w:t>
      </w:r>
      <w:r w:rsidR="00EC36C0" w:rsidRPr="009D5823">
        <w:rPr>
          <w:rFonts w:ascii="Arial Narrow" w:eastAsia="Calibri" w:hAnsi="Arial Narrow"/>
          <w:lang w:eastAsia="en-US"/>
        </w:rPr>
        <w:t xml:space="preserve"> el oficio 041-CACMFJ-ACM-2019 (se encuentra en borrador) con la distribución de labores y en reunión se le puso en conocimiento a los colaboradores del Centro, sin embargo, </w:t>
      </w:r>
      <w:r w:rsidR="00F47524" w:rsidRPr="009D5823">
        <w:rPr>
          <w:rFonts w:ascii="Arial Narrow" w:eastAsia="Calibri" w:hAnsi="Arial Narrow"/>
          <w:lang w:eastAsia="en-US"/>
        </w:rPr>
        <w:t>sig</w:t>
      </w:r>
      <w:r w:rsidR="00F47524">
        <w:rPr>
          <w:rFonts w:ascii="Arial Narrow" w:eastAsia="Calibri" w:hAnsi="Arial Narrow"/>
          <w:lang w:eastAsia="en-US"/>
        </w:rPr>
        <w:t>ue</w:t>
      </w:r>
      <w:r w:rsidR="00EC36C0" w:rsidRPr="009D5823">
        <w:rPr>
          <w:rFonts w:ascii="Arial Narrow" w:eastAsia="Calibri" w:hAnsi="Arial Narrow"/>
          <w:lang w:eastAsia="en-US"/>
        </w:rPr>
        <w:t xml:space="preserve"> pendiente la</w:t>
      </w:r>
      <w:r w:rsidR="00EC36C0" w:rsidRPr="00704B08">
        <w:rPr>
          <w:rFonts w:ascii="Arial Narrow" w:eastAsia="Calibri" w:hAnsi="Arial Narrow"/>
          <w:lang w:eastAsia="en-US"/>
        </w:rPr>
        <w:t xml:space="preserve"> aprobación del reglamento.</w:t>
      </w:r>
      <w:r w:rsidRPr="009D5823">
        <w:rPr>
          <w:rFonts w:ascii="Arial Narrow" w:eastAsia="Calibri" w:hAnsi="Arial Narrow"/>
          <w:lang w:eastAsia="en-US"/>
        </w:rPr>
        <w:t xml:space="preserve"> </w:t>
      </w:r>
      <w:r w:rsidRPr="00C9711A">
        <w:rPr>
          <w:rFonts w:ascii="Arial Narrow" w:eastAsia="Calibri" w:hAnsi="Arial Narrow"/>
          <w:b/>
          <w:bCs/>
          <w:lang w:eastAsia="en-US"/>
        </w:rPr>
        <w:t>Por su parte para el año 2020 no se cuenta en el sistema PEI con esta meta estratégica</w:t>
      </w:r>
      <w:r w:rsidR="00615614" w:rsidRPr="00C9711A">
        <w:rPr>
          <w:rFonts w:ascii="Arial Narrow" w:eastAsia="Calibri" w:hAnsi="Arial Narrow"/>
          <w:b/>
          <w:bCs/>
          <w:lang w:eastAsia="en-US"/>
        </w:rPr>
        <w:t xml:space="preserve"> vinculada a una meta operativa</w:t>
      </w:r>
      <w:r w:rsidR="00032B35">
        <w:rPr>
          <w:rFonts w:ascii="Arial Narrow" w:eastAsia="Calibri" w:hAnsi="Arial Narrow"/>
          <w:b/>
          <w:bCs/>
          <w:lang w:eastAsia="en-US"/>
        </w:rPr>
        <w:t>, por lo tanto, no se visualiza el cumplimiento en el Cuadro 51</w:t>
      </w:r>
      <w:r w:rsidRPr="00C9711A">
        <w:rPr>
          <w:rFonts w:ascii="Arial Narrow" w:eastAsia="Calibri" w:hAnsi="Arial Narrow"/>
          <w:b/>
          <w:bCs/>
          <w:lang w:eastAsia="en-US"/>
        </w:rPr>
        <w:t>.</w:t>
      </w:r>
    </w:p>
    <w:p w14:paraId="0BC6F311" w14:textId="6A67932A" w:rsidR="00DD2BFA" w:rsidRDefault="00DD2BFA" w:rsidP="00704B08">
      <w:pPr>
        <w:spacing w:line="360" w:lineRule="auto"/>
        <w:ind w:right="512"/>
        <w:jc w:val="both"/>
        <w:rPr>
          <w:rFonts w:ascii="Arial Narrow" w:eastAsia="Calibri" w:hAnsi="Arial Narrow"/>
          <w:b/>
          <w:bCs/>
          <w:lang w:eastAsia="en-US"/>
        </w:rPr>
      </w:pPr>
    </w:p>
    <w:p w14:paraId="466EB2D7" w14:textId="790EA4BC" w:rsidR="00D10E54" w:rsidRPr="00704B08" w:rsidRDefault="009547D6" w:rsidP="00DD2BFA">
      <w:pPr>
        <w:rPr>
          <w:rFonts w:ascii="Arial Narrow" w:eastAsia="Calibri" w:hAnsi="Arial Narrow"/>
        </w:rPr>
      </w:pPr>
      <w:bookmarkStart w:id="86" w:name="_Toc52979170"/>
      <w:bookmarkStart w:id="87" w:name="_Toc52979171"/>
      <w:bookmarkStart w:id="88" w:name="_Toc52979172"/>
      <w:bookmarkStart w:id="89" w:name="_Toc52979173"/>
      <w:bookmarkStart w:id="90" w:name="_Toc52979174"/>
      <w:bookmarkEnd w:id="86"/>
      <w:bookmarkEnd w:id="87"/>
      <w:bookmarkEnd w:id="88"/>
      <w:bookmarkEnd w:id="89"/>
      <w:bookmarkEnd w:id="90"/>
      <w:r>
        <w:rPr>
          <w:rFonts w:ascii="Arial Narrow" w:eastAsia="Calibri" w:hAnsi="Arial Narrow"/>
        </w:rPr>
        <w:t xml:space="preserve">5.3.2. </w:t>
      </w:r>
      <w:r w:rsidR="00D10E54" w:rsidRPr="00704B08">
        <w:rPr>
          <w:rFonts w:ascii="Arial Narrow" w:eastAsia="Calibri" w:hAnsi="Arial Narrow"/>
        </w:rPr>
        <w:t xml:space="preserve">Servicios </w:t>
      </w:r>
      <w:r w:rsidR="006D21FA" w:rsidRPr="00704B08">
        <w:rPr>
          <w:rFonts w:ascii="Arial Narrow" w:eastAsia="Calibri" w:hAnsi="Arial Narrow"/>
          <w:lang w:val="es-CR"/>
        </w:rPr>
        <w:t>T</w:t>
      </w:r>
      <w:r w:rsidR="00D10E54" w:rsidRPr="00704B08">
        <w:rPr>
          <w:rFonts w:ascii="Arial Narrow" w:eastAsia="Calibri" w:hAnsi="Arial Narrow"/>
          <w:lang w:val="es-CR"/>
        </w:rPr>
        <w:t>ecnológicos</w:t>
      </w:r>
    </w:p>
    <w:p w14:paraId="3626905B" w14:textId="007CD166" w:rsidR="001B6D55" w:rsidRDefault="001B6D55" w:rsidP="00D10E54">
      <w:pPr>
        <w:rPr>
          <w:rFonts w:eastAsia="Calibri"/>
          <w:lang w:eastAsia="en-US"/>
        </w:rPr>
      </w:pPr>
    </w:p>
    <w:p w14:paraId="2074E1EB" w14:textId="77777777" w:rsidR="00EA613D" w:rsidRDefault="00EA613D" w:rsidP="00F240AA">
      <w:pPr>
        <w:rPr>
          <w:rFonts w:ascii="Arial Narrow" w:eastAsia="Calibri" w:hAnsi="Arial Narrow"/>
        </w:rPr>
      </w:pPr>
    </w:p>
    <w:p w14:paraId="0F53D0F6" w14:textId="0CF0C91C" w:rsidR="00EA613D" w:rsidRPr="00A618D8" w:rsidRDefault="00EA613D" w:rsidP="00704B08">
      <w:pPr>
        <w:spacing w:line="360" w:lineRule="auto"/>
        <w:jc w:val="both"/>
        <w:rPr>
          <w:rFonts w:ascii="Arial Narrow" w:eastAsia="Calibri" w:hAnsi="Arial Narrow"/>
        </w:rPr>
      </w:pPr>
      <w:r w:rsidRPr="00A618D8">
        <w:rPr>
          <w:rFonts w:ascii="Arial Narrow" w:eastAsia="Calibri" w:hAnsi="Arial Narrow"/>
          <w:lang w:val="es-CR" w:eastAsia="en-US"/>
        </w:rPr>
        <w:t xml:space="preserve">Se observan </w:t>
      </w:r>
      <w:r>
        <w:rPr>
          <w:rFonts w:ascii="Arial Narrow" w:eastAsia="Calibri" w:hAnsi="Arial Narrow"/>
          <w:lang w:val="es-CR" w:eastAsia="en-US"/>
        </w:rPr>
        <w:t>11</w:t>
      </w:r>
      <w:r w:rsidRPr="00A618D8">
        <w:rPr>
          <w:rFonts w:ascii="Arial Narrow" w:eastAsia="Calibri" w:hAnsi="Arial Narrow"/>
          <w:lang w:val="es-CR" w:eastAsia="en-US"/>
        </w:rPr>
        <w:t xml:space="preserve"> metas estratégicas las cuales </w:t>
      </w:r>
      <w:r>
        <w:rPr>
          <w:rFonts w:ascii="Arial Narrow" w:eastAsia="Calibri" w:hAnsi="Arial Narrow"/>
          <w:lang w:val="es-CR" w:eastAsia="en-US"/>
        </w:rPr>
        <w:t xml:space="preserve">9 </w:t>
      </w:r>
      <w:r w:rsidRPr="00A618D8">
        <w:rPr>
          <w:rFonts w:ascii="Arial Narrow" w:eastAsia="Calibri" w:hAnsi="Arial Narrow"/>
          <w:lang w:val="es-CR" w:eastAsia="en-US"/>
        </w:rPr>
        <w:t>reflejan una ejecución total en su cumplimiento</w:t>
      </w:r>
      <w:r>
        <w:rPr>
          <w:rFonts w:ascii="Arial Narrow" w:eastAsia="Calibri" w:hAnsi="Arial Narrow"/>
          <w:lang w:val="es-CR" w:eastAsia="en-US"/>
        </w:rPr>
        <w:t xml:space="preserve"> y 2 muestran un cumplimiento parcial</w:t>
      </w:r>
      <w:r w:rsidRPr="00A618D8">
        <w:rPr>
          <w:rFonts w:ascii="Arial Narrow" w:eastAsia="Calibri" w:hAnsi="Arial Narrow"/>
          <w:lang w:val="es-CR" w:eastAsia="en-US"/>
        </w:rPr>
        <w:t>.</w:t>
      </w:r>
      <w:r w:rsidR="00D01745">
        <w:rPr>
          <w:rFonts w:ascii="Arial Narrow" w:eastAsia="Calibri" w:hAnsi="Arial Narrow"/>
          <w:lang w:val="es-CR" w:eastAsia="en-US"/>
        </w:rPr>
        <w:t xml:space="preserve"> </w:t>
      </w:r>
      <w:r w:rsidRPr="00A618D8">
        <w:rPr>
          <w:rFonts w:ascii="Arial Narrow" w:eastAsia="Calibri" w:hAnsi="Arial Narrow"/>
        </w:rPr>
        <w:t>Se muestran a continuación el detalle de las metas estratégicas y su cumplimiento para el 2019 y 2020.</w:t>
      </w:r>
    </w:p>
    <w:p w14:paraId="5FA9CF03" w14:textId="77777777" w:rsidR="009D5823" w:rsidRDefault="009D5823" w:rsidP="00F240AA">
      <w:pPr>
        <w:rPr>
          <w:rFonts w:ascii="Arial Narrow" w:eastAsia="Calibri" w:hAnsi="Arial Narrow"/>
        </w:rPr>
        <w:sectPr w:rsidR="009D5823" w:rsidSect="009D5823">
          <w:pgSz w:w="12242" w:h="15842" w:code="1"/>
          <w:pgMar w:top="1701" w:right="1417" w:bottom="1701" w:left="1417" w:header="709" w:footer="709" w:gutter="0"/>
          <w:cols w:space="708"/>
          <w:docGrid w:linePitch="360"/>
        </w:sectPr>
      </w:pPr>
    </w:p>
    <w:p w14:paraId="425D4604" w14:textId="731DF76C" w:rsidR="00EA613D" w:rsidRDefault="00EA613D" w:rsidP="00F240AA">
      <w:pPr>
        <w:rPr>
          <w:rFonts w:ascii="Arial Narrow" w:eastAsia="Calibri" w:hAnsi="Arial Narrow"/>
        </w:rPr>
      </w:pPr>
    </w:p>
    <w:p w14:paraId="3F2E7FB1" w14:textId="75E5914D" w:rsidR="000B05FB" w:rsidRDefault="000B05FB" w:rsidP="00F240AA">
      <w:pPr>
        <w:rPr>
          <w:rFonts w:ascii="Arial Narrow" w:eastAsia="Calibri" w:hAnsi="Arial Narrow"/>
        </w:rPr>
      </w:pPr>
    </w:p>
    <w:p w14:paraId="418ACFA2" w14:textId="45A25B35" w:rsidR="00D657CE" w:rsidRDefault="00D657CE" w:rsidP="00484CC1">
      <w:pPr>
        <w:pStyle w:val="Descripcin"/>
        <w:jc w:val="center"/>
        <w:rPr>
          <w:rFonts w:ascii="Arial Narrow" w:eastAsia="Calibri" w:hAnsi="Arial Narrow"/>
          <w:sz w:val="24"/>
          <w:szCs w:val="24"/>
        </w:rPr>
      </w:pPr>
      <w:bookmarkStart w:id="91" w:name="_Toc76062275"/>
      <w:r w:rsidRPr="00484CC1">
        <w:rPr>
          <w:rFonts w:ascii="Arial Narrow" w:hAnsi="Arial Narrow"/>
          <w:sz w:val="24"/>
          <w:szCs w:val="24"/>
        </w:rPr>
        <w:t>Cuadro</w:t>
      </w:r>
      <w:r w:rsidR="008E6926">
        <w:rPr>
          <w:rFonts w:ascii="Arial Narrow" w:hAnsi="Arial Narrow"/>
          <w:sz w:val="24"/>
          <w:szCs w:val="24"/>
        </w:rPr>
        <w:t xml:space="preserve"> </w:t>
      </w:r>
      <w:r w:rsidRPr="00484CC1">
        <w:rPr>
          <w:rFonts w:ascii="Arial Narrow" w:hAnsi="Arial Narrow"/>
          <w:sz w:val="24"/>
          <w:szCs w:val="24"/>
        </w:rPr>
        <w:fldChar w:fldCharType="begin"/>
      </w:r>
      <w:r w:rsidRPr="00484CC1">
        <w:rPr>
          <w:rFonts w:ascii="Arial Narrow" w:hAnsi="Arial Narrow"/>
          <w:sz w:val="24"/>
          <w:szCs w:val="24"/>
        </w:rPr>
        <w:instrText xml:space="preserve"> SEQ Cuadro_No. \* ARABIC </w:instrText>
      </w:r>
      <w:r w:rsidRPr="00484CC1">
        <w:rPr>
          <w:rFonts w:ascii="Arial Narrow" w:hAnsi="Arial Narrow"/>
          <w:sz w:val="24"/>
          <w:szCs w:val="24"/>
        </w:rPr>
        <w:fldChar w:fldCharType="separate"/>
      </w:r>
      <w:r w:rsidR="009D5823">
        <w:rPr>
          <w:rFonts w:ascii="Arial Narrow" w:hAnsi="Arial Narrow"/>
          <w:noProof/>
          <w:sz w:val="24"/>
          <w:szCs w:val="24"/>
        </w:rPr>
        <w:t>52</w:t>
      </w:r>
      <w:r w:rsidRPr="00484CC1">
        <w:rPr>
          <w:rFonts w:ascii="Arial Narrow" w:hAnsi="Arial Narrow"/>
          <w:sz w:val="24"/>
          <w:szCs w:val="24"/>
        </w:rPr>
        <w:fldChar w:fldCharType="end"/>
      </w:r>
      <w:r w:rsidRPr="00484CC1">
        <w:rPr>
          <w:rFonts w:ascii="Arial Narrow" w:hAnsi="Arial Narrow"/>
          <w:sz w:val="24"/>
          <w:szCs w:val="24"/>
        </w:rPr>
        <w:t xml:space="preserve"> </w:t>
      </w:r>
      <w:r w:rsidRPr="00D657CE">
        <w:rPr>
          <w:rFonts w:ascii="Arial Narrow" w:eastAsia="Calibri" w:hAnsi="Arial Narrow"/>
          <w:sz w:val="24"/>
          <w:szCs w:val="24"/>
        </w:rPr>
        <w:t>Metas estratégicas de Servicios tecnológicos, y su cumplimiento para el 2019</w:t>
      </w:r>
      <w:r w:rsidR="00291B54">
        <w:rPr>
          <w:rFonts w:ascii="Arial Narrow" w:eastAsia="Calibri" w:hAnsi="Arial Narrow"/>
          <w:sz w:val="24"/>
          <w:szCs w:val="24"/>
        </w:rPr>
        <w:t xml:space="preserve"> y 2020</w:t>
      </w:r>
      <w:bookmarkEnd w:id="91"/>
      <w:r w:rsidR="00291B54">
        <w:rPr>
          <w:rFonts w:ascii="Arial Narrow" w:eastAsia="Calibri" w:hAnsi="Arial Narrow"/>
          <w:sz w:val="24"/>
          <w:szCs w:val="24"/>
        </w:rPr>
        <w:t xml:space="preserve"> </w:t>
      </w:r>
    </w:p>
    <w:p w14:paraId="59DBADA2" w14:textId="0091D8AC" w:rsidR="00F240AA" w:rsidRPr="000B4845" w:rsidRDefault="00F240AA" w:rsidP="00D10E54">
      <w:pPr>
        <w:rPr>
          <w:rFonts w:eastAsia="Calibri"/>
          <w:lang w:eastAsia="en-US"/>
        </w:rPr>
      </w:pPr>
    </w:p>
    <w:p w14:paraId="2D04D9C6" w14:textId="0493EDBC" w:rsidR="00F240AA" w:rsidRDefault="002F232B" w:rsidP="00D10E54">
      <w:pPr>
        <w:rPr>
          <w:rFonts w:eastAsia="Calibri"/>
          <w:lang w:eastAsia="en-US"/>
        </w:rPr>
      </w:pPr>
      <w:r>
        <w:rPr>
          <w:noProof/>
          <w:lang w:val="es-CR" w:eastAsia="es-CR"/>
        </w:rPr>
        <w:drawing>
          <wp:inline distT="0" distB="0" distL="0" distR="0" wp14:anchorId="3A13FA46" wp14:editId="758B7214">
            <wp:extent cx="7861300" cy="2827717"/>
            <wp:effectExtent l="57150" t="57150" r="101600" b="86995"/>
            <wp:docPr id="113" name="Imagen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4"/>
                    <a:srcRect l="482" r="1"/>
                    <a:stretch/>
                  </pic:blipFill>
                  <pic:spPr bwMode="auto">
                    <a:xfrm>
                      <a:off x="0" y="0"/>
                      <a:ext cx="7864169" cy="2828749"/>
                    </a:xfrm>
                    <a:prstGeom prst="rect">
                      <a:avLst/>
                    </a:prstGeom>
                    <a:ln w="9525" cap="sq">
                      <a:solidFill>
                        <a:srgbClr val="00B0F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45E61D03" w14:textId="7631FED8" w:rsidR="001F34EB" w:rsidRDefault="001F34EB" w:rsidP="001F34EB">
      <w:pPr>
        <w:ind w:left="-142" w:firstLine="850"/>
        <w:rPr>
          <w:rFonts w:ascii="Arial Narrow" w:eastAsia="Calibri" w:hAnsi="Arial Narrow"/>
          <w:sz w:val="18"/>
          <w:szCs w:val="18"/>
          <w:lang w:eastAsia="en-US"/>
        </w:rPr>
      </w:pPr>
      <w:r w:rsidRPr="001F34EB">
        <w:rPr>
          <w:rFonts w:ascii="Arial Narrow" w:eastAsia="Calibri" w:hAnsi="Arial Narrow"/>
          <w:sz w:val="18"/>
          <w:szCs w:val="18"/>
          <w:lang w:eastAsia="en-US"/>
        </w:rPr>
        <w:t xml:space="preserve"> </w:t>
      </w:r>
      <w:bookmarkStart w:id="92" w:name="_Hlk75902316"/>
      <w:r w:rsidRPr="000B4845">
        <w:rPr>
          <w:rFonts w:ascii="Arial Narrow" w:eastAsia="Calibri" w:hAnsi="Arial Narrow"/>
          <w:sz w:val="18"/>
          <w:szCs w:val="18"/>
          <w:lang w:eastAsia="en-US"/>
        </w:rPr>
        <w:t>Fuente: Sistema PEI al 24 de enero del 2020 (año 2019)</w:t>
      </w:r>
      <w:r>
        <w:rPr>
          <w:rFonts w:ascii="Arial Narrow" w:eastAsia="Calibri" w:hAnsi="Arial Narrow"/>
          <w:sz w:val="18"/>
          <w:szCs w:val="18"/>
          <w:lang w:eastAsia="en-US"/>
        </w:rPr>
        <w:t xml:space="preserve"> y 04 de marzo del 2021 (año 2020).</w:t>
      </w:r>
    </w:p>
    <w:bookmarkEnd w:id="92"/>
    <w:p w14:paraId="39773AA8" w14:textId="2E120E62" w:rsidR="00F240AA" w:rsidRDefault="00F240AA" w:rsidP="001F34EB">
      <w:pPr>
        <w:rPr>
          <w:rFonts w:eastAsia="Calibri"/>
          <w:lang w:eastAsia="en-US"/>
        </w:rPr>
      </w:pPr>
    </w:p>
    <w:p w14:paraId="738D58B3" w14:textId="77777777" w:rsidR="009D5823" w:rsidRDefault="009D5823">
      <w:pPr>
        <w:spacing w:line="360" w:lineRule="auto"/>
        <w:jc w:val="both"/>
        <w:rPr>
          <w:rFonts w:ascii="Arial Narrow" w:eastAsia="Calibri" w:hAnsi="Arial Narrow"/>
          <w:lang w:eastAsia="en-US"/>
        </w:rPr>
        <w:sectPr w:rsidR="009D5823" w:rsidSect="009D5823">
          <w:pgSz w:w="15842" w:h="12242" w:orient="landscape" w:code="1"/>
          <w:pgMar w:top="1417" w:right="1701" w:bottom="1417" w:left="1701" w:header="709" w:footer="709" w:gutter="0"/>
          <w:cols w:space="708"/>
          <w:docGrid w:linePitch="360"/>
        </w:sectPr>
      </w:pPr>
    </w:p>
    <w:p w14:paraId="4741A775" w14:textId="77777777" w:rsidR="008173A1" w:rsidRPr="00704B08" w:rsidRDefault="008173A1">
      <w:pPr>
        <w:spacing w:line="360" w:lineRule="auto"/>
        <w:jc w:val="both"/>
        <w:rPr>
          <w:rFonts w:ascii="Arial Narrow" w:hAnsi="Arial Narrow"/>
          <w:lang w:val="es-CR" w:eastAsia="es-CR"/>
        </w:rPr>
      </w:pPr>
    </w:p>
    <w:p w14:paraId="47E4C72F" w14:textId="41D2A6B9" w:rsidR="00054846" w:rsidRPr="00704B08" w:rsidRDefault="00615614" w:rsidP="008173A1">
      <w:pPr>
        <w:spacing w:line="360" w:lineRule="auto"/>
        <w:jc w:val="both"/>
        <w:rPr>
          <w:rFonts w:ascii="Arial Narrow" w:hAnsi="Arial Narrow"/>
          <w:lang w:val="es-CR" w:eastAsia="es-CR"/>
        </w:rPr>
      </w:pPr>
      <w:r>
        <w:rPr>
          <w:rFonts w:ascii="Arial Narrow" w:hAnsi="Arial Narrow" w:cs="Calibri"/>
          <w:color w:val="000000"/>
          <w:lang w:val="es-CR" w:eastAsia="es-CR"/>
        </w:rPr>
        <w:t>L</w:t>
      </w:r>
      <w:r w:rsidRPr="002E0B96">
        <w:rPr>
          <w:rFonts w:ascii="Arial Narrow" w:hAnsi="Arial Narrow" w:cs="Calibri"/>
          <w:color w:val="000000"/>
          <w:lang w:val="es-CR" w:eastAsia="es-CR"/>
        </w:rPr>
        <w:t>a meta estratégica</w:t>
      </w:r>
      <w:r>
        <w:rPr>
          <w:rFonts w:ascii="Arial Narrow" w:hAnsi="Arial Narrow" w:cs="Calibri"/>
          <w:b/>
          <w:bCs/>
          <w:color w:val="000000"/>
          <w:lang w:val="es-CR" w:eastAsia="es-CR"/>
        </w:rPr>
        <w:t xml:space="preserve"> “</w:t>
      </w:r>
      <w:r w:rsidR="008173A1" w:rsidRPr="00704B08">
        <w:rPr>
          <w:rFonts w:ascii="Arial Narrow" w:hAnsi="Arial Narrow"/>
          <w:b/>
          <w:bCs/>
          <w:i/>
          <w:iCs/>
          <w:lang w:val="es-CR" w:eastAsia="es-CR"/>
        </w:rPr>
        <w:t>Que al finalizar el 2024, se haya implementado un sistema informático integral, para el trámite efectivo de los asuntos en todas las oficinas de la Defensa Pública; que contemple las labores administrativas, técnicas y de apoyo, además de tomar en consideración las condiciones y particularidades de las distintas oficinas y materias</w:t>
      </w:r>
      <w:r>
        <w:rPr>
          <w:rFonts w:ascii="Arial Narrow" w:hAnsi="Arial Narrow"/>
          <w:lang w:val="es-CR" w:eastAsia="es-CR"/>
        </w:rPr>
        <w:t>”</w:t>
      </w:r>
      <w:r w:rsidR="00DD2BFA">
        <w:rPr>
          <w:rFonts w:ascii="Arial Narrow" w:hAnsi="Arial Narrow"/>
          <w:lang w:val="es-CR" w:eastAsia="es-CR"/>
        </w:rPr>
        <w:t>,</w:t>
      </w:r>
      <w:r>
        <w:rPr>
          <w:rFonts w:ascii="Arial Narrow" w:hAnsi="Arial Narrow"/>
          <w:lang w:val="es-CR" w:eastAsia="es-CR"/>
        </w:rPr>
        <w:t xml:space="preserve"> p</w:t>
      </w:r>
      <w:r w:rsidR="00193621" w:rsidRPr="00193621">
        <w:rPr>
          <w:rFonts w:ascii="Arial Narrow" w:hAnsi="Arial Narrow"/>
          <w:lang w:val="es-CR" w:eastAsia="es-CR"/>
        </w:rPr>
        <w:t>ara esta meta se tienen que para el año 20</w:t>
      </w:r>
      <w:r w:rsidR="00193621">
        <w:rPr>
          <w:rFonts w:ascii="Arial Narrow" w:hAnsi="Arial Narrow"/>
          <w:lang w:val="es-CR" w:eastAsia="es-CR"/>
        </w:rPr>
        <w:t>1</w:t>
      </w:r>
      <w:r w:rsidR="00193621" w:rsidRPr="00193621">
        <w:rPr>
          <w:rFonts w:ascii="Arial Narrow" w:hAnsi="Arial Narrow"/>
          <w:lang w:val="es-CR" w:eastAsia="es-CR"/>
        </w:rPr>
        <w:t>9 s</w:t>
      </w:r>
      <w:r w:rsidR="00054846" w:rsidRPr="00704B08">
        <w:rPr>
          <w:rFonts w:ascii="Arial Narrow" w:hAnsi="Arial Narrow"/>
          <w:lang w:val="es-CR" w:eastAsia="es-CR"/>
        </w:rPr>
        <w:t>e realiz</w:t>
      </w:r>
      <w:r w:rsidR="00193621" w:rsidRPr="00193621">
        <w:rPr>
          <w:rFonts w:ascii="Arial Narrow" w:hAnsi="Arial Narrow"/>
          <w:lang w:val="es-CR" w:eastAsia="es-CR"/>
        </w:rPr>
        <w:t>ó</w:t>
      </w:r>
      <w:r w:rsidR="00054846" w:rsidRPr="00704B08">
        <w:rPr>
          <w:rFonts w:ascii="Arial Narrow" w:hAnsi="Arial Narrow"/>
          <w:lang w:val="es-CR" w:eastAsia="es-CR"/>
        </w:rPr>
        <w:t xml:space="preserve"> el diagnóstico de necesidades para la gestión judicial integral de la Defensa Pública,  mediante la implementación de sistemas informáticos. </w:t>
      </w:r>
      <w:r w:rsidR="00193621" w:rsidRPr="00193621">
        <w:rPr>
          <w:rFonts w:ascii="Arial Narrow" w:hAnsi="Arial Narrow"/>
          <w:lang w:val="es-CR" w:eastAsia="es-CR"/>
        </w:rPr>
        <w:t>En cuanto al año 2020 c</w:t>
      </w:r>
      <w:r w:rsidR="00054846" w:rsidRPr="00704B08">
        <w:rPr>
          <w:rFonts w:ascii="Arial Narrow" w:hAnsi="Arial Narrow"/>
          <w:lang w:val="es-CR" w:eastAsia="es-CR"/>
        </w:rPr>
        <w:t>on el fin de realizar un proceso de capacitación y sensibilización eficiente sobre los sistemas informáticos utilizados por todo el personal de la Defensa Pública; que incluyera protocolos, la compatibilidad, inclusión responsable de datos y elaboración de reportes, entre otros, la</w:t>
      </w:r>
      <w:r w:rsidR="008173A1" w:rsidRPr="00704B08">
        <w:rPr>
          <w:rFonts w:ascii="Arial Narrow" w:hAnsi="Arial Narrow"/>
          <w:lang w:val="es-CR" w:eastAsia="es-CR"/>
        </w:rPr>
        <w:t xml:space="preserve"> Defensa </w:t>
      </w:r>
      <w:r w:rsidR="000348BB" w:rsidRPr="00704B08">
        <w:rPr>
          <w:rFonts w:ascii="Arial Narrow" w:hAnsi="Arial Narrow"/>
          <w:lang w:val="es-CR" w:eastAsia="es-CR"/>
        </w:rPr>
        <w:t xml:space="preserve">Pública </w:t>
      </w:r>
      <w:r w:rsidR="00054846" w:rsidRPr="00704B08">
        <w:rPr>
          <w:rFonts w:ascii="Arial Narrow" w:hAnsi="Arial Narrow"/>
          <w:lang w:val="es-CR" w:eastAsia="es-CR"/>
        </w:rPr>
        <w:t>procedió a elaborar</w:t>
      </w:r>
      <w:r w:rsidR="008173A1" w:rsidRPr="00704B08">
        <w:rPr>
          <w:rFonts w:ascii="Arial Narrow" w:hAnsi="Arial Narrow"/>
          <w:lang w:val="es-CR" w:eastAsia="es-CR"/>
        </w:rPr>
        <w:t xml:space="preserve"> tres manuales dirigidos a la persona defensora pública, persona administrativa y persona técnica jurídica. Aunado a lo anterior, con el apoyo logístico de la Unidad de Gestión de Conocimiento,</w:t>
      </w:r>
      <w:r w:rsidR="00054846" w:rsidRPr="00704B08">
        <w:rPr>
          <w:rFonts w:ascii="Arial Narrow" w:hAnsi="Arial Narrow"/>
          <w:lang w:val="es-CR" w:eastAsia="es-CR"/>
        </w:rPr>
        <w:t xml:space="preserve"> </w:t>
      </w:r>
      <w:r w:rsidR="008173A1" w:rsidRPr="00704B08">
        <w:rPr>
          <w:rFonts w:ascii="Arial Narrow" w:hAnsi="Arial Narrow"/>
          <w:lang w:val="es-CR" w:eastAsia="es-CR"/>
        </w:rPr>
        <w:t>capacita</w:t>
      </w:r>
      <w:r w:rsidR="00054846" w:rsidRPr="00704B08">
        <w:rPr>
          <w:rFonts w:ascii="Arial Narrow" w:hAnsi="Arial Narrow"/>
          <w:lang w:val="es-CR" w:eastAsia="es-CR"/>
        </w:rPr>
        <w:t xml:space="preserve">ron </w:t>
      </w:r>
      <w:r w:rsidR="008173A1" w:rsidRPr="00704B08">
        <w:rPr>
          <w:rFonts w:ascii="Arial Narrow" w:hAnsi="Arial Narrow"/>
          <w:lang w:val="es-CR" w:eastAsia="es-CR"/>
        </w:rPr>
        <w:t>a 55 personas defensoras públicas, 31 personas administrativas y 34 personas técnicas jurídicas, en dos ciclos de capacitaciones virtuales.</w:t>
      </w:r>
      <w:r w:rsidR="000348BB" w:rsidRPr="00704B08">
        <w:rPr>
          <w:rFonts w:ascii="Arial Narrow" w:hAnsi="Arial Narrow"/>
          <w:lang w:val="es-CR" w:eastAsia="es-CR"/>
        </w:rPr>
        <w:t xml:space="preserve">  Por otra parte, la Dirección de </w:t>
      </w:r>
      <w:r w:rsidR="00054846" w:rsidRPr="00704B08">
        <w:rPr>
          <w:rFonts w:ascii="Arial Narrow" w:hAnsi="Arial Narrow"/>
          <w:lang w:val="es-CR" w:eastAsia="es-CR"/>
        </w:rPr>
        <w:t>T</w:t>
      </w:r>
      <w:r w:rsidR="000348BB" w:rsidRPr="00704B08">
        <w:rPr>
          <w:rFonts w:ascii="Arial Narrow" w:hAnsi="Arial Narrow"/>
          <w:lang w:val="es-CR" w:eastAsia="es-CR"/>
        </w:rPr>
        <w:t xml:space="preserve">ecnología de la Información indica por medio del sistema PAO que recibieron </w:t>
      </w:r>
      <w:r w:rsidR="004F181C" w:rsidRPr="00704B08">
        <w:rPr>
          <w:rFonts w:ascii="Arial Narrow" w:hAnsi="Arial Narrow"/>
          <w:lang w:val="es-CR" w:eastAsia="es-CR"/>
        </w:rPr>
        <w:t xml:space="preserve">requerimientos </w:t>
      </w:r>
      <w:r w:rsidR="00054846" w:rsidRPr="00704B08">
        <w:rPr>
          <w:rFonts w:ascii="Arial Narrow" w:hAnsi="Arial Narrow"/>
          <w:lang w:val="es-CR" w:eastAsia="es-CR"/>
        </w:rPr>
        <w:t xml:space="preserve">para el desarrollo de un sistema informático integral de gestión </w:t>
      </w:r>
      <w:r w:rsidR="004F181C" w:rsidRPr="00704B08">
        <w:rPr>
          <w:rFonts w:ascii="Arial Narrow" w:hAnsi="Arial Narrow"/>
          <w:lang w:val="es-CR" w:eastAsia="es-CR"/>
        </w:rPr>
        <w:t>de la Defensa Pública</w:t>
      </w:r>
      <w:r w:rsidR="000348BB" w:rsidRPr="00704B08">
        <w:rPr>
          <w:rFonts w:ascii="Arial Narrow" w:hAnsi="Arial Narrow"/>
          <w:lang w:val="es-CR" w:eastAsia="es-CR"/>
        </w:rPr>
        <w:t xml:space="preserve"> los cuales fueron</w:t>
      </w:r>
      <w:r w:rsidR="004F181C" w:rsidRPr="00704B08">
        <w:rPr>
          <w:rFonts w:ascii="Arial Narrow" w:hAnsi="Arial Narrow"/>
          <w:lang w:val="es-CR" w:eastAsia="es-CR"/>
        </w:rPr>
        <w:t xml:space="preserve"> contemplado</w:t>
      </w:r>
      <w:r w:rsidR="000348BB" w:rsidRPr="00704B08">
        <w:rPr>
          <w:rFonts w:ascii="Arial Narrow" w:hAnsi="Arial Narrow"/>
          <w:lang w:val="es-CR" w:eastAsia="es-CR"/>
        </w:rPr>
        <w:t>s</w:t>
      </w:r>
      <w:r w:rsidR="004F181C" w:rsidRPr="00704B08">
        <w:rPr>
          <w:rFonts w:ascii="Arial Narrow" w:hAnsi="Arial Narrow"/>
          <w:lang w:val="es-CR" w:eastAsia="es-CR"/>
        </w:rPr>
        <w:t xml:space="preserve"> en el Desarrollo del </w:t>
      </w:r>
      <w:r w:rsidR="00054846" w:rsidRPr="00704B08">
        <w:rPr>
          <w:rFonts w:ascii="Arial Narrow" w:hAnsi="Arial Narrow"/>
          <w:lang w:val="es-CR" w:eastAsia="es-CR"/>
        </w:rPr>
        <w:t>sistema llamado “</w:t>
      </w:r>
      <w:r w:rsidR="004F181C" w:rsidRPr="00704B08">
        <w:rPr>
          <w:rFonts w:ascii="Arial Narrow" w:hAnsi="Arial Narrow"/>
          <w:lang w:val="es-CR" w:eastAsia="es-CR"/>
        </w:rPr>
        <w:t>Nuevo Gestión</w:t>
      </w:r>
      <w:r w:rsidR="001F34EB" w:rsidRPr="00193621">
        <w:rPr>
          <w:rFonts w:ascii="Arial Narrow" w:hAnsi="Arial Narrow"/>
          <w:lang w:val="es-CR" w:eastAsia="es-CR"/>
        </w:rPr>
        <w:t>”.</w:t>
      </w:r>
      <w:r w:rsidR="001F34EB" w:rsidRPr="00193621">
        <w:rPr>
          <w:rFonts w:ascii="Arial Narrow" w:hAnsi="Arial Narrow"/>
        </w:rPr>
        <w:t xml:space="preserve"> Cabe</w:t>
      </w:r>
      <w:r w:rsidR="00193621" w:rsidRPr="00704B08">
        <w:rPr>
          <w:rFonts w:ascii="Arial Narrow" w:hAnsi="Arial Narrow"/>
        </w:rPr>
        <w:t xml:space="preserve"> mencionar que para ambos años (2019 y 2020) se logró un cumplimiento del 100% así como un cumplimiento acumulado del 20%</w:t>
      </w:r>
    </w:p>
    <w:p w14:paraId="52CA93BC" w14:textId="77777777" w:rsidR="001F34EB" w:rsidRPr="00704B08" w:rsidRDefault="001F34EB">
      <w:pPr>
        <w:spacing w:line="360" w:lineRule="auto"/>
        <w:jc w:val="both"/>
        <w:rPr>
          <w:rFonts w:ascii="Arial Narrow" w:hAnsi="Arial Narrow"/>
          <w:b/>
          <w:bCs/>
          <w:i/>
          <w:iCs/>
          <w:lang w:val="es-CR" w:eastAsia="es-CR"/>
        </w:rPr>
      </w:pPr>
    </w:p>
    <w:p w14:paraId="16F44350" w14:textId="0D50C6DC" w:rsidR="009D5823" w:rsidRDefault="00615614" w:rsidP="00D946DF">
      <w:pPr>
        <w:autoSpaceDE w:val="0"/>
        <w:autoSpaceDN w:val="0"/>
        <w:adjustRightInd w:val="0"/>
        <w:spacing w:line="360" w:lineRule="auto"/>
        <w:jc w:val="both"/>
        <w:rPr>
          <w:rFonts w:ascii="Arial Narrow" w:hAnsi="Arial Narrow"/>
        </w:rPr>
        <w:sectPr w:rsidR="009D5823" w:rsidSect="009D5823">
          <w:pgSz w:w="12242" w:h="15842" w:code="1"/>
          <w:pgMar w:top="1701" w:right="1417" w:bottom="1701" w:left="1417" w:header="709" w:footer="709" w:gutter="0"/>
          <w:cols w:space="708"/>
          <w:docGrid w:linePitch="360"/>
        </w:sectPr>
      </w:pPr>
      <w:r>
        <w:rPr>
          <w:rFonts w:ascii="Arial Narrow" w:hAnsi="Arial Narrow" w:cs="Calibri"/>
          <w:color w:val="000000"/>
          <w:lang w:val="es-CR" w:eastAsia="es-CR"/>
        </w:rPr>
        <w:t>L</w:t>
      </w:r>
      <w:r w:rsidRPr="002E0B96">
        <w:rPr>
          <w:rFonts w:ascii="Arial Narrow" w:hAnsi="Arial Narrow" w:cs="Calibri"/>
          <w:color w:val="000000"/>
          <w:lang w:val="es-CR" w:eastAsia="es-CR"/>
        </w:rPr>
        <w:t>a meta estratégica</w:t>
      </w:r>
      <w:r>
        <w:rPr>
          <w:rFonts w:ascii="Arial Narrow" w:hAnsi="Arial Narrow" w:cs="Calibri"/>
          <w:b/>
          <w:bCs/>
          <w:color w:val="000000"/>
          <w:lang w:val="es-CR" w:eastAsia="es-CR"/>
        </w:rPr>
        <w:t xml:space="preserve"> “</w:t>
      </w:r>
      <w:r w:rsidR="008173A1" w:rsidRPr="00704B08">
        <w:rPr>
          <w:rFonts w:ascii="Arial Narrow" w:hAnsi="Arial Narrow"/>
          <w:b/>
          <w:bCs/>
          <w:i/>
          <w:iCs/>
          <w:lang w:val="es-CR" w:eastAsia="es-CR"/>
        </w:rPr>
        <w:t>Que al finalizar el 2024, se haya implementado el Sistema de Control de Acceso a la Red</w:t>
      </w:r>
      <w:r>
        <w:rPr>
          <w:rFonts w:ascii="Arial Narrow" w:hAnsi="Arial Narrow"/>
          <w:b/>
          <w:bCs/>
          <w:i/>
          <w:iCs/>
          <w:lang w:val="es-CR" w:eastAsia="es-CR"/>
        </w:rPr>
        <w:t>”</w:t>
      </w:r>
      <w:r w:rsidR="00DD2BFA">
        <w:rPr>
          <w:rFonts w:ascii="Arial Narrow" w:hAnsi="Arial Narrow"/>
          <w:b/>
          <w:bCs/>
          <w:i/>
          <w:iCs/>
          <w:lang w:val="es-CR" w:eastAsia="es-CR"/>
        </w:rPr>
        <w:t>;</w:t>
      </w:r>
      <w:r w:rsidR="00CD2E06" w:rsidRPr="00D946DF">
        <w:rPr>
          <w:rFonts w:ascii="Arial Narrow" w:hAnsi="Arial Narrow"/>
          <w:b/>
          <w:bCs/>
          <w:i/>
          <w:iCs/>
          <w:lang w:val="es-CR" w:eastAsia="es-CR"/>
        </w:rPr>
        <w:t xml:space="preserve"> </w:t>
      </w:r>
      <w:r w:rsidR="005F58C4" w:rsidRPr="00704B08">
        <w:rPr>
          <w:rFonts w:ascii="Arial Narrow" w:hAnsi="Arial Narrow"/>
        </w:rPr>
        <w:t>para el año 2019 s</w:t>
      </w:r>
      <w:r w:rsidR="00193621" w:rsidRPr="00704B08">
        <w:rPr>
          <w:rFonts w:ascii="Arial Narrow" w:hAnsi="Arial Narrow"/>
        </w:rPr>
        <w:t>e avanza en la implementación del Sistema de Control de Acceso a la Red (NAC)</w:t>
      </w:r>
      <w:r w:rsidR="005F58C4" w:rsidRPr="00D946DF">
        <w:rPr>
          <w:rFonts w:ascii="Arial Narrow" w:hAnsi="Arial Narrow"/>
        </w:rPr>
        <w:t>. En cuanto al 2020</w:t>
      </w:r>
      <w:r w:rsidR="005F58C4" w:rsidRPr="00704B08">
        <w:rPr>
          <w:rFonts w:ascii="Arial Narrow" w:hAnsi="Arial Narrow"/>
        </w:rPr>
        <w:t xml:space="preserve">, se tiene que la Dirección de Tecnología </w:t>
      </w:r>
      <w:r w:rsidR="00D946DF">
        <w:rPr>
          <w:rFonts w:ascii="Arial Narrow" w:hAnsi="Arial Narrow"/>
        </w:rPr>
        <w:t xml:space="preserve">de la Información </w:t>
      </w:r>
      <w:r w:rsidR="005F58C4" w:rsidRPr="00704B08">
        <w:rPr>
          <w:rFonts w:ascii="Arial Narrow" w:hAnsi="Arial Narrow"/>
        </w:rPr>
        <w:t>inicio la creación de la documentación del proyecto</w:t>
      </w:r>
      <w:r w:rsidR="00D946DF">
        <w:rPr>
          <w:rFonts w:ascii="Arial Narrow" w:hAnsi="Arial Narrow"/>
        </w:rPr>
        <w:t>,</w:t>
      </w:r>
      <w:r w:rsidR="005F58C4" w:rsidRPr="00704B08">
        <w:rPr>
          <w:rFonts w:ascii="Arial Narrow" w:hAnsi="Arial Narrow"/>
        </w:rPr>
        <w:t xml:space="preserve"> para su estrategia </w:t>
      </w:r>
      <w:r w:rsidR="005F58C4" w:rsidRPr="00D946DF">
        <w:rPr>
          <w:rFonts w:ascii="Arial Narrow" w:hAnsi="Arial Narrow"/>
        </w:rPr>
        <w:t>para</w:t>
      </w:r>
      <w:r w:rsidR="005F58C4" w:rsidRPr="00704B08">
        <w:rPr>
          <w:rFonts w:ascii="Arial Narrow" w:hAnsi="Arial Narrow"/>
        </w:rPr>
        <w:t xml:space="preserve"> varios años </w:t>
      </w:r>
      <w:r w:rsidR="005F58C4" w:rsidRPr="00D946DF">
        <w:rPr>
          <w:rFonts w:ascii="Arial Narrow" w:hAnsi="Arial Narrow"/>
        </w:rPr>
        <w:t xml:space="preserve">para ser implementado </w:t>
      </w:r>
      <w:r w:rsidR="005F58C4" w:rsidRPr="00704B08">
        <w:rPr>
          <w:rFonts w:ascii="Arial Narrow" w:hAnsi="Arial Narrow"/>
        </w:rPr>
        <w:t>por circuito judicial</w:t>
      </w:r>
      <w:r w:rsidR="005F58C4" w:rsidRPr="00D946DF">
        <w:rPr>
          <w:rFonts w:ascii="Arial Narrow" w:hAnsi="Arial Narrow"/>
        </w:rPr>
        <w:t>. Es</w:t>
      </w:r>
      <w:r w:rsidR="00CD2E06" w:rsidRPr="00D946DF">
        <w:rPr>
          <w:rFonts w:ascii="Arial Narrow" w:hAnsi="Arial Narrow"/>
        </w:rPr>
        <w:t>ta</w:t>
      </w:r>
      <w:r w:rsidR="005F58C4" w:rsidRPr="00D946DF">
        <w:rPr>
          <w:rFonts w:ascii="Arial Narrow" w:hAnsi="Arial Narrow"/>
        </w:rPr>
        <w:t xml:space="preserve"> implementación se </w:t>
      </w:r>
      <w:r w:rsidR="005F58C4" w:rsidRPr="00704B08">
        <w:rPr>
          <w:rFonts w:ascii="Arial Narrow" w:hAnsi="Arial Narrow"/>
        </w:rPr>
        <w:t xml:space="preserve">inició en </w:t>
      </w:r>
      <w:r w:rsidR="005F58C4" w:rsidRPr="00D946DF">
        <w:rPr>
          <w:rFonts w:ascii="Arial Narrow" w:hAnsi="Arial Narrow"/>
        </w:rPr>
        <w:t xml:space="preserve">el Circuito Judicial de </w:t>
      </w:r>
      <w:r w:rsidR="005F58C4" w:rsidRPr="00704B08">
        <w:rPr>
          <w:rFonts w:ascii="Arial Narrow" w:hAnsi="Arial Narrow"/>
        </w:rPr>
        <w:t xml:space="preserve">San José. Asimismo, </w:t>
      </w:r>
      <w:r w:rsidR="00D946DF" w:rsidRPr="00704B08">
        <w:rPr>
          <w:rFonts w:ascii="Arial Narrow" w:hAnsi="Arial Narrow"/>
        </w:rPr>
        <w:t>este año</w:t>
      </w:r>
      <w:r w:rsidR="00D946DF" w:rsidRPr="00D946DF">
        <w:rPr>
          <w:rFonts w:ascii="Arial Narrow" w:hAnsi="Arial Narrow"/>
        </w:rPr>
        <w:t xml:space="preserve"> (2020) se completó</w:t>
      </w:r>
      <w:r w:rsidR="00D946DF" w:rsidRPr="00704B08">
        <w:rPr>
          <w:rFonts w:ascii="Arial Narrow" w:hAnsi="Arial Narrow"/>
        </w:rPr>
        <w:t xml:space="preserve"> los sitios proyectados en todos los</w:t>
      </w:r>
      <w:r>
        <w:rPr>
          <w:rFonts w:ascii="Arial Narrow" w:hAnsi="Arial Narrow"/>
        </w:rPr>
        <w:t xml:space="preserve"> </w:t>
      </w:r>
      <w:r w:rsidR="00D946DF">
        <w:rPr>
          <w:rFonts w:ascii="Arial Narrow" w:hAnsi="Arial Narrow"/>
        </w:rPr>
        <w:t>p</w:t>
      </w:r>
      <w:r w:rsidR="00D946DF" w:rsidRPr="00D946DF">
        <w:rPr>
          <w:rFonts w:ascii="Arial Narrow" w:hAnsi="Arial Narrow"/>
        </w:rPr>
        <w:t>isos</w:t>
      </w:r>
      <w:r w:rsidR="00D946DF">
        <w:rPr>
          <w:rFonts w:ascii="Arial Narrow" w:hAnsi="Arial Narrow"/>
        </w:rPr>
        <w:t xml:space="preserve"> (OIJ, Tribunales de Justicia San Jose, Anexo a, Anexo </w:t>
      </w:r>
      <w:r w:rsidR="000E0C7E">
        <w:rPr>
          <w:rFonts w:ascii="Arial Narrow" w:hAnsi="Arial Narrow"/>
        </w:rPr>
        <w:t>B</w:t>
      </w:r>
      <w:r w:rsidR="00D946DF">
        <w:rPr>
          <w:rFonts w:ascii="Arial Narrow" w:hAnsi="Arial Narrow"/>
        </w:rPr>
        <w:t xml:space="preserve">, Anexo C, Santa Rita, Tránsito, OAPVD, Catedral, Administración, Ministerio Público, Defensa Pública). Cabe mencionar que </w:t>
      </w:r>
      <w:r w:rsidR="00D946DF" w:rsidRPr="00704B08">
        <w:rPr>
          <w:rFonts w:ascii="Arial Narrow" w:hAnsi="Arial Narrow"/>
        </w:rPr>
        <w:t>en todos los casos fue necesario ejecutar RFC y creación de nuevos esquemas de direccionamiento para cumplir</w:t>
      </w:r>
      <w:r w:rsidR="000E0C7E">
        <w:rPr>
          <w:rFonts w:ascii="Arial Narrow" w:hAnsi="Arial Narrow"/>
        </w:rPr>
        <w:t xml:space="preserve"> </w:t>
      </w:r>
      <w:r w:rsidR="00D946DF" w:rsidRPr="00704B08">
        <w:rPr>
          <w:rFonts w:ascii="Arial Narrow" w:hAnsi="Arial Narrow"/>
        </w:rPr>
        <w:t>con esta meta.</w:t>
      </w:r>
      <w:r w:rsidR="000E0C7E">
        <w:rPr>
          <w:rFonts w:ascii="Arial Narrow" w:hAnsi="Arial Narrow"/>
        </w:rPr>
        <w:t xml:space="preserve"> Como producto de lo anterior se logra un avance de cumplimiento del 100% para los años 2019 y 2020 y un 20% del cumplimiento acumulado.</w:t>
      </w:r>
    </w:p>
    <w:p w14:paraId="4048436C" w14:textId="77777777" w:rsidR="001F34EB" w:rsidRDefault="001F34EB" w:rsidP="001F34EB">
      <w:pPr>
        <w:rPr>
          <w:rFonts w:ascii="Arial Narrow" w:hAnsi="Arial Narrow"/>
        </w:rPr>
      </w:pPr>
    </w:p>
    <w:p w14:paraId="729C6263" w14:textId="77777777" w:rsidR="001F34EB" w:rsidRDefault="001F34EB" w:rsidP="001F34EB">
      <w:pPr>
        <w:rPr>
          <w:rFonts w:ascii="Arial Narrow" w:eastAsia="Calibri" w:hAnsi="Arial Narrow"/>
        </w:rPr>
      </w:pPr>
    </w:p>
    <w:p w14:paraId="407CF69A" w14:textId="6E0821C8" w:rsidR="001F34EB" w:rsidRDefault="001F34EB" w:rsidP="001F34EB">
      <w:pPr>
        <w:pStyle w:val="Descripcin"/>
        <w:jc w:val="center"/>
        <w:rPr>
          <w:rFonts w:ascii="Arial Narrow" w:eastAsia="Calibri" w:hAnsi="Arial Narrow"/>
          <w:sz w:val="24"/>
          <w:szCs w:val="24"/>
        </w:rPr>
      </w:pPr>
      <w:bookmarkStart w:id="93" w:name="_Toc76062276"/>
      <w:r w:rsidRPr="00484CC1">
        <w:rPr>
          <w:rFonts w:ascii="Arial Narrow" w:hAnsi="Arial Narrow"/>
          <w:sz w:val="24"/>
          <w:szCs w:val="24"/>
        </w:rPr>
        <w:t>Cuadro</w:t>
      </w:r>
      <w:r>
        <w:rPr>
          <w:rFonts w:ascii="Arial Narrow" w:hAnsi="Arial Narrow"/>
          <w:sz w:val="24"/>
          <w:szCs w:val="24"/>
        </w:rPr>
        <w:t xml:space="preserve"> </w:t>
      </w:r>
      <w:r w:rsidRPr="00484CC1">
        <w:rPr>
          <w:rFonts w:ascii="Arial Narrow" w:hAnsi="Arial Narrow"/>
          <w:sz w:val="24"/>
          <w:szCs w:val="24"/>
        </w:rPr>
        <w:fldChar w:fldCharType="begin"/>
      </w:r>
      <w:r w:rsidRPr="00484CC1">
        <w:rPr>
          <w:rFonts w:ascii="Arial Narrow" w:hAnsi="Arial Narrow"/>
          <w:sz w:val="24"/>
          <w:szCs w:val="24"/>
        </w:rPr>
        <w:instrText xml:space="preserve"> SEQ Cuadro_No. \* ARABIC </w:instrText>
      </w:r>
      <w:r w:rsidRPr="00484CC1">
        <w:rPr>
          <w:rFonts w:ascii="Arial Narrow" w:hAnsi="Arial Narrow"/>
          <w:sz w:val="24"/>
          <w:szCs w:val="24"/>
        </w:rPr>
        <w:fldChar w:fldCharType="separate"/>
      </w:r>
      <w:r w:rsidR="009D5823">
        <w:rPr>
          <w:rFonts w:ascii="Arial Narrow" w:hAnsi="Arial Narrow"/>
          <w:noProof/>
          <w:sz w:val="24"/>
          <w:szCs w:val="24"/>
        </w:rPr>
        <w:t>53</w:t>
      </w:r>
      <w:r w:rsidRPr="00484CC1">
        <w:rPr>
          <w:rFonts w:ascii="Arial Narrow" w:hAnsi="Arial Narrow"/>
          <w:sz w:val="24"/>
          <w:szCs w:val="24"/>
        </w:rPr>
        <w:fldChar w:fldCharType="end"/>
      </w:r>
      <w:r w:rsidRPr="00484CC1">
        <w:rPr>
          <w:rFonts w:ascii="Arial Narrow" w:hAnsi="Arial Narrow"/>
          <w:sz w:val="24"/>
          <w:szCs w:val="24"/>
        </w:rPr>
        <w:t xml:space="preserve"> </w:t>
      </w:r>
      <w:r w:rsidRPr="00D657CE">
        <w:rPr>
          <w:rFonts w:ascii="Arial Narrow" w:eastAsia="Calibri" w:hAnsi="Arial Narrow"/>
          <w:sz w:val="24"/>
          <w:szCs w:val="24"/>
        </w:rPr>
        <w:t>Metas estratégicas de Servicios tecnológicos, y su cumplimiento para el 2019</w:t>
      </w:r>
      <w:r>
        <w:rPr>
          <w:rFonts w:ascii="Arial Narrow" w:eastAsia="Calibri" w:hAnsi="Arial Narrow"/>
          <w:sz w:val="24"/>
          <w:szCs w:val="24"/>
        </w:rPr>
        <w:t xml:space="preserve"> y 2020</w:t>
      </w:r>
      <w:bookmarkEnd w:id="93"/>
      <w:r>
        <w:rPr>
          <w:rFonts w:ascii="Arial Narrow" w:eastAsia="Calibri" w:hAnsi="Arial Narrow"/>
          <w:sz w:val="24"/>
          <w:szCs w:val="24"/>
        </w:rPr>
        <w:t xml:space="preserve"> </w:t>
      </w:r>
    </w:p>
    <w:p w14:paraId="6BC5064E" w14:textId="77777777" w:rsidR="00EA613D" w:rsidRPr="00704B08" w:rsidRDefault="00EA613D" w:rsidP="00704B08">
      <w:pPr>
        <w:rPr>
          <w:rFonts w:eastAsia="Calibri"/>
        </w:rPr>
      </w:pPr>
    </w:p>
    <w:p w14:paraId="3704F384" w14:textId="05277294" w:rsidR="001F34EB" w:rsidRPr="000B4845" w:rsidRDefault="00EA613D" w:rsidP="001F34EB">
      <w:pPr>
        <w:rPr>
          <w:rFonts w:eastAsia="Calibri"/>
          <w:lang w:eastAsia="en-US"/>
        </w:rPr>
      </w:pPr>
      <w:r>
        <w:rPr>
          <w:noProof/>
          <w:lang w:val="es-CR" w:eastAsia="es-CR"/>
        </w:rPr>
        <w:drawing>
          <wp:inline distT="0" distB="0" distL="0" distR="0" wp14:anchorId="55633A88" wp14:editId="184D8118">
            <wp:extent cx="7850505" cy="2686050"/>
            <wp:effectExtent l="57150" t="57150" r="93345" b="95250"/>
            <wp:docPr id="182" name="Imagen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5"/>
                    <a:srcRect l="616" b="2487"/>
                    <a:stretch/>
                  </pic:blipFill>
                  <pic:spPr bwMode="auto">
                    <a:xfrm>
                      <a:off x="0" y="0"/>
                      <a:ext cx="7855665" cy="2687815"/>
                    </a:xfrm>
                    <a:prstGeom prst="rect">
                      <a:avLst/>
                    </a:prstGeom>
                    <a:ln w="9525" cap="sq" cmpd="sng" algn="ctr">
                      <a:solidFill>
                        <a:srgbClr val="00B0F0"/>
                      </a:solidFill>
                      <a:prstDash val="solid"/>
                      <a:miter lim="800000"/>
                      <a:headEnd type="none" w="med" len="med"/>
                      <a:tailEnd type="none" w="med" len="med"/>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53FEDEFA" w14:textId="2CF229D8" w:rsidR="001F34EB" w:rsidRDefault="001F34EB" w:rsidP="001F34EB">
      <w:pPr>
        <w:rPr>
          <w:rFonts w:eastAsia="Calibri"/>
          <w:lang w:eastAsia="en-US"/>
        </w:rPr>
      </w:pPr>
    </w:p>
    <w:p w14:paraId="73BCF65B" w14:textId="77777777" w:rsidR="001F34EB" w:rsidRDefault="001F34EB" w:rsidP="001F34EB">
      <w:pPr>
        <w:ind w:left="-142" w:firstLine="850"/>
        <w:rPr>
          <w:rFonts w:ascii="Arial Narrow" w:eastAsia="Calibri" w:hAnsi="Arial Narrow"/>
          <w:sz w:val="18"/>
          <w:szCs w:val="18"/>
          <w:lang w:eastAsia="en-US"/>
        </w:rPr>
      </w:pPr>
      <w:r w:rsidRPr="001F34EB">
        <w:rPr>
          <w:rFonts w:ascii="Arial Narrow" w:eastAsia="Calibri" w:hAnsi="Arial Narrow"/>
          <w:sz w:val="18"/>
          <w:szCs w:val="18"/>
          <w:lang w:eastAsia="en-US"/>
        </w:rPr>
        <w:t xml:space="preserve"> </w:t>
      </w:r>
      <w:r w:rsidRPr="000B4845">
        <w:rPr>
          <w:rFonts w:ascii="Arial Narrow" w:eastAsia="Calibri" w:hAnsi="Arial Narrow"/>
          <w:sz w:val="18"/>
          <w:szCs w:val="18"/>
          <w:lang w:eastAsia="en-US"/>
        </w:rPr>
        <w:t>Fuente: Sistema PEI al 24 de enero del 2020 (año 2019)</w:t>
      </w:r>
      <w:r>
        <w:rPr>
          <w:rFonts w:ascii="Arial Narrow" w:eastAsia="Calibri" w:hAnsi="Arial Narrow"/>
          <w:sz w:val="18"/>
          <w:szCs w:val="18"/>
          <w:lang w:eastAsia="en-US"/>
        </w:rPr>
        <w:t xml:space="preserve"> y 04 de marzo del 2021 (año 2020).</w:t>
      </w:r>
    </w:p>
    <w:p w14:paraId="6EBB20DD" w14:textId="58AC8B8A" w:rsidR="00D946DF" w:rsidRDefault="00D946DF">
      <w:pPr>
        <w:autoSpaceDE w:val="0"/>
        <w:autoSpaceDN w:val="0"/>
        <w:adjustRightInd w:val="0"/>
        <w:spacing w:line="360" w:lineRule="auto"/>
        <w:jc w:val="both"/>
        <w:rPr>
          <w:rFonts w:ascii="Arial Narrow" w:hAnsi="Arial Narrow"/>
        </w:rPr>
      </w:pPr>
    </w:p>
    <w:p w14:paraId="0613C5B5" w14:textId="77777777" w:rsidR="009D5823" w:rsidRDefault="009D5823">
      <w:pPr>
        <w:autoSpaceDE w:val="0"/>
        <w:autoSpaceDN w:val="0"/>
        <w:adjustRightInd w:val="0"/>
        <w:spacing w:line="360" w:lineRule="auto"/>
        <w:jc w:val="both"/>
        <w:rPr>
          <w:rFonts w:ascii="Arial Narrow" w:hAnsi="Arial Narrow"/>
        </w:rPr>
        <w:sectPr w:rsidR="009D5823" w:rsidSect="009D5823">
          <w:pgSz w:w="15842" w:h="12242" w:orient="landscape" w:code="1"/>
          <w:pgMar w:top="1417" w:right="1701" w:bottom="1417" w:left="1701" w:header="709" w:footer="709" w:gutter="0"/>
          <w:cols w:space="708"/>
          <w:docGrid w:linePitch="360"/>
        </w:sectPr>
      </w:pPr>
    </w:p>
    <w:p w14:paraId="6E721475" w14:textId="326FCCE2" w:rsidR="009D5823" w:rsidRPr="00704B08" w:rsidRDefault="009D5823" w:rsidP="00704B08">
      <w:pPr>
        <w:autoSpaceDE w:val="0"/>
        <w:autoSpaceDN w:val="0"/>
        <w:adjustRightInd w:val="0"/>
        <w:spacing w:line="360" w:lineRule="auto"/>
        <w:jc w:val="both"/>
        <w:rPr>
          <w:rFonts w:ascii="Arial Narrow" w:hAnsi="Arial Narrow"/>
        </w:rPr>
      </w:pPr>
    </w:p>
    <w:p w14:paraId="1BBF07C5" w14:textId="27A5DA84" w:rsidR="008173A1" w:rsidRPr="00704B08" w:rsidRDefault="00615614" w:rsidP="008173A1">
      <w:pPr>
        <w:spacing w:line="360" w:lineRule="auto"/>
        <w:jc w:val="both"/>
        <w:rPr>
          <w:rFonts w:ascii="Arial Narrow" w:hAnsi="Arial Narrow"/>
        </w:rPr>
      </w:pPr>
      <w:r>
        <w:rPr>
          <w:rFonts w:ascii="Arial Narrow" w:hAnsi="Arial Narrow" w:cs="Calibri"/>
          <w:color w:val="000000"/>
          <w:lang w:val="es-CR" w:eastAsia="es-CR"/>
        </w:rPr>
        <w:t>Por otra parte, l</w:t>
      </w:r>
      <w:r w:rsidRPr="002E0B96">
        <w:rPr>
          <w:rFonts w:ascii="Arial Narrow" w:hAnsi="Arial Narrow" w:cs="Calibri"/>
          <w:color w:val="000000"/>
          <w:lang w:val="es-CR" w:eastAsia="es-CR"/>
        </w:rPr>
        <w:t>a meta estratégica</w:t>
      </w:r>
      <w:r>
        <w:rPr>
          <w:rFonts w:ascii="Arial Narrow" w:hAnsi="Arial Narrow" w:cs="Calibri"/>
          <w:b/>
          <w:bCs/>
          <w:color w:val="000000"/>
          <w:lang w:val="es-CR" w:eastAsia="es-CR"/>
        </w:rPr>
        <w:t xml:space="preserve"> “</w:t>
      </w:r>
      <w:r w:rsidR="008173A1" w:rsidRPr="00704B08">
        <w:rPr>
          <w:rFonts w:ascii="Arial Narrow" w:hAnsi="Arial Narrow"/>
          <w:b/>
          <w:bCs/>
          <w:i/>
          <w:iCs/>
        </w:rPr>
        <w:t>Que al finalizar el 2024, se haya implementado las acciones definidas para asegurar la continuidad del servicio tecnológico</w:t>
      </w:r>
      <w:r>
        <w:rPr>
          <w:rFonts w:ascii="Arial Narrow" w:hAnsi="Arial Narrow"/>
          <w:b/>
          <w:bCs/>
          <w:i/>
          <w:iCs/>
        </w:rPr>
        <w:t>”</w:t>
      </w:r>
      <w:r w:rsidR="00DD2BFA">
        <w:rPr>
          <w:rFonts w:ascii="Arial Narrow" w:hAnsi="Arial Narrow"/>
          <w:b/>
          <w:bCs/>
          <w:i/>
          <w:iCs/>
        </w:rPr>
        <w:t>,</w:t>
      </w:r>
      <w:r w:rsidR="000E0C7E" w:rsidRPr="00704B08">
        <w:rPr>
          <w:rFonts w:ascii="Arial Narrow" w:hAnsi="Arial Narrow"/>
          <w:b/>
          <w:bCs/>
          <w:i/>
          <w:iCs/>
        </w:rPr>
        <w:t xml:space="preserve"> </w:t>
      </w:r>
      <w:r>
        <w:rPr>
          <w:rFonts w:ascii="Arial Narrow" w:hAnsi="Arial Narrow"/>
        </w:rPr>
        <w:t>p</w:t>
      </w:r>
      <w:r w:rsidR="000E0C7E" w:rsidRPr="00704B08">
        <w:rPr>
          <w:rFonts w:ascii="Arial Narrow" w:hAnsi="Arial Narrow"/>
        </w:rPr>
        <w:t>ara cumplir con esta meta la Dire</w:t>
      </w:r>
      <w:r w:rsidR="00EE4A00" w:rsidRPr="00704B08">
        <w:rPr>
          <w:rFonts w:ascii="Arial Narrow" w:hAnsi="Arial Narrow"/>
        </w:rPr>
        <w:t>c</w:t>
      </w:r>
      <w:r w:rsidR="000E0C7E" w:rsidRPr="00704B08">
        <w:rPr>
          <w:rFonts w:ascii="Arial Narrow" w:hAnsi="Arial Narrow"/>
        </w:rPr>
        <w:t xml:space="preserve">ción de Tecnología </w:t>
      </w:r>
      <w:r w:rsidR="00EE4A00" w:rsidRPr="00704B08">
        <w:rPr>
          <w:rFonts w:ascii="Arial Narrow" w:hAnsi="Arial Narrow"/>
        </w:rPr>
        <w:t>para el año 2019 logró ejecutar todas las metas (18) relacionadas a este tema, sin embargo la meta de adquirir al menos una línea de internet adicional y con un proveedor de servicio diferente al actual, de manera que se cuente  con alta disponibilidad y balanceo de tráfico para los servicios críticos que brinda el Poder Judicial a través de internet, quedó a un 80% y para el año 2020 se observa que ejecutó 12 metas las cuales todas fueron cumplidas a cabalidad.</w:t>
      </w:r>
      <w:r w:rsidR="00B8745E">
        <w:rPr>
          <w:rFonts w:ascii="Arial Narrow" w:hAnsi="Arial Narrow"/>
        </w:rPr>
        <w:t xml:space="preserve"> </w:t>
      </w:r>
      <w:r w:rsidR="00EE4A00" w:rsidRPr="00704B08">
        <w:rPr>
          <w:rFonts w:ascii="Arial Narrow" w:hAnsi="Arial Narrow"/>
        </w:rPr>
        <w:t xml:space="preserve">En relación </w:t>
      </w:r>
      <w:r w:rsidR="00DD2BFA">
        <w:rPr>
          <w:rFonts w:ascii="Arial Narrow" w:hAnsi="Arial Narrow"/>
        </w:rPr>
        <w:t>con</w:t>
      </w:r>
      <w:r w:rsidR="00EE4A00" w:rsidRPr="00704B08">
        <w:rPr>
          <w:rFonts w:ascii="Arial Narrow" w:hAnsi="Arial Narrow"/>
        </w:rPr>
        <w:t xml:space="preserve"> lo expuesto se </w:t>
      </w:r>
      <w:r w:rsidR="005D22EF" w:rsidRPr="00704B08">
        <w:rPr>
          <w:rFonts w:ascii="Arial Narrow" w:hAnsi="Arial Narrow"/>
        </w:rPr>
        <w:t>tiene como resultado</w:t>
      </w:r>
      <w:r w:rsidR="005D22EF">
        <w:rPr>
          <w:rFonts w:ascii="Arial Narrow" w:hAnsi="Arial Narrow"/>
        </w:rPr>
        <w:t xml:space="preserve"> para los años 2019 y 2020 un cumplimiento del 98% y un 100% respectivamente y para el cumplimiento acumulado se reporta un 19,8%.</w:t>
      </w:r>
    </w:p>
    <w:p w14:paraId="156C07EA" w14:textId="77777777" w:rsidR="000E0C7E" w:rsidRPr="00704B08" w:rsidRDefault="000E0C7E">
      <w:pPr>
        <w:spacing w:line="360" w:lineRule="auto"/>
        <w:jc w:val="both"/>
        <w:rPr>
          <w:rFonts w:ascii="Arial Narrow" w:hAnsi="Arial Narrow"/>
          <w:b/>
          <w:bCs/>
          <w:i/>
          <w:iCs/>
          <w:lang w:val="es-CR" w:eastAsia="es-CR"/>
        </w:rPr>
      </w:pPr>
    </w:p>
    <w:p w14:paraId="6250F138" w14:textId="20BCB766" w:rsidR="005D22EF" w:rsidRDefault="00615614" w:rsidP="008173A1">
      <w:pPr>
        <w:spacing w:line="360" w:lineRule="auto"/>
        <w:jc w:val="both"/>
        <w:rPr>
          <w:rFonts w:ascii="Arial Narrow" w:hAnsi="Arial Narrow"/>
          <w:lang w:val="es-CR" w:eastAsia="es-CR"/>
        </w:rPr>
      </w:pPr>
      <w:r>
        <w:rPr>
          <w:rFonts w:ascii="Arial Narrow" w:hAnsi="Arial Narrow" w:cs="Calibri"/>
          <w:color w:val="000000"/>
          <w:lang w:val="es-CR" w:eastAsia="es-CR"/>
        </w:rPr>
        <w:t>Con respecto a l</w:t>
      </w:r>
      <w:r w:rsidRPr="002E0B96">
        <w:rPr>
          <w:rFonts w:ascii="Arial Narrow" w:hAnsi="Arial Narrow" w:cs="Calibri"/>
          <w:color w:val="000000"/>
          <w:lang w:val="es-CR" w:eastAsia="es-CR"/>
        </w:rPr>
        <w:t>a meta estratégica</w:t>
      </w:r>
      <w:r>
        <w:rPr>
          <w:rFonts w:ascii="Arial Narrow" w:hAnsi="Arial Narrow" w:cs="Calibri"/>
          <w:b/>
          <w:bCs/>
          <w:color w:val="000000"/>
          <w:lang w:val="es-CR" w:eastAsia="es-CR"/>
        </w:rPr>
        <w:t xml:space="preserve"> “</w:t>
      </w:r>
      <w:r w:rsidR="008173A1" w:rsidRPr="00704B08">
        <w:rPr>
          <w:rFonts w:ascii="Arial Narrow" w:hAnsi="Arial Narrow"/>
          <w:b/>
          <w:bCs/>
          <w:i/>
          <w:iCs/>
          <w:lang w:val="es-CR" w:eastAsia="es-CR"/>
        </w:rPr>
        <w:t>Que al finalizar el 2024, se haya implementado una estrategia definida que abarque las mejores prácticas para la gestión de las Tecnologías de la Información en el Poder Judicial</w:t>
      </w:r>
      <w:r w:rsidRPr="00704B08">
        <w:rPr>
          <w:rFonts w:ascii="Arial Narrow" w:hAnsi="Arial Narrow"/>
          <w:b/>
          <w:bCs/>
          <w:i/>
          <w:iCs/>
          <w:lang w:val="es-CR" w:eastAsia="es-CR"/>
        </w:rPr>
        <w:t>”</w:t>
      </w:r>
      <w:r w:rsidR="00DD2BFA">
        <w:rPr>
          <w:rFonts w:ascii="Arial Narrow" w:hAnsi="Arial Narrow"/>
          <w:b/>
          <w:bCs/>
          <w:i/>
          <w:iCs/>
          <w:lang w:val="es-CR" w:eastAsia="es-CR"/>
        </w:rPr>
        <w:t>,</w:t>
      </w:r>
      <w:r w:rsidR="0085759F" w:rsidRPr="0085759F">
        <w:rPr>
          <w:rFonts w:ascii="Arial Narrow" w:hAnsi="Arial Narrow" w:cs="Calibri"/>
          <w:color w:val="000000"/>
          <w:lang w:val="es-CR" w:eastAsia="es-CR"/>
        </w:rPr>
        <w:t xml:space="preserve"> </w:t>
      </w:r>
      <w:r>
        <w:rPr>
          <w:rFonts w:ascii="Arial Narrow" w:hAnsi="Arial Narrow" w:cs="Calibri"/>
          <w:color w:val="000000"/>
          <w:lang w:val="es-CR" w:eastAsia="es-CR"/>
        </w:rPr>
        <w:t>s</w:t>
      </w:r>
      <w:r w:rsidR="0085759F" w:rsidRPr="00F65D28">
        <w:rPr>
          <w:rFonts w:ascii="Arial Narrow" w:hAnsi="Arial Narrow" w:cs="Calibri"/>
          <w:color w:val="000000"/>
          <w:lang w:val="es-CR" w:eastAsia="es-CR"/>
        </w:rPr>
        <w:t xml:space="preserve">e tiene que esta meta se incluyó en la Matriz del PEI 2019-2024 la cual de acuerdo con la revisión efectuada se logró determinar que no se asoció a ningún PAO de oficina para el 2019, no obstante, para el 2020 se </w:t>
      </w:r>
      <w:r w:rsidR="0085759F">
        <w:rPr>
          <w:rFonts w:ascii="Arial Narrow" w:hAnsi="Arial Narrow" w:cs="Calibri"/>
          <w:color w:val="000000"/>
          <w:lang w:val="es-CR" w:eastAsia="es-CR"/>
        </w:rPr>
        <w:t xml:space="preserve">tiene que la Dirección de Tecnología realizó </w:t>
      </w:r>
      <w:r w:rsidR="00DA5620" w:rsidRPr="00704B08">
        <w:rPr>
          <w:rFonts w:ascii="Arial Narrow" w:hAnsi="Arial Narrow"/>
          <w:lang w:val="es-CR" w:eastAsia="es-CR"/>
        </w:rPr>
        <w:t xml:space="preserve">diferentes circulares para </w:t>
      </w:r>
      <w:r w:rsidR="00E37DB5" w:rsidRPr="0085759F">
        <w:rPr>
          <w:rFonts w:ascii="Arial Narrow" w:hAnsi="Arial Narrow"/>
          <w:lang w:val="es-CR" w:eastAsia="es-CR"/>
        </w:rPr>
        <w:t>el cumplimiento de esta meta</w:t>
      </w:r>
      <w:r w:rsidR="0085759F" w:rsidRPr="0085759F">
        <w:rPr>
          <w:rFonts w:ascii="Arial Narrow" w:hAnsi="Arial Narrow"/>
          <w:lang w:val="es-CR" w:eastAsia="es-CR"/>
        </w:rPr>
        <w:t xml:space="preserve"> reportando un</w:t>
      </w:r>
      <w:r w:rsidR="0085759F">
        <w:rPr>
          <w:rFonts w:ascii="Arial Narrow" w:hAnsi="Arial Narrow"/>
          <w:lang w:val="es-CR" w:eastAsia="es-CR"/>
        </w:rPr>
        <w:t xml:space="preserve"> 100% de avance de cumplimiento.</w:t>
      </w:r>
    </w:p>
    <w:p w14:paraId="5395907C" w14:textId="77777777" w:rsidR="009D5823" w:rsidRDefault="009D5823" w:rsidP="008173A1">
      <w:pPr>
        <w:spacing w:line="360" w:lineRule="auto"/>
        <w:jc w:val="both"/>
        <w:rPr>
          <w:rFonts w:ascii="Arial Narrow" w:hAnsi="Arial Narrow"/>
          <w:lang w:val="es-CR" w:eastAsia="es-CR"/>
        </w:rPr>
        <w:sectPr w:rsidR="009D5823" w:rsidSect="009D5823">
          <w:pgSz w:w="12242" w:h="15842" w:code="1"/>
          <w:pgMar w:top="1701" w:right="1417" w:bottom="1701" w:left="1417" w:header="709" w:footer="709" w:gutter="0"/>
          <w:cols w:space="708"/>
          <w:docGrid w:linePitch="360"/>
        </w:sectPr>
      </w:pPr>
    </w:p>
    <w:p w14:paraId="37893614" w14:textId="1F7B2DB7" w:rsidR="007B0929" w:rsidRDefault="007B0929" w:rsidP="008173A1">
      <w:pPr>
        <w:spacing w:line="360" w:lineRule="auto"/>
        <w:jc w:val="both"/>
        <w:rPr>
          <w:rFonts w:ascii="Arial Narrow" w:hAnsi="Arial Narrow"/>
          <w:lang w:val="es-CR" w:eastAsia="es-CR"/>
        </w:rPr>
      </w:pPr>
    </w:p>
    <w:p w14:paraId="5511E14E" w14:textId="4D8CF78F" w:rsidR="001F34EB" w:rsidRDefault="001F34EB" w:rsidP="001F34EB">
      <w:pPr>
        <w:pStyle w:val="Descripcin"/>
        <w:jc w:val="center"/>
        <w:rPr>
          <w:rFonts w:ascii="Arial Narrow" w:eastAsia="Calibri" w:hAnsi="Arial Narrow"/>
          <w:sz w:val="24"/>
          <w:szCs w:val="24"/>
        </w:rPr>
      </w:pPr>
      <w:bookmarkStart w:id="94" w:name="_Toc76062277"/>
      <w:r w:rsidRPr="00484CC1">
        <w:rPr>
          <w:rFonts w:ascii="Arial Narrow" w:hAnsi="Arial Narrow"/>
          <w:sz w:val="24"/>
          <w:szCs w:val="24"/>
        </w:rPr>
        <w:t>Cuadro</w:t>
      </w:r>
      <w:r>
        <w:rPr>
          <w:rFonts w:ascii="Arial Narrow" w:hAnsi="Arial Narrow"/>
          <w:sz w:val="24"/>
          <w:szCs w:val="24"/>
        </w:rPr>
        <w:t xml:space="preserve"> </w:t>
      </w:r>
      <w:r w:rsidRPr="00484CC1">
        <w:rPr>
          <w:rFonts w:ascii="Arial Narrow" w:hAnsi="Arial Narrow"/>
          <w:sz w:val="24"/>
          <w:szCs w:val="24"/>
        </w:rPr>
        <w:fldChar w:fldCharType="begin"/>
      </w:r>
      <w:r w:rsidRPr="00484CC1">
        <w:rPr>
          <w:rFonts w:ascii="Arial Narrow" w:hAnsi="Arial Narrow"/>
          <w:sz w:val="24"/>
          <w:szCs w:val="24"/>
        </w:rPr>
        <w:instrText xml:space="preserve"> SEQ Cuadro_No. \* ARABIC </w:instrText>
      </w:r>
      <w:r w:rsidRPr="00484CC1">
        <w:rPr>
          <w:rFonts w:ascii="Arial Narrow" w:hAnsi="Arial Narrow"/>
          <w:sz w:val="24"/>
          <w:szCs w:val="24"/>
        </w:rPr>
        <w:fldChar w:fldCharType="separate"/>
      </w:r>
      <w:r w:rsidR="009D5823">
        <w:rPr>
          <w:rFonts w:ascii="Arial Narrow" w:hAnsi="Arial Narrow"/>
          <w:noProof/>
          <w:sz w:val="24"/>
          <w:szCs w:val="24"/>
        </w:rPr>
        <w:t>54</w:t>
      </w:r>
      <w:r w:rsidRPr="00484CC1">
        <w:rPr>
          <w:rFonts w:ascii="Arial Narrow" w:hAnsi="Arial Narrow"/>
          <w:sz w:val="24"/>
          <w:szCs w:val="24"/>
        </w:rPr>
        <w:fldChar w:fldCharType="end"/>
      </w:r>
      <w:r w:rsidRPr="00484CC1">
        <w:rPr>
          <w:rFonts w:ascii="Arial Narrow" w:hAnsi="Arial Narrow"/>
          <w:sz w:val="24"/>
          <w:szCs w:val="24"/>
        </w:rPr>
        <w:t xml:space="preserve"> </w:t>
      </w:r>
      <w:r w:rsidRPr="00D657CE">
        <w:rPr>
          <w:rFonts w:ascii="Arial Narrow" w:eastAsia="Calibri" w:hAnsi="Arial Narrow"/>
          <w:sz w:val="24"/>
          <w:szCs w:val="24"/>
        </w:rPr>
        <w:t>Metas estratégicas de Servicios tecnológicos, y su cumplimiento para el 2019</w:t>
      </w:r>
      <w:r>
        <w:rPr>
          <w:rFonts w:ascii="Arial Narrow" w:eastAsia="Calibri" w:hAnsi="Arial Narrow"/>
          <w:sz w:val="24"/>
          <w:szCs w:val="24"/>
        </w:rPr>
        <w:t xml:space="preserve"> y 2020</w:t>
      </w:r>
      <w:bookmarkEnd w:id="94"/>
      <w:r>
        <w:rPr>
          <w:rFonts w:ascii="Arial Narrow" w:eastAsia="Calibri" w:hAnsi="Arial Narrow"/>
          <w:sz w:val="24"/>
          <w:szCs w:val="24"/>
        </w:rPr>
        <w:t xml:space="preserve"> </w:t>
      </w:r>
    </w:p>
    <w:p w14:paraId="3DAFE095" w14:textId="77777777" w:rsidR="001F34EB" w:rsidRDefault="001F34EB" w:rsidP="001F34EB">
      <w:pPr>
        <w:rPr>
          <w:noProof/>
        </w:rPr>
      </w:pPr>
    </w:p>
    <w:p w14:paraId="7667F67B" w14:textId="51B23BE0" w:rsidR="001F34EB" w:rsidRPr="000B4845" w:rsidRDefault="001F34EB" w:rsidP="001F34EB">
      <w:pPr>
        <w:rPr>
          <w:rFonts w:eastAsia="Calibri"/>
          <w:lang w:eastAsia="en-US"/>
        </w:rPr>
      </w:pPr>
      <w:r>
        <w:rPr>
          <w:noProof/>
          <w:lang w:val="es-CR" w:eastAsia="es-CR"/>
        </w:rPr>
        <w:drawing>
          <wp:inline distT="0" distB="0" distL="0" distR="0" wp14:anchorId="2DB68792" wp14:editId="7FA15CCB">
            <wp:extent cx="7886700" cy="2969385"/>
            <wp:effectExtent l="57150" t="57150" r="95250" b="97790"/>
            <wp:docPr id="116" name="Imagen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6"/>
                    <a:srcRect l="161"/>
                    <a:stretch/>
                  </pic:blipFill>
                  <pic:spPr bwMode="auto">
                    <a:xfrm>
                      <a:off x="0" y="0"/>
                      <a:ext cx="7890326" cy="2970750"/>
                    </a:xfrm>
                    <a:prstGeom prst="rect">
                      <a:avLst/>
                    </a:prstGeom>
                    <a:ln w="9525" cap="sq" cmpd="sng" algn="ctr">
                      <a:solidFill>
                        <a:srgbClr val="00B0F0"/>
                      </a:solidFill>
                      <a:prstDash val="solid"/>
                      <a:miter lim="800000"/>
                      <a:headEnd type="none" w="med" len="med"/>
                      <a:tailEnd type="none" w="med" len="med"/>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0D67C7F2" w14:textId="77777777" w:rsidR="001F34EB" w:rsidRDefault="001F34EB" w:rsidP="001F34EB">
      <w:pPr>
        <w:rPr>
          <w:rFonts w:eastAsia="Calibri"/>
          <w:lang w:eastAsia="en-US"/>
        </w:rPr>
      </w:pPr>
    </w:p>
    <w:p w14:paraId="616E3ABF" w14:textId="77777777" w:rsidR="001F34EB" w:rsidRDefault="001F34EB" w:rsidP="001F34EB">
      <w:pPr>
        <w:ind w:left="-142" w:firstLine="850"/>
        <w:rPr>
          <w:rFonts w:ascii="Arial Narrow" w:eastAsia="Calibri" w:hAnsi="Arial Narrow"/>
          <w:sz w:val="18"/>
          <w:szCs w:val="18"/>
          <w:lang w:eastAsia="en-US"/>
        </w:rPr>
      </w:pPr>
      <w:r w:rsidRPr="001F34EB">
        <w:rPr>
          <w:rFonts w:ascii="Arial Narrow" w:eastAsia="Calibri" w:hAnsi="Arial Narrow"/>
          <w:sz w:val="18"/>
          <w:szCs w:val="18"/>
          <w:lang w:eastAsia="en-US"/>
        </w:rPr>
        <w:t xml:space="preserve"> </w:t>
      </w:r>
      <w:r w:rsidRPr="000B4845">
        <w:rPr>
          <w:rFonts w:ascii="Arial Narrow" w:eastAsia="Calibri" w:hAnsi="Arial Narrow"/>
          <w:sz w:val="18"/>
          <w:szCs w:val="18"/>
          <w:lang w:eastAsia="en-US"/>
        </w:rPr>
        <w:t>Fuente: Sistema PEI al 24 de enero del 2020 (año 2019)</w:t>
      </w:r>
      <w:r>
        <w:rPr>
          <w:rFonts w:ascii="Arial Narrow" w:eastAsia="Calibri" w:hAnsi="Arial Narrow"/>
          <w:sz w:val="18"/>
          <w:szCs w:val="18"/>
          <w:lang w:eastAsia="en-US"/>
        </w:rPr>
        <w:t xml:space="preserve"> y 04 de marzo del 2021 (año 2020).</w:t>
      </w:r>
    </w:p>
    <w:p w14:paraId="37182E52" w14:textId="23B85C30" w:rsidR="00A903B7" w:rsidRDefault="00A903B7">
      <w:pPr>
        <w:spacing w:line="360" w:lineRule="auto"/>
        <w:jc w:val="both"/>
        <w:rPr>
          <w:rFonts w:ascii="Arial Narrow" w:hAnsi="Arial Narrow"/>
          <w:lang w:val="es-CR" w:eastAsia="es-CR"/>
        </w:rPr>
      </w:pPr>
    </w:p>
    <w:p w14:paraId="10E65F65" w14:textId="77777777" w:rsidR="009D5823" w:rsidRDefault="009D5823">
      <w:pPr>
        <w:spacing w:line="360" w:lineRule="auto"/>
        <w:jc w:val="both"/>
        <w:rPr>
          <w:rFonts w:ascii="Arial Narrow" w:hAnsi="Arial Narrow"/>
          <w:lang w:val="es-CR" w:eastAsia="es-CR"/>
        </w:rPr>
        <w:sectPr w:rsidR="009D5823" w:rsidSect="009D5823">
          <w:pgSz w:w="15842" w:h="12242" w:orient="landscape" w:code="1"/>
          <w:pgMar w:top="1417" w:right="1701" w:bottom="1417" w:left="1701" w:header="709" w:footer="709" w:gutter="0"/>
          <w:cols w:space="708"/>
          <w:docGrid w:linePitch="360"/>
        </w:sectPr>
      </w:pPr>
    </w:p>
    <w:p w14:paraId="21D7FE6E" w14:textId="2BA9F1B3" w:rsidR="00D01745" w:rsidRDefault="00D01745">
      <w:pPr>
        <w:spacing w:line="360" w:lineRule="auto"/>
        <w:jc w:val="both"/>
        <w:rPr>
          <w:rFonts w:ascii="Arial Narrow" w:hAnsi="Arial Narrow"/>
          <w:lang w:val="es-CR" w:eastAsia="es-CR"/>
        </w:rPr>
      </w:pPr>
    </w:p>
    <w:p w14:paraId="31AA39B8" w14:textId="77777777" w:rsidR="00DD2BFA" w:rsidRPr="00704B08" w:rsidRDefault="00DD2BFA">
      <w:pPr>
        <w:spacing w:line="360" w:lineRule="auto"/>
        <w:jc w:val="both"/>
        <w:rPr>
          <w:rFonts w:ascii="Arial Narrow" w:hAnsi="Arial Narrow"/>
          <w:lang w:val="es-CR" w:eastAsia="es-CR"/>
        </w:rPr>
      </w:pPr>
    </w:p>
    <w:p w14:paraId="2B1D56FB" w14:textId="02D47570" w:rsidR="00BB381A" w:rsidRDefault="00615614">
      <w:pPr>
        <w:spacing w:line="360" w:lineRule="auto"/>
        <w:jc w:val="both"/>
        <w:rPr>
          <w:rFonts w:ascii="Arial Narrow" w:eastAsia="Calibri" w:hAnsi="Arial Narrow"/>
        </w:rPr>
      </w:pPr>
      <w:bookmarkStart w:id="95" w:name="_Hlk84334915"/>
      <w:r>
        <w:rPr>
          <w:rFonts w:ascii="Arial Narrow" w:hAnsi="Arial Narrow" w:cs="Calibri"/>
          <w:color w:val="000000"/>
          <w:lang w:val="es-CR" w:eastAsia="es-CR"/>
        </w:rPr>
        <w:t>Con respecto a l</w:t>
      </w:r>
      <w:r w:rsidRPr="002E0B96">
        <w:rPr>
          <w:rFonts w:ascii="Arial Narrow" w:hAnsi="Arial Narrow" w:cs="Calibri"/>
          <w:color w:val="000000"/>
          <w:lang w:val="es-CR" w:eastAsia="es-CR"/>
        </w:rPr>
        <w:t>a meta estratégica</w:t>
      </w:r>
      <w:r>
        <w:rPr>
          <w:rFonts w:ascii="Arial Narrow" w:hAnsi="Arial Narrow" w:cs="Calibri"/>
          <w:b/>
          <w:bCs/>
          <w:color w:val="000000"/>
          <w:lang w:val="es-CR" w:eastAsia="es-CR"/>
        </w:rPr>
        <w:t xml:space="preserve"> “</w:t>
      </w:r>
      <w:r w:rsidR="008173A1" w:rsidRPr="00704B08">
        <w:rPr>
          <w:rFonts w:ascii="Arial Narrow" w:hAnsi="Arial Narrow"/>
          <w:b/>
          <w:bCs/>
          <w:i/>
          <w:iCs/>
          <w:lang w:val="es-CR" w:eastAsia="es-CR"/>
        </w:rPr>
        <w:t>Que al finalizar el 2024, se haya desarrollado una aplicación móvil para el Servicio Nacional de Facilitadoras y Facilitadores Judiciales, que se integre con el Sistema de Gestión para la recopilación de la información de las acciones realizadas por las personas facilitadoras judiciales y sea una herramienta de autoaprendizaje</w:t>
      </w:r>
      <w:r>
        <w:rPr>
          <w:rFonts w:ascii="Arial Narrow" w:hAnsi="Arial Narrow"/>
          <w:b/>
          <w:bCs/>
          <w:lang w:val="es-CR" w:eastAsia="es-CR"/>
        </w:rPr>
        <w:t>”</w:t>
      </w:r>
      <w:r w:rsidR="00DD2BFA">
        <w:rPr>
          <w:rFonts w:ascii="Arial Narrow" w:hAnsi="Arial Narrow"/>
          <w:b/>
          <w:bCs/>
          <w:lang w:val="es-CR" w:eastAsia="es-CR"/>
        </w:rPr>
        <w:t>,</w:t>
      </w:r>
      <w:r>
        <w:rPr>
          <w:rFonts w:ascii="Arial Narrow" w:eastAsia="Calibri" w:hAnsi="Arial Narrow"/>
          <w:lang w:eastAsia="en-US"/>
        </w:rPr>
        <w:t xml:space="preserve"> s</w:t>
      </w:r>
      <w:r w:rsidR="00B8745E" w:rsidRPr="00704B08">
        <w:rPr>
          <w:rFonts w:ascii="Arial Narrow" w:eastAsia="Calibri" w:hAnsi="Arial Narrow"/>
          <w:lang w:eastAsia="en-US"/>
        </w:rPr>
        <w:t xml:space="preserve">obre este tema </w:t>
      </w:r>
      <w:r w:rsidR="00C10DEC">
        <w:rPr>
          <w:rFonts w:ascii="Arial Narrow" w:eastAsia="Calibri" w:hAnsi="Arial Narrow"/>
          <w:lang w:eastAsia="en-US"/>
        </w:rPr>
        <w:t xml:space="preserve">para el año 2019 </w:t>
      </w:r>
      <w:r w:rsidR="00B8745E" w:rsidRPr="00704B08">
        <w:rPr>
          <w:rFonts w:ascii="Arial Narrow" w:eastAsia="Calibri" w:hAnsi="Arial Narrow"/>
          <w:lang w:eastAsia="en-US"/>
        </w:rPr>
        <w:t>se elaboró el plan para el análisis de los requerimientos que remit</w:t>
      </w:r>
      <w:r w:rsidR="00C10DEC">
        <w:rPr>
          <w:rFonts w:ascii="Arial Narrow" w:eastAsia="Calibri" w:hAnsi="Arial Narrow"/>
          <w:lang w:eastAsia="en-US"/>
        </w:rPr>
        <w:t>ió</w:t>
      </w:r>
      <w:r w:rsidR="00B8745E" w:rsidRPr="00704B08">
        <w:rPr>
          <w:rFonts w:ascii="Arial Narrow" w:eastAsia="Calibri" w:hAnsi="Arial Narrow"/>
          <w:lang w:eastAsia="en-US"/>
        </w:rPr>
        <w:t xml:space="preserve"> la CONAMAJ </w:t>
      </w:r>
      <w:r w:rsidR="00B8745E" w:rsidRPr="00704B08">
        <w:rPr>
          <w:rFonts w:ascii="Arial Narrow" w:eastAsia="Calibri" w:hAnsi="Arial Narrow"/>
        </w:rPr>
        <w:t>para el desarrollo de una aplicación móvil del Servicio Nacional de Facilitadores Judiciales, sin embargo, quedó pendiente el desarrollo de la aplicación móvil para el Servicio Nacional de Facilitadoras y Facilitadores Judiciales, que se integre con el Sistema de Gestión.</w:t>
      </w:r>
      <w:r w:rsidR="00974F26" w:rsidRPr="00704B08">
        <w:rPr>
          <w:rFonts w:ascii="Arial Narrow" w:eastAsia="Calibri" w:hAnsi="Arial Narrow"/>
        </w:rPr>
        <w:t xml:space="preserve"> </w:t>
      </w:r>
      <w:r w:rsidR="00C10DEC" w:rsidRPr="009D5823">
        <w:rPr>
          <w:rFonts w:ascii="Arial Narrow" w:eastAsia="Calibri" w:hAnsi="Arial Narrow"/>
        </w:rPr>
        <w:t>En cuanto al año</w:t>
      </w:r>
      <w:r w:rsidR="00974F26" w:rsidRPr="00704B08">
        <w:rPr>
          <w:rFonts w:ascii="Arial Narrow" w:eastAsia="Calibri" w:hAnsi="Arial Narrow"/>
        </w:rPr>
        <w:t xml:space="preserve"> </w:t>
      </w:r>
      <w:r w:rsidR="00857AD1" w:rsidRPr="00704B08">
        <w:rPr>
          <w:rFonts w:ascii="Arial Narrow" w:eastAsia="Calibri" w:hAnsi="Arial Narrow"/>
        </w:rPr>
        <w:t xml:space="preserve">2020 se indica por parte de la Dirección </w:t>
      </w:r>
      <w:r w:rsidR="00C10DEC" w:rsidRPr="009D5823">
        <w:rPr>
          <w:rFonts w:ascii="Arial Narrow" w:eastAsia="Calibri" w:hAnsi="Arial Narrow"/>
        </w:rPr>
        <w:t>E</w:t>
      </w:r>
      <w:r w:rsidR="00857AD1" w:rsidRPr="00704B08">
        <w:rPr>
          <w:rFonts w:ascii="Arial Narrow" w:eastAsia="Calibri" w:hAnsi="Arial Narrow"/>
        </w:rPr>
        <w:t>jecutiva que las Administraciones Regionales</w:t>
      </w:r>
      <w:r w:rsidR="00C10DEC" w:rsidRPr="00704B08">
        <w:rPr>
          <w:rFonts w:ascii="Arial Narrow" w:eastAsia="Calibri" w:hAnsi="Arial Narrow"/>
        </w:rPr>
        <w:t xml:space="preserve"> ya</w:t>
      </w:r>
      <w:r w:rsidR="00857AD1" w:rsidRPr="00704B08">
        <w:rPr>
          <w:rFonts w:ascii="Arial Narrow" w:eastAsia="Calibri" w:hAnsi="Arial Narrow"/>
        </w:rPr>
        <w:t xml:space="preserve"> cuentan con el Servicio Nacional de Facilitadoras y Facilitadores Judiciales y </w:t>
      </w:r>
      <w:r w:rsidR="005260BE" w:rsidRPr="00704B08">
        <w:rPr>
          <w:rFonts w:ascii="Arial Narrow" w:eastAsia="Calibri" w:hAnsi="Arial Narrow"/>
        </w:rPr>
        <w:t xml:space="preserve">durante el año </w:t>
      </w:r>
      <w:r w:rsidR="00857AD1" w:rsidRPr="00704B08">
        <w:rPr>
          <w:rFonts w:ascii="Arial Narrow" w:eastAsia="Calibri" w:hAnsi="Arial Narrow"/>
        </w:rPr>
        <w:t xml:space="preserve">dieron el apoyo logístico y operativo necesario para responder a las actividades programadas. Es importante </w:t>
      </w:r>
      <w:r w:rsidR="00C10DEC" w:rsidRPr="00704B08">
        <w:rPr>
          <w:rFonts w:ascii="Arial Narrow" w:eastAsia="Calibri" w:hAnsi="Arial Narrow"/>
        </w:rPr>
        <w:t>mencionar</w:t>
      </w:r>
      <w:r w:rsidR="005260BE" w:rsidRPr="00704B08">
        <w:rPr>
          <w:rFonts w:ascii="Arial Narrow" w:eastAsia="Calibri" w:hAnsi="Arial Narrow"/>
        </w:rPr>
        <w:t>.</w:t>
      </w:r>
      <w:r w:rsidR="00857AD1" w:rsidRPr="00704B08">
        <w:rPr>
          <w:rFonts w:ascii="Arial Narrow" w:eastAsia="Calibri" w:hAnsi="Arial Narrow"/>
        </w:rPr>
        <w:t xml:space="preserve"> que muchas de las actividades presenciales como asambleas, nombramientos y capacitaciones en los juzgados debieron ser canceladas por el Covid-19, por lo que la colaboración de las Administraciones se </w:t>
      </w:r>
      <w:r w:rsidR="00C10DEC" w:rsidRPr="00704B08">
        <w:rPr>
          <w:rFonts w:ascii="Arial Narrow" w:eastAsia="Calibri" w:hAnsi="Arial Narrow"/>
        </w:rPr>
        <w:t>centró</w:t>
      </w:r>
      <w:r w:rsidR="00857AD1" w:rsidRPr="00704B08">
        <w:rPr>
          <w:rFonts w:ascii="Arial Narrow" w:eastAsia="Calibri" w:hAnsi="Arial Narrow"/>
        </w:rPr>
        <w:t xml:space="preserve"> en el traslado del personal para las visitas a las personas facilitadoras judiciales y entrega de material. </w:t>
      </w:r>
    </w:p>
    <w:p w14:paraId="2ABC86B2" w14:textId="77777777" w:rsidR="00DD2BFA" w:rsidRDefault="00DD2BFA" w:rsidP="00704B08">
      <w:pPr>
        <w:spacing w:line="360" w:lineRule="auto"/>
        <w:jc w:val="both"/>
        <w:rPr>
          <w:rFonts w:ascii="Arial Narrow" w:eastAsia="Calibri" w:hAnsi="Arial Narrow"/>
        </w:rPr>
      </w:pPr>
    </w:p>
    <w:p w14:paraId="29FE6F44" w14:textId="6A752294" w:rsidR="00B8745E" w:rsidRPr="00704B08" w:rsidRDefault="00857AD1" w:rsidP="00704B08">
      <w:pPr>
        <w:spacing w:line="360" w:lineRule="auto"/>
        <w:jc w:val="both"/>
        <w:rPr>
          <w:rFonts w:ascii="Arial Narrow" w:hAnsi="Arial Narrow"/>
          <w:i/>
          <w:iCs/>
          <w:lang w:val="es-CR" w:eastAsia="es-CR"/>
        </w:rPr>
      </w:pPr>
      <w:r w:rsidRPr="00704B08">
        <w:rPr>
          <w:rFonts w:ascii="Arial Narrow" w:eastAsia="Calibri" w:hAnsi="Arial Narrow"/>
        </w:rPr>
        <w:t>Asimismo,</w:t>
      </w:r>
      <w:r w:rsidR="00BB381A">
        <w:rPr>
          <w:rFonts w:ascii="Arial Narrow" w:eastAsia="Calibri" w:hAnsi="Arial Narrow"/>
        </w:rPr>
        <w:t xml:space="preserve"> se</w:t>
      </w:r>
      <w:r w:rsidRPr="00704B08">
        <w:rPr>
          <w:rFonts w:ascii="Arial Narrow" w:eastAsia="Calibri" w:hAnsi="Arial Narrow"/>
        </w:rPr>
        <w:t xml:space="preserve"> </w:t>
      </w:r>
      <w:r w:rsidR="00C10DEC" w:rsidRPr="00704B08">
        <w:rPr>
          <w:rFonts w:ascii="Arial Narrow" w:eastAsia="Calibri" w:hAnsi="Arial Narrow"/>
        </w:rPr>
        <w:t>realizaron</w:t>
      </w:r>
      <w:r w:rsidRPr="00704B08">
        <w:rPr>
          <w:rFonts w:ascii="Arial Narrow" w:eastAsia="Calibri" w:hAnsi="Arial Narrow"/>
        </w:rPr>
        <w:t xml:space="preserve"> reuniones virtuales de seguimiento a las cuales </w:t>
      </w:r>
      <w:r w:rsidR="00C10DEC" w:rsidRPr="00704B08">
        <w:rPr>
          <w:rFonts w:ascii="Arial Narrow" w:eastAsia="Calibri" w:hAnsi="Arial Narrow"/>
        </w:rPr>
        <w:t>asistieron</w:t>
      </w:r>
      <w:r w:rsidRPr="00704B08">
        <w:rPr>
          <w:rFonts w:ascii="Arial Narrow" w:eastAsia="Calibri" w:hAnsi="Arial Narrow"/>
        </w:rPr>
        <w:t xml:space="preserve"> para dar el apoyo necesario. </w:t>
      </w:r>
      <w:r w:rsidR="005260BE" w:rsidRPr="00704B08">
        <w:rPr>
          <w:rFonts w:ascii="Arial Narrow" w:eastAsia="Calibri" w:hAnsi="Arial Narrow"/>
        </w:rPr>
        <w:t>Por otra parte</w:t>
      </w:r>
      <w:r w:rsidRPr="00704B08">
        <w:rPr>
          <w:rFonts w:ascii="Arial Narrow" w:eastAsia="Calibri" w:hAnsi="Arial Narrow"/>
        </w:rPr>
        <w:t>, las Administraciones tuvieron un rol activo en la entrega de los Kit de higiene a cada una de las personas facilitadoras judiciales, gracias a la gestión oportuna de los vehículos de las administraciones y su personal. </w:t>
      </w:r>
      <w:r w:rsidR="00615614">
        <w:rPr>
          <w:rFonts w:ascii="Arial Narrow" w:eastAsia="Calibri" w:hAnsi="Arial Narrow"/>
        </w:rPr>
        <w:t xml:space="preserve"> </w:t>
      </w:r>
      <w:r w:rsidR="005260BE">
        <w:rPr>
          <w:rFonts w:ascii="Arial Narrow" w:eastAsia="Calibri" w:hAnsi="Arial Narrow"/>
          <w:lang w:eastAsia="en-US"/>
        </w:rPr>
        <w:t>En conclusión, tiene</w:t>
      </w:r>
      <w:r w:rsidR="00974F26">
        <w:rPr>
          <w:rFonts w:ascii="Arial Narrow" w:eastAsia="Calibri" w:hAnsi="Arial Narrow"/>
          <w:lang w:eastAsia="en-US"/>
        </w:rPr>
        <w:t xml:space="preserve"> un</w:t>
      </w:r>
      <w:r w:rsidR="005260BE">
        <w:rPr>
          <w:rFonts w:ascii="Arial Narrow" w:eastAsia="Calibri" w:hAnsi="Arial Narrow"/>
          <w:lang w:eastAsia="en-US"/>
        </w:rPr>
        <w:t>a disminución de un 9% del año 2019 con respecto al año 2020 debido a la afectación y limitaciones presentadas por el C</w:t>
      </w:r>
      <w:r w:rsidR="00660B3C">
        <w:rPr>
          <w:rFonts w:ascii="Arial Narrow" w:eastAsia="Calibri" w:hAnsi="Arial Narrow"/>
          <w:lang w:eastAsia="en-US"/>
        </w:rPr>
        <w:t>o</w:t>
      </w:r>
      <w:r w:rsidR="005260BE">
        <w:rPr>
          <w:rFonts w:ascii="Arial Narrow" w:eastAsia="Calibri" w:hAnsi="Arial Narrow"/>
          <w:lang w:eastAsia="en-US"/>
        </w:rPr>
        <w:t>vid 19. El porcentaje de cumplimiento acumulado es de un 15,1%.</w:t>
      </w:r>
    </w:p>
    <w:bookmarkEnd w:id="95"/>
    <w:p w14:paraId="57E497CB" w14:textId="0556AB61" w:rsidR="00D01745" w:rsidRDefault="00D01745" w:rsidP="00935D7F">
      <w:pPr>
        <w:spacing w:line="360" w:lineRule="auto"/>
        <w:jc w:val="both"/>
        <w:rPr>
          <w:rFonts w:ascii="Arial Narrow" w:hAnsi="Arial Narrow"/>
          <w:b/>
          <w:bCs/>
          <w:lang w:eastAsia="es-CR"/>
        </w:rPr>
      </w:pPr>
    </w:p>
    <w:p w14:paraId="63843F6B" w14:textId="6381D5BE" w:rsidR="0008541E" w:rsidRDefault="0008541E" w:rsidP="00935D7F">
      <w:pPr>
        <w:spacing w:line="360" w:lineRule="auto"/>
        <w:jc w:val="both"/>
        <w:rPr>
          <w:rFonts w:ascii="Arial Narrow" w:hAnsi="Arial Narrow"/>
          <w:b/>
          <w:bCs/>
          <w:lang w:eastAsia="es-CR"/>
        </w:rPr>
      </w:pPr>
    </w:p>
    <w:p w14:paraId="06F1CD1E" w14:textId="1D8828F7" w:rsidR="00DD2BFA" w:rsidRDefault="00DD2BFA">
      <w:pPr>
        <w:rPr>
          <w:rFonts w:ascii="Arial Narrow" w:hAnsi="Arial Narrow"/>
          <w:b/>
          <w:bCs/>
          <w:lang w:eastAsia="es-CR"/>
        </w:rPr>
      </w:pPr>
      <w:r>
        <w:rPr>
          <w:rFonts w:ascii="Arial Narrow" w:hAnsi="Arial Narrow"/>
          <w:b/>
          <w:bCs/>
          <w:lang w:eastAsia="es-CR"/>
        </w:rPr>
        <w:br w:type="page"/>
      </w:r>
    </w:p>
    <w:p w14:paraId="0B985E74" w14:textId="77777777" w:rsidR="0008541E" w:rsidRPr="00704B08" w:rsidRDefault="0008541E" w:rsidP="00935D7F">
      <w:pPr>
        <w:spacing w:line="360" w:lineRule="auto"/>
        <w:jc w:val="both"/>
        <w:rPr>
          <w:rFonts w:ascii="Arial Narrow" w:hAnsi="Arial Narrow"/>
          <w:b/>
          <w:bCs/>
          <w:lang w:eastAsia="es-CR"/>
        </w:rPr>
      </w:pPr>
    </w:p>
    <w:p w14:paraId="1E32CC95" w14:textId="77777777" w:rsidR="00DD2BFA" w:rsidRDefault="00DD2BFA">
      <w:pPr>
        <w:spacing w:line="360" w:lineRule="auto"/>
        <w:jc w:val="both"/>
        <w:rPr>
          <w:rFonts w:ascii="Arial Narrow" w:hAnsi="Arial Narrow" w:cs="Calibri"/>
          <w:color w:val="000000"/>
          <w:lang w:val="es-CR" w:eastAsia="es-CR"/>
        </w:rPr>
      </w:pPr>
    </w:p>
    <w:p w14:paraId="43355833" w14:textId="1DDF34FE" w:rsidR="009D5823" w:rsidRDefault="00615614">
      <w:pPr>
        <w:spacing w:line="360" w:lineRule="auto"/>
        <w:jc w:val="both"/>
        <w:rPr>
          <w:rFonts w:ascii="Arial Narrow" w:hAnsi="Arial Narrow"/>
          <w:lang w:val="es-CR" w:eastAsia="es-CR"/>
        </w:rPr>
        <w:sectPr w:rsidR="009D5823" w:rsidSect="009D5823">
          <w:pgSz w:w="12242" w:h="15842" w:code="1"/>
          <w:pgMar w:top="1701" w:right="1417" w:bottom="1701" w:left="1417" w:header="709" w:footer="709" w:gutter="0"/>
          <w:cols w:space="708"/>
          <w:docGrid w:linePitch="360"/>
        </w:sectPr>
      </w:pPr>
      <w:r>
        <w:rPr>
          <w:rFonts w:ascii="Arial Narrow" w:hAnsi="Arial Narrow" w:cs="Calibri"/>
          <w:color w:val="000000"/>
          <w:lang w:val="es-CR" w:eastAsia="es-CR"/>
        </w:rPr>
        <w:t>Con respecto a l</w:t>
      </w:r>
      <w:r w:rsidRPr="002E0B96">
        <w:rPr>
          <w:rFonts w:ascii="Arial Narrow" w:hAnsi="Arial Narrow" w:cs="Calibri"/>
          <w:color w:val="000000"/>
          <w:lang w:val="es-CR" w:eastAsia="es-CR"/>
        </w:rPr>
        <w:t>a meta estratégica</w:t>
      </w:r>
      <w:r>
        <w:rPr>
          <w:rFonts w:ascii="Arial Narrow" w:hAnsi="Arial Narrow" w:cs="Calibri"/>
          <w:b/>
          <w:bCs/>
          <w:color w:val="000000"/>
          <w:lang w:val="es-CR" w:eastAsia="es-CR"/>
        </w:rPr>
        <w:t xml:space="preserve"> “</w:t>
      </w:r>
      <w:r w:rsidR="008173A1" w:rsidRPr="00704B08">
        <w:rPr>
          <w:rFonts w:ascii="Arial Narrow" w:hAnsi="Arial Narrow"/>
          <w:b/>
          <w:bCs/>
          <w:i/>
          <w:iCs/>
          <w:lang w:val="es-CR" w:eastAsia="es-CR"/>
        </w:rPr>
        <w:t>Que al finalizar el 2024, se haya ejecutado la estrategia definida que permita contar con sistemas de información innovadores</w:t>
      </w:r>
      <w:r>
        <w:rPr>
          <w:rFonts w:ascii="Arial Narrow" w:hAnsi="Arial Narrow"/>
          <w:b/>
          <w:bCs/>
          <w:lang w:val="es-CR" w:eastAsia="es-CR"/>
        </w:rPr>
        <w:t>”</w:t>
      </w:r>
      <w:r w:rsidR="00DD2BFA">
        <w:rPr>
          <w:rFonts w:ascii="Arial Narrow" w:hAnsi="Arial Narrow"/>
          <w:b/>
          <w:bCs/>
          <w:lang w:val="es-CR" w:eastAsia="es-CR"/>
        </w:rPr>
        <w:t>,</w:t>
      </w:r>
      <w:r>
        <w:rPr>
          <w:rFonts w:ascii="Arial Narrow" w:eastAsia="Calibri" w:hAnsi="Arial Narrow"/>
          <w:lang w:eastAsia="en-US"/>
        </w:rPr>
        <w:t xml:space="preserve"> s</w:t>
      </w:r>
      <w:r w:rsidR="005260BE" w:rsidRPr="00704B08">
        <w:rPr>
          <w:rFonts w:ascii="Arial Narrow" w:eastAsia="Calibri" w:hAnsi="Arial Narrow"/>
          <w:lang w:eastAsia="en-US"/>
        </w:rPr>
        <w:t>obre esta meta estratégica para el año 2019 s</w:t>
      </w:r>
      <w:r w:rsidR="00B8745E" w:rsidRPr="00704B08">
        <w:rPr>
          <w:rFonts w:ascii="Arial Narrow" w:eastAsia="Calibri" w:hAnsi="Arial Narrow"/>
          <w:lang w:eastAsia="en-US"/>
        </w:rPr>
        <w:t xml:space="preserve">e logró un 88% en el cumplimiento de las tareas operativas debido a que </w:t>
      </w:r>
      <w:r w:rsidR="00660B3C">
        <w:rPr>
          <w:rFonts w:ascii="Arial Narrow" w:eastAsia="Calibri" w:hAnsi="Arial Narrow"/>
          <w:lang w:eastAsia="en-US"/>
        </w:rPr>
        <w:t xml:space="preserve">se </w:t>
      </w:r>
      <w:r w:rsidR="00B8745E" w:rsidRPr="00704B08">
        <w:rPr>
          <w:rFonts w:ascii="Arial Narrow" w:eastAsia="Calibri" w:hAnsi="Arial Narrow"/>
          <w:lang w:eastAsia="en-US"/>
        </w:rPr>
        <w:t>trabaj</w:t>
      </w:r>
      <w:r w:rsidR="00660B3C">
        <w:rPr>
          <w:rFonts w:ascii="Arial Narrow" w:eastAsia="Calibri" w:hAnsi="Arial Narrow"/>
          <w:lang w:eastAsia="en-US"/>
        </w:rPr>
        <w:t>ó</w:t>
      </w:r>
      <w:r w:rsidR="00B8745E" w:rsidRPr="00704B08">
        <w:rPr>
          <w:rFonts w:ascii="Arial Narrow" w:eastAsia="Calibri" w:hAnsi="Arial Narrow"/>
          <w:lang w:eastAsia="en-US"/>
        </w:rPr>
        <w:t xml:space="preserve"> en desarrollar una estrategia definida </w:t>
      </w:r>
      <w:r w:rsidR="00617123" w:rsidRPr="00704B08">
        <w:rPr>
          <w:rFonts w:ascii="Arial Narrow" w:eastAsia="Calibri" w:hAnsi="Arial Narrow"/>
          <w:lang w:eastAsia="en-US"/>
        </w:rPr>
        <w:t>y</w:t>
      </w:r>
      <w:r w:rsidR="00B8745E" w:rsidRPr="00704B08">
        <w:rPr>
          <w:rFonts w:ascii="Arial Narrow" w:eastAsia="Calibri" w:hAnsi="Arial Narrow"/>
          <w:lang w:eastAsia="en-US"/>
        </w:rPr>
        <w:t xml:space="preserve"> </w:t>
      </w:r>
      <w:r w:rsidR="00660B3C">
        <w:rPr>
          <w:rFonts w:ascii="Arial Narrow" w:eastAsia="Calibri" w:hAnsi="Arial Narrow"/>
          <w:lang w:eastAsia="en-US"/>
        </w:rPr>
        <w:t xml:space="preserve">que </w:t>
      </w:r>
      <w:r w:rsidR="00B8745E" w:rsidRPr="00704B08">
        <w:rPr>
          <w:rFonts w:ascii="Arial Narrow" w:eastAsia="Calibri" w:hAnsi="Arial Narrow"/>
          <w:lang w:eastAsia="en-US"/>
        </w:rPr>
        <w:t>permita contar con sistemas de información innovador</w:t>
      </w:r>
      <w:r w:rsidR="00660B3C">
        <w:rPr>
          <w:rFonts w:ascii="Arial Narrow" w:eastAsia="Calibri" w:hAnsi="Arial Narrow"/>
          <w:lang w:eastAsia="en-US"/>
        </w:rPr>
        <w:t>es</w:t>
      </w:r>
      <w:r w:rsidR="00B8745E" w:rsidRPr="00704B08">
        <w:rPr>
          <w:rFonts w:ascii="Arial Narrow" w:eastAsia="Calibri" w:hAnsi="Arial Narrow"/>
          <w:lang w:eastAsia="en-US"/>
        </w:rPr>
        <w:t xml:space="preserve">. Se tiene </w:t>
      </w:r>
      <w:r w:rsidR="00660B3C">
        <w:rPr>
          <w:rFonts w:ascii="Arial Narrow" w:eastAsia="Calibri" w:hAnsi="Arial Narrow"/>
          <w:lang w:eastAsia="en-US"/>
        </w:rPr>
        <w:t xml:space="preserve">para ese año </w:t>
      </w:r>
      <w:r w:rsidR="00B8745E" w:rsidRPr="00704B08">
        <w:rPr>
          <w:rFonts w:ascii="Arial Narrow" w:eastAsia="Calibri" w:hAnsi="Arial Narrow"/>
          <w:lang w:eastAsia="en-US"/>
        </w:rPr>
        <w:t>un porcentaje de avance de un 87.50% en el cronograma del proyecto.</w:t>
      </w:r>
      <w:r w:rsidR="005260BE" w:rsidRPr="00704B08">
        <w:rPr>
          <w:rFonts w:ascii="Arial Narrow" w:eastAsia="Calibri" w:hAnsi="Arial Narrow"/>
          <w:lang w:eastAsia="en-US"/>
        </w:rPr>
        <w:t xml:space="preserve"> Seguido para el año 2020 </w:t>
      </w:r>
      <w:r w:rsidR="00617123" w:rsidRPr="00704B08">
        <w:rPr>
          <w:rFonts w:ascii="Arial Narrow" w:hAnsi="Arial Narrow"/>
        </w:rPr>
        <w:t>el mes de septiembre se concluye el 16% de avance esperado para el 2020, según cronograma de actividades del proyecto</w:t>
      </w:r>
      <w:r w:rsidR="00617123" w:rsidRPr="00704B08">
        <w:rPr>
          <w:rFonts w:ascii="Arial Narrow" w:hAnsi="Arial Narrow"/>
          <w:lang w:val="es-CR" w:eastAsia="es-CR"/>
        </w:rPr>
        <w:t xml:space="preserve">, donde </w:t>
      </w:r>
      <w:r w:rsidR="00617123" w:rsidRPr="00935D7F">
        <w:rPr>
          <w:rFonts w:ascii="Arial Narrow" w:hAnsi="Arial Narrow"/>
          <w:lang w:val="es-CR" w:eastAsia="es-CR"/>
        </w:rPr>
        <w:t>se están</w:t>
      </w:r>
      <w:r w:rsidR="00617123" w:rsidRPr="00704B08">
        <w:rPr>
          <w:rFonts w:ascii="Arial Narrow" w:hAnsi="Arial Narrow"/>
          <w:lang w:val="es-CR" w:eastAsia="es-CR"/>
        </w:rPr>
        <w:t xml:space="preserve"> desarrollando sistemas de información innovadores como SICVE, SIIP, Siscoa.</w:t>
      </w:r>
      <w:r w:rsidR="00660B3C">
        <w:rPr>
          <w:rFonts w:ascii="Arial Narrow" w:hAnsi="Arial Narrow"/>
          <w:lang w:val="es-CR" w:eastAsia="es-CR"/>
        </w:rPr>
        <w:t xml:space="preserve"> Es por lo anterior, que se reporta un avance de cumplimiento del 100% para el año 2020 y un 18,8% del cumplimiento acumulado.</w:t>
      </w:r>
    </w:p>
    <w:p w14:paraId="1ED4D113" w14:textId="2388691E" w:rsidR="00617123" w:rsidRPr="00704B08" w:rsidRDefault="00617123" w:rsidP="00704B08">
      <w:pPr>
        <w:spacing w:line="360" w:lineRule="auto"/>
        <w:jc w:val="both"/>
        <w:rPr>
          <w:rFonts w:ascii="Arial Narrow" w:hAnsi="Arial Narrow"/>
          <w:lang w:val="es-CR" w:eastAsia="es-CR"/>
        </w:rPr>
      </w:pPr>
    </w:p>
    <w:p w14:paraId="32D1B436" w14:textId="77777777" w:rsidR="006C4730" w:rsidRPr="00704B08" w:rsidRDefault="006C4730" w:rsidP="00704B08">
      <w:pPr>
        <w:spacing w:line="360" w:lineRule="auto"/>
        <w:jc w:val="both"/>
        <w:rPr>
          <w:rFonts w:ascii="Arial Narrow" w:hAnsi="Arial Narrow"/>
          <w:i/>
          <w:iCs/>
          <w:lang w:val="es-CR" w:eastAsia="es-CR"/>
        </w:rPr>
      </w:pPr>
    </w:p>
    <w:p w14:paraId="5CD09531" w14:textId="5479984C" w:rsidR="001F34EB" w:rsidRDefault="001F34EB" w:rsidP="001F34EB">
      <w:pPr>
        <w:pStyle w:val="Descripcin"/>
        <w:jc w:val="center"/>
        <w:rPr>
          <w:rFonts w:ascii="Arial Narrow" w:eastAsia="Calibri" w:hAnsi="Arial Narrow"/>
          <w:sz w:val="24"/>
          <w:szCs w:val="24"/>
        </w:rPr>
      </w:pPr>
      <w:bookmarkStart w:id="96" w:name="_Toc76062278"/>
      <w:r w:rsidRPr="00484CC1">
        <w:rPr>
          <w:rFonts w:ascii="Arial Narrow" w:hAnsi="Arial Narrow"/>
          <w:sz w:val="24"/>
          <w:szCs w:val="24"/>
        </w:rPr>
        <w:t>Cuadro</w:t>
      </w:r>
      <w:r>
        <w:rPr>
          <w:rFonts w:ascii="Arial Narrow" w:hAnsi="Arial Narrow"/>
          <w:sz w:val="24"/>
          <w:szCs w:val="24"/>
        </w:rPr>
        <w:t xml:space="preserve"> </w:t>
      </w:r>
      <w:r w:rsidRPr="00484CC1">
        <w:rPr>
          <w:rFonts w:ascii="Arial Narrow" w:hAnsi="Arial Narrow"/>
          <w:sz w:val="24"/>
          <w:szCs w:val="24"/>
        </w:rPr>
        <w:fldChar w:fldCharType="begin"/>
      </w:r>
      <w:r w:rsidRPr="00484CC1">
        <w:rPr>
          <w:rFonts w:ascii="Arial Narrow" w:hAnsi="Arial Narrow"/>
          <w:sz w:val="24"/>
          <w:szCs w:val="24"/>
        </w:rPr>
        <w:instrText xml:space="preserve"> SEQ Cuadro_No. \* ARABIC </w:instrText>
      </w:r>
      <w:r w:rsidRPr="00484CC1">
        <w:rPr>
          <w:rFonts w:ascii="Arial Narrow" w:hAnsi="Arial Narrow"/>
          <w:sz w:val="24"/>
          <w:szCs w:val="24"/>
        </w:rPr>
        <w:fldChar w:fldCharType="separate"/>
      </w:r>
      <w:r w:rsidR="009D5823">
        <w:rPr>
          <w:rFonts w:ascii="Arial Narrow" w:hAnsi="Arial Narrow"/>
          <w:noProof/>
          <w:sz w:val="24"/>
          <w:szCs w:val="24"/>
        </w:rPr>
        <w:t>55</w:t>
      </w:r>
      <w:r w:rsidRPr="00484CC1">
        <w:rPr>
          <w:rFonts w:ascii="Arial Narrow" w:hAnsi="Arial Narrow"/>
          <w:sz w:val="24"/>
          <w:szCs w:val="24"/>
        </w:rPr>
        <w:fldChar w:fldCharType="end"/>
      </w:r>
      <w:r w:rsidRPr="00484CC1">
        <w:rPr>
          <w:rFonts w:ascii="Arial Narrow" w:hAnsi="Arial Narrow"/>
          <w:sz w:val="24"/>
          <w:szCs w:val="24"/>
        </w:rPr>
        <w:t xml:space="preserve"> </w:t>
      </w:r>
      <w:r w:rsidRPr="00D657CE">
        <w:rPr>
          <w:rFonts w:ascii="Arial Narrow" w:eastAsia="Calibri" w:hAnsi="Arial Narrow"/>
          <w:sz w:val="24"/>
          <w:szCs w:val="24"/>
        </w:rPr>
        <w:t>Metas estratégicas de Servicios tecnológicos, y su cumplimiento para el 2019</w:t>
      </w:r>
      <w:r>
        <w:rPr>
          <w:rFonts w:ascii="Arial Narrow" w:eastAsia="Calibri" w:hAnsi="Arial Narrow"/>
          <w:sz w:val="24"/>
          <w:szCs w:val="24"/>
        </w:rPr>
        <w:t xml:space="preserve"> y 2020</w:t>
      </w:r>
      <w:bookmarkEnd w:id="96"/>
      <w:r>
        <w:rPr>
          <w:rFonts w:ascii="Arial Narrow" w:eastAsia="Calibri" w:hAnsi="Arial Narrow"/>
          <w:sz w:val="24"/>
          <w:szCs w:val="24"/>
        </w:rPr>
        <w:t xml:space="preserve"> </w:t>
      </w:r>
    </w:p>
    <w:p w14:paraId="2C7C4A67" w14:textId="77777777" w:rsidR="001F34EB" w:rsidRDefault="001F34EB" w:rsidP="001F34EB">
      <w:pPr>
        <w:rPr>
          <w:noProof/>
        </w:rPr>
      </w:pPr>
    </w:p>
    <w:p w14:paraId="7936B2DE" w14:textId="11EF82DE" w:rsidR="001F34EB" w:rsidRPr="000B4845" w:rsidRDefault="001F34EB" w:rsidP="001F34EB">
      <w:pPr>
        <w:rPr>
          <w:rFonts w:eastAsia="Calibri"/>
          <w:lang w:eastAsia="en-US"/>
        </w:rPr>
      </w:pPr>
      <w:r>
        <w:rPr>
          <w:noProof/>
          <w:lang w:val="es-CR" w:eastAsia="es-CR"/>
        </w:rPr>
        <w:drawing>
          <wp:inline distT="0" distB="0" distL="0" distR="0" wp14:anchorId="06C5F3C1" wp14:editId="4457A0A2">
            <wp:extent cx="7886700" cy="2454230"/>
            <wp:effectExtent l="57150" t="57150" r="95250" b="99060"/>
            <wp:docPr id="117" name="Imagen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7"/>
                    <a:srcRect l="161"/>
                    <a:stretch/>
                  </pic:blipFill>
                  <pic:spPr bwMode="auto">
                    <a:xfrm>
                      <a:off x="0" y="0"/>
                      <a:ext cx="7895276" cy="2456899"/>
                    </a:xfrm>
                    <a:prstGeom prst="rect">
                      <a:avLst/>
                    </a:prstGeom>
                    <a:ln w="9525" cap="sq">
                      <a:solidFill>
                        <a:srgbClr val="00B0F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4278EEB3" w14:textId="77777777" w:rsidR="001F34EB" w:rsidRDefault="001F34EB" w:rsidP="001F34EB">
      <w:pPr>
        <w:rPr>
          <w:rFonts w:eastAsia="Calibri"/>
          <w:lang w:eastAsia="en-US"/>
        </w:rPr>
      </w:pPr>
    </w:p>
    <w:p w14:paraId="346A3334" w14:textId="77777777" w:rsidR="001F34EB" w:rsidRDefault="001F34EB" w:rsidP="001F34EB">
      <w:pPr>
        <w:ind w:left="-142" w:firstLine="850"/>
        <w:rPr>
          <w:rFonts w:ascii="Arial Narrow" w:eastAsia="Calibri" w:hAnsi="Arial Narrow"/>
          <w:sz w:val="18"/>
          <w:szCs w:val="18"/>
          <w:lang w:eastAsia="en-US"/>
        </w:rPr>
      </w:pPr>
      <w:r w:rsidRPr="001F34EB">
        <w:rPr>
          <w:rFonts w:ascii="Arial Narrow" w:eastAsia="Calibri" w:hAnsi="Arial Narrow"/>
          <w:sz w:val="18"/>
          <w:szCs w:val="18"/>
          <w:lang w:eastAsia="en-US"/>
        </w:rPr>
        <w:t xml:space="preserve"> </w:t>
      </w:r>
      <w:r w:rsidRPr="000B4845">
        <w:rPr>
          <w:rFonts w:ascii="Arial Narrow" w:eastAsia="Calibri" w:hAnsi="Arial Narrow"/>
          <w:sz w:val="18"/>
          <w:szCs w:val="18"/>
          <w:lang w:eastAsia="en-US"/>
        </w:rPr>
        <w:t>Fuente: Sistema PEI al 24 de enero del 2020 (año 2019)</w:t>
      </w:r>
      <w:r>
        <w:rPr>
          <w:rFonts w:ascii="Arial Narrow" w:eastAsia="Calibri" w:hAnsi="Arial Narrow"/>
          <w:sz w:val="18"/>
          <w:szCs w:val="18"/>
          <w:lang w:eastAsia="en-US"/>
        </w:rPr>
        <w:t xml:space="preserve"> y 04 de marzo del 2021 (año 2020).</w:t>
      </w:r>
    </w:p>
    <w:p w14:paraId="2E37BC82" w14:textId="77777777" w:rsidR="009D5823" w:rsidRDefault="009D5823">
      <w:pPr>
        <w:spacing w:line="360" w:lineRule="auto"/>
        <w:jc w:val="both"/>
        <w:rPr>
          <w:rFonts w:ascii="Arial Narrow" w:hAnsi="Arial Narrow"/>
          <w:b/>
          <w:bCs/>
          <w:i/>
          <w:iCs/>
          <w:lang w:eastAsia="es-CR"/>
        </w:rPr>
        <w:sectPr w:rsidR="009D5823" w:rsidSect="009D5823">
          <w:pgSz w:w="15842" w:h="12242" w:orient="landscape" w:code="1"/>
          <w:pgMar w:top="1417" w:right="1701" w:bottom="1417" w:left="1701" w:header="709" w:footer="709" w:gutter="0"/>
          <w:cols w:space="708"/>
          <w:docGrid w:linePitch="360"/>
        </w:sectPr>
      </w:pPr>
    </w:p>
    <w:p w14:paraId="5D195784" w14:textId="1700A4FB" w:rsidR="00773F31" w:rsidRDefault="00615614" w:rsidP="007A13C8">
      <w:pPr>
        <w:spacing w:line="360" w:lineRule="auto"/>
        <w:jc w:val="both"/>
        <w:rPr>
          <w:rFonts w:ascii="Arial Narrow" w:hAnsi="Arial Narrow"/>
        </w:rPr>
      </w:pPr>
      <w:r>
        <w:rPr>
          <w:rFonts w:ascii="Arial Narrow" w:hAnsi="Arial Narrow" w:cs="Calibri"/>
          <w:color w:val="000000"/>
          <w:lang w:val="es-CR" w:eastAsia="es-CR"/>
        </w:rPr>
        <w:lastRenderedPageBreak/>
        <w:t>La</w:t>
      </w:r>
      <w:r w:rsidRPr="002E0B96">
        <w:rPr>
          <w:rFonts w:ascii="Arial Narrow" w:hAnsi="Arial Narrow" w:cs="Calibri"/>
          <w:color w:val="000000"/>
          <w:lang w:val="es-CR" w:eastAsia="es-CR"/>
        </w:rPr>
        <w:t xml:space="preserve"> meta estratégica</w:t>
      </w:r>
      <w:r w:rsidRPr="00DD2BFA">
        <w:rPr>
          <w:rFonts w:ascii="Arial Narrow" w:hAnsi="Arial Narrow" w:cs="Calibri"/>
          <w:b/>
          <w:bCs/>
          <w:i/>
          <w:iCs/>
          <w:color w:val="000000"/>
          <w:lang w:val="es-CR" w:eastAsia="es-CR"/>
        </w:rPr>
        <w:t xml:space="preserve"> </w:t>
      </w:r>
      <w:r w:rsidRPr="00DD2BFA">
        <w:rPr>
          <w:rFonts w:ascii="Arial Narrow" w:hAnsi="Arial Narrow"/>
          <w:b/>
          <w:bCs/>
          <w:i/>
          <w:iCs/>
          <w:lang w:val="es-CR" w:eastAsia="es-CR"/>
        </w:rPr>
        <w:t>“</w:t>
      </w:r>
      <w:r w:rsidR="008173A1" w:rsidRPr="00DD2BFA">
        <w:rPr>
          <w:rFonts w:ascii="Arial Narrow" w:hAnsi="Arial Narrow"/>
          <w:b/>
          <w:bCs/>
          <w:i/>
          <w:iCs/>
          <w:lang w:val="es-CR" w:eastAsia="es-CR"/>
        </w:rPr>
        <w:t>Que al finalizar el 2024, se haya implementado una solución tecnológica interinstitucional para la entrega a las personas usuarias, de constancias, certificaciones judiciales y otros servicios, desde otras instituciones</w:t>
      </w:r>
      <w:r w:rsidRPr="00DD2BFA">
        <w:rPr>
          <w:rFonts w:ascii="Arial Narrow" w:hAnsi="Arial Narrow"/>
          <w:b/>
          <w:bCs/>
          <w:i/>
          <w:iCs/>
          <w:lang w:val="es-CR" w:eastAsia="es-CR"/>
        </w:rPr>
        <w:t>”</w:t>
      </w:r>
      <w:r w:rsidR="00DD2BFA" w:rsidRPr="00DD2BFA">
        <w:rPr>
          <w:rFonts w:ascii="Arial Narrow" w:hAnsi="Arial Narrow"/>
          <w:b/>
          <w:bCs/>
          <w:i/>
          <w:iCs/>
          <w:lang w:val="es-CR" w:eastAsia="es-CR"/>
        </w:rPr>
        <w:t>,</w:t>
      </w:r>
      <w:r w:rsidR="006530A6" w:rsidRPr="006530A6">
        <w:rPr>
          <w:lang w:val="es-CR" w:eastAsia="es-CR"/>
        </w:rPr>
        <w:t xml:space="preserve"> </w:t>
      </w:r>
      <w:r>
        <w:rPr>
          <w:rFonts w:ascii="Arial Narrow" w:hAnsi="Arial Narrow"/>
          <w:lang w:val="es-CR" w:eastAsia="es-CR"/>
        </w:rPr>
        <w:t>c</w:t>
      </w:r>
      <w:r w:rsidR="006530A6" w:rsidRPr="00704B08">
        <w:rPr>
          <w:rFonts w:ascii="Arial Narrow" w:hAnsi="Arial Narrow"/>
          <w:lang w:val="es-CR" w:eastAsia="es-CR"/>
        </w:rPr>
        <w:t>on respecto al año 2019 se logró avanzar con el proyecto Fortalecimiento del SDJ y acceso en línea al Banco de Costa Rica.</w:t>
      </w:r>
      <w:r w:rsidR="00773F31" w:rsidRPr="00704B08">
        <w:rPr>
          <w:rFonts w:ascii="Arial Narrow" w:hAnsi="Arial Narrow"/>
          <w:lang w:val="es-CR" w:eastAsia="es-CR"/>
        </w:rPr>
        <w:t xml:space="preserve"> De igual manera para el 2020 se logró </w:t>
      </w:r>
      <w:r w:rsidR="006530A6" w:rsidRPr="00704B08">
        <w:rPr>
          <w:rFonts w:ascii="Arial Narrow" w:hAnsi="Arial Narrow"/>
        </w:rPr>
        <w:t>e</w:t>
      </w:r>
      <w:r w:rsidR="00773F31" w:rsidRPr="00704B08">
        <w:rPr>
          <w:rFonts w:ascii="Arial Narrow" w:hAnsi="Arial Narrow"/>
        </w:rPr>
        <w:t xml:space="preserve">l </w:t>
      </w:r>
      <w:r w:rsidR="006530A6" w:rsidRPr="00704B08">
        <w:rPr>
          <w:rFonts w:ascii="Arial Narrow" w:hAnsi="Arial Narrow"/>
        </w:rPr>
        <w:t>Convenio de cooperación interinstitucional entre el ICE y el Poder Judicial, para fortalecer la visualización de los servicios institucionales</w:t>
      </w:r>
      <w:r w:rsidR="00773F31" w:rsidRPr="00704B08">
        <w:rPr>
          <w:rFonts w:ascii="Arial Narrow" w:hAnsi="Arial Narrow"/>
        </w:rPr>
        <w:t>, así como también se deseñó e implementó la mesa de ayuda externa para la ciudadanía judicial.</w:t>
      </w:r>
      <w:r w:rsidR="00773F31">
        <w:rPr>
          <w:rFonts w:ascii="Arial Narrow" w:hAnsi="Arial Narrow"/>
        </w:rPr>
        <w:t xml:space="preserve"> En </w:t>
      </w:r>
      <w:r w:rsidR="00ED07A4">
        <w:rPr>
          <w:rFonts w:ascii="Arial Narrow" w:hAnsi="Arial Narrow"/>
        </w:rPr>
        <w:t>síntesis, se obtiene para esta meta estratégica un cumplimiento anual del 100% para ambos años y un cumplimiento acumulado del 20%.</w:t>
      </w:r>
    </w:p>
    <w:p w14:paraId="20F56CB6" w14:textId="77777777" w:rsidR="00660B3C" w:rsidRPr="00704B08" w:rsidRDefault="00660B3C">
      <w:pPr>
        <w:spacing w:line="360" w:lineRule="auto"/>
        <w:jc w:val="both"/>
        <w:rPr>
          <w:rFonts w:ascii="Arial Narrow" w:hAnsi="Arial Narrow"/>
          <w:b/>
          <w:bCs/>
          <w:i/>
          <w:iCs/>
          <w:lang w:val="es-CR" w:eastAsia="es-CR"/>
        </w:rPr>
      </w:pPr>
    </w:p>
    <w:p w14:paraId="65F0A17D" w14:textId="377E3200" w:rsidR="00043C4B" w:rsidRDefault="00615614" w:rsidP="00112B9E">
      <w:pPr>
        <w:spacing w:line="360" w:lineRule="auto"/>
        <w:jc w:val="both"/>
        <w:rPr>
          <w:rFonts w:ascii="Arial Narrow" w:hAnsi="Arial Narrow"/>
        </w:rPr>
      </w:pPr>
      <w:r>
        <w:rPr>
          <w:rFonts w:ascii="Arial Narrow" w:hAnsi="Arial Narrow" w:cs="Calibri"/>
          <w:color w:val="000000"/>
          <w:lang w:val="es-CR" w:eastAsia="es-CR"/>
        </w:rPr>
        <w:t>Por otra parte, la</w:t>
      </w:r>
      <w:r w:rsidRPr="002E0B96">
        <w:rPr>
          <w:rFonts w:ascii="Arial Narrow" w:hAnsi="Arial Narrow" w:cs="Calibri"/>
          <w:color w:val="000000"/>
          <w:lang w:val="es-CR" w:eastAsia="es-CR"/>
        </w:rPr>
        <w:t xml:space="preserve"> meta estratégica</w:t>
      </w:r>
      <w:r>
        <w:rPr>
          <w:rFonts w:ascii="Arial Narrow" w:hAnsi="Arial Narrow" w:cs="Calibri"/>
          <w:b/>
          <w:bCs/>
          <w:color w:val="000000"/>
          <w:lang w:val="es-CR" w:eastAsia="es-CR"/>
        </w:rPr>
        <w:t xml:space="preserve"> “</w:t>
      </w:r>
      <w:r w:rsidR="008173A1" w:rsidRPr="00704B08">
        <w:rPr>
          <w:rFonts w:ascii="Arial Narrow" w:hAnsi="Arial Narrow"/>
          <w:b/>
          <w:bCs/>
          <w:i/>
          <w:iCs/>
          <w:lang w:val="es-CR" w:eastAsia="es-CR"/>
        </w:rPr>
        <w:t>Que al finalizar el 2024, se haya implementado las herramientas ofimáticas de colaboración que soporten las labores diarias del personal judicial tanto en modalidad oficina como teletrabajo</w:t>
      </w:r>
      <w:r>
        <w:rPr>
          <w:rFonts w:ascii="Arial Narrow" w:hAnsi="Arial Narrow"/>
          <w:b/>
          <w:bCs/>
          <w:i/>
          <w:iCs/>
          <w:lang w:val="es-CR" w:eastAsia="es-CR"/>
        </w:rPr>
        <w:t>”</w:t>
      </w:r>
      <w:r w:rsidR="00DD2BFA">
        <w:rPr>
          <w:rFonts w:ascii="Arial Narrow" w:hAnsi="Arial Narrow"/>
          <w:b/>
          <w:bCs/>
          <w:i/>
          <w:iCs/>
          <w:lang w:val="es-CR" w:eastAsia="es-CR"/>
        </w:rPr>
        <w:t>,</w:t>
      </w:r>
      <w:r w:rsidR="00112B9E">
        <w:rPr>
          <w:rFonts w:ascii="Arial Narrow" w:hAnsi="Arial Narrow"/>
          <w:b/>
          <w:bCs/>
          <w:i/>
          <w:iCs/>
          <w:lang w:val="es-CR" w:eastAsia="es-CR"/>
        </w:rPr>
        <w:t xml:space="preserve"> </w:t>
      </w:r>
      <w:r>
        <w:rPr>
          <w:rFonts w:ascii="Arial Narrow" w:hAnsi="Arial Narrow"/>
          <w:lang w:val="es-CR" w:eastAsia="es-CR"/>
        </w:rPr>
        <w:t>c</w:t>
      </w:r>
      <w:r w:rsidR="00043C4B" w:rsidRPr="00704B08">
        <w:rPr>
          <w:rFonts w:ascii="Arial Narrow" w:hAnsi="Arial Narrow"/>
          <w:lang w:val="es-CR" w:eastAsia="es-CR"/>
        </w:rPr>
        <w:t xml:space="preserve">on respecto a este tema se tiene que la Dirección de Tecnología en el 2019 y 2020 ha avanzado en la transición del PJEditor a Libreoffice y en </w:t>
      </w:r>
      <w:r w:rsidR="00112B9E" w:rsidRPr="00704B08">
        <w:rPr>
          <w:rFonts w:ascii="Arial Narrow" w:hAnsi="Arial Narrow"/>
          <w:lang w:val="es-CR" w:eastAsia="es-CR"/>
        </w:rPr>
        <w:t xml:space="preserve">un </w:t>
      </w:r>
      <w:r w:rsidR="00043C4B" w:rsidRPr="00704B08">
        <w:rPr>
          <w:rFonts w:ascii="Arial Narrow" w:hAnsi="Arial Narrow"/>
          <w:lang w:val="es-CR" w:eastAsia="es-CR"/>
        </w:rPr>
        <w:t>diagnóstico sobre las necesidades de herramientas ofimáticas en las oficinas judiciales</w:t>
      </w:r>
      <w:r w:rsidR="00112B9E" w:rsidRPr="00704B08">
        <w:rPr>
          <w:rFonts w:ascii="Arial Narrow" w:hAnsi="Arial Narrow"/>
          <w:lang w:val="es-CR" w:eastAsia="es-CR"/>
        </w:rPr>
        <w:t>. Además,</w:t>
      </w:r>
      <w:r w:rsidR="00112B9E" w:rsidRPr="00704B08">
        <w:rPr>
          <w:rFonts w:ascii="Arial Narrow" w:hAnsi="Arial Narrow"/>
        </w:rPr>
        <w:t xml:space="preserve"> generó la compra correspondiente de licencias y la distribución correspondiente. </w:t>
      </w:r>
      <w:r w:rsidR="00112B9E">
        <w:rPr>
          <w:rFonts w:ascii="Arial Narrow" w:hAnsi="Arial Narrow"/>
        </w:rPr>
        <w:t>En relación</w:t>
      </w:r>
      <w:r w:rsidR="00DD2BFA">
        <w:rPr>
          <w:rFonts w:ascii="Arial Narrow" w:hAnsi="Arial Narrow"/>
        </w:rPr>
        <w:t xml:space="preserve"> con</w:t>
      </w:r>
      <w:r w:rsidR="00112B9E">
        <w:rPr>
          <w:rFonts w:ascii="Arial Narrow" w:hAnsi="Arial Narrow"/>
        </w:rPr>
        <w:t xml:space="preserve"> lo anterior, se obtiene un porcentaje de avance anual de un 100% y un porcentaje acumulado de un 20%.</w:t>
      </w:r>
    </w:p>
    <w:p w14:paraId="502536CB" w14:textId="3EB3EB3A" w:rsidR="00D01745" w:rsidRDefault="00D01745" w:rsidP="00112B9E">
      <w:pPr>
        <w:spacing w:line="360" w:lineRule="auto"/>
        <w:jc w:val="both"/>
        <w:rPr>
          <w:rFonts w:ascii="Arial Narrow" w:hAnsi="Arial Narrow"/>
        </w:rPr>
      </w:pPr>
    </w:p>
    <w:p w14:paraId="5EA4C190" w14:textId="77777777" w:rsidR="009D5823" w:rsidRDefault="009D5823" w:rsidP="00112B9E">
      <w:pPr>
        <w:spacing w:line="360" w:lineRule="auto"/>
        <w:jc w:val="both"/>
        <w:rPr>
          <w:rFonts w:ascii="Arial Narrow" w:hAnsi="Arial Narrow"/>
        </w:rPr>
        <w:sectPr w:rsidR="009D5823" w:rsidSect="009D5823">
          <w:pgSz w:w="12242" w:h="15842" w:code="1"/>
          <w:pgMar w:top="1701" w:right="1417" w:bottom="1701" w:left="1417" w:header="709" w:footer="709" w:gutter="0"/>
          <w:cols w:space="708"/>
          <w:docGrid w:linePitch="360"/>
        </w:sectPr>
      </w:pPr>
    </w:p>
    <w:p w14:paraId="1753F5FA" w14:textId="21C6B1EE" w:rsidR="00D01745" w:rsidRDefault="00D01745" w:rsidP="00112B9E">
      <w:pPr>
        <w:spacing w:line="360" w:lineRule="auto"/>
        <w:jc w:val="both"/>
        <w:rPr>
          <w:rFonts w:ascii="Arial Narrow" w:hAnsi="Arial Narrow"/>
        </w:rPr>
      </w:pPr>
    </w:p>
    <w:p w14:paraId="2C2A76CF" w14:textId="519305FE" w:rsidR="00615614" w:rsidRDefault="00615614" w:rsidP="00615614">
      <w:pPr>
        <w:pStyle w:val="Descripcin"/>
        <w:jc w:val="center"/>
        <w:rPr>
          <w:rFonts w:ascii="Arial Narrow" w:eastAsia="Calibri" w:hAnsi="Arial Narrow"/>
          <w:sz w:val="24"/>
          <w:szCs w:val="24"/>
        </w:rPr>
      </w:pPr>
      <w:bookmarkStart w:id="97" w:name="_Toc76062279"/>
      <w:r w:rsidRPr="00484CC1">
        <w:rPr>
          <w:rFonts w:ascii="Arial Narrow" w:hAnsi="Arial Narrow"/>
          <w:sz w:val="24"/>
          <w:szCs w:val="24"/>
        </w:rPr>
        <w:t>Cuadro</w:t>
      </w:r>
      <w:r>
        <w:rPr>
          <w:rFonts w:ascii="Arial Narrow" w:hAnsi="Arial Narrow"/>
          <w:sz w:val="24"/>
          <w:szCs w:val="24"/>
        </w:rPr>
        <w:t xml:space="preserve"> </w:t>
      </w:r>
      <w:r w:rsidRPr="00484CC1">
        <w:rPr>
          <w:rFonts w:ascii="Arial Narrow" w:hAnsi="Arial Narrow"/>
          <w:sz w:val="24"/>
          <w:szCs w:val="24"/>
        </w:rPr>
        <w:fldChar w:fldCharType="begin"/>
      </w:r>
      <w:r w:rsidRPr="00484CC1">
        <w:rPr>
          <w:rFonts w:ascii="Arial Narrow" w:hAnsi="Arial Narrow"/>
          <w:sz w:val="24"/>
          <w:szCs w:val="24"/>
        </w:rPr>
        <w:instrText xml:space="preserve"> SEQ Cuadro_No. \* ARABIC </w:instrText>
      </w:r>
      <w:r w:rsidRPr="00484CC1">
        <w:rPr>
          <w:rFonts w:ascii="Arial Narrow" w:hAnsi="Arial Narrow"/>
          <w:sz w:val="24"/>
          <w:szCs w:val="24"/>
        </w:rPr>
        <w:fldChar w:fldCharType="separate"/>
      </w:r>
      <w:r w:rsidR="009D5823">
        <w:rPr>
          <w:rFonts w:ascii="Arial Narrow" w:hAnsi="Arial Narrow"/>
          <w:noProof/>
          <w:sz w:val="24"/>
          <w:szCs w:val="24"/>
        </w:rPr>
        <w:t>56</w:t>
      </w:r>
      <w:r w:rsidRPr="00484CC1">
        <w:rPr>
          <w:rFonts w:ascii="Arial Narrow" w:hAnsi="Arial Narrow"/>
          <w:sz w:val="24"/>
          <w:szCs w:val="24"/>
        </w:rPr>
        <w:fldChar w:fldCharType="end"/>
      </w:r>
      <w:r w:rsidRPr="00484CC1">
        <w:rPr>
          <w:rFonts w:ascii="Arial Narrow" w:hAnsi="Arial Narrow"/>
          <w:sz w:val="24"/>
          <w:szCs w:val="24"/>
        </w:rPr>
        <w:t xml:space="preserve"> </w:t>
      </w:r>
      <w:r w:rsidRPr="00D657CE">
        <w:rPr>
          <w:rFonts w:ascii="Arial Narrow" w:eastAsia="Calibri" w:hAnsi="Arial Narrow"/>
          <w:sz w:val="24"/>
          <w:szCs w:val="24"/>
        </w:rPr>
        <w:t>Metas estratégicas de Servicios tecnológicos, y su cumplimiento para el 2019</w:t>
      </w:r>
      <w:r>
        <w:rPr>
          <w:rFonts w:ascii="Arial Narrow" w:eastAsia="Calibri" w:hAnsi="Arial Narrow"/>
          <w:sz w:val="24"/>
          <w:szCs w:val="24"/>
        </w:rPr>
        <w:t xml:space="preserve"> y 2020</w:t>
      </w:r>
      <w:bookmarkEnd w:id="97"/>
      <w:r>
        <w:rPr>
          <w:rFonts w:ascii="Arial Narrow" w:eastAsia="Calibri" w:hAnsi="Arial Narrow"/>
          <w:sz w:val="24"/>
          <w:szCs w:val="24"/>
        </w:rPr>
        <w:t xml:space="preserve"> </w:t>
      </w:r>
    </w:p>
    <w:p w14:paraId="31F1DAA9" w14:textId="77777777" w:rsidR="001F34EB" w:rsidRDefault="001F34EB" w:rsidP="001F34EB">
      <w:pPr>
        <w:rPr>
          <w:noProof/>
        </w:rPr>
      </w:pPr>
    </w:p>
    <w:p w14:paraId="3B73A624" w14:textId="572E9AB4" w:rsidR="001F34EB" w:rsidRPr="000B4845" w:rsidRDefault="001F34EB" w:rsidP="001F34EB">
      <w:pPr>
        <w:rPr>
          <w:rFonts w:eastAsia="Calibri"/>
          <w:lang w:eastAsia="en-US"/>
        </w:rPr>
      </w:pPr>
      <w:r>
        <w:rPr>
          <w:noProof/>
          <w:lang w:val="es-CR" w:eastAsia="es-CR"/>
        </w:rPr>
        <w:drawing>
          <wp:inline distT="0" distB="0" distL="0" distR="0" wp14:anchorId="3C4E3F92" wp14:editId="04E91614">
            <wp:extent cx="7867650" cy="2750444"/>
            <wp:effectExtent l="57150" t="57150" r="95250" b="88265"/>
            <wp:docPr id="118" name="Imagen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8"/>
                    <a:srcRect l="402"/>
                    <a:stretch/>
                  </pic:blipFill>
                  <pic:spPr bwMode="auto">
                    <a:xfrm>
                      <a:off x="0" y="0"/>
                      <a:ext cx="7868783" cy="2750840"/>
                    </a:xfrm>
                    <a:prstGeom prst="rect">
                      <a:avLst/>
                    </a:prstGeom>
                    <a:ln w="9525" cap="sq">
                      <a:solidFill>
                        <a:srgbClr val="00B0F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5EB97E61" w14:textId="77777777" w:rsidR="001F34EB" w:rsidRDefault="001F34EB" w:rsidP="001F34EB">
      <w:pPr>
        <w:rPr>
          <w:rFonts w:eastAsia="Calibri"/>
          <w:lang w:eastAsia="en-US"/>
        </w:rPr>
      </w:pPr>
    </w:p>
    <w:p w14:paraId="0D323E23" w14:textId="77777777" w:rsidR="001F34EB" w:rsidRDefault="001F34EB" w:rsidP="001F34EB">
      <w:pPr>
        <w:ind w:left="-142" w:firstLine="850"/>
        <w:rPr>
          <w:rFonts w:ascii="Arial Narrow" w:eastAsia="Calibri" w:hAnsi="Arial Narrow"/>
          <w:sz w:val="18"/>
          <w:szCs w:val="18"/>
          <w:lang w:eastAsia="en-US"/>
        </w:rPr>
      </w:pPr>
      <w:r w:rsidRPr="001F34EB">
        <w:rPr>
          <w:rFonts w:ascii="Arial Narrow" w:eastAsia="Calibri" w:hAnsi="Arial Narrow"/>
          <w:sz w:val="18"/>
          <w:szCs w:val="18"/>
          <w:lang w:eastAsia="en-US"/>
        </w:rPr>
        <w:t xml:space="preserve"> </w:t>
      </w:r>
      <w:r w:rsidRPr="000B4845">
        <w:rPr>
          <w:rFonts w:ascii="Arial Narrow" w:eastAsia="Calibri" w:hAnsi="Arial Narrow"/>
          <w:sz w:val="18"/>
          <w:szCs w:val="18"/>
          <w:lang w:eastAsia="en-US"/>
        </w:rPr>
        <w:t>Fuente: Sistema PEI al 24 de enero del 2020 (año 2019)</w:t>
      </w:r>
      <w:r>
        <w:rPr>
          <w:rFonts w:ascii="Arial Narrow" w:eastAsia="Calibri" w:hAnsi="Arial Narrow"/>
          <w:sz w:val="18"/>
          <w:szCs w:val="18"/>
          <w:lang w:eastAsia="en-US"/>
        </w:rPr>
        <w:t xml:space="preserve"> y 04 de marzo del 2021 (año 2020).</w:t>
      </w:r>
    </w:p>
    <w:p w14:paraId="7DA84E02" w14:textId="77777777" w:rsidR="009D5823" w:rsidRDefault="009D5823">
      <w:pPr>
        <w:spacing w:line="360" w:lineRule="auto"/>
        <w:jc w:val="both"/>
        <w:rPr>
          <w:rFonts w:ascii="Arial Narrow" w:hAnsi="Arial Narrow"/>
          <w:b/>
          <w:bCs/>
          <w:i/>
          <w:iCs/>
          <w:lang w:val="es-CR" w:eastAsia="es-CR"/>
        </w:rPr>
        <w:sectPr w:rsidR="009D5823" w:rsidSect="009D5823">
          <w:pgSz w:w="15842" w:h="12242" w:orient="landscape" w:code="1"/>
          <w:pgMar w:top="1417" w:right="1701" w:bottom="1417" w:left="1701" w:header="709" w:footer="709" w:gutter="0"/>
          <w:cols w:space="708"/>
          <w:docGrid w:linePitch="360"/>
        </w:sectPr>
      </w:pPr>
    </w:p>
    <w:p w14:paraId="1AE2125A" w14:textId="4D4C2806" w:rsidR="00ED07A4" w:rsidRPr="00704B08" w:rsidRDefault="00ED07A4" w:rsidP="00704B08">
      <w:pPr>
        <w:spacing w:line="360" w:lineRule="auto"/>
        <w:jc w:val="both"/>
        <w:rPr>
          <w:rFonts w:ascii="Arial Narrow" w:hAnsi="Arial Narrow"/>
          <w:b/>
          <w:bCs/>
          <w:i/>
          <w:iCs/>
          <w:lang w:val="es-CR" w:eastAsia="es-CR"/>
        </w:rPr>
      </w:pPr>
    </w:p>
    <w:p w14:paraId="1B97C1E4" w14:textId="7F510DA7" w:rsidR="008173A1" w:rsidRDefault="00615614">
      <w:pPr>
        <w:spacing w:line="360" w:lineRule="auto"/>
        <w:jc w:val="both"/>
        <w:rPr>
          <w:rFonts w:ascii="Arial Narrow" w:hAnsi="Arial Narrow" w:cs="Calibri"/>
          <w:color w:val="000000"/>
          <w:lang w:val="es-CR" w:eastAsia="es-CR"/>
        </w:rPr>
      </w:pPr>
      <w:r>
        <w:rPr>
          <w:rFonts w:ascii="Arial Narrow" w:hAnsi="Arial Narrow" w:cs="Calibri"/>
          <w:color w:val="000000"/>
          <w:lang w:val="es-CR" w:eastAsia="es-CR"/>
        </w:rPr>
        <w:t>La</w:t>
      </w:r>
      <w:r w:rsidRPr="002E0B96">
        <w:rPr>
          <w:rFonts w:ascii="Arial Narrow" w:hAnsi="Arial Narrow" w:cs="Calibri"/>
          <w:color w:val="000000"/>
          <w:lang w:val="es-CR" w:eastAsia="es-CR"/>
        </w:rPr>
        <w:t xml:space="preserve"> meta estratégica</w:t>
      </w:r>
      <w:r>
        <w:rPr>
          <w:rFonts w:ascii="Arial Narrow" w:hAnsi="Arial Narrow" w:cs="Calibri"/>
          <w:b/>
          <w:bCs/>
          <w:color w:val="000000"/>
          <w:lang w:val="es-CR" w:eastAsia="es-CR"/>
        </w:rPr>
        <w:t xml:space="preserve"> “</w:t>
      </w:r>
      <w:r w:rsidR="008173A1" w:rsidRPr="00704B08">
        <w:rPr>
          <w:rFonts w:ascii="Arial Narrow" w:hAnsi="Arial Narrow"/>
          <w:b/>
          <w:bCs/>
          <w:i/>
          <w:iCs/>
          <w:lang w:val="es-CR" w:eastAsia="es-CR"/>
        </w:rPr>
        <w:t>Que al finalizar el 2024, se haya desarrollado e implantado la nueva versión del sistema de gestión de despachos judiciales, con el fin de brindar un mejor servicio a las personas usuarias en los procesos de administración de justicia</w:t>
      </w:r>
      <w:r w:rsidRPr="00704B08">
        <w:rPr>
          <w:rFonts w:ascii="Arial Narrow" w:hAnsi="Arial Narrow"/>
          <w:b/>
          <w:bCs/>
          <w:i/>
          <w:iCs/>
          <w:lang w:val="es-CR" w:eastAsia="es-CR"/>
        </w:rPr>
        <w:t>”</w:t>
      </w:r>
      <w:r w:rsidR="00DD2BFA">
        <w:rPr>
          <w:rFonts w:ascii="Arial Narrow" w:hAnsi="Arial Narrow"/>
          <w:b/>
          <w:bCs/>
          <w:i/>
          <w:iCs/>
          <w:lang w:val="es-CR" w:eastAsia="es-CR"/>
        </w:rPr>
        <w:t>,</w:t>
      </w:r>
      <w:r w:rsidR="000F74A5" w:rsidRPr="000F74A5">
        <w:rPr>
          <w:rFonts w:ascii="Arial Narrow" w:hAnsi="Arial Narrow" w:cs="Calibri"/>
          <w:color w:val="000000"/>
          <w:lang w:val="es-CR" w:eastAsia="es-CR"/>
        </w:rPr>
        <w:t xml:space="preserve"> </w:t>
      </w:r>
      <w:r w:rsidR="000F74A5">
        <w:rPr>
          <w:rFonts w:ascii="Arial Narrow" w:hAnsi="Arial Narrow" w:cs="Calibri"/>
          <w:color w:val="000000"/>
          <w:lang w:val="es-CR" w:eastAsia="es-CR"/>
        </w:rPr>
        <w:t>s</w:t>
      </w:r>
      <w:r w:rsidR="000F74A5" w:rsidRPr="00A618D8">
        <w:rPr>
          <w:rFonts w:ascii="Arial Narrow" w:hAnsi="Arial Narrow" w:cs="Calibri"/>
          <w:color w:val="000000"/>
          <w:lang w:val="es-CR" w:eastAsia="es-CR"/>
        </w:rPr>
        <w:t>e tiene que esta meta se incluyó en la Matriz del PEI 2019-2024 la cual de acuerdo con la revisión efectuada se logró determinar que no se asoció a ningún PAO de oficina para el 2019, no obstante, para el 2020 se retomó y se enlazó con diversas oficinas de manera operativa por medio del PAO . Según los documentos y la información remitida</w:t>
      </w:r>
      <w:r w:rsidR="000F74A5">
        <w:rPr>
          <w:rFonts w:ascii="Arial Narrow" w:hAnsi="Arial Narrow" w:cs="Calibri"/>
          <w:color w:val="000000"/>
          <w:lang w:val="es-CR" w:eastAsia="es-CR"/>
        </w:rPr>
        <w:t xml:space="preserve"> por la Dirección de Tecnología de la Información se elaboró e</w:t>
      </w:r>
      <w:r w:rsidR="000F74A5" w:rsidRPr="00704B08">
        <w:rPr>
          <w:rFonts w:ascii="Arial Narrow" w:hAnsi="Arial Narrow" w:cs="Calibri"/>
          <w:color w:val="000000"/>
          <w:lang w:val="es-CR" w:eastAsia="es-CR"/>
        </w:rPr>
        <w:t>l cronograma de implementación del Sistema Integrado de Apoyo de las Gestión de los procesos Judiciales (nueva gestión)</w:t>
      </w:r>
      <w:r w:rsidR="000F74A5">
        <w:rPr>
          <w:rFonts w:ascii="Arial Narrow" w:hAnsi="Arial Narrow" w:cs="Calibri"/>
          <w:color w:val="000000"/>
          <w:lang w:val="es-CR" w:eastAsia="es-CR"/>
        </w:rPr>
        <w:t xml:space="preserve"> dando por cumplido conforme lo establecido en esta meta estratégica.</w:t>
      </w:r>
    </w:p>
    <w:p w14:paraId="525CFC6C" w14:textId="77777777" w:rsidR="00054FE9" w:rsidRPr="00704B08" w:rsidRDefault="00054FE9">
      <w:pPr>
        <w:spacing w:line="360" w:lineRule="auto"/>
        <w:jc w:val="both"/>
        <w:rPr>
          <w:rFonts w:ascii="Arial Narrow" w:hAnsi="Arial Narrow"/>
          <w:b/>
          <w:bCs/>
          <w:i/>
          <w:iCs/>
          <w:lang w:eastAsia="es-CR"/>
        </w:rPr>
      </w:pPr>
    </w:p>
    <w:p w14:paraId="5977C03B" w14:textId="6385AFD5" w:rsidR="00054FE9" w:rsidRPr="00704B08" w:rsidRDefault="00615614" w:rsidP="00704B08">
      <w:pPr>
        <w:spacing w:line="360" w:lineRule="auto"/>
        <w:jc w:val="both"/>
        <w:rPr>
          <w:rFonts w:ascii="Arial Narrow" w:hAnsi="Arial Narrow" w:cs="Calibri"/>
          <w:lang w:val="es-CR" w:eastAsia="es-CR"/>
        </w:rPr>
      </w:pPr>
      <w:r>
        <w:rPr>
          <w:rFonts w:ascii="Arial Narrow" w:hAnsi="Arial Narrow" w:cs="Calibri"/>
          <w:color w:val="000000"/>
          <w:lang w:val="es-CR" w:eastAsia="es-CR"/>
        </w:rPr>
        <w:t>La</w:t>
      </w:r>
      <w:r w:rsidRPr="002E0B96">
        <w:rPr>
          <w:rFonts w:ascii="Arial Narrow" w:hAnsi="Arial Narrow" w:cs="Calibri"/>
          <w:color w:val="000000"/>
          <w:lang w:val="es-CR" w:eastAsia="es-CR"/>
        </w:rPr>
        <w:t xml:space="preserve"> meta estratégica</w:t>
      </w:r>
      <w:r>
        <w:rPr>
          <w:rFonts w:ascii="Arial Narrow" w:hAnsi="Arial Narrow" w:cs="Calibri"/>
          <w:b/>
          <w:bCs/>
          <w:color w:val="000000"/>
          <w:lang w:val="es-CR" w:eastAsia="es-CR"/>
        </w:rPr>
        <w:t xml:space="preserve"> “</w:t>
      </w:r>
      <w:r w:rsidR="008173A1" w:rsidRPr="00704B08">
        <w:rPr>
          <w:rFonts w:ascii="Arial Narrow" w:hAnsi="Arial Narrow"/>
          <w:b/>
          <w:bCs/>
          <w:i/>
          <w:iCs/>
          <w:lang w:val="es-CR" w:eastAsia="es-CR"/>
        </w:rPr>
        <w:t>Que al finalizar el 2024, se haya desarrollado e implementado herramientas de inteligencia artificial y bots para apoyar la gestión y tramitación judicial, administrativa y de los órganos auxiliares de justicia</w:t>
      </w:r>
      <w:r w:rsidRPr="00704B08">
        <w:rPr>
          <w:rFonts w:ascii="Arial Narrow" w:hAnsi="Arial Narrow"/>
          <w:b/>
          <w:bCs/>
          <w:i/>
          <w:iCs/>
          <w:lang w:val="es-CR" w:eastAsia="es-CR"/>
        </w:rPr>
        <w:t>”</w:t>
      </w:r>
      <w:r w:rsidR="00DD2BFA">
        <w:rPr>
          <w:rFonts w:ascii="Arial Narrow" w:hAnsi="Arial Narrow"/>
          <w:b/>
          <w:bCs/>
          <w:i/>
          <w:iCs/>
          <w:lang w:val="es-CR" w:eastAsia="es-CR"/>
        </w:rPr>
        <w:t>,</w:t>
      </w:r>
      <w:r w:rsidR="000F74A5" w:rsidRPr="00704B08">
        <w:rPr>
          <w:rFonts w:ascii="Arial Narrow" w:hAnsi="Arial Narrow"/>
          <w:b/>
          <w:bCs/>
          <w:i/>
          <w:iCs/>
          <w:lang w:val="es-CR" w:eastAsia="es-CR"/>
        </w:rPr>
        <w:t xml:space="preserve"> </w:t>
      </w:r>
      <w:r>
        <w:rPr>
          <w:rFonts w:ascii="Arial Narrow" w:hAnsi="Arial Narrow"/>
          <w:lang w:eastAsia="es-CR"/>
        </w:rPr>
        <w:t>d</w:t>
      </w:r>
      <w:r w:rsidR="000F74A5" w:rsidRPr="00704B08">
        <w:rPr>
          <w:rFonts w:ascii="Arial Narrow" w:hAnsi="Arial Narrow"/>
          <w:lang w:eastAsia="es-CR"/>
        </w:rPr>
        <w:t xml:space="preserve">e acuerdo con la información brindada en sistema PAO  por la </w:t>
      </w:r>
      <w:r w:rsidR="00054FE9" w:rsidRPr="00704B08">
        <w:rPr>
          <w:rFonts w:ascii="Arial Narrow" w:hAnsi="Arial Narrow"/>
          <w:lang w:eastAsia="es-CR"/>
        </w:rPr>
        <w:t>Dirección de Tecnología de la Información</w:t>
      </w:r>
      <w:r w:rsidR="00054FE9" w:rsidRPr="00D01745">
        <w:rPr>
          <w:rFonts w:ascii="Arial Narrow" w:hAnsi="Arial Narrow"/>
          <w:lang w:eastAsia="es-CR"/>
        </w:rPr>
        <w:t>,</w:t>
      </w:r>
      <w:r w:rsidR="000F74A5" w:rsidRPr="00704B08">
        <w:rPr>
          <w:rFonts w:ascii="Arial Narrow" w:hAnsi="Arial Narrow"/>
          <w:lang w:eastAsia="es-CR"/>
        </w:rPr>
        <w:t xml:space="preserve"> se observa que del año 2019 al 2020 </w:t>
      </w:r>
      <w:r w:rsidR="00054FE9" w:rsidRPr="00704B08">
        <w:rPr>
          <w:rFonts w:ascii="Arial Narrow" w:hAnsi="Arial Narrow"/>
          <w:lang w:eastAsia="es-CR"/>
        </w:rPr>
        <w:t xml:space="preserve">diseñó un plan </w:t>
      </w:r>
      <w:r w:rsidR="00054FE9" w:rsidRPr="00704B08">
        <w:rPr>
          <w:rFonts w:ascii="Arial Narrow" w:hAnsi="Arial Narrow" w:cs="Calibri"/>
          <w:lang w:val="es-CR" w:eastAsia="es-CR"/>
        </w:rPr>
        <w:t xml:space="preserve"> para el desarrollo e implementación de las herramientas de inteligencia artificial y bots institucionales y ha sido ejecutado de acuerdo </w:t>
      </w:r>
      <w:r w:rsidR="00054FE9" w:rsidRPr="00D01745">
        <w:rPr>
          <w:rFonts w:ascii="Arial Narrow" w:hAnsi="Arial Narrow" w:cs="Calibri"/>
          <w:lang w:val="es-CR" w:eastAsia="es-CR"/>
        </w:rPr>
        <w:t>al</w:t>
      </w:r>
      <w:r w:rsidR="00054FE9" w:rsidRPr="00704B08">
        <w:rPr>
          <w:rFonts w:ascii="Arial Narrow" w:hAnsi="Arial Narrow" w:cs="Calibri"/>
          <w:lang w:val="es-CR" w:eastAsia="es-CR"/>
        </w:rPr>
        <w:t xml:space="preserve"> </w:t>
      </w:r>
      <w:r w:rsidR="00054FE9" w:rsidRPr="00D01745">
        <w:rPr>
          <w:rFonts w:ascii="Arial Narrow" w:hAnsi="Arial Narrow" w:cs="Calibri"/>
          <w:lang w:val="es-CR" w:eastAsia="es-CR"/>
        </w:rPr>
        <w:t>cronograma</w:t>
      </w:r>
      <w:r w:rsidR="00054FE9" w:rsidRPr="00704B08">
        <w:rPr>
          <w:rFonts w:ascii="Arial Narrow" w:hAnsi="Arial Narrow" w:cs="Calibri"/>
          <w:lang w:val="es-CR" w:eastAsia="es-CR"/>
        </w:rPr>
        <w:t xml:space="preserve"> de trabajo establecido. </w:t>
      </w:r>
      <w:r w:rsidR="00054FE9" w:rsidRPr="00D01745">
        <w:rPr>
          <w:rFonts w:ascii="Arial Narrow" w:hAnsi="Arial Narrow" w:cs="Calibri"/>
          <w:lang w:val="es-CR" w:eastAsia="es-CR"/>
        </w:rPr>
        <w:t xml:space="preserve">Se logra un cumplimiento anual del 100% y un 20% del cumplimiento acumulado. </w:t>
      </w:r>
    </w:p>
    <w:p w14:paraId="0494D868" w14:textId="77777777" w:rsidR="000F74A5" w:rsidRPr="00704B08" w:rsidRDefault="000F74A5">
      <w:pPr>
        <w:spacing w:line="360" w:lineRule="auto"/>
        <w:jc w:val="both"/>
        <w:rPr>
          <w:rFonts w:ascii="Arial Narrow" w:hAnsi="Arial Narrow"/>
          <w:b/>
          <w:bCs/>
          <w:i/>
          <w:iCs/>
          <w:lang w:val="es-CR" w:eastAsia="es-CR"/>
        </w:rPr>
      </w:pPr>
    </w:p>
    <w:p w14:paraId="1A79A7F7" w14:textId="1AB77B70" w:rsidR="008173A1" w:rsidRPr="00704B08" w:rsidRDefault="00615614" w:rsidP="00D43D39">
      <w:pPr>
        <w:spacing w:line="360" w:lineRule="auto"/>
        <w:jc w:val="both"/>
        <w:rPr>
          <w:rFonts w:ascii="Arial Narrow" w:hAnsi="Arial Narrow" w:cs="Calibri"/>
          <w:lang w:val="es-CR" w:eastAsia="es-CR"/>
        </w:rPr>
      </w:pPr>
      <w:r>
        <w:rPr>
          <w:rFonts w:ascii="Arial Narrow" w:hAnsi="Arial Narrow" w:cs="Calibri"/>
          <w:color w:val="000000"/>
          <w:lang w:val="es-CR" w:eastAsia="es-CR"/>
        </w:rPr>
        <w:t>Por su parte, la</w:t>
      </w:r>
      <w:r w:rsidRPr="002E0B96">
        <w:rPr>
          <w:rFonts w:ascii="Arial Narrow" w:hAnsi="Arial Narrow" w:cs="Calibri"/>
          <w:color w:val="000000"/>
          <w:lang w:val="es-CR" w:eastAsia="es-CR"/>
        </w:rPr>
        <w:t xml:space="preserve"> meta estratégica</w:t>
      </w:r>
      <w:r>
        <w:rPr>
          <w:rFonts w:ascii="Arial Narrow" w:hAnsi="Arial Narrow" w:cs="Calibri"/>
          <w:b/>
          <w:bCs/>
          <w:color w:val="000000"/>
          <w:lang w:val="es-CR" w:eastAsia="es-CR"/>
        </w:rPr>
        <w:t xml:space="preserve"> </w:t>
      </w:r>
      <w:r w:rsidRPr="00704B08">
        <w:rPr>
          <w:rFonts w:ascii="Arial Narrow" w:hAnsi="Arial Narrow" w:cs="Calibri"/>
          <w:b/>
          <w:bCs/>
          <w:i/>
          <w:iCs/>
          <w:color w:val="000000"/>
          <w:lang w:val="es-CR" w:eastAsia="es-CR"/>
        </w:rPr>
        <w:t>“</w:t>
      </w:r>
      <w:r w:rsidR="008173A1" w:rsidRPr="00704B08">
        <w:rPr>
          <w:rFonts w:ascii="Arial Narrow" w:hAnsi="Arial Narrow"/>
          <w:b/>
          <w:bCs/>
          <w:i/>
          <w:iCs/>
          <w:lang w:val="es-CR" w:eastAsia="es-CR"/>
        </w:rPr>
        <w:t>Que al finalizar el 2024, se haya incrementado la actualización de la infraestructura tecnológica por año</w:t>
      </w:r>
      <w:r w:rsidRPr="00704B08">
        <w:rPr>
          <w:rFonts w:ascii="Arial Narrow" w:hAnsi="Arial Narrow" w:cs="Calibri"/>
          <w:i/>
          <w:iCs/>
          <w:lang w:val="es-CR" w:eastAsia="es-CR"/>
        </w:rPr>
        <w:t>”</w:t>
      </w:r>
      <w:r w:rsidR="00DD2BFA">
        <w:rPr>
          <w:rFonts w:ascii="Arial Narrow" w:hAnsi="Arial Narrow" w:cs="Calibri"/>
          <w:i/>
          <w:iCs/>
          <w:lang w:val="es-CR" w:eastAsia="es-CR"/>
        </w:rPr>
        <w:t>,</w:t>
      </w:r>
      <w:r w:rsidR="00054FE9" w:rsidRPr="00704B08">
        <w:rPr>
          <w:rFonts w:ascii="Arial Narrow" w:hAnsi="Arial Narrow" w:cs="Calibri"/>
          <w:lang w:val="es-CR" w:eastAsia="es-CR"/>
        </w:rPr>
        <w:t xml:space="preserve"> </w:t>
      </w:r>
      <w:r>
        <w:rPr>
          <w:rFonts w:ascii="Arial Narrow" w:hAnsi="Arial Narrow" w:cs="Calibri"/>
          <w:lang w:val="es-CR" w:eastAsia="es-CR"/>
        </w:rPr>
        <w:t>c</w:t>
      </w:r>
      <w:r w:rsidR="00054FE9" w:rsidRPr="00704B08">
        <w:rPr>
          <w:rFonts w:ascii="Arial Narrow" w:hAnsi="Arial Narrow" w:cs="Calibri"/>
          <w:lang w:val="es-CR" w:eastAsia="es-CR"/>
        </w:rPr>
        <w:t xml:space="preserve">on respecto a esta meta </w:t>
      </w:r>
      <w:r w:rsidR="00DA3D4F" w:rsidRPr="00D01745">
        <w:rPr>
          <w:rFonts w:ascii="Arial Narrow" w:hAnsi="Arial Narrow" w:cs="Calibri"/>
          <w:lang w:val="es-CR" w:eastAsia="es-CR"/>
        </w:rPr>
        <w:t>estratégica se tiene un total de 9 metas operativas relacionadas las cuales todas reportan un porcentaje de avance del 100%para los años 2019 y 2020. Dentro de las actividades realizadas se encuentran: la m</w:t>
      </w:r>
      <w:r w:rsidR="00DA3D4F" w:rsidRPr="00704B08">
        <w:rPr>
          <w:rFonts w:ascii="Arial Narrow" w:hAnsi="Arial Narrow" w:cs="Calibri"/>
          <w:lang w:val="es-CR" w:eastAsia="es-CR"/>
        </w:rPr>
        <w:t>ejora de los enlaces de comunicaciones orientados a la prestación de servicios digitales a través de Internet, actualización y rediseño de los servicios de telefonía en el Poder Judicial, avances en la migración y rediseño del sitio de Consulta del Sistema Costarricense de Información Jurídica (SCIJ) y de la aplicación de sistematización de actas, circulares y avisos, la actualización de los equipos activos de las redes LAN de los edificios principales, entre otros.</w:t>
      </w:r>
    </w:p>
    <w:p w14:paraId="15BE4C0D" w14:textId="77777777" w:rsidR="009D5823" w:rsidRDefault="009D5823" w:rsidP="00D43D39">
      <w:pPr>
        <w:spacing w:line="360" w:lineRule="auto"/>
        <w:jc w:val="both"/>
        <w:rPr>
          <w:rFonts w:ascii="Arial Narrow" w:eastAsia="Calibri" w:hAnsi="Arial Narrow"/>
          <w:b/>
          <w:bCs/>
          <w:lang w:eastAsia="en-US"/>
        </w:rPr>
        <w:sectPr w:rsidR="009D5823" w:rsidSect="009D5823">
          <w:pgSz w:w="12242" w:h="15842" w:code="1"/>
          <w:pgMar w:top="1701" w:right="1417" w:bottom="1701" w:left="1417" w:header="709" w:footer="709" w:gutter="0"/>
          <w:cols w:space="708"/>
          <w:docGrid w:linePitch="360"/>
        </w:sectPr>
      </w:pPr>
    </w:p>
    <w:p w14:paraId="53C83DE3" w14:textId="160B3195" w:rsidR="00D10E54" w:rsidRPr="00704B08" w:rsidRDefault="009547D6" w:rsidP="005E067A">
      <w:pPr>
        <w:pStyle w:val="Ttulo4"/>
        <w:numPr>
          <w:ilvl w:val="0"/>
          <w:numId w:val="75"/>
        </w:numPr>
        <w:rPr>
          <w:rFonts w:ascii="Arial Narrow" w:eastAsia="Calibri" w:hAnsi="Arial Narrow"/>
        </w:rPr>
      </w:pPr>
      <w:bookmarkStart w:id="98" w:name="_Toc52979176"/>
      <w:bookmarkStart w:id="99" w:name="_Toc52979177"/>
      <w:bookmarkStart w:id="100" w:name="_Toc52979234"/>
      <w:bookmarkStart w:id="101" w:name="_Toc52979235"/>
      <w:bookmarkStart w:id="102" w:name="_Toc52979236"/>
      <w:bookmarkEnd w:id="98"/>
      <w:bookmarkEnd w:id="99"/>
      <w:bookmarkEnd w:id="100"/>
      <w:bookmarkEnd w:id="101"/>
      <w:bookmarkEnd w:id="102"/>
      <w:r>
        <w:rPr>
          <w:rFonts w:ascii="Arial Narrow" w:eastAsia="Calibri" w:hAnsi="Arial Narrow"/>
        </w:rPr>
        <w:lastRenderedPageBreak/>
        <w:t xml:space="preserve">5.3.3. </w:t>
      </w:r>
      <w:r w:rsidR="00D10E54" w:rsidRPr="00704B08">
        <w:rPr>
          <w:rFonts w:ascii="Arial Narrow" w:eastAsia="Calibri" w:hAnsi="Arial Narrow"/>
        </w:rPr>
        <w:t xml:space="preserve">Leyes y reformas </w:t>
      </w:r>
    </w:p>
    <w:p w14:paraId="78AD6347" w14:textId="2EC686D7" w:rsidR="00D10E54" w:rsidRPr="000B4845" w:rsidRDefault="00D10E54" w:rsidP="00704B08">
      <w:pPr>
        <w:spacing w:line="360" w:lineRule="auto"/>
        <w:rPr>
          <w:rFonts w:eastAsia="Calibri"/>
          <w:lang w:eastAsia="en-US"/>
        </w:rPr>
      </w:pPr>
    </w:p>
    <w:p w14:paraId="6F7BFD3D" w14:textId="0C182B04" w:rsidR="00D10E54" w:rsidRDefault="00D01745">
      <w:pPr>
        <w:spacing w:line="360" w:lineRule="auto"/>
        <w:rPr>
          <w:rFonts w:ascii="Arial Narrow" w:eastAsia="Calibri" w:hAnsi="Arial Narrow"/>
        </w:rPr>
      </w:pPr>
      <w:r w:rsidRPr="00A618D8">
        <w:rPr>
          <w:rFonts w:ascii="Arial Narrow" w:eastAsia="Calibri" w:hAnsi="Arial Narrow"/>
          <w:lang w:val="es-CR" w:eastAsia="en-US"/>
        </w:rPr>
        <w:t xml:space="preserve">Se observan </w:t>
      </w:r>
      <w:r>
        <w:rPr>
          <w:rFonts w:ascii="Arial Narrow" w:eastAsia="Calibri" w:hAnsi="Arial Narrow"/>
          <w:lang w:val="es-CR" w:eastAsia="en-US"/>
        </w:rPr>
        <w:t>7</w:t>
      </w:r>
      <w:r w:rsidRPr="00A618D8">
        <w:rPr>
          <w:rFonts w:ascii="Arial Narrow" w:eastAsia="Calibri" w:hAnsi="Arial Narrow"/>
          <w:lang w:val="es-CR" w:eastAsia="en-US"/>
        </w:rPr>
        <w:t xml:space="preserve"> metas estratégicas las cuales </w:t>
      </w:r>
      <w:r>
        <w:rPr>
          <w:rFonts w:ascii="Arial Narrow" w:eastAsia="Calibri" w:hAnsi="Arial Narrow"/>
          <w:lang w:val="es-CR" w:eastAsia="en-US"/>
        </w:rPr>
        <w:t xml:space="preserve">todas </w:t>
      </w:r>
      <w:r w:rsidRPr="00A618D8">
        <w:rPr>
          <w:rFonts w:ascii="Arial Narrow" w:eastAsia="Calibri" w:hAnsi="Arial Narrow"/>
          <w:lang w:val="es-CR" w:eastAsia="en-US"/>
        </w:rPr>
        <w:t>reflejan una ejecución total en su cumplimiento.</w:t>
      </w:r>
      <w:r>
        <w:rPr>
          <w:rFonts w:ascii="Arial Narrow" w:eastAsia="Calibri" w:hAnsi="Arial Narrow"/>
          <w:lang w:val="es-CR" w:eastAsia="en-US"/>
        </w:rPr>
        <w:t xml:space="preserve"> </w:t>
      </w:r>
      <w:r w:rsidRPr="00A618D8">
        <w:rPr>
          <w:rFonts w:ascii="Arial Narrow" w:eastAsia="Calibri" w:hAnsi="Arial Narrow"/>
        </w:rPr>
        <w:t>Se muestran a continuación el detalle de las metas estratégicas y su cumplimiento para el 2019 y 2020</w:t>
      </w:r>
      <w:r>
        <w:rPr>
          <w:rFonts w:ascii="Arial Narrow" w:eastAsia="Calibri" w:hAnsi="Arial Narrow"/>
        </w:rPr>
        <w:t xml:space="preserve">: </w:t>
      </w:r>
    </w:p>
    <w:p w14:paraId="6E8E4FF9" w14:textId="77777777" w:rsidR="009D5823" w:rsidRDefault="009D5823">
      <w:pPr>
        <w:spacing w:line="360" w:lineRule="auto"/>
        <w:rPr>
          <w:rFonts w:ascii="Arial Narrow" w:eastAsia="Calibri" w:hAnsi="Arial Narrow"/>
        </w:rPr>
        <w:sectPr w:rsidR="009D5823" w:rsidSect="009D5823">
          <w:pgSz w:w="12242" w:h="15842" w:code="1"/>
          <w:pgMar w:top="1701" w:right="1417" w:bottom="1701" w:left="1417" w:header="709" w:footer="709" w:gutter="0"/>
          <w:cols w:space="708"/>
          <w:docGrid w:linePitch="360"/>
        </w:sectPr>
      </w:pPr>
    </w:p>
    <w:p w14:paraId="66E523CC" w14:textId="506FDD6C" w:rsidR="009D5823" w:rsidRPr="000B4845" w:rsidRDefault="009D5823" w:rsidP="00704B08">
      <w:pPr>
        <w:spacing w:line="360" w:lineRule="auto"/>
        <w:rPr>
          <w:rFonts w:ascii="Arial Narrow" w:eastAsia="Calibri" w:hAnsi="Arial Narrow"/>
        </w:rPr>
      </w:pPr>
    </w:p>
    <w:p w14:paraId="5595C5A6" w14:textId="77777777" w:rsidR="00CA4BD5" w:rsidRDefault="00CA4BD5" w:rsidP="00484CC1">
      <w:pPr>
        <w:pStyle w:val="Descripcin"/>
        <w:jc w:val="center"/>
        <w:rPr>
          <w:rFonts w:ascii="Arial Narrow" w:hAnsi="Arial Narrow"/>
          <w:sz w:val="24"/>
          <w:szCs w:val="24"/>
        </w:rPr>
      </w:pPr>
    </w:p>
    <w:p w14:paraId="70ADCA28" w14:textId="1636EF87" w:rsidR="00211B03" w:rsidRDefault="00211B03" w:rsidP="00484CC1">
      <w:pPr>
        <w:pStyle w:val="Descripcin"/>
        <w:jc w:val="center"/>
        <w:rPr>
          <w:rFonts w:ascii="Arial Narrow" w:eastAsia="Calibri" w:hAnsi="Arial Narrow"/>
          <w:sz w:val="24"/>
          <w:szCs w:val="24"/>
        </w:rPr>
      </w:pPr>
      <w:bookmarkStart w:id="103" w:name="_Toc76062280"/>
      <w:r w:rsidRPr="00484CC1">
        <w:rPr>
          <w:rFonts w:ascii="Arial Narrow" w:hAnsi="Arial Narrow"/>
          <w:sz w:val="24"/>
          <w:szCs w:val="24"/>
        </w:rPr>
        <w:t xml:space="preserve">Cuadro </w:t>
      </w:r>
      <w:r w:rsidRPr="00484CC1">
        <w:rPr>
          <w:rFonts w:ascii="Arial Narrow" w:hAnsi="Arial Narrow"/>
          <w:sz w:val="24"/>
          <w:szCs w:val="24"/>
        </w:rPr>
        <w:fldChar w:fldCharType="begin"/>
      </w:r>
      <w:r w:rsidRPr="00484CC1">
        <w:rPr>
          <w:rFonts w:ascii="Arial Narrow" w:hAnsi="Arial Narrow"/>
          <w:sz w:val="24"/>
          <w:szCs w:val="24"/>
        </w:rPr>
        <w:instrText xml:space="preserve"> SEQ Cuadro_No. \* ARABIC </w:instrText>
      </w:r>
      <w:r w:rsidRPr="00484CC1">
        <w:rPr>
          <w:rFonts w:ascii="Arial Narrow" w:hAnsi="Arial Narrow"/>
          <w:sz w:val="24"/>
          <w:szCs w:val="24"/>
        </w:rPr>
        <w:fldChar w:fldCharType="separate"/>
      </w:r>
      <w:r w:rsidR="009D5823">
        <w:rPr>
          <w:rFonts w:ascii="Arial Narrow" w:hAnsi="Arial Narrow"/>
          <w:noProof/>
          <w:sz w:val="24"/>
          <w:szCs w:val="24"/>
        </w:rPr>
        <w:t>57</w:t>
      </w:r>
      <w:r w:rsidRPr="00484CC1">
        <w:rPr>
          <w:rFonts w:ascii="Arial Narrow" w:hAnsi="Arial Narrow"/>
          <w:sz w:val="24"/>
          <w:szCs w:val="24"/>
        </w:rPr>
        <w:fldChar w:fldCharType="end"/>
      </w:r>
      <w:r w:rsidRPr="00484CC1">
        <w:rPr>
          <w:rFonts w:ascii="Arial Narrow" w:hAnsi="Arial Narrow"/>
          <w:sz w:val="24"/>
          <w:szCs w:val="24"/>
        </w:rPr>
        <w:t xml:space="preserve"> </w:t>
      </w:r>
      <w:r w:rsidRPr="00211B03">
        <w:rPr>
          <w:rFonts w:ascii="Arial Narrow" w:eastAsia="Calibri" w:hAnsi="Arial Narrow"/>
          <w:sz w:val="24"/>
          <w:szCs w:val="24"/>
        </w:rPr>
        <w:t>Metas estratégicas de Leyes y reformas, y su cumplimiento para el 2019</w:t>
      </w:r>
      <w:r w:rsidR="0092590E">
        <w:rPr>
          <w:rFonts w:ascii="Arial Narrow" w:eastAsia="Calibri" w:hAnsi="Arial Narrow"/>
          <w:sz w:val="24"/>
          <w:szCs w:val="24"/>
        </w:rPr>
        <w:t xml:space="preserve"> y 2020.</w:t>
      </w:r>
      <w:bookmarkEnd w:id="103"/>
    </w:p>
    <w:p w14:paraId="55712E27" w14:textId="77777777" w:rsidR="0092590E" w:rsidRPr="00704B08" w:rsidRDefault="0092590E" w:rsidP="00704B08">
      <w:pPr>
        <w:rPr>
          <w:rFonts w:eastAsia="Calibri"/>
        </w:rPr>
      </w:pPr>
    </w:p>
    <w:p w14:paraId="51A77AEC" w14:textId="548FD4ED" w:rsidR="004E5105" w:rsidRDefault="00B32B35" w:rsidP="00D10E54">
      <w:pPr>
        <w:rPr>
          <w:rFonts w:eastAsia="Calibri"/>
          <w:lang w:eastAsia="en-US"/>
        </w:rPr>
      </w:pPr>
      <w:r>
        <w:rPr>
          <w:noProof/>
          <w:lang w:val="es-CR" w:eastAsia="es-CR"/>
        </w:rPr>
        <w:drawing>
          <wp:inline distT="0" distB="0" distL="0" distR="0" wp14:anchorId="5BEDFC0A" wp14:editId="4B196356">
            <wp:extent cx="7899400" cy="3175447"/>
            <wp:effectExtent l="57150" t="57150" r="101600" b="101600"/>
            <wp:docPr id="103" name="Imagen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7905165" cy="3177764"/>
                    </a:xfrm>
                    <a:prstGeom prst="rect">
                      <a:avLst/>
                    </a:prstGeom>
                    <a:ln w="9525" cap="sq">
                      <a:solidFill>
                        <a:srgbClr val="00B0F0"/>
                      </a:solidFill>
                      <a:prstDash val="solid"/>
                      <a:miter lim="800000"/>
                    </a:ln>
                    <a:effectLst>
                      <a:outerShdw blurRad="50800" dist="38100" dir="2700000" algn="tl" rotWithShape="0">
                        <a:srgbClr val="000000">
                          <a:alpha val="43000"/>
                        </a:srgbClr>
                      </a:outerShdw>
                    </a:effectLst>
                  </pic:spPr>
                </pic:pic>
              </a:graphicData>
            </a:graphic>
          </wp:inline>
        </w:drawing>
      </w:r>
    </w:p>
    <w:p w14:paraId="2AA60E15" w14:textId="77777777" w:rsidR="00B32B35" w:rsidRDefault="00B32B35" w:rsidP="00B32B35">
      <w:pPr>
        <w:ind w:left="-142" w:firstLine="850"/>
        <w:rPr>
          <w:rFonts w:ascii="Arial Narrow" w:eastAsia="Calibri" w:hAnsi="Arial Narrow"/>
          <w:sz w:val="18"/>
          <w:szCs w:val="18"/>
          <w:lang w:eastAsia="en-US"/>
        </w:rPr>
      </w:pPr>
      <w:r w:rsidRPr="000B4845">
        <w:rPr>
          <w:rFonts w:ascii="Arial Narrow" w:eastAsia="Calibri" w:hAnsi="Arial Narrow"/>
          <w:sz w:val="18"/>
          <w:szCs w:val="18"/>
          <w:lang w:eastAsia="en-US"/>
        </w:rPr>
        <w:t>Fuente: Sistema PEI al 24 de enero del 2020 (año 2019)</w:t>
      </w:r>
      <w:r>
        <w:rPr>
          <w:rFonts w:ascii="Arial Narrow" w:eastAsia="Calibri" w:hAnsi="Arial Narrow"/>
          <w:sz w:val="18"/>
          <w:szCs w:val="18"/>
          <w:lang w:eastAsia="en-US"/>
        </w:rPr>
        <w:t xml:space="preserve"> y 04 de marzo del 2021 (año 2020).</w:t>
      </w:r>
    </w:p>
    <w:p w14:paraId="0A81B16C" w14:textId="77777777" w:rsidR="00CA4BD5" w:rsidRDefault="00CA4BD5" w:rsidP="00767635">
      <w:pPr>
        <w:spacing w:line="360" w:lineRule="auto"/>
        <w:jc w:val="both"/>
        <w:rPr>
          <w:rFonts w:ascii="Arial Narrow" w:eastAsia="Calibri" w:hAnsi="Arial Narrow"/>
        </w:rPr>
      </w:pPr>
    </w:p>
    <w:p w14:paraId="53B3C225" w14:textId="77777777" w:rsidR="009D5823" w:rsidRDefault="009D5823" w:rsidP="00935D7F">
      <w:pPr>
        <w:spacing w:line="360" w:lineRule="auto"/>
        <w:jc w:val="both"/>
        <w:rPr>
          <w:rFonts w:ascii="Arial Narrow" w:eastAsia="Calibri" w:hAnsi="Arial Narrow"/>
          <w:highlight w:val="yellow"/>
        </w:rPr>
        <w:sectPr w:rsidR="009D5823" w:rsidSect="009D5823">
          <w:pgSz w:w="15842" w:h="12242" w:orient="landscape" w:code="1"/>
          <w:pgMar w:top="1417" w:right="1701" w:bottom="1417" w:left="1701" w:header="709" w:footer="709" w:gutter="0"/>
          <w:cols w:space="708"/>
          <w:docGrid w:linePitch="360"/>
        </w:sectPr>
      </w:pPr>
    </w:p>
    <w:p w14:paraId="37DD6204" w14:textId="77777777" w:rsidR="008979F8" w:rsidRPr="00704B08" w:rsidRDefault="008979F8" w:rsidP="00935D7F">
      <w:pPr>
        <w:spacing w:line="360" w:lineRule="auto"/>
        <w:jc w:val="both"/>
        <w:rPr>
          <w:rFonts w:ascii="Arial Narrow" w:hAnsi="Arial Narrow"/>
          <w:b/>
          <w:bCs/>
          <w:lang w:val="es-CR" w:eastAsia="es-CR"/>
        </w:rPr>
      </w:pPr>
    </w:p>
    <w:p w14:paraId="289B9E3D" w14:textId="7CF0F3FE" w:rsidR="000C42E5" w:rsidRDefault="00803EF6" w:rsidP="003363B9">
      <w:pPr>
        <w:spacing w:line="360" w:lineRule="auto"/>
        <w:jc w:val="both"/>
        <w:rPr>
          <w:rFonts w:ascii="Arial Narrow" w:hAnsi="Arial Narrow"/>
        </w:rPr>
      </w:pPr>
      <w:r>
        <w:rPr>
          <w:rFonts w:ascii="Arial Narrow" w:hAnsi="Arial Narrow" w:cs="Calibri"/>
          <w:color w:val="000000"/>
          <w:lang w:val="es-CR" w:eastAsia="es-CR"/>
        </w:rPr>
        <w:t>La</w:t>
      </w:r>
      <w:r w:rsidRPr="002E0B96">
        <w:rPr>
          <w:rFonts w:ascii="Arial Narrow" w:hAnsi="Arial Narrow" w:cs="Calibri"/>
          <w:color w:val="000000"/>
          <w:lang w:val="es-CR" w:eastAsia="es-CR"/>
        </w:rPr>
        <w:t xml:space="preserve"> meta estratégica</w:t>
      </w:r>
      <w:r>
        <w:rPr>
          <w:rFonts w:ascii="Arial Narrow" w:hAnsi="Arial Narrow" w:cs="Calibri"/>
          <w:b/>
          <w:bCs/>
          <w:color w:val="000000"/>
          <w:lang w:val="es-CR" w:eastAsia="es-CR"/>
        </w:rPr>
        <w:t xml:space="preserve"> “</w:t>
      </w:r>
      <w:r w:rsidR="008979F8" w:rsidRPr="00704B08">
        <w:rPr>
          <w:rFonts w:ascii="Arial Narrow" w:hAnsi="Arial Narrow"/>
          <w:b/>
          <w:bCs/>
          <w:i/>
          <w:iCs/>
          <w:lang w:val="es-CR" w:eastAsia="es-CR"/>
        </w:rPr>
        <w:t>Que al finalizar el 2024, se haya gestionado la aprobación la reforma legal sobre el sistema penal y corrupción</w:t>
      </w:r>
      <w:r w:rsidRPr="00704B08">
        <w:rPr>
          <w:rFonts w:ascii="Arial Narrow" w:hAnsi="Arial Narrow"/>
          <w:b/>
          <w:bCs/>
          <w:i/>
          <w:iCs/>
          <w:lang w:val="es-CR" w:eastAsia="es-CR"/>
        </w:rPr>
        <w:t>”</w:t>
      </w:r>
      <w:r w:rsidR="00DD2BFA">
        <w:rPr>
          <w:rFonts w:ascii="Arial Narrow" w:hAnsi="Arial Narrow"/>
          <w:b/>
          <w:bCs/>
          <w:i/>
          <w:iCs/>
          <w:lang w:val="es-CR" w:eastAsia="es-CR"/>
        </w:rPr>
        <w:t>,</w:t>
      </w:r>
      <w:r w:rsidR="000C42E5">
        <w:rPr>
          <w:rFonts w:ascii="Arial Narrow" w:hAnsi="Arial Narrow"/>
          <w:b/>
          <w:bCs/>
          <w:lang w:val="es-CR" w:eastAsia="es-CR"/>
        </w:rPr>
        <w:t xml:space="preserve"> </w:t>
      </w:r>
      <w:r>
        <w:rPr>
          <w:rFonts w:ascii="Arial Narrow" w:hAnsi="Arial Narrow"/>
          <w:lang w:val="es-CR" w:eastAsia="es-CR"/>
        </w:rPr>
        <w:t>c</w:t>
      </w:r>
      <w:r w:rsidR="003363B9" w:rsidRPr="00704B08">
        <w:rPr>
          <w:rFonts w:ascii="Arial Narrow" w:hAnsi="Arial Narrow"/>
          <w:lang w:val="es-CR" w:eastAsia="es-CR"/>
        </w:rPr>
        <w:t xml:space="preserve">on el objetivo de </w:t>
      </w:r>
      <w:r w:rsidR="003363B9">
        <w:rPr>
          <w:rFonts w:ascii="Arial Narrow" w:hAnsi="Arial Narrow"/>
        </w:rPr>
        <w:t>r</w:t>
      </w:r>
      <w:r w:rsidR="003363B9" w:rsidRPr="00704B08">
        <w:rPr>
          <w:rFonts w:ascii="Arial Narrow" w:hAnsi="Arial Narrow"/>
        </w:rPr>
        <w:t>egular la responsabilidad penal de las personas jurídicas</w:t>
      </w:r>
      <w:r w:rsidR="00481D2F">
        <w:rPr>
          <w:rFonts w:ascii="Arial Narrow" w:hAnsi="Arial Narrow"/>
        </w:rPr>
        <w:t xml:space="preserve"> </w:t>
      </w:r>
      <w:r w:rsidR="003363B9">
        <w:rPr>
          <w:rFonts w:ascii="Arial Narrow" w:hAnsi="Arial Narrow"/>
        </w:rPr>
        <w:t>,</w:t>
      </w:r>
      <w:r w:rsidR="003363B9" w:rsidRPr="00704B08">
        <w:rPr>
          <w:rFonts w:ascii="Arial Narrow" w:hAnsi="Arial Narrow"/>
        </w:rPr>
        <w:t xml:space="preserve">reestructurar los tipos penales que fueran necesarios relacionados con la corrupción en la función pública, </w:t>
      </w:r>
      <w:r w:rsidR="003363B9">
        <w:rPr>
          <w:rFonts w:ascii="Arial Narrow" w:hAnsi="Arial Narrow"/>
        </w:rPr>
        <w:t>r</w:t>
      </w:r>
      <w:r w:rsidR="003363B9" w:rsidRPr="00704B08">
        <w:rPr>
          <w:rFonts w:ascii="Arial Narrow" w:hAnsi="Arial Narrow"/>
        </w:rPr>
        <w:t>eformar el procedimiento penal para el juzgamiento de los Miembros de los Supremos Poderes y Analizar y sistematizar la ciberdelincuencia aplicada a los delitos de corrupción tanto en lo sustantivo como en lo procesal</w:t>
      </w:r>
      <w:r w:rsidR="003363B9">
        <w:rPr>
          <w:rFonts w:ascii="Arial Narrow" w:hAnsi="Arial Narrow"/>
        </w:rPr>
        <w:t xml:space="preserve">, </w:t>
      </w:r>
      <w:r w:rsidR="003363B9" w:rsidRPr="00704B08">
        <w:rPr>
          <w:rFonts w:ascii="Arial Narrow" w:hAnsi="Arial Narrow"/>
        </w:rPr>
        <w:t xml:space="preserve"> el </w:t>
      </w:r>
      <w:r w:rsidR="000C42E5" w:rsidRPr="00704B08">
        <w:rPr>
          <w:rFonts w:ascii="Arial Narrow" w:hAnsi="Arial Narrow"/>
          <w:lang w:val="es-CR" w:eastAsia="es-CR"/>
        </w:rPr>
        <w:t xml:space="preserve">Despacho de la Presidencia </w:t>
      </w:r>
      <w:r w:rsidR="00481D2F">
        <w:rPr>
          <w:rFonts w:ascii="Arial Narrow" w:hAnsi="Arial Narrow"/>
          <w:lang w:val="es-CR" w:eastAsia="es-CR"/>
        </w:rPr>
        <w:t xml:space="preserve">durante el año 2019 y 2020 </w:t>
      </w:r>
      <w:r w:rsidR="000C42E5" w:rsidRPr="00704B08">
        <w:rPr>
          <w:rFonts w:ascii="Arial Narrow" w:hAnsi="Arial Narrow"/>
          <w:lang w:val="es-CR" w:eastAsia="es-CR"/>
        </w:rPr>
        <w:t>gestionó</w:t>
      </w:r>
      <w:r w:rsidR="000C42E5" w:rsidRPr="00704B08">
        <w:rPr>
          <w:rFonts w:ascii="Arial Narrow" w:hAnsi="Arial Narrow" w:cs="Calibri"/>
          <w:lang w:val="es-CR" w:eastAsia="es-CR"/>
        </w:rPr>
        <w:t xml:space="preserve"> </w:t>
      </w:r>
      <w:r w:rsidR="003363B9" w:rsidRPr="00704B08">
        <w:rPr>
          <w:rFonts w:ascii="Arial Narrow" w:hAnsi="Arial Narrow" w:cs="Calibri"/>
          <w:lang w:val="es-CR" w:eastAsia="es-CR"/>
        </w:rPr>
        <w:t>el proyecto llamado “</w:t>
      </w:r>
      <w:r w:rsidR="003363B9" w:rsidRPr="00704B08">
        <w:rPr>
          <w:rFonts w:ascii="Arial Narrow" w:hAnsi="Arial Narrow"/>
          <w:i/>
          <w:lang w:val="es-ES"/>
        </w:rPr>
        <w:t>Elaboración de un plan de reforma al sistema penal y procesal penal contra la corrupción”</w:t>
      </w:r>
      <w:r w:rsidR="003363B9" w:rsidRPr="00704B08">
        <w:rPr>
          <w:rFonts w:ascii="Arial Narrow" w:hAnsi="Arial Narrow"/>
        </w:rPr>
        <w:t xml:space="preserve"> el cual fue presentado a Corte Plena</w:t>
      </w:r>
      <w:r w:rsidR="00481D2F">
        <w:rPr>
          <w:rFonts w:ascii="Arial Narrow" w:hAnsi="Arial Narrow"/>
        </w:rPr>
        <w:t xml:space="preserve"> en la sesión 055-20 del 28 de setiembre del 2020,articulo VIII. Por último, con lo mencionado anteriormente se tiene un cumplimiento del 100% para ambos años. </w:t>
      </w:r>
    </w:p>
    <w:p w14:paraId="4CB5D95E" w14:textId="77777777" w:rsidR="003363B9" w:rsidRPr="00704B08" w:rsidRDefault="003363B9" w:rsidP="00704B08">
      <w:pPr>
        <w:spacing w:line="360" w:lineRule="auto"/>
        <w:jc w:val="both"/>
        <w:rPr>
          <w:rFonts w:ascii="Arial Narrow" w:hAnsi="Arial Narrow"/>
          <w:i/>
          <w:lang w:val="es-ES"/>
        </w:rPr>
      </w:pPr>
    </w:p>
    <w:p w14:paraId="13FB512E" w14:textId="42CD43D8" w:rsidR="007E3A86" w:rsidRPr="00704B08" w:rsidRDefault="00803EF6" w:rsidP="00704B08">
      <w:pPr>
        <w:spacing w:line="360" w:lineRule="auto"/>
        <w:jc w:val="both"/>
        <w:rPr>
          <w:rFonts w:ascii="Arial Narrow" w:hAnsi="Arial Narrow"/>
        </w:rPr>
      </w:pPr>
      <w:r>
        <w:rPr>
          <w:rFonts w:ascii="Arial Narrow" w:hAnsi="Arial Narrow" w:cs="Calibri"/>
          <w:color w:val="000000"/>
          <w:lang w:val="es-CR" w:eastAsia="es-CR"/>
        </w:rPr>
        <w:t>La</w:t>
      </w:r>
      <w:r w:rsidRPr="002E0B96">
        <w:rPr>
          <w:rFonts w:ascii="Arial Narrow" w:hAnsi="Arial Narrow" w:cs="Calibri"/>
          <w:color w:val="000000"/>
          <w:lang w:val="es-CR" w:eastAsia="es-CR"/>
        </w:rPr>
        <w:t xml:space="preserve"> meta estratégica</w:t>
      </w:r>
      <w:r>
        <w:rPr>
          <w:rFonts w:ascii="Arial Narrow" w:hAnsi="Arial Narrow" w:cs="Calibri"/>
          <w:b/>
          <w:bCs/>
          <w:color w:val="000000"/>
          <w:lang w:val="es-CR" w:eastAsia="es-CR"/>
        </w:rPr>
        <w:t xml:space="preserve"> “</w:t>
      </w:r>
      <w:r w:rsidR="008979F8" w:rsidRPr="00704B08">
        <w:rPr>
          <w:rFonts w:ascii="Arial Narrow" w:hAnsi="Arial Narrow"/>
          <w:b/>
          <w:bCs/>
          <w:i/>
          <w:iCs/>
          <w:lang w:val="es-CR" w:eastAsia="es-CR"/>
        </w:rPr>
        <w:t>Que al finalizar el 2024, se haya pronunciado sobre la totalidad de los proyectos de ley o propuestas de reforma legales que le hayan sido puestos en consulta y que inciden en su funcionamiento, estructura, organización o en la política de persecución penal del Ministerio Público, previa a su aprobación</w:t>
      </w:r>
      <w:r>
        <w:rPr>
          <w:rFonts w:ascii="Arial Narrow" w:hAnsi="Arial Narrow"/>
          <w:b/>
          <w:bCs/>
          <w:lang w:val="es-CR" w:eastAsia="es-CR"/>
        </w:rPr>
        <w:t>”</w:t>
      </w:r>
      <w:r w:rsidR="00DD2BFA">
        <w:rPr>
          <w:rFonts w:ascii="Arial Narrow" w:hAnsi="Arial Narrow"/>
          <w:b/>
          <w:bCs/>
          <w:lang w:val="es-CR" w:eastAsia="es-CR"/>
        </w:rPr>
        <w:t>,</w:t>
      </w:r>
      <w:r w:rsidR="00481D2F">
        <w:rPr>
          <w:rFonts w:ascii="Arial Narrow" w:hAnsi="Arial Narrow"/>
          <w:b/>
          <w:bCs/>
          <w:lang w:val="es-CR" w:eastAsia="es-CR"/>
        </w:rPr>
        <w:t xml:space="preserve"> </w:t>
      </w:r>
      <w:r>
        <w:rPr>
          <w:rFonts w:ascii="Arial Narrow" w:hAnsi="Arial Narrow"/>
        </w:rPr>
        <w:t>d</w:t>
      </w:r>
      <w:r w:rsidR="007E3A86" w:rsidRPr="00704B08">
        <w:rPr>
          <w:rFonts w:ascii="Arial Narrow" w:hAnsi="Arial Narrow"/>
        </w:rPr>
        <w:t xml:space="preserve">e acuerdo con la información brindada por la Fiscalía General  </w:t>
      </w:r>
      <w:r w:rsidR="000A6DCC">
        <w:rPr>
          <w:rFonts w:ascii="Arial Narrow" w:hAnsi="Arial Narrow"/>
        </w:rPr>
        <w:t xml:space="preserve">se </w:t>
      </w:r>
      <w:r>
        <w:rPr>
          <w:rFonts w:ascii="Arial Narrow" w:hAnsi="Arial Narrow"/>
        </w:rPr>
        <w:t xml:space="preserve">informa que se </w:t>
      </w:r>
      <w:r w:rsidR="000A6DCC">
        <w:rPr>
          <w:rFonts w:ascii="Arial Narrow" w:hAnsi="Arial Narrow"/>
        </w:rPr>
        <w:t xml:space="preserve">realizaron las siguientes actividades para los años 2019 y 2020: </w:t>
      </w:r>
      <w:r w:rsidR="00481D2F" w:rsidRPr="00704B08">
        <w:rPr>
          <w:rFonts w:ascii="Arial Narrow" w:hAnsi="Arial Narrow"/>
        </w:rPr>
        <w:t xml:space="preserve">Se elabora y aprueba el protocolo de actuación y pronuncia en la totalidad de los proyectos y reformas de ley que le </w:t>
      </w:r>
      <w:r w:rsidR="007E3A86" w:rsidRPr="00935D7F">
        <w:rPr>
          <w:rFonts w:ascii="Arial Narrow" w:hAnsi="Arial Narrow"/>
        </w:rPr>
        <w:t>efectúen</w:t>
      </w:r>
      <w:r w:rsidR="00481D2F" w:rsidRPr="00704B08">
        <w:rPr>
          <w:rFonts w:ascii="Arial Narrow" w:hAnsi="Arial Narrow"/>
        </w:rPr>
        <w:t xml:space="preserve"> en su funcionamiento, estructura, organización y Política de persecución penal</w:t>
      </w:r>
      <w:r w:rsidR="000A6DCC">
        <w:rPr>
          <w:rFonts w:ascii="Arial Narrow" w:hAnsi="Arial Narrow"/>
        </w:rPr>
        <w:t>; s</w:t>
      </w:r>
      <w:r w:rsidR="007E3A86" w:rsidRPr="00704B08">
        <w:rPr>
          <w:rFonts w:ascii="Arial Narrow" w:hAnsi="Arial Narrow"/>
        </w:rPr>
        <w:t xml:space="preserve">e corroboró el mantenimiento de un registro en la </w:t>
      </w:r>
      <w:r w:rsidR="007E3A86" w:rsidRPr="00935D7F">
        <w:rPr>
          <w:rFonts w:ascii="Arial Narrow" w:hAnsi="Arial Narrow"/>
        </w:rPr>
        <w:t>fiscalía general</w:t>
      </w:r>
      <w:r w:rsidR="007E3A86" w:rsidRPr="00704B08">
        <w:rPr>
          <w:rFonts w:ascii="Arial Narrow" w:hAnsi="Arial Narrow"/>
        </w:rPr>
        <w:t>, en el cual se lleva control con respecto a las solicitudes de criterio legislativo que ingresan al despacho, los datos de cada Proyecto de Ley (número de expediente legislativo y nombre), así como su respectivo oficio de respuesta y fecha de envío de la misma</w:t>
      </w:r>
      <w:bookmarkStart w:id="104" w:name="_Hlk43396171"/>
      <w:r w:rsidR="000A6DCC">
        <w:rPr>
          <w:rFonts w:ascii="Arial Narrow" w:hAnsi="Arial Narrow"/>
        </w:rPr>
        <w:t>; s</w:t>
      </w:r>
      <w:r w:rsidR="007E3A86" w:rsidRPr="00704B08">
        <w:rPr>
          <w:rFonts w:ascii="Arial Narrow" w:hAnsi="Arial Narrow"/>
        </w:rPr>
        <w:t xml:space="preserve">e corroboró la equivalencia entre el registro de solicitudes de criterio legislativo (Sistema Integrado de Correspondencia Electrónica), y la gestión en cada caso para compilar los datos y la emisión final y envío de un pronunciamiento por parte de la </w:t>
      </w:r>
      <w:r w:rsidR="007E3A86" w:rsidRPr="00935D7F">
        <w:rPr>
          <w:rFonts w:ascii="Arial Narrow" w:hAnsi="Arial Narrow"/>
        </w:rPr>
        <w:t>fiscalía general</w:t>
      </w:r>
      <w:r w:rsidR="007E3A86" w:rsidRPr="00704B08">
        <w:rPr>
          <w:rFonts w:ascii="Arial Narrow" w:hAnsi="Arial Narrow"/>
        </w:rPr>
        <w:t xml:space="preserve"> (oficio de respuesta enviado a la Asamblea Legislativa). </w:t>
      </w:r>
      <w:r w:rsidR="000A6DCC">
        <w:rPr>
          <w:rFonts w:ascii="Arial Narrow" w:hAnsi="Arial Narrow"/>
        </w:rPr>
        <w:t>Posteriormente se verifica los porcentajes de avance y se observa que para ambos años (2019 y 2020) se logró un 100% de cumplimiento en la meta y un 20% en el cumplimiento acumulado.</w:t>
      </w:r>
    </w:p>
    <w:bookmarkEnd w:id="104"/>
    <w:p w14:paraId="3EA149F2" w14:textId="77777777" w:rsidR="009D5823" w:rsidRDefault="009D5823" w:rsidP="007E3A86">
      <w:pPr>
        <w:spacing w:line="276" w:lineRule="auto"/>
        <w:jc w:val="both"/>
        <w:rPr>
          <w:rFonts w:ascii="Times New Roman" w:hAnsi="Times New Roman"/>
          <w:lang w:val="es-ES"/>
        </w:rPr>
        <w:sectPr w:rsidR="009D5823" w:rsidSect="009D5823">
          <w:pgSz w:w="12242" w:h="15842" w:code="1"/>
          <w:pgMar w:top="1701" w:right="1417" w:bottom="1701" w:left="1417" w:header="709" w:footer="709" w:gutter="0"/>
          <w:cols w:space="708"/>
          <w:docGrid w:linePitch="360"/>
        </w:sectPr>
      </w:pPr>
    </w:p>
    <w:p w14:paraId="47E830D5" w14:textId="595903C1" w:rsidR="00481D2F" w:rsidRDefault="00481D2F" w:rsidP="00481D2F">
      <w:pPr>
        <w:jc w:val="both"/>
        <w:rPr>
          <w:rFonts w:cs="Calibri"/>
          <w:sz w:val="18"/>
          <w:szCs w:val="18"/>
          <w:lang w:val="es-CR" w:eastAsia="es-CR"/>
        </w:rPr>
      </w:pPr>
    </w:p>
    <w:p w14:paraId="46F1DF33" w14:textId="480C8A6F" w:rsidR="00B32B35" w:rsidRDefault="00B32B35" w:rsidP="00481D2F">
      <w:pPr>
        <w:jc w:val="both"/>
        <w:rPr>
          <w:rFonts w:cs="Calibri"/>
          <w:sz w:val="18"/>
          <w:szCs w:val="18"/>
          <w:lang w:val="es-CR" w:eastAsia="es-CR"/>
        </w:rPr>
      </w:pPr>
    </w:p>
    <w:p w14:paraId="475C8A17" w14:textId="1BC39964" w:rsidR="00B32B35" w:rsidRDefault="00B32B35" w:rsidP="00B32B35">
      <w:pPr>
        <w:pStyle w:val="Descripcin"/>
        <w:jc w:val="center"/>
        <w:rPr>
          <w:rFonts w:ascii="Arial Narrow" w:eastAsia="Calibri" w:hAnsi="Arial Narrow"/>
          <w:sz w:val="24"/>
          <w:szCs w:val="24"/>
        </w:rPr>
      </w:pPr>
      <w:bookmarkStart w:id="105" w:name="_Toc76062281"/>
      <w:r w:rsidRPr="00484CC1">
        <w:rPr>
          <w:rFonts w:ascii="Arial Narrow" w:hAnsi="Arial Narrow"/>
          <w:sz w:val="24"/>
          <w:szCs w:val="24"/>
        </w:rPr>
        <w:t xml:space="preserve">Cuadro </w:t>
      </w:r>
      <w:r w:rsidRPr="00484CC1">
        <w:rPr>
          <w:rFonts w:ascii="Arial Narrow" w:hAnsi="Arial Narrow"/>
          <w:sz w:val="24"/>
          <w:szCs w:val="24"/>
        </w:rPr>
        <w:fldChar w:fldCharType="begin"/>
      </w:r>
      <w:r w:rsidRPr="00484CC1">
        <w:rPr>
          <w:rFonts w:ascii="Arial Narrow" w:hAnsi="Arial Narrow"/>
          <w:sz w:val="24"/>
          <w:szCs w:val="24"/>
        </w:rPr>
        <w:instrText xml:space="preserve"> SEQ Cuadro_No. \* ARABIC </w:instrText>
      </w:r>
      <w:r w:rsidRPr="00484CC1">
        <w:rPr>
          <w:rFonts w:ascii="Arial Narrow" w:hAnsi="Arial Narrow"/>
          <w:sz w:val="24"/>
          <w:szCs w:val="24"/>
        </w:rPr>
        <w:fldChar w:fldCharType="separate"/>
      </w:r>
      <w:r w:rsidR="009D5823">
        <w:rPr>
          <w:rFonts w:ascii="Arial Narrow" w:hAnsi="Arial Narrow"/>
          <w:noProof/>
          <w:sz w:val="24"/>
          <w:szCs w:val="24"/>
        </w:rPr>
        <w:t>58</w:t>
      </w:r>
      <w:r w:rsidRPr="00484CC1">
        <w:rPr>
          <w:rFonts w:ascii="Arial Narrow" w:hAnsi="Arial Narrow"/>
          <w:sz w:val="24"/>
          <w:szCs w:val="24"/>
        </w:rPr>
        <w:fldChar w:fldCharType="end"/>
      </w:r>
      <w:r w:rsidRPr="00484CC1">
        <w:rPr>
          <w:rFonts w:ascii="Arial Narrow" w:hAnsi="Arial Narrow"/>
          <w:sz w:val="24"/>
          <w:szCs w:val="24"/>
        </w:rPr>
        <w:t xml:space="preserve"> </w:t>
      </w:r>
      <w:r w:rsidRPr="00211B03">
        <w:rPr>
          <w:rFonts w:ascii="Arial Narrow" w:eastAsia="Calibri" w:hAnsi="Arial Narrow"/>
          <w:sz w:val="24"/>
          <w:szCs w:val="24"/>
        </w:rPr>
        <w:t>Metas estratégicas de Leyes y reformas, y su cumplimiento para el 2019</w:t>
      </w:r>
      <w:r>
        <w:rPr>
          <w:rFonts w:ascii="Arial Narrow" w:eastAsia="Calibri" w:hAnsi="Arial Narrow"/>
          <w:sz w:val="24"/>
          <w:szCs w:val="24"/>
        </w:rPr>
        <w:t xml:space="preserve"> y 2020.</w:t>
      </w:r>
      <w:bookmarkEnd w:id="105"/>
    </w:p>
    <w:p w14:paraId="5E3E375E" w14:textId="77777777" w:rsidR="00B32B35" w:rsidRDefault="00B32B35" w:rsidP="00B32B35">
      <w:pPr>
        <w:rPr>
          <w:noProof/>
        </w:rPr>
      </w:pPr>
    </w:p>
    <w:p w14:paraId="55C4AE42" w14:textId="6B6A0B3E" w:rsidR="00B32B35" w:rsidRPr="00704B08" w:rsidRDefault="00B32B35" w:rsidP="00704B08">
      <w:pPr>
        <w:rPr>
          <w:rFonts w:eastAsia="Calibri"/>
        </w:rPr>
      </w:pPr>
      <w:r>
        <w:rPr>
          <w:noProof/>
          <w:lang w:val="es-CR" w:eastAsia="es-CR"/>
        </w:rPr>
        <w:drawing>
          <wp:inline distT="0" distB="0" distL="0" distR="0" wp14:anchorId="77DCD576" wp14:editId="44C5EB97">
            <wp:extent cx="7854950" cy="2621656"/>
            <wp:effectExtent l="57150" t="57150" r="88900" b="102870"/>
            <wp:docPr id="104" name="Imagen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0"/>
                    <a:srcRect l="563"/>
                    <a:stretch/>
                  </pic:blipFill>
                  <pic:spPr bwMode="auto">
                    <a:xfrm>
                      <a:off x="0" y="0"/>
                      <a:ext cx="7862753" cy="2624260"/>
                    </a:xfrm>
                    <a:prstGeom prst="rect">
                      <a:avLst/>
                    </a:prstGeom>
                    <a:ln w="9525" cap="sq">
                      <a:solidFill>
                        <a:srgbClr val="00B0F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2427952D" w14:textId="1D929274" w:rsidR="00B32B35" w:rsidRDefault="00B32B35" w:rsidP="00481D2F">
      <w:pPr>
        <w:jc w:val="both"/>
        <w:rPr>
          <w:rFonts w:cs="Calibri"/>
          <w:sz w:val="18"/>
          <w:szCs w:val="18"/>
          <w:lang w:val="es-CR" w:eastAsia="es-CR"/>
        </w:rPr>
      </w:pPr>
    </w:p>
    <w:p w14:paraId="3F76F519" w14:textId="77777777" w:rsidR="00B32B35" w:rsidRDefault="00B32B35" w:rsidP="00B32B35">
      <w:pPr>
        <w:ind w:left="-142" w:firstLine="850"/>
        <w:rPr>
          <w:rFonts w:ascii="Arial Narrow" w:eastAsia="Calibri" w:hAnsi="Arial Narrow"/>
          <w:sz w:val="18"/>
          <w:szCs w:val="18"/>
          <w:lang w:eastAsia="en-US"/>
        </w:rPr>
      </w:pPr>
      <w:r w:rsidRPr="000B4845">
        <w:rPr>
          <w:rFonts w:ascii="Arial Narrow" w:eastAsia="Calibri" w:hAnsi="Arial Narrow"/>
          <w:sz w:val="18"/>
          <w:szCs w:val="18"/>
          <w:lang w:eastAsia="en-US"/>
        </w:rPr>
        <w:t>Fuente: Sistema PEI al 24 de enero del 2020 (año 2019)</w:t>
      </w:r>
      <w:r>
        <w:rPr>
          <w:rFonts w:ascii="Arial Narrow" w:eastAsia="Calibri" w:hAnsi="Arial Narrow"/>
          <w:sz w:val="18"/>
          <w:szCs w:val="18"/>
          <w:lang w:eastAsia="en-US"/>
        </w:rPr>
        <w:t xml:space="preserve"> y 04 de marzo del 2021 (año 2020).</w:t>
      </w:r>
    </w:p>
    <w:p w14:paraId="3A81968F" w14:textId="77777777" w:rsidR="009D5823" w:rsidRDefault="009D5823" w:rsidP="00481D2F">
      <w:pPr>
        <w:jc w:val="both"/>
        <w:rPr>
          <w:rFonts w:cs="Calibri"/>
          <w:sz w:val="18"/>
          <w:szCs w:val="18"/>
          <w:lang w:val="es-CR" w:eastAsia="es-CR"/>
        </w:rPr>
        <w:sectPr w:rsidR="009D5823" w:rsidSect="009D5823">
          <w:pgSz w:w="15842" w:h="12242" w:orient="landscape" w:code="1"/>
          <w:pgMar w:top="1417" w:right="1701" w:bottom="1417" w:left="1701" w:header="709" w:footer="709" w:gutter="0"/>
          <w:cols w:space="708"/>
          <w:docGrid w:linePitch="360"/>
        </w:sectPr>
      </w:pPr>
    </w:p>
    <w:p w14:paraId="572DCAC1" w14:textId="77777777" w:rsidR="009D5823" w:rsidRDefault="009D5823" w:rsidP="00481D2F">
      <w:pPr>
        <w:jc w:val="both"/>
        <w:rPr>
          <w:rFonts w:cs="Calibri"/>
          <w:sz w:val="18"/>
          <w:szCs w:val="18"/>
          <w:lang w:val="es-CR" w:eastAsia="es-CR"/>
        </w:rPr>
      </w:pPr>
    </w:p>
    <w:p w14:paraId="5B298879" w14:textId="57B096F3" w:rsidR="007B2308" w:rsidRPr="00704B08" w:rsidRDefault="00803EF6" w:rsidP="00704B08">
      <w:pPr>
        <w:spacing w:line="360" w:lineRule="auto"/>
        <w:jc w:val="both"/>
        <w:rPr>
          <w:rFonts w:ascii="Arial Narrow" w:hAnsi="Arial Narrow"/>
          <w:lang w:val="es-CR" w:eastAsia="es-CR"/>
        </w:rPr>
      </w:pPr>
      <w:r>
        <w:rPr>
          <w:rFonts w:ascii="Arial Narrow" w:hAnsi="Arial Narrow" w:cs="Calibri"/>
          <w:color w:val="000000"/>
          <w:lang w:val="es-CR" w:eastAsia="es-CR"/>
        </w:rPr>
        <w:t>La</w:t>
      </w:r>
      <w:r w:rsidRPr="002E0B96">
        <w:rPr>
          <w:rFonts w:ascii="Arial Narrow" w:hAnsi="Arial Narrow" w:cs="Calibri"/>
          <w:color w:val="000000"/>
          <w:lang w:val="es-CR" w:eastAsia="es-CR"/>
        </w:rPr>
        <w:t xml:space="preserve"> meta estratégica</w:t>
      </w:r>
      <w:r>
        <w:rPr>
          <w:rFonts w:ascii="Arial Narrow" w:hAnsi="Arial Narrow" w:cs="Calibri"/>
          <w:b/>
          <w:bCs/>
          <w:color w:val="000000"/>
          <w:lang w:val="es-CR" w:eastAsia="es-CR"/>
        </w:rPr>
        <w:t xml:space="preserve"> “</w:t>
      </w:r>
      <w:r w:rsidR="008979F8" w:rsidRPr="00704B08">
        <w:rPr>
          <w:rFonts w:ascii="Arial Narrow" w:hAnsi="Arial Narrow"/>
          <w:b/>
          <w:bCs/>
          <w:i/>
          <w:iCs/>
          <w:lang w:val="es-CR" w:eastAsia="es-CR"/>
        </w:rPr>
        <w:t>Que al finalizar el 2024, la Defensa Pública se haya pronunciado sobre la totalidad de los proyectos de ley o propuestas de reforma legales que le hayan sido puestos en consulta y que inciden en su funcionamiento, estructura y organización</w:t>
      </w:r>
      <w:r>
        <w:rPr>
          <w:rFonts w:ascii="Arial Narrow" w:hAnsi="Arial Narrow"/>
          <w:b/>
          <w:bCs/>
          <w:lang w:val="es-CR" w:eastAsia="es-CR"/>
        </w:rPr>
        <w:t>”</w:t>
      </w:r>
      <w:r w:rsidR="00DD2BFA">
        <w:rPr>
          <w:rFonts w:ascii="Arial Narrow" w:hAnsi="Arial Narrow"/>
          <w:b/>
          <w:bCs/>
          <w:lang w:val="es-CR" w:eastAsia="es-CR"/>
        </w:rPr>
        <w:t>,</w:t>
      </w:r>
      <w:r w:rsidR="007B2308" w:rsidRPr="00704B08">
        <w:rPr>
          <w:rFonts w:ascii="Arial Narrow" w:hAnsi="Arial Narrow"/>
          <w:lang w:val="es-CR" w:eastAsia="es-CR"/>
        </w:rPr>
        <w:t xml:space="preserve"> </w:t>
      </w:r>
      <w:r>
        <w:rPr>
          <w:rFonts w:ascii="Arial Narrow" w:hAnsi="Arial Narrow"/>
          <w:lang w:val="es-CR" w:eastAsia="es-CR"/>
        </w:rPr>
        <w:t>e</w:t>
      </w:r>
      <w:r w:rsidR="007B2308" w:rsidRPr="00704B08">
        <w:rPr>
          <w:rFonts w:ascii="Arial Narrow" w:hAnsi="Arial Narrow"/>
          <w:lang w:val="es-CR" w:eastAsia="es-CR"/>
        </w:rPr>
        <w:t>n lo que res</w:t>
      </w:r>
      <w:r w:rsidR="007B2308" w:rsidRPr="00935D7F">
        <w:rPr>
          <w:rFonts w:ascii="Arial Narrow" w:hAnsi="Arial Narrow"/>
          <w:lang w:val="es-CR" w:eastAsia="es-CR"/>
        </w:rPr>
        <w:t>pe</w:t>
      </w:r>
      <w:r w:rsidR="007B2308" w:rsidRPr="00704B08">
        <w:rPr>
          <w:rFonts w:ascii="Arial Narrow" w:hAnsi="Arial Narrow"/>
          <w:lang w:val="es-CR" w:eastAsia="es-CR"/>
        </w:rPr>
        <w:t>cta a esta meta se tiene que la Defensa Pública conformó un equipo técnico de Asuntos Legislativos a lo Interno de la Defensa Pública con el debido empoderamiento para  impulsar y dar seguimiento a los distintos proyectos de Ley y reformas, estableciendo las directrices necesarias para el funcionamiento del equipo técnico de Asuntos Legislativos y el proceso de análisis de los proyectos de Ley y Reformas. Por otra parte, se verifica la documentación brindada por medio del sistema PAO y se observa que los controles se encuentran actualizados tanto para el año 2019 como el año 2020. Es por tal motivo que se reporta el cumplimiento del 100% para ambos años y un 20% en el porcentaje acumulado.</w:t>
      </w:r>
    </w:p>
    <w:p w14:paraId="0E4A30DE" w14:textId="77777777" w:rsidR="000A6DCC" w:rsidRPr="00704B08" w:rsidRDefault="000A6DCC" w:rsidP="00935D7F">
      <w:pPr>
        <w:spacing w:line="360" w:lineRule="auto"/>
        <w:jc w:val="both"/>
        <w:rPr>
          <w:rFonts w:ascii="Arial Narrow" w:eastAsia="Calibri" w:hAnsi="Arial Narrow"/>
          <w:b/>
          <w:bCs/>
        </w:rPr>
      </w:pPr>
    </w:p>
    <w:p w14:paraId="63EABDF0" w14:textId="2C9BCE2E" w:rsidR="00097516" w:rsidRDefault="00803EF6" w:rsidP="00935D7F">
      <w:pPr>
        <w:spacing w:line="360" w:lineRule="auto"/>
        <w:jc w:val="both"/>
        <w:rPr>
          <w:rFonts w:ascii="Arial Narrow" w:hAnsi="Arial Narrow"/>
          <w:lang w:val="es-CR" w:eastAsia="es-CR"/>
        </w:rPr>
      </w:pPr>
      <w:r>
        <w:rPr>
          <w:rFonts w:ascii="Arial Narrow" w:hAnsi="Arial Narrow" w:cs="Calibri"/>
          <w:color w:val="000000"/>
          <w:lang w:val="es-CR" w:eastAsia="es-CR"/>
        </w:rPr>
        <w:t>Por su parte, la</w:t>
      </w:r>
      <w:r w:rsidRPr="002E0B96">
        <w:rPr>
          <w:rFonts w:ascii="Arial Narrow" w:hAnsi="Arial Narrow" w:cs="Calibri"/>
          <w:color w:val="000000"/>
          <w:lang w:val="es-CR" w:eastAsia="es-CR"/>
        </w:rPr>
        <w:t xml:space="preserve"> meta estratégica</w:t>
      </w:r>
      <w:r>
        <w:rPr>
          <w:rFonts w:ascii="Arial Narrow" w:hAnsi="Arial Narrow" w:cs="Calibri"/>
          <w:b/>
          <w:bCs/>
          <w:color w:val="000000"/>
          <w:lang w:val="es-CR" w:eastAsia="es-CR"/>
        </w:rPr>
        <w:t xml:space="preserve"> “</w:t>
      </w:r>
      <w:r w:rsidR="008979F8" w:rsidRPr="00704B08">
        <w:rPr>
          <w:rFonts w:ascii="Arial Narrow" w:hAnsi="Arial Narrow"/>
          <w:b/>
          <w:bCs/>
          <w:i/>
          <w:iCs/>
          <w:lang w:val="es-CR" w:eastAsia="es-CR"/>
        </w:rPr>
        <w:t>Que al finalizar el 2024, se haya presentado ante el órgano aprobador, la propuesta del reglamento de la Ley 8720: Ley de protección a víctimas, testigos y demás sujetos intervinientes en el proceso penal, reformas y adición al Código Procesal Penal y al Código Penal</w:t>
      </w:r>
      <w:r w:rsidRPr="00704B08">
        <w:rPr>
          <w:rFonts w:ascii="Arial Narrow" w:hAnsi="Arial Narrow"/>
          <w:b/>
          <w:bCs/>
          <w:i/>
          <w:iCs/>
          <w:lang w:val="es-CR" w:eastAsia="es-CR"/>
        </w:rPr>
        <w:t>”</w:t>
      </w:r>
      <w:r w:rsidR="00DD2BFA">
        <w:rPr>
          <w:rFonts w:ascii="Arial Narrow" w:hAnsi="Arial Narrow"/>
          <w:b/>
          <w:bCs/>
          <w:i/>
          <w:iCs/>
          <w:lang w:val="es-CR" w:eastAsia="es-CR"/>
        </w:rPr>
        <w:t>,</w:t>
      </w:r>
      <w:r w:rsidR="007B2308">
        <w:rPr>
          <w:rFonts w:ascii="Arial Narrow" w:hAnsi="Arial Narrow"/>
          <w:b/>
          <w:bCs/>
          <w:lang w:val="es-CR" w:eastAsia="es-CR"/>
        </w:rPr>
        <w:t xml:space="preserve"> </w:t>
      </w:r>
      <w:r w:rsidR="00E61F78" w:rsidRPr="00704B08">
        <w:rPr>
          <w:rFonts w:ascii="Arial Narrow" w:hAnsi="Arial Narrow"/>
        </w:rPr>
        <w:t xml:space="preserve">con respecto a esta meta para el 2019 </w:t>
      </w:r>
      <w:r w:rsidR="00097516" w:rsidRPr="00704B08">
        <w:rPr>
          <w:rFonts w:ascii="Arial Narrow" w:hAnsi="Arial Narrow"/>
        </w:rPr>
        <w:t>s</w:t>
      </w:r>
      <w:r w:rsidR="00E61F78" w:rsidRPr="00704B08">
        <w:rPr>
          <w:rFonts w:ascii="Arial Narrow" w:hAnsi="Arial Narrow"/>
        </w:rPr>
        <w:t>e conformó el equipo de trabajo  que fue</w:t>
      </w:r>
      <w:r w:rsidR="00097516" w:rsidRPr="00704B08">
        <w:rPr>
          <w:rFonts w:ascii="Arial Narrow" w:hAnsi="Arial Narrow"/>
        </w:rPr>
        <w:t xml:space="preserve"> </w:t>
      </w:r>
      <w:r w:rsidR="00E61F78" w:rsidRPr="00704B08">
        <w:rPr>
          <w:rFonts w:ascii="Arial Narrow" w:hAnsi="Arial Narrow"/>
        </w:rPr>
        <w:t xml:space="preserve">el encargado de redactar  el reglamento  de la Ley 8720 y </w:t>
      </w:r>
      <w:r w:rsidR="00AE23CA" w:rsidRPr="00704B08">
        <w:rPr>
          <w:rFonts w:ascii="Arial Narrow" w:hAnsi="Arial Narrow"/>
        </w:rPr>
        <w:t xml:space="preserve">el </w:t>
      </w:r>
      <w:r w:rsidR="00E61F78" w:rsidRPr="00704B08">
        <w:rPr>
          <w:rFonts w:ascii="Arial Narrow" w:hAnsi="Arial Narrow"/>
        </w:rPr>
        <w:t xml:space="preserve">plan para determinar la </w:t>
      </w:r>
      <w:r w:rsidR="00097516" w:rsidRPr="00704B08">
        <w:rPr>
          <w:rFonts w:ascii="Arial Narrow" w:hAnsi="Arial Narrow"/>
        </w:rPr>
        <w:t>metodología</w:t>
      </w:r>
      <w:r w:rsidR="00E61F78" w:rsidRPr="00704B08">
        <w:rPr>
          <w:rFonts w:ascii="Arial Narrow" w:hAnsi="Arial Narrow"/>
        </w:rPr>
        <w:t xml:space="preserve"> de trabajo para la redacción del reglamento de la OAPVD.</w:t>
      </w:r>
      <w:r w:rsidR="00AE23CA" w:rsidRPr="00704B08">
        <w:rPr>
          <w:rFonts w:ascii="Arial Narrow" w:hAnsi="Arial Narrow"/>
        </w:rPr>
        <w:t xml:space="preserve"> En cuanto al año 2020 se tiene que por</w:t>
      </w:r>
      <w:r w:rsidR="00097516" w:rsidRPr="00704B08">
        <w:rPr>
          <w:rFonts w:ascii="Arial Narrow" w:hAnsi="Arial Narrow"/>
        </w:rPr>
        <w:t xml:space="preserve"> parte del equipo de profesionales en derecho responsables de la redacción de la propuesta del reglamento de la Ley 8720, se recibió un borrador el cual se trasladó a la subjefatura y coordinadores de la OAPVD para </w:t>
      </w:r>
      <w:r w:rsidR="00AE23CA" w:rsidRPr="00935D7F">
        <w:rPr>
          <w:rFonts w:ascii="Arial Narrow" w:hAnsi="Arial Narrow"/>
        </w:rPr>
        <w:t>revisión.</w:t>
      </w:r>
      <w:r w:rsidR="00AE23CA">
        <w:rPr>
          <w:rFonts w:ascii="Arial Narrow" w:hAnsi="Arial Narrow"/>
        </w:rPr>
        <w:t xml:space="preserve"> Se reporta un cumplimiento total para ambos años y un cumplimiento acumulado del 20%.</w:t>
      </w:r>
    </w:p>
    <w:p w14:paraId="384CA539" w14:textId="1A17D7CC" w:rsidR="000C42E5" w:rsidRDefault="000C42E5" w:rsidP="00BB329B">
      <w:pPr>
        <w:spacing w:line="360" w:lineRule="auto"/>
        <w:jc w:val="both"/>
        <w:rPr>
          <w:rFonts w:ascii="Arial Narrow" w:hAnsi="Arial Narrow"/>
          <w:b/>
          <w:bCs/>
          <w:lang w:val="es-CR" w:eastAsia="es-CR"/>
        </w:rPr>
      </w:pPr>
    </w:p>
    <w:p w14:paraId="2B3D6FFF" w14:textId="77777777" w:rsidR="009D5823" w:rsidRDefault="009D5823" w:rsidP="00BB329B">
      <w:pPr>
        <w:spacing w:line="360" w:lineRule="auto"/>
        <w:jc w:val="both"/>
        <w:rPr>
          <w:rFonts w:ascii="Arial Narrow" w:hAnsi="Arial Narrow"/>
          <w:b/>
          <w:bCs/>
          <w:lang w:val="es-CR" w:eastAsia="es-CR"/>
        </w:rPr>
        <w:sectPr w:rsidR="009D5823" w:rsidSect="009D5823">
          <w:pgSz w:w="12242" w:h="15842" w:code="1"/>
          <w:pgMar w:top="1701" w:right="1417" w:bottom="1701" w:left="1417" w:header="709" w:footer="709" w:gutter="0"/>
          <w:cols w:space="708"/>
          <w:docGrid w:linePitch="360"/>
        </w:sectPr>
      </w:pPr>
    </w:p>
    <w:p w14:paraId="6114E25C" w14:textId="67BF92D0" w:rsidR="00E61F78" w:rsidRDefault="00E61F78" w:rsidP="00BB329B">
      <w:pPr>
        <w:spacing w:line="360" w:lineRule="auto"/>
        <w:jc w:val="both"/>
        <w:rPr>
          <w:rFonts w:ascii="Arial Narrow" w:hAnsi="Arial Narrow"/>
          <w:b/>
          <w:bCs/>
          <w:lang w:val="es-CR" w:eastAsia="es-CR"/>
        </w:rPr>
      </w:pPr>
    </w:p>
    <w:p w14:paraId="79836FF0" w14:textId="426A32A3" w:rsidR="00D01745" w:rsidRDefault="00D01745" w:rsidP="00935D7F">
      <w:pPr>
        <w:spacing w:line="360" w:lineRule="auto"/>
        <w:jc w:val="both"/>
        <w:rPr>
          <w:rFonts w:ascii="Arial Narrow" w:hAnsi="Arial Narrow"/>
          <w:b/>
          <w:bCs/>
          <w:lang w:val="es-CR" w:eastAsia="es-CR"/>
        </w:rPr>
      </w:pPr>
    </w:p>
    <w:p w14:paraId="28985ECC" w14:textId="2BCC3AEC" w:rsidR="00803EF6" w:rsidRDefault="00803EF6" w:rsidP="00803EF6">
      <w:pPr>
        <w:pStyle w:val="Descripcin"/>
        <w:jc w:val="center"/>
        <w:rPr>
          <w:rFonts w:ascii="Arial Narrow" w:eastAsia="Calibri" w:hAnsi="Arial Narrow"/>
          <w:sz w:val="24"/>
          <w:szCs w:val="24"/>
        </w:rPr>
      </w:pPr>
      <w:bookmarkStart w:id="106" w:name="_Toc76062282"/>
      <w:r w:rsidRPr="00484CC1">
        <w:rPr>
          <w:rFonts w:ascii="Arial Narrow" w:hAnsi="Arial Narrow"/>
          <w:sz w:val="24"/>
          <w:szCs w:val="24"/>
        </w:rPr>
        <w:t xml:space="preserve">Cuadro </w:t>
      </w:r>
      <w:r w:rsidRPr="00484CC1">
        <w:rPr>
          <w:rFonts w:ascii="Arial Narrow" w:hAnsi="Arial Narrow"/>
          <w:sz w:val="24"/>
          <w:szCs w:val="24"/>
        </w:rPr>
        <w:fldChar w:fldCharType="begin"/>
      </w:r>
      <w:r w:rsidRPr="00484CC1">
        <w:rPr>
          <w:rFonts w:ascii="Arial Narrow" w:hAnsi="Arial Narrow"/>
          <w:sz w:val="24"/>
          <w:szCs w:val="24"/>
        </w:rPr>
        <w:instrText xml:space="preserve"> SEQ Cuadro_No. \* ARABIC </w:instrText>
      </w:r>
      <w:r w:rsidRPr="00484CC1">
        <w:rPr>
          <w:rFonts w:ascii="Arial Narrow" w:hAnsi="Arial Narrow"/>
          <w:sz w:val="24"/>
          <w:szCs w:val="24"/>
        </w:rPr>
        <w:fldChar w:fldCharType="separate"/>
      </w:r>
      <w:r w:rsidR="009D5823">
        <w:rPr>
          <w:rFonts w:ascii="Arial Narrow" w:hAnsi="Arial Narrow"/>
          <w:noProof/>
          <w:sz w:val="24"/>
          <w:szCs w:val="24"/>
        </w:rPr>
        <w:t>59</w:t>
      </w:r>
      <w:r w:rsidRPr="00484CC1">
        <w:rPr>
          <w:rFonts w:ascii="Arial Narrow" w:hAnsi="Arial Narrow"/>
          <w:sz w:val="24"/>
          <w:szCs w:val="24"/>
        </w:rPr>
        <w:fldChar w:fldCharType="end"/>
      </w:r>
      <w:r w:rsidRPr="00484CC1">
        <w:rPr>
          <w:rFonts w:ascii="Arial Narrow" w:hAnsi="Arial Narrow"/>
          <w:sz w:val="24"/>
          <w:szCs w:val="24"/>
        </w:rPr>
        <w:t xml:space="preserve"> </w:t>
      </w:r>
      <w:r w:rsidRPr="00211B03">
        <w:rPr>
          <w:rFonts w:ascii="Arial Narrow" w:eastAsia="Calibri" w:hAnsi="Arial Narrow"/>
          <w:sz w:val="24"/>
          <w:szCs w:val="24"/>
        </w:rPr>
        <w:t>Metas estratégicas de Leyes y reformas, y su cumplimiento para el 2019</w:t>
      </w:r>
      <w:r>
        <w:rPr>
          <w:rFonts w:ascii="Arial Narrow" w:eastAsia="Calibri" w:hAnsi="Arial Narrow"/>
          <w:sz w:val="24"/>
          <w:szCs w:val="24"/>
        </w:rPr>
        <w:t xml:space="preserve"> y 2020.</w:t>
      </w:r>
      <w:bookmarkEnd w:id="106"/>
    </w:p>
    <w:p w14:paraId="4B196FE4" w14:textId="4212F1D3" w:rsidR="00B32B35" w:rsidRDefault="00B32B35" w:rsidP="00B32B35">
      <w:pPr>
        <w:jc w:val="both"/>
        <w:rPr>
          <w:rFonts w:cs="Calibri"/>
          <w:sz w:val="18"/>
          <w:szCs w:val="18"/>
          <w:lang w:val="es-CR" w:eastAsia="es-CR"/>
        </w:rPr>
      </w:pPr>
      <w:r>
        <w:rPr>
          <w:noProof/>
          <w:lang w:val="es-CR" w:eastAsia="es-CR"/>
        </w:rPr>
        <w:drawing>
          <wp:inline distT="0" distB="0" distL="0" distR="0" wp14:anchorId="69972FD8" wp14:editId="3BF5C35E">
            <wp:extent cx="7848600" cy="2904991"/>
            <wp:effectExtent l="57150" t="57150" r="95250" b="86360"/>
            <wp:docPr id="105" name="Imagen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1"/>
                    <a:srcRect l="241" r="402"/>
                    <a:stretch/>
                  </pic:blipFill>
                  <pic:spPr bwMode="auto">
                    <a:xfrm>
                      <a:off x="0" y="0"/>
                      <a:ext cx="7858023" cy="2908479"/>
                    </a:xfrm>
                    <a:prstGeom prst="rect">
                      <a:avLst/>
                    </a:prstGeom>
                    <a:ln w="9525" cap="sq" cmpd="sng" algn="ctr">
                      <a:solidFill>
                        <a:srgbClr val="00B0F0"/>
                      </a:solidFill>
                      <a:prstDash val="solid"/>
                      <a:miter lim="800000"/>
                      <a:headEnd type="none" w="med" len="med"/>
                      <a:tailEnd type="none" w="med" len="med"/>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29E65665" w14:textId="77777777" w:rsidR="00B32B35" w:rsidRDefault="00B32B35" w:rsidP="00B32B35">
      <w:pPr>
        <w:ind w:left="-142" w:firstLine="850"/>
        <w:rPr>
          <w:rFonts w:ascii="Arial Narrow" w:eastAsia="Calibri" w:hAnsi="Arial Narrow"/>
          <w:sz w:val="18"/>
          <w:szCs w:val="18"/>
          <w:lang w:eastAsia="en-US"/>
        </w:rPr>
      </w:pPr>
      <w:r w:rsidRPr="000B4845">
        <w:rPr>
          <w:rFonts w:ascii="Arial Narrow" w:eastAsia="Calibri" w:hAnsi="Arial Narrow"/>
          <w:sz w:val="18"/>
          <w:szCs w:val="18"/>
          <w:lang w:eastAsia="en-US"/>
        </w:rPr>
        <w:t>Fuente: Sistema PEI al 24 de enero del 2020 (año 2019)</w:t>
      </w:r>
      <w:r>
        <w:rPr>
          <w:rFonts w:ascii="Arial Narrow" w:eastAsia="Calibri" w:hAnsi="Arial Narrow"/>
          <w:sz w:val="18"/>
          <w:szCs w:val="18"/>
          <w:lang w:eastAsia="en-US"/>
        </w:rPr>
        <w:t xml:space="preserve"> y 04 de marzo del 2021 (año 2020).</w:t>
      </w:r>
    </w:p>
    <w:p w14:paraId="5C47B040" w14:textId="7898A7D1" w:rsidR="00B32B35" w:rsidRDefault="00B32B35" w:rsidP="00935D7F">
      <w:pPr>
        <w:spacing w:line="360" w:lineRule="auto"/>
        <w:jc w:val="both"/>
        <w:rPr>
          <w:rFonts w:ascii="Arial Narrow" w:hAnsi="Arial Narrow"/>
          <w:b/>
          <w:bCs/>
          <w:lang w:val="es-CR" w:eastAsia="es-CR"/>
        </w:rPr>
      </w:pPr>
    </w:p>
    <w:p w14:paraId="4CA652A1" w14:textId="77777777" w:rsidR="009D5823" w:rsidRDefault="009D5823" w:rsidP="00935D7F">
      <w:pPr>
        <w:spacing w:line="360" w:lineRule="auto"/>
        <w:jc w:val="both"/>
        <w:rPr>
          <w:rFonts w:ascii="Arial Narrow" w:hAnsi="Arial Narrow"/>
          <w:b/>
          <w:bCs/>
          <w:lang w:val="es-CR" w:eastAsia="es-CR"/>
        </w:rPr>
        <w:sectPr w:rsidR="009D5823" w:rsidSect="009D5823">
          <w:pgSz w:w="15842" w:h="12242" w:orient="landscape" w:code="1"/>
          <w:pgMar w:top="1417" w:right="1701" w:bottom="1417" w:left="1701" w:header="709" w:footer="709" w:gutter="0"/>
          <w:cols w:space="708"/>
          <w:docGrid w:linePitch="360"/>
        </w:sectPr>
      </w:pPr>
    </w:p>
    <w:p w14:paraId="136AFEA1" w14:textId="13EB8051" w:rsidR="009D5823" w:rsidRPr="00704B08" w:rsidRDefault="009D5823" w:rsidP="00935D7F">
      <w:pPr>
        <w:spacing w:line="360" w:lineRule="auto"/>
        <w:jc w:val="both"/>
        <w:rPr>
          <w:rFonts w:ascii="Arial Narrow" w:hAnsi="Arial Narrow"/>
          <w:b/>
          <w:bCs/>
          <w:lang w:val="es-CR" w:eastAsia="es-CR"/>
        </w:rPr>
      </w:pPr>
    </w:p>
    <w:p w14:paraId="0D982572" w14:textId="704195BF" w:rsidR="00097516" w:rsidRPr="00704B08" w:rsidRDefault="00594999" w:rsidP="00935D7F">
      <w:pPr>
        <w:spacing w:line="360" w:lineRule="auto"/>
        <w:jc w:val="both"/>
        <w:rPr>
          <w:rFonts w:ascii="Arial Narrow" w:hAnsi="Arial Narrow"/>
          <w:b/>
          <w:bCs/>
          <w:lang w:val="es-CR" w:eastAsia="es-CR"/>
        </w:rPr>
      </w:pPr>
      <w:r>
        <w:rPr>
          <w:rFonts w:ascii="Arial Narrow" w:hAnsi="Arial Narrow" w:cs="Calibri"/>
          <w:color w:val="000000"/>
          <w:lang w:val="es-CR" w:eastAsia="es-CR"/>
        </w:rPr>
        <w:t>La</w:t>
      </w:r>
      <w:r w:rsidRPr="002E0B96">
        <w:rPr>
          <w:rFonts w:ascii="Arial Narrow" w:hAnsi="Arial Narrow" w:cs="Calibri"/>
          <w:color w:val="000000"/>
          <w:lang w:val="es-CR" w:eastAsia="es-CR"/>
        </w:rPr>
        <w:t xml:space="preserve"> meta </w:t>
      </w:r>
      <w:r w:rsidRPr="007C3722">
        <w:rPr>
          <w:rFonts w:ascii="Arial Narrow" w:hAnsi="Arial Narrow" w:cs="Calibri"/>
          <w:color w:val="000000"/>
          <w:lang w:val="es-CR" w:eastAsia="es-CR"/>
        </w:rPr>
        <w:t>estratégica</w:t>
      </w:r>
      <w:r w:rsidRPr="007C3722">
        <w:rPr>
          <w:rFonts w:ascii="Arial Narrow" w:hAnsi="Arial Narrow" w:cs="Calibri"/>
          <w:b/>
          <w:bCs/>
          <w:color w:val="000000"/>
          <w:lang w:val="es-CR" w:eastAsia="es-CR"/>
        </w:rPr>
        <w:t xml:space="preserve"> </w:t>
      </w:r>
      <w:r w:rsidRPr="00704B08">
        <w:rPr>
          <w:rFonts w:ascii="Arial Narrow" w:hAnsi="Arial Narrow"/>
          <w:b/>
          <w:bCs/>
          <w:lang w:val="es-CR" w:eastAsia="es-CR"/>
        </w:rPr>
        <w:t>“</w:t>
      </w:r>
      <w:r w:rsidR="00BB329B" w:rsidRPr="00704B08">
        <w:rPr>
          <w:rFonts w:ascii="Arial Narrow" w:hAnsi="Arial Narrow"/>
          <w:b/>
          <w:bCs/>
          <w:i/>
          <w:iCs/>
          <w:lang w:val="es-CR" w:eastAsia="es-CR"/>
        </w:rPr>
        <w:t>Que al finalizar el 2024, se haya presentado la reforma a la Ley 8720: Ley de protección a víctimas, testigos y demás sujetos intervinientes en el proceso penal, reformas y adición al Código Procesal Penal y al Código Pena</w:t>
      </w:r>
      <w:r w:rsidR="00BB329B" w:rsidRPr="00704B08">
        <w:rPr>
          <w:rFonts w:ascii="Arial Narrow" w:hAnsi="Arial Narrow"/>
          <w:b/>
          <w:bCs/>
          <w:lang w:val="es-CR" w:eastAsia="es-CR"/>
        </w:rPr>
        <w:t>l</w:t>
      </w:r>
      <w:r w:rsidRPr="007C3722">
        <w:rPr>
          <w:rFonts w:ascii="Arial Narrow" w:hAnsi="Arial Narrow"/>
          <w:b/>
          <w:bCs/>
          <w:lang w:val="es-CR" w:eastAsia="es-CR"/>
        </w:rPr>
        <w:t>”</w:t>
      </w:r>
      <w:r w:rsidR="00DD2BFA">
        <w:rPr>
          <w:rFonts w:ascii="Arial Narrow" w:hAnsi="Arial Narrow"/>
          <w:b/>
          <w:bCs/>
          <w:lang w:val="es-CR" w:eastAsia="es-CR"/>
        </w:rPr>
        <w:t>,</w:t>
      </w:r>
      <w:r w:rsidR="000E40F4" w:rsidRPr="007C3722">
        <w:rPr>
          <w:rFonts w:ascii="Arial Narrow" w:hAnsi="Arial Narrow"/>
          <w:b/>
          <w:bCs/>
          <w:lang w:val="es-CR" w:eastAsia="es-CR"/>
        </w:rPr>
        <w:t xml:space="preserve"> </w:t>
      </w:r>
      <w:r w:rsidRPr="007C3722">
        <w:rPr>
          <w:rFonts w:ascii="Arial Narrow" w:eastAsia="Calibri" w:hAnsi="Arial Narrow"/>
        </w:rPr>
        <w:t>e</w:t>
      </w:r>
      <w:r w:rsidR="00E61F78" w:rsidRPr="007C3722">
        <w:rPr>
          <w:rFonts w:ascii="Arial Narrow" w:eastAsia="Calibri" w:hAnsi="Arial Narrow"/>
        </w:rPr>
        <w:t>s importante señalar que en la Matriz del PEI 2019-2024 adicionalmente se incluye esta meta estratégica</w:t>
      </w:r>
      <w:r w:rsidR="00E61F78" w:rsidRPr="007C3722">
        <w:rPr>
          <w:rFonts w:ascii="Arial Narrow" w:eastAsia="Calibri" w:hAnsi="Arial Narrow"/>
          <w:b/>
          <w:bCs/>
          <w:i/>
          <w:iCs/>
        </w:rPr>
        <w:t xml:space="preserve">, </w:t>
      </w:r>
      <w:r w:rsidR="00E61F78" w:rsidRPr="007C3722">
        <w:rPr>
          <w:rFonts w:ascii="Arial Narrow" w:eastAsia="Calibri" w:hAnsi="Arial Narrow"/>
        </w:rPr>
        <w:t xml:space="preserve">la cual de acuerdo con la revisión efectuada se logró determinar que no se asoció a ningún PAO de oficina para el 2019, sin embargo, se retomó para cumplirse en el 2020 por medio de la ejecución operativa. </w:t>
      </w:r>
      <w:r w:rsidR="005930A5" w:rsidRPr="007C3722">
        <w:rPr>
          <w:rFonts w:ascii="Arial Narrow" w:eastAsia="Calibri" w:hAnsi="Arial Narrow"/>
        </w:rPr>
        <w:t>Se procedió a verificar</w:t>
      </w:r>
      <w:r w:rsidR="005930A5" w:rsidRPr="000E40F4">
        <w:rPr>
          <w:rFonts w:ascii="Arial Narrow" w:eastAsia="Calibri" w:hAnsi="Arial Narrow"/>
        </w:rPr>
        <w:t xml:space="preserve"> los avances del a</w:t>
      </w:r>
      <w:r w:rsidR="000E40F4" w:rsidRPr="000E40F4">
        <w:rPr>
          <w:rFonts w:ascii="Arial Narrow" w:eastAsia="Calibri" w:hAnsi="Arial Narrow"/>
        </w:rPr>
        <w:t>ñ</w:t>
      </w:r>
      <w:r w:rsidR="005930A5" w:rsidRPr="000E40F4">
        <w:rPr>
          <w:rFonts w:ascii="Arial Narrow" w:eastAsia="Calibri" w:hAnsi="Arial Narrow"/>
        </w:rPr>
        <w:t xml:space="preserve">o 2020 y se observa por medio del sistema PAO que </w:t>
      </w:r>
      <w:r w:rsidR="000E40F4" w:rsidRPr="000E40F4">
        <w:rPr>
          <w:rFonts w:ascii="Arial Narrow" w:eastAsia="Calibri" w:hAnsi="Arial Narrow"/>
        </w:rPr>
        <w:t>se asoció la meta operativa “</w:t>
      </w:r>
      <w:r w:rsidR="000E40F4" w:rsidRPr="00704B08">
        <w:rPr>
          <w:rFonts w:ascii="Arial Narrow" w:hAnsi="Arial Narrow"/>
        </w:rPr>
        <w:t>1</w:t>
      </w:r>
      <w:r w:rsidR="000E40F4" w:rsidRPr="00704B08">
        <w:rPr>
          <w:rFonts w:ascii="Arial Narrow" w:hAnsi="Arial Narrow"/>
          <w:i/>
          <w:iCs/>
        </w:rPr>
        <w:t xml:space="preserve">.2 - Que, al 30 de noviembre de 2020, se haya presentado a la Jefatura de la OAPVD el primer texto concerniente a la reforma de la Ley 8720” </w:t>
      </w:r>
      <w:r w:rsidR="000E40F4" w:rsidRPr="00704B08">
        <w:rPr>
          <w:rFonts w:ascii="Arial Narrow" w:hAnsi="Arial Narrow"/>
        </w:rPr>
        <w:t xml:space="preserve">y se indica por parte de la Oficina de Atención a la Victima de Delitos se gestionó lo correspondiente e ingresó como un proyecto el cual estaba siendo atendido por un equipo de profesionales de la OAPVD. </w:t>
      </w:r>
      <w:r w:rsidR="000E40F4">
        <w:rPr>
          <w:rFonts w:ascii="Arial Narrow" w:hAnsi="Arial Narrow"/>
        </w:rPr>
        <w:t xml:space="preserve">De acuerdo </w:t>
      </w:r>
      <w:r w:rsidR="007C3722">
        <w:rPr>
          <w:rFonts w:ascii="Arial Narrow" w:hAnsi="Arial Narrow"/>
        </w:rPr>
        <w:t>con</w:t>
      </w:r>
      <w:r w:rsidR="000E40F4">
        <w:rPr>
          <w:rFonts w:ascii="Arial Narrow" w:hAnsi="Arial Narrow"/>
        </w:rPr>
        <w:t xml:space="preserve"> los resultados anteriores se re</w:t>
      </w:r>
      <w:r w:rsidR="006D1834">
        <w:rPr>
          <w:rFonts w:ascii="Arial Narrow" w:hAnsi="Arial Narrow"/>
        </w:rPr>
        <w:t>porta un cumplimiento del 100%.</w:t>
      </w:r>
    </w:p>
    <w:p w14:paraId="7A11F992" w14:textId="59EA2601" w:rsidR="007B2308" w:rsidRPr="00704B08" w:rsidRDefault="007B2308" w:rsidP="00935D7F">
      <w:pPr>
        <w:spacing w:line="360" w:lineRule="auto"/>
        <w:jc w:val="both"/>
        <w:rPr>
          <w:rFonts w:ascii="Arial Narrow" w:hAnsi="Arial Narrow"/>
          <w:b/>
          <w:bCs/>
          <w:lang w:val="es-CR" w:eastAsia="es-CR"/>
        </w:rPr>
      </w:pPr>
    </w:p>
    <w:p w14:paraId="64B16D8F" w14:textId="1F1AB4D4" w:rsidR="00510719" w:rsidRPr="00704B08" w:rsidRDefault="00594999" w:rsidP="00704B08">
      <w:pPr>
        <w:spacing w:line="360" w:lineRule="auto"/>
        <w:jc w:val="both"/>
        <w:rPr>
          <w:rFonts w:ascii="Arial Narrow" w:hAnsi="Arial Narrow"/>
          <w:b/>
          <w:bCs/>
          <w:lang w:val="es-CR" w:eastAsia="es-CR"/>
        </w:rPr>
      </w:pPr>
      <w:r>
        <w:rPr>
          <w:rFonts w:ascii="Arial Narrow" w:hAnsi="Arial Narrow" w:cs="Calibri"/>
          <w:color w:val="000000"/>
          <w:lang w:val="es-CR" w:eastAsia="es-CR"/>
        </w:rPr>
        <w:t>La</w:t>
      </w:r>
      <w:r w:rsidRPr="002E0B96">
        <w:rPr>
          <w:rFonts w:ascii="Arial Narrow" w:hAnsi="Arial Narrow" w:cs="Calibri"/>
          <w:color w:val="000000"/>
          <w:lang w:val="es-CR" w:eastAsia="es-CR"/>
        </w:rPr>
        <w:t xml:space="preserve"> meta estratégica</w:t>
      </w:r>
      <w:r>
        <w:rPr>
          <w:rFonts w:ascii="Arial Narrow" w:hAnsi="Arial Narrow" w:cs="Calibri"/>
          <w:b/>
          <w:bCs/>
          <w:color w:val="000000"/>
          <w:lang w:val="es-CR" w:eastAsia="es-CR"/>
        </w:rPr>
        <w:t xml:space="preserve"> “</w:t>
      </w:r>
      <w:r w:rsidR="00BB329B" w:rsidRPr="00704B08">
        <w:rPr>
          <w:rFonts w:ascii="Arial Narrow" w:hAnsi="Arial Narrow"/>
          <w:b/>
          <w:bCs/>
          <w:i/>
          <w:iCs/>
          <w:lang w:val="es-CR" w:eastAsia="es-CR"/>
        </w:rPr>
        <w:t>Que al finalizar el 2024, se haya implementado el plan definido, para la concentración de Corte Plena en funciones estrictamente de dirección general de la política judicial</w:t>
      </w:r>
      <w:r>
        <w:rPr>
          <w:rFonts w:ascii="Arial Narrow" w:hAnsi="Arial Narrow"/>
          <w:b/>
          <w:bCs/>
          <w:lang w:val="es-CR" w:eastAsia="es-CR"/>
        </w:rPr>
        <w:t>”</w:t>
      </w:r>
      <w:r w:rsidR="00DD2BFA">
        <w:rPr>
          <w:rFonts w:ascii="Arial Narrow" w:hAnsi="Arial Narrow"/>
          <w:b/>
          <w:bCs/>
          <w:lang w:val="es-CR" w:eastAsia="es-CR"/>
        </w:rPr>
        <w:t>,</w:t>
      </w:r>
      <w:r w:rsidR="00176D2E">
        <w:rPr>
          <w:rFonts w:ascii="Arial Narrow" w:hAnsi="Arial Narrow"/>
          <w:b/>
          <w:bCs/>
          <w:lang w:val="es-CR" w:eastAsia="es-CR"/>
        </w:rPr>
        <w:t xml:space="preserve"> </w:t>
      </w:r>
      <w:r>
        <w:rPr>
          <w:rFonts w:ascii="Arial Narrow" w:hAnsi="Arial Narrow" w:cs="Calibri"/>
          <w:lang w:val="es-CR" w:eastAsia="es-CR"/>
        </w:rPr>
        <w:t>p</w:t>
      </w:r>
      <w:r w:rsidR="00510719">
        <w:rPr>
          <w:rFonts w:ascii="Arial Narrow" w:hAnsi="Arial Narrow" w:cs="Calibri"/>
          <w:lang w:val="es-CR" w:eastAsia="es-CR"/>
        </w:rPr>
        <w:t>ara el año 2019 s</w:t>
      </w:r>
      <w:r w:rsidR="00510719" w:rsidRPr="00704B08">
        <w:rPr>
          <w:rFonts w:ascii="Arial Narrow" w:hAnsi="Arial Narrow" w:cs="Calibri"/>
          <w:lang w:val="es-CR" w:eastAsia="es-CR"/>
        </w:rPr>
        <w:t xml:space="preserve">e lleva a cabo </w:t>
      </w:r>
      <w:r w:rsidR="00510719">
        <w:rPr>
          <w:rFonts w:ascii="Arial Narrow" w:hAnsi="Arial Narrow" w:cs="Calibri"/>
          <w:lang w:val="es-CR" w:eastAsia="es-CR"/>
        </w:rPr>
        <w:t xml:space="preserve">el </w:t>
      </w:r>
      <w:r w:rsidR="00510719" w:rsidRPr="00704B08">
        <w:rPr>
          <w:rFonts w:ascii="Arial Narrow" w:hAnsi="Arial Narrow" w:cs="Calibri"/>
          <w:lang w:val="es-CR" w:eastAsia="es-CR"/>
        </w:rPr>
        <w:t xml:space="preserve">seguimiento sobre la elaboración de la propuesta para la concentración de Corte Plena en funciones estrictamente de dirección general de la política judicial. Para el año 2020 </w:t>
      </w:r>
      <w:r w:rsidR="00176D2E">
        <w:rPr>
          <w:rFonts w:ascii="Arial Narrow" w:hAnsi="Arial Narrow" w:cs="Calibri"/>
          <w:lang w:val="es-CR" w:eastAsia="es-CR"/>
        </w:rPr>
        <w:t xml:space="preserve">se elaboró el </w:t>
      </w:r>
      <w:r w:rsidR="00510719" w:rsidRPr="00704B08">
        <w:rPr>
          <w:rFonts w:ascii="Arial Narrow" w:hAnsi="Arial Narrow" w:cs="Calibri"/>
          <w:lang w:val="es-CR" w:eastAsia="es-CR"/>
        </w:rPr>
        <w:t>P</w:t>
      </w:r>
      <w:r w:rsidR="00176D2E">
        <w:rPr>
          <w:rFonts w:ascii="Arial Narrow" w:hAnsi="Arial Narrow" w:cs="Calibri"/>
          <w:lang w:val="es-CR" w:eastAsia="es-CR"/>
        </w:rPr>
        <w:t xml:space="preserve">lan para concentrar a Corte Plena en aspectos macro de Gobierno y definición de políticas generales </w:t>
      </w:r>
      <w:r w:rsidR="00176D2E" w:rsidRPr="00935D7F">
        <w:rPr>
          <w:rFonts w:ascii="Arial Narrow" w:hAnsi="Arial Narrow" w:cs="Calibri"/>
          <w:lang w:val="es-CR" w:eastAsia="es-CR"/>
        </w:rPr>
        <w:t>P</w:t>
      </w:r>
      <w:r w:rsidR="00510719" w:rsidRPr="00704B08">
        <w:rPr>
          <w:rFonts w:ascii="Arial Narrow" w:hAnsi="Arial Narrow" w:cs="Calibri"/>
          <w:lang w:val="es-CR" w:eastAsia="es-CR"/>
        </w:rPr>
        <w:t>8-PR1-PC</w:t>
      </w:r>
      <w:r w:rsidR="00176D2E">
        <w:rPr>
          <w:rFonts w:ascii="Arial Narrow" w:hAnsi="Arial Narrow" w:cs="Calibri"/>
          <w:lang w:val="es-CR" w:eastAsia="es-CR"/>
        </w:rPr>
        <w:t xml:space="preserve"> – </w:t>
      </w:r>
      <w:r w:rsidR="00510719" w:rsidRPr="00704B08">
        <w:rPr>
          <w:rFonts w:ascii="Arial Narrow" w:hAnsi="Arial Narrow" w:cs="Calibri"/>
          <w:lang w:val="es-CR" w:eastAsia="es-CR"/>
        </w:rPr>
        <w:t>P</w:t>
      </w:r>
      <w:r w:rsidR="00176D2E">
        <w:rPr>
          <w:rFonts w:ascii="Arial Narrow" w:hAnsi="Arial Narrow" w:cs="Calibri"/>
          <w:lang w:val="es-CR" w:eastAsia="es-CR"/>
        </w:rPr>
        <w:t xml:space="preserve">rograma de Reformas urgentes al Poder Judicial, el cual al cerrar el año 2020 se encontraba pendiente de aprobación por parte de Corte Plena. Dentro de las actividades realizadas y productos entregados a Corte Plena se tiene: </w:t>
      </w:r>
      <w:r w:rsidR="00510719" w:rsidRPr="00704B08">
        <w:rPr>
          <w:rFonts w:ascii="Arial Narrow" w:hAnsi="Arial Narrow" w:cs="Arial"/>
        </w:rPr>
        <w:t xml:space="preserve">Propuesta de gobierno corporativo </w:t>
      </w:r>
      <w:r w:rsidR="00176D2E" w:rsidRPr="00935D7F">
        <w:rPr>
          <w:rFonts w:ascii="Arial Narrow" w:hAnsi="Arial Narrow" w:cs="Arial"/>
        </w:rPr>
        <w:t>judicial</w:t>
      </w:r>
      <w:r w:rsidR="00176D2E">
        <w:rPr>
          <w:rFonts w:ascii="Arial Narrow" w:hAnsi="Arial Narrow" w:cs="Arial"/>
        </w:rPr>
        <w:t xml:space="preserve">, </w:t>
      </w:r>
      <w:r w:rsidR="00176D2E" w:rsidRPr="00935D7F">
        <w:rPr>
          <w:rFonts w:ascii="Arial Narrow" w:hAnsi="Arial Narrow" w:cs="Arial"/>
        </w:rPr>
        <w:t>listado</w:t>
      </w:r>
      <w:r w:rsidR="00510719" w:rsidRPr="00704B08">
        <w:rPr>
          <w:rFonts w:ascii="Arial Narrow" w:hAnsi="Arial Narrow" w:cs="Arial"/>
        </w:rPr>
        <w:t xml:space="preserve"> consolidado de comisiones existentes y propuestas en torno a cada una de ellas</w:t>
      </w:r>
      <w:r w:rsidR="00176D2E">
        <w:rPr>
          <w:rFonts w:ascii="Arial Narrow" w:hAnsi="Arial Narrow" w:cs="Arial"/>
        </w:rPr>
        <w:t xml:space="preserve"> y la</w:t>
      </w:r>
      <w:r w:rsidR="00510719" w:rsidRPr="00704B08">
        <w:rPr>
          <w:rFonts w:ascii="Arial Narrow" w:hAnsi="Arial Narrow" w:cs="Arial"/>
        </w:rPr>
        <w:t xml:space="preserve"> </w:t>
      </w:r>
      <w:r w:rsidR="00176D2E">
        <w:rPr>
          <w:rFonts w:ascii="Arial Narrow" w:hAnsi="Arial Narrow" w:cs="Arial"/>
        </w:rPr>
        <w:t>p</w:t>
      </w:r>
      <w:r w:rsidR="00510719" w:rsidRPr="00704B08">
        <w:rPr>
          <w:rFonts w:ascii="Arial Narrow" w:hAnsi="Arial Narrow" w:cs="Arial"/>
        </w:rPr>
        <w:t>ropuesta sobre el Comité de Adjudicaciones</w:t>
      </w:r>
      <w:r w:rsidR="00176D2E">
        <w:rPr>
          <w:rFonts w:ascii="Arial Narrow" w:hAnsi="Arial Narrow" w:cs="Arial"/>
        </w:rPr>
        <w:t>.</w:t>
      </w:r>
    </w:p>
    <w:p w14:paraId="3E0500BC" w14:textId="77777777" w:rsidR="009D5823" w:rsidRDefault="009D5823" w:rsidP="00935D7F">
      <w:pPr>
        <w:spacing w:line="360" w:lineRule="auto"/>
        <w:jc w:val="both"/>
        <w:rPr>
          <w:rFonts w:ascii="Arial Narrow" w:hAnsi="Arial Narrow"/>
          <w:b/>
          <w:bCs/>
          <w:lang w:val="es-CR" w:eastAsia="es-CR"/>
        </w:rPr>
        <w:sectPr w:rsidR="009D5823" w:rsidSect="009D5823">
          <w:pgSz w:w="12242" w:h="15842" w:code="1"/>
          <w:pgMar w:top="1701" w:right="1417" w:bottom="1701" w:left="1417" w:header="709" w:footer="709" w:gutter="0"/>
          <w:cols w:space="708"/>
          <w:docGrid w:linePitch="360"/>
        </w:sectPr>
      </w:pPr>
    </w:p>
    <w:p w14:paraId="33B92EE8" w14:textId="624951F2" w:rsidR="00D01745" w:rsidRDefault="00D01745" w:rsidP="00935D7F">
      <w:pPr>
        <w:spacing w:line="360" w:lineRule="auto"/>
        <w:jc w:val="both"/>
        <w:rPr>
          <w:rFonts w:ascii="Arial Narrow" w:hAnsi="Arial Narrow"/>
          <w:b/>
          <w:bCs/>
          <w:lang w:val="es-CR" w:eastAsia="es-CR"/>
        </w:rPr>
      </w:pPr>
    </w:p>
    <w:p w14:paraId="07D298AC" w14:textId="5F38CB86" w:rsidR="00594999" w:rsidRDefault="00594999" w:rsidP="00594999">
      <w:pPr>
        <w:pStyle w:val="Descripcin"/>
        <w:jc w:val="center"/>
        <w:rPr>
          <w:rFonts w:ascii="Arial Narrow" w:eastAsia="Calibri" w:hAnsi="Arial Narrow"/>
          <w:sz w:val="24"/>
          <w:szCs w:val="24"/>
        </w:rPr>
      </w:pPr>
      <w:bookmarkStart w:id="107" w:name="_Toc76062283"/>
      <w:r w:rsidRPr="00484CC1">
        <w:rPr>
          <w:rFonts w:ascii="Arial Narrow" w:hAnsi="Arial Narrow"/>
          <w:sz w:val="24"/>
          <w:szCs w:val="24"/>
        </w:rPr>
        <w:t xml:space="preserve">Cuadro </w:t>
      </w:r>
      <w:r w:rsidRPr="00484CC1">
        <w:rPr>
          <w:rFonts w:ascii="Arial Narrow" w:hAnsi="Arial Narrow"/>
          <w:sz w:val="24"/>
          <w:szCs w:val="24"/>
        </w:rPr>
        <w:fldChar w:fldCharType="begin"/>
      </w:r>
      <w:r w:rsidRPr="00484CC1">
        <w:rPr>
          <w:rFonts w:ascii="Arial Narrow" w:hAnsi="Arial Narrow"/>
          <w:sz w:val="24"/>
          <w:szCs w:val="24"/>
        </w:rPr>
        <w:instrText xml:space="preserve"> SEQ Cuadro_No. \* ARABIC </w:instrText>
      </w:r>
      <w:r w:rsidRPr="00484CC1">
        <w:rPr>
          <w:rFonts w:ascii="Arial Narrow" w:hAnsi="Arial Narrow"/>
          <w:sz w:val="24"/>
          <w:szCs w:val="24"/>
        </w:rPr>
        <w:fldChar w:fldCharType="separate"/>
      </w:r>
      <w:r w:rsidR="009D5823">
        <w:rPr>
          <w:rFonts w:ascii="Arial Narrow" w:hAnsi="Arial Narrow"/>
          <w:noProof/>
          <w:sz w:val="24"/>
          <w:szCs w:val="24"/>
        </w:rPr>
        <w:t>60</w:t>
      </w:r>
      <w:r w:rsidRPr="00484CC1">
        <w:rPr>
          <w:rFonts w:ascii="Arial Narrow" w:hAnsi="Arial Narrow"/>
          <w:sz w:val="24"/>
          <w:szCs w:val="24"/>
        </w:rPr>
        <w:fldChar w:fldCharType="end"/>
      </w:r>
      <w:r w:rsidRPr="00484CC1">
        <w:rPr>
          <w:rFonts w:ascii="Arial Narrow" w:hAnsi="Arial Narrow"/>
          <w:sz w:val="24"/>
          <w:szCs w:val="24"/>
        </w:rPr>
        <w:t xml:space="preserve"> </w:t>
      </w:r>
      <w:r w:rsidRPr="00211B03">
        <w:rPr>
          <w:rFonts w:ascii="Arial Narrow" w:eastAsia="Calibri" w:hAnsi="Arial Narrow"/>
          <w:sz w:val="24"/>
          <w:szCs w:val="24"/>
        </w:rPr>
        <w:t>Metas estratégicas de Leyes y reformas, y su cumplimiento para el 2019</w:t>
      </w:r>
      <w:r>
        <w:rPr>
          <w:rFonts w:ascii="Arial Narrow" w:eastAsia="Calibri" w:hAnsi="Arial Narrow"/>
          <w:sz w:val="24"/>
          <w:szCs w:val="24"/>
        </w:rPr>
        <w:t xml:space="preserve"> y 2020</w:t>
      </w:r>
      <w:bookmarkEnd w:id="107"/>
    </w:p>
    <w:p w14:paraId="51BA1F3C" w14:textId="77777777" w:rsidR="00594999" w:rsidRPr="00704B08" w:rsidRDefault="00594999" w:rsidP="00704B08">
      <w:pPr>
        <w:rPr>
          <w:rFonts w:eastAsia="Calibri"/>
        </w:rPr>
      </w:pPr>
    </w:p>
    <w:p w14:paraId="5F970030" w14:textId="4D406BFB" w:rsidR="00B32B35" w:rsidRDefault="00B32B35" w:rsidP="00935D7F">
      <w:pPr>
        <w:spacing w:line="360" w:lineRule="auto"/>
        <w:jc w:val="both"/>
        <w:rPr>
          <w:rFonts w:ascii="Arial Narrow" w:hAnsi="Arial Narrow"/>
          <w:b/>
          <w:bCs/>
          <w:lang w:val="es-CR" w:eastAsia="es-CR"/>
        </w:rPr>
      </w:pPr>
      <w:r>
        <w:rPr>
          <w:noProof/>
          <w:lang w:val="es-CR" w:eastAsia="es-CR"/>
        </w:rPr>
        <w:drawing>
          <wp:inline distT="0" distB="0" distL="0" distR="0" wp14:anchorId="3B7B5918" wp14:editId="1D0A6BBB">
            <wp:extent cx="7899400" cy="1416050"/>
            <wp:effectExtent l="57150" t="57150" r="101600" b="88900"/>
            <wp:docPr id="110" name="Imagen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7899400" cy="1416050"/>
                    </a:xfrm>
                    <a:prstGeom prst="rect">
                      <a:avLst/>
                    </a:prstGeom>
                    <a:ln w="9525" cap="sq">
                      <a:solidFill>
                        <a:srgbClr val="00B0F0"/>
                      </a:solidFill>
                      <a:prstDash val="solid"/>
                      <a:miter lim="800000"/>
                    </a:ln>
                    <a:effectLst>
                      <a:outerShdw blurRad="50800" dist="38100" dir="2700000" algn="tl" rotWithShape="0">
                        <a:srgbClr val="000000">
                          <a:alpha val="43000"/>
                        </a:srgbClr>
                      </a:outerShdw>
                    </a:effectLst>
                  </pic:spPr>
                </pic:pic>
              </a:graphicData>
            </a:graphic>
          </wp:inline>
        </w:drawing>
      </w:r>
    </w:p>
    <w:p w14:paraId="4ECF54C3" w14:textId="77777777" w:rsidR="00D01745" w:rsidRDefault="00D01745" w:rsidP="00D01745">
      <w:pPr>
        <w:ind w:left="-142" w:firstLine="850"/>
        <w:rPr>
          <w:rFonts w:ascii="Arial Narrow" w:eastAsia="Calibri" w:hAnsi="Arial Narrow"/>
          <w:sz w:val="18"/>
          <w:szCs w:val="18"/>
          <w:lang w:eastAsia="en-US"/>
        </w:rPr>
      </w:pPr>
      <w:r w:rsidRPr="000B4845">
        <w:rPr>
          <w:rFonts w:ascii="Arial Narrow" w:eastAsia="Calibri" w:hAnsi="Arial Narrow"/>
          <w:sz w:val="18"/>
          <w:szCs w:val="18"/>
          <w:lang w:eastAsia="en-US"/>
        </w:rPr>
        <w:t>Fuente: Sistema PEI al 24 de enero del 2020 (año 2019)</w:t>
      </w:r>
      <w:r>
        <w:rPr>
          <w:rFonts w:ascii="Arial Narrow" w:eastAsia="Calibri" w:hAnsi="Arial Narrow"/>
          <w:sz w:val="18"/>
          <w:szCs w:val="18"/>
          <w:lang w:eastAsia="en-US"/>
        </w:rPr>
        <w:t xml:space="preserve"> y 04 de marzo del 2021 (año 2020).</w:t>
      </w:r>
    </w:p>
    <w:p w14:paraId="77C0A439" w14:textId="77777777" w:rsidR="00B32B35" w:rsidRPr="00704B08" w:rsidRDefault="00B32B35" w:rsidP="00935D7F">
      <w:pPr>
        <w:spacing w:line="360" w:lineRule="auto"/>
        <w:jc w:val="both"/>
        <w:rPr>
          <w:rFonts w:ascii="Arial Narrow" w:hAnsi="Arial Narrow"/>
          <w:b/>
          <w:bCs/>
          <w:lang w:val="es-CR" w:eastAsia="es-CR"/>
        </w:rPr>
      </w:pPr>
    </w:p>
    <w:p w14:paraId="2801A5BD" w14:textId="5E97E6FB" w:rsidR="00BB329B" w:rsidRPr="00704B08" w:rsidRDefault="00594999" w:rsidP="00935D7F">
      <w:pPr>
        <w:spacing w:line="360" w:lineRule="auto"/>
        <w:jc w:val="both"/>
        <w:rPr>
          <w:rFonts w:ascii="Arial Narrow" w:eastAsia="Calibri" w:hAnsi="Arial Narrow"/>
        </w:rPr>
      </w:pPr>
      <w:r>
        <w:rPr>
          <w:rFonts w:ascii="Arial Narrow" w:hAnsi="Arial Narrow" w:cs="Calibri"/>
          <w:color w:val="000000"/>
          <w:lang w:val="es-CR" w:eastAsia="es-CR"/>
        </w:rPr>
        <w:t>La</w:t>
      </w:r>
      <w:r w:rsidRPr="002E0B96">
        <w:rPr>
          <w:rFonts w:ascii="Arial Narrow" w:hAnsi="Arial Narrow" w:cs="Calibri"/>
          <w:color w:val="000000"/>
          <w:lang w:val="es-CR" w:eastAsia="es-CR"/>
        </w:rPr>
        <w:t xml:space="preserve"> meta estratégica</w:t>
      </w:r>
      <w:r>
        <w:rPr>
          <w:rFonts w:ascii="Arial Narrow" w:hAnsi="Arial Narrow" w:cs="Calibri"/>
          <w:b/>
          <w:bCs/>
          <w:color w:val="000000"/>
          <w:lang w:val="es-CR" w:eastAsia="es-CR"/>
        </w:rPr>
        <w:t xml:space="preserve"> “</w:t>
      </w:r>
      <w:r w:rsidR="00BB329B" w:rsidRPr="00704B08">
        <w:rPr>
          <w:rFonts w:ascii="Arial Narrow" w:hAnsi="Arial Narrow"/>
          <w:b/>
          <w:bCs/>
          <w:i/>
          <w:iCs/>
          <w:lang w:val="es-CR" w:eastAsia="es-CR"/>
        </w:rPr>
        <w:t xml:space="preserve">Que al finalizar el 2024, se haya gestionado la aprobación a </w:t>
      </w:r>
      <w:r w:rsidR="006D1834" w:rsidRPr="00704B08">
        <w:rPr>
          <w:rFonts w:ascii="Arial Narrow" w:hAnsi="Arial Narrow"/>
          <w:b/>
          <w:bCs/>
          <w:i/>
          <w:iCs/>
          <w:lang w:val="es-CR" w:eastAsia="es-CR"/>
        </w:rPr>
        <w:t>la reforma</w:t>
      </w:r>
      <w:r w:rsidR="00BB329B" w:rsidRPr="00704B08">
        <w:rPr>
          <w:rFonts w:ascii="Arial Narrow" w:hAnsi="Arial Narrow"/>
          <w:b/>
          <w:bCs/>
          <w:i/>
          <w:iCs/>
          <w:lang w:val="es-CR" w:eastAsia="es-CR"/>
        </w:rPr>
        <w:t xml:space="preserve"> de la ley orgánica del OIJ</w:t>
      </w:r>
      <w:r>
        <w:rPr>
          <w:rFonts w:ascii="Arial Narrow" w:hAnsi="Arial Narrow"/>
          <w:b/>
          <w:bCs/>
          <w:lang w:val="es-CR" w:eastAsia="es-CR"/>
        </w:rPr>
        <w:t>”</w:t>
      </w:r>
      <w:r w:rsidR="00DD2BFA">
        <w:rPr>
          <w:rFonts w:ascii="Arial Narrow" w:hAnsi="Arial Narrow"/>
          <w:b/>
          <w:bCs/>
          <w:lang w:val="es-CR" w:eastAsia="es-CR"/>
        </w:rPr>
        <w:t>,</w:t>
      </w:r>
      <w:r w:rsidR="00E32E37">
        <w:rPr>
          <w:rFonts w:ascii="Arial Narrow" w:hAnsi="Arial Narrow"/>
          <w:b/>
          <w:bCs/>
          <w:lang w:val="es-CR" w:eastAsia="es-CR"/>
        </w:rPr>
        <w:t xml:space="preserve"> </w:t>
      </w:r>
      <w:r w:rsidR="00E32E37" w:rsidRPr="00704B08">
        <w:rPr>
          <w:rFonts w:ascii="Arial Narrow" w:hAnsi="Arial Narrow"/>
          <w:lang w:val="es-CR" w:eastAsia="es-CR"/>
        </w:rPr>
        <w:t>con respecto a e</w:t>
      </w:r>
      <w:r w:rsidR="00E32E37">
        <w:rPr>
          <w:rFonts w:ascii="Arial Narrow" w:hAnsi="Arial Narrow"/>
          <w:lang w:val="es-CR" w:eastAsia="es-CR"/>
        </w:rPr>
        <w:t>s</w:t>
      </w:r>
      <w:r w:rsidR="00E32E37" w:rsidRPr="00704B08">
        <w:rPr>
          <w:rFonts w:ascii="Arial Narrow" w:hAnsi="Arial Narrow"/>
          <w:lang w:val="es-CR" w:eastAsia="es-CR"/>
        </w:rPr>
        <w:t xml:space="preserve">ta meta estratégica se tiene </w:t>
      </w:r>
      <w:r w:rsidR="00E32E37">
        <w:rPr>
          <w:rFonts w:ascii="Arial Narrow" w:hAnsi="Arial Narrow"/>
          <w:lang w:val="es-CR" w:eastAsia="es-CR"/>
        </w:rPr>
        <w:t xml:space="preserve">que el Organismo de Investigación Judicial realizó el </w:t>
      </w:r>
      <w:r w:rsidR="00E32E37" w:rsidRPr="00704B08">
        <w:rPr>
          <w:rFonts w:ascii="Arial Narrow" w:hAnsi="Arial Narrow"/>
          <w:lang w:val="es-CR" w:eastAsia="es-CR"/>
        </w:rPr>
        <w:t xml:space="preserve"> borrador de Proyecto de Reforma a la Ley Orgánica del OIJ y </w:t>
      </w:r>
      <w:r w:rsidR="00CF7668">
        <w:rPr>
          <w:rFonts w:ascii="Arial Narrow" w:hAnsi="Arial Narrow"/>
          <w:lang w:val="es-CR" w:eastAsia="es-CR"/>
        </w:rPr>
        <w:t xml:space="preserve">fue </w:t>
      </w:r>
      <w:r w:rsidR="00E32E37" w:rsidRPr="00704B08">
        <w:rPr>
          <w:rFonts w:ascii="Arial Narrow" w:hAnsi="Arial Narrow"/>
          <w:lang w:val="es-CR" w:eastAsia="es-CR"/>
        </w:rPr>
        <w:t>presentado a la Comisión de Enlace Corte</w:t>
      </w:r>
      <w:r w:rsidR="00CF7668">
        <w:rPr>
          <w:rFonts w:ascii="Arial Narrow" w:hAnsi="Arial Narrow"/>
          <w:lang w:val="es-CR" w:eastAsia="es-CR"/>
        </w:rPr>
        <w:t>-</w:t>
      </w:r>
      <w:r w:rsidR="00E32E37" w:rsidRPr="00704B08">
        <w:rPr>
          <w:rFonts w:ascii="Arial Narrow" w:hAnsi="Arial Narrow"/>
          <w:lang w:val="es-CR" w:eastAsia="es-CR"/>
        </w:rPr>
        <w:t>OIJ</w:t>
      </w:r>
      <w:r w:rsidR="00C556AD">
        <w:rPr>
          <w:rFonts w:ascii="Arial Narrow" w:hAnsi="Arial Narrow"/>
          <w:lang w:val="es-CR" w:eastAsia="es-CR"/>
        </w:rPr>
        <w:t xml:space="preserve"> </w:t>
      </w:r>
      <w:r w:rsidR="00CF7668">
        <w:rPr>
          <w:rFonts w:ascii="Arial Narrow" w:hAnsi="Arial Narrow"/>
          <w:lang w:val="es-CR" w:eastAsia="es-CR"/>
        </w:rPr>
        <w:t>c</w:t>
      </w:r>
      <w:r w:rsidR="00E32E37" w:rsidRPr="00704B08">
        <w:rPr>
          <w:rFonts w:ascii="Arial Narrow" w:hAnsi="Arial Narrow"/>
          <w:lang w:val="es-CR" w:eastAsia="es-CR"/>
        </w:rPr>
        <w:t>on el oficio 876-DG-2019 remitido mediante correo electrónico de fecha 07 de agosto 2019.</w:t>
      </w:r>
      <w:r w:rsidR="00E32E37">
        <w:rPr>
          <w:rFonts w:ascii="Arial Narrow" w:hAnsi="Arial Narrow"/>
          <w:lang w:val="es-CR" w:eastAsia="es-CR"/>
        </w:rPr>
        <w:t>Seguido</w:t>
      </w:r>
      <w:r w:rsidR="00C556AD">
        <w:rPr>
          <w:rFonts w:ascii="Arial Narrow" w:hAnsi="Arial Narrow"/>
          <w:lang w:val="es-CR" w:eastAsia="es-CR"/>
        </w:rPr>
        <w:t>,</w:t>
      </w:r>
      <w:r w:rsidR="00E32E37">
        <w:rPr>
          <w:rFonts w:ascii="Arial Narrow" w:hAnsi="Arial Narrow"/>
          <w:lang w:val="es-CR" w:eastAsia="es-CR"/>
        </w:rPr>
        <w:t xml:space="preserve"> </w:t>
      </w:r>
      <w:r w:rsidR="00C556AD">
        <w:rPr>
          <w:rFonts w:ascii="Arial Narrow" w:hAnsi="Arial Narrow"/>
          <w:lang w:val="es-CR" w:eastAsia="es-CR"/>
        </w:rPr>
        <w:t>l</w:t>
      </w:r>
      <w:r w:rsidR="00E32E37">
        <w:rPr>
          <w:rFonts w:ascii="Arial Narrow" w:hAnsi="Arial Narrow"/>
          <w:lang w:val="es-CR" w:eastAsia="es-CR"/>
        </w:rPr>
        <w:t xml:space="preserve">a comisión de Enlace Corte-OIJ, en sesión 03-2020 el 05 de mayo del 2020, artículo II, conoció el Proyecto de Reforma a la ley Orgánica del Organismo </w:t>
      </w:r>
      <w:r w:rsidR="00C556AD">
        <w:rPr>
          <w:rFonts w:ascii="Arial Narrow" w:hAnsi="Arial Narrow"/>
          <w:lang w:val="es-CR" w:eastAsia="es-CR"/>
        </w:rPr>
        <w:t xml:space="preserve">de Investigación </w:t>
      </w:r>
      <w:r w:rsidR="00E32E37">
        <w:rPr>
          <w:rFonts w:ascii="Arial Narrow" w:hAnsi="Arial Narrow"/>
          <w:lang w:val="es-CR" w:eastAsia="es-CR"/>
        </w:rPr>
        <w:t>Judicial, referente al oficio 4477-17 de la Secretaría General de la Corte y acordó</w:t>
      </w:r>
      <w:r w:rsidR="00CF7668">
        <w:rPr>
          <w:rFonts w:ascii="Arial Narrow" w:hAnsi="Arial Narrow"/>
          <w:lang w:val="es-CR" w:eastAsia="es-CR"/>
        </w:rPr>
        <w:t>: “</w:t>
      </w:r>
      <w:r w:rsidR="00CF7668" w:rsidRPr="00704B08">
        <w:rPr>
          <w:rFonts w:ascii="Arial Narrow" w:hAnsi="Arial Narrow"/>
          <w:i/>
          <w:iCs/>
          <w:lang w:val="es-CR" w:eastAsia="es-CR"/>
        </w:rPr>
        <w:t xml:space="preserve">sacar de agenda el Proyecto de Reforma del OIJ para que los señores magistrados  </w:t>
      </w:r>
      <w:r w:rsidR="00C556AD">
        <w:rPr>
          <w:rFonts w:ascii="Arial Narrow" w:hAnsi="Arial Narrow"/>
          <w:i/>
          <w:iCs/>
          <w:lang w:val="es-CR" w:eastAsia="es-CR"/>
        </w:rPr>
        <w:t>l</w:t>
      </w:r>
      <w:r w:rsidR="00CF7668" w:rsidRPr="00704B08">
        <w:rPr>
          <w:rFonts w:ascii="Arial Narrow" w:hAnsi="Arial Narrow"/>
          <w:i/>
          <w:iCs/>
          <w:lang w:val="es-CR" w:eastAsia="es-CR"/>
        </w:rPr>
        <w:t xml:space="preserve">o analicen y remitan las observaciones que a bien lo tengan” </w:t>
      </w:r>
      <w:r w:rsidR="00CF7668" w:rsidRPr="00935D7F">
        <w:rPr>
          <w:rFonts w:ascii="Arial Narrow" w:hAnsi="Arial Narrow"/>
          <w:lang w:val="es-CR" w:eastAsia="es-CR"/>
        </w:rPr>
        <w:t>el</w:t>
      </w:r>
      <w:r w:rsidR="00CF7668" w:rsidRPr="00085601">
        <w:rPr>
          <w:rFonts w:ascii="Arial Narrow" w:hAnsi="Arial Narrow"/>
          <w:lang w:val="es-CR" w:eastAsia="es-CR"/>
        </w:rPr>
        <w:t xml:space="preserve"> plazo otorgado fue de 3 meses</w:t>
      </w:r>
      <w:r w:rsidR="00CF7668" w:rsidRPr="00C556AD">
        <w:rPr>
          <w:rFonts w:ascii="Arial Narrow" w:hAnsi="Arial Narrow"/>
          <w:lang w:val="es-CR" w:eastAsia="es-CR"/>
        </w:rPr>
        <w:t>, agendándose para el mes de agosto 2020</w:t>
      </w:r>
      <w:r w:rsidR="00C556AD">
        <w:rPr>
          <w:rFonts w:ascii="Arial Narrow" w:hAnsi="Arial Narrow"/>
          <w:lang w:val="es-CR" w:eastAsia="es-CR"/>
        </w:rPr>
        <w:t>. Finalmente,</w:t>
      </w:r>
      <w:r w:rsidR="00CF7668">
        <w:rPr>
          <w:rFonts w:ascii="Arial Narrow" w:hAnsi="Arial Narrow"/>
          <w:lang w:val="es-CR" w:eastAsia="es-CR"/>
        </w:rPr>
        <w:t xml:space="preserve"> el OIJ da seguimiento y se tiene que al 23 de noviembre del 2020 </w:t>
      </w:r>
      <w:r w:rsidR="00C556AD">
        <w:rPr>
          <w:rFonts w:ascii="Arial Narrow" w:hAnsi="Arial Narrow"/>
          <w:lang w:val="es-CR" w:eastAsia="es-CR"/>
        </w:rPr>
        <w:t xml:space="preserve">(último avance registrado en el PAO) </w:t>
      </w:r>
      <w:r w:rsidR="00CF7668">
        <w:rPr>
          <w:rFonts w:ascii="Arial Narrow" w:hAnsi="Arial Narrow"/>
          <w:lang w:val="es-CR" w:eastAsia="es-CR"/>
        </w:rPr>
        <w:t xml:space="preserve">seguía pendiente la sesión de </w:t>
      </w:r>
      <w:r w:rsidR="00C556AD">
        <w:rPr>
          <w:rFonts w:ascii="Arial Narrow" w:hAnsi="Arial Narrow"/>
          <w:lang w:val="es-CR" w:eastAsia="es-CR"/>
        </w:rPr>
        <w:t xml:space="preserve">trabajo. En resumen, se tiene un cumplimiento del 100% para los años 2019 y 2020. </w:t>
      </w:r>
    </w:p>
    <w:p w14:paraId="711BA0B8" w14:textId="77777777" w:rsidR="009D5823" w:rsidRDefault="009D5823" w:rsidP="00767635">
      <w:pPr>
        <w:spacing w:line="360" w:lineRule="auto"/>
        <w:jc w:val="both"/>
        <w:rPr>
          <w:rFonts w:ascii="Arial Narrow" w:eastAsia="Calibri" w:hAnsi="Arial Narrow"/>
          <w:b/>
          <w:bCs/>
        </w:rPr>
        <w:sectPr w:rsidR="009D5823" w:rsidSect="009D5823">
          <w:pgSz w:w="15842" w:h="12242" w:orient="landscape" w:code="1"/>
          <w:pgMar w:top="1417" w:right="1701" w:bottom="1417" w:left="1701" w:header="709" w:footer="709" w:gutter="0"/>
          <w:cols w:space="708"/>
          <w:docGrid w:linePitch="360"/>
        </w:sectPr>
      </w:pPr>
    </w:p>
    <w:p w14:paraId="4EB8E031" w14:textId="6A238E6B" w:rsidR="00BB329B" w:rsidRPr="00704B08" w:rsidRDefault="00BB329B" w:rsidP="00767635">
      <w:pPr>
        <w:spacing w:line="360" w:lineRule="auto"/>
        <w:jc w:val="both"/>
        <w:rPr>
          <w:rFonts w:ascii="Arial Narrow" w:eastAsia="Calibri" w:hAnsi="Arial Narrow"/>
          <w:b/>
          <w:bCs/>
        </w:rPr>
      </w:pPr>
    </w:p>
    <w:p w14:paraId="0BF8B0DB" w14:textId="5EA58B36" w:rsidR="004E5105" w:rsidRPr="00484CC1" w:rsidRDefault="004E5105" w:rsidP="00767635">
      <w:pPr>
        <w:spacing w:line="360" w:lineRule="auto"/>
        <w:jc w:val="both"/>
        <w:rPr>
          <w:rFonts w:eastAsia="Calibri"/>
          <w:lang w:eastAsia="en-US"/>
        </w:rPr>
      </w:pPr>
    </w:p>
    <w:p w14:paraId="7C5A1A23" w14:textId="77777777" w:rsidR="00CA4BD5" w:rsidRDefault="00CA4BD5" w:rsidP="00CD1C1D">
      <w:pPr>
        <w:spacing w:line="360" w:lineRule="auto"/>
        <w:jc w:val="both"/>
        <w:rPr>
          <w:rFonts w:eastAsia="Calibri"/>
          <w:lang w:eastAsia="en-US"/>
        </w:rPr>
      </w:pPr>
      <w:bookmarkStart w:id="108" w:name="_Hlk53475223"/>
    </w:p>
    <w:bookmarkEnd w:id="108"/>
    <w:p w14:paraId="69B438FD" w14:textId="1B2DAA4A" w:rsidR="00D10E54" w:rsidRPr="00704B08" w:rsidRDefault="009547D6" w:rsidP="005E067A">
      <w:pPr>
        <w:pStyle w:val="Ttulo4"/>
        <w:numPr>
          <w:ilvl w:val="0"/>
          <w:numId w:val="75"/>
        </w:numPr>
        <w:rPr>
          <w:rFonts w:eastAsia="Calibri"/>
          <w:lang w:val="es-CR"/>
        </w:rPr>
      </w:pPr>
      <w:r>
        <w:rPr>
          <w:rFonts w:eastAsia="Calibri"/>
          <w:lang w:val="es-CR"/>
        </w:rPr>
        <w:t xml:space="preserve">5.3.4. </w:t>
      </w:r>
      <w:r w:rsidR="00531E25" w:rsidRPr="00704B08">
        <w:rPr>
          <w:rFonts w:eastAsia="Calibri"/>
          <w:lang w:val="es-CR"/>
        </w:rPr>
        <w:t>M</w:t>
      </w:r>
      <w:r w:rsidR="00D10E54" w:rsidRPr="00704B08">
        <w:rPr>
          <w:rFonts w:eastAsia="Calibri"/>
          <w:lang w:val="es-CR"/>
        </w:rPr>
        <w:t>odalidades alternativas de Trabajo</w:t>
      </w:r>
    </w:p>
    <w:p w14:paraId="5B4124D5" w14:textId="77777777" w:rsidR="00531E25" w:rsidRPr="00531E25" w:rsidRDefault="00531E25" w:rsidP="00531E25">
      <w:pPr>
        <w:rPr>
          <w:lang w:eastAsia="en-US"/>
        </w:rPr>
      </w:pPr>
    </w:p>
    <w:p w14:paraId="7CFED670" w14:textId="75F98253" w:rsidR="00D10E54" w:rsidRDefault="00D01745">
      <w:pPr>
        <w:spacing w:line="360" w:lineRule="auto"/>
        <w:rPr>
          <w:rFonts w:ascii="Arial Narrow" w:eastAsia="Calibri" w:hAnsi="Arial Narrow"/>
        </w:rPr>
      </w:pPr>
      <w:r w:rsidRPr="00160086">
        <w:rPr>
          <w:rFonts w:ascii="Arial Narrow" w:eastAsia="Calibri" w:hAnsi="Arial Narrow"/>
          <w:lang w:val="es-CR" w:eastAsia="en-US"/>
        </w:rPr>
        <w:t xml:space="preserve">Se </w:t>
      </w:r>
      <w:r w:rsidR="0039319E" w:rsidRPr="00160086">
        <w:rPr>
          <w:rFonts w:ascii="Arial Narrow" w:eastAsia="Calibri" w:hAnsi="Arial Narrow"/>
          <w:lang w:val="es-CR" w:eastAsia="en-US"/>
        </w:rPr>
        <w:t xml:space="preserve">observan 4 </w:t>
      </w:r>
      <w:r w:rsidRPr="00160086">
        <w:rPr>
          <w:rFonts w:ascii="Arial Narrow" w:eastAsia="Calibri" w:hAnsi="Arial Narrow"/>
          <w:lang w:val="es-CR" w:eastAsia="en-US"/>
        </w:rPr>
        <w:t xml:space="preserve">metas estratégicas las cuales todas reflejan una ejecución total en su cumplimiento. </w:t>
      </w:r>
      <w:r w:rsidRPr="00160086">
        <w:rPr>
          <w:rFonts w:ascii="Arial Narrow" w:eastAsia="Calibri" w:hAnsi="Arial Narrow"/>
        </w:rPr>
        <w:t xml:space="preserve">Se muestran a continuación el detalle de las metas estratégicas y su cumplimiento para el 2019 y 2020: </w:t>
      </w:r>
    </w:p>
    <w:p w14:paraId="0C81F9E0" w14:textId="77777777" w:rsidR="009D5823" w:rsidRDefault="009D5823">
      <w:pPr>
        <w:spacing w:line="360" w:lineRule="auto"/>
        <w:rPr>
          <w:rFonts w:ascii="Arial Narrow" w:eastAsia="Calibri" w:hAnsi="Arial Narrow"/>
        </w:rPr>
        <w:sectPr w:rsidR="009D5823" w:rsidSect="009D5823">
          <w:pgSz w:w="12242" w:h="15842" w:code="1"/>
          <w:pgMar w:top="1701" w:right="1417" w:bottom="1701" w:left="1417" w:header="709" w:footer="709" w:gutter="0"/>
          <w:cols w:space="708"/>
          <w:docGrid w:linePitch="360"/>
        </w:sectPr>
      </w:pPr>
    </w:p>
    <w:p w14:paraId="536EFD88" w14:textId="030907EE" w:rsidR="009D5823" w:rsidRPr="00160086" w:rsidRDefault="009D5823" w:rsidP="00704B08">
      <w:pPr>
        <w:spacing w:line="360" w:lineRule="auto"/>
        <w:rPr>
          <w:rFonts w:ascii="Arial Narrow" w:eastAsia="Calibri" w:hAnsi="Arial Narrow"/>
        </w:rPr>
      </w:pPr>
    </w:p>
    <w:p w14:paraId="0FD059A4" w14:textId="77777777" w:rsidR="00486F54" w:rsidRDefault="00486F54" w:rsidP="00D10E54">
      <w:pPr>
        <w:rPr>
          <w:rFonts w:eastAsia="Calibri"/>
          <w:lang w:eastAsia="en-US"/>
        </w:rPr>
      </w:pPr>
    </w:p>
    <w:p w14:paraId="23540D08" w14:textId="0009AA95" w:rsidR="00211B03" w:rsidRPr="00484CC1" w:rsidRDefault="00211B03" w:rsidP="00484CC1">
      <w:pPr>
        <w:pStyle w:val="Descripcin"/>
        <w:jc w:val="center"/>
        <w:rPr>
          <w:rFonts w:ascii="Arial Narrow" w:eastAsia="Calibri" w:hAnsi="Arial Narrow"/>
          <w:lang w:eastAsia="en-US"/>
        </w:rPr>
      </w:pPr>
      <w:bookmarkStart w:id="109" w:name="_Toc76062284"/>
      <w:r w:rsidRPr="00484CC1">
        <w:rPr>
          <w:rFonts w:ascii="Arial Narrow" w:hAnsi="Arial Narrow"/>
          <w:sz w:val="24"/>
          <w:szCs w:val="24"/>
        </w:rPr>
        <w:t>Cuadro</w:t>
      </w:r>
      <w:r w:rsidR="008E6926">
        <w:rPr>
          <w:rFonts w:ascii="Arial Narrow" w:hAnsi="Arial Narrow"/>
          <w:sz w:val="24"/>
          <w:szCs w:val="24"/>
        </w:rPr>
        <w:t xml:space="preserve"> </w:t>
      </w:r>
      <w:r w:rsidRPr="00484CC1">
        <w:rPr>
          <w:rFonts w:ascii="Arial Narrow" w:hAnsi="Arial Narrow"/>
          <w:sz w:val="24"/>
          <w:szCs w:val="24"/>
        </w:rPr>
        <w:fldChar w:fldCharType="begin"/>
      </w:r>
      <w:r w:rsidRPr="00484CC1">
        <w:rPr>
          <w:rFonts w:ascii="Arial Narrow" w:hAnsi="Arial Narrow"/>
          <w:sz w:val="24"/>
          <w:szCs w:val="24"/>
        </w:rPr>
        <w:instrText xml:space="preserve"> SEQ Cuadro_No. \* ARABIC </w:instrText>
      </w:r>
      <w:r w:rsidRPr="00484CC1">
        <w:rPr>
          <w:rFonts w:ascii="Arial Narrow" w:hAnsi="Arial Narrow"/>
          <w:sz w:val="24"/>
          <w:szCs w:val="24"/>
        </w:rPr>
        <w:fldChar w:fldCharType="separate"/>
      </w:r>
      <w:r w:rsidR="009D5823">
        <w:rPr>
          <w:rFonts w:ascii="Arial Narrow" w:hAnsi="Arial Narrow"/>
          <w:noProof/>
          <w:sz w:val="24"/>
          <w:szCs w:val="24"/>
        </w:rPr>
        <w:t>61</w:t>
      </w:r>
      <w:r w:rsidRPr="00484CC1">
        <w:rPr>
          <w:rFonts w:ascii="Arial Narrow" w:hAnsi="Arial Narrow"/>
          <w:sz w:val="24"/>
          <w:szCs w:val="24"/>
        </w:rPr>
        <w:fldChar w:fldCharType="end"/>
      </w:r>
      <w:r w:rsidRPr="00484CC1">
        <w:rPr>
          <w:rFonts w:ascii="Arial Narrow" w:hAnsi="Arial Narrow"/>
          <w:sz w:val="24"/>
          <w:szCs w:val="24"/>
        </w:rPr>
        <w:t xml:space="preserve"> </w:t>
      </w:r>
      <w:r w:rsidRPr="00211B03">
        <w:rPr>
          <w:rFonts w:ascii="Arial Narrow" w:eastAsia="Calibri" w:hAnsi="Arial Narrow"/>
          <w:sz w:val="24"/>
          <w:szCs w:val="24"/>
        </w:rPr>
        <w:t>Metas estratégicas de Modalidades alternativas de trabajo, y su cumplimiento para el 2019</w:t>
      </w:r>
      <w:r w:rsidR="005A001B">
        <w:rPr>
          <w:rFonts w:ascii="Arial Narrow" w:eastAsia="Calibri" w:hAnsi="Arial Narrow"/>
          <w:sz w:val="24"/>
          <w:szCs w:val="24"/>
        </w:rPr>
        <w:t xml:space="preserve"> y 2020.</w:t>
      </w:r>
      <w:bookmarkEnd w:id="109"/>
    </w:p>
    <w:p w14:paraId="49B72654" w14:textId="0DE1D67F" w:rsidR="00D02E3C" w:rsidRDefault="00D02E3C" w:rsidP="00D10E54">
      <w:pPr>
        <w:rPr>
          <w:rFonts w:eastAsia="Calibri"/>
          <w:lang w:eastAsia="en-US"/>
        </w:rPr>
      </w:pPr>
    </w:p>
    <w:p w14:paraId="1C638546" w14:textId="491C370A" w:rsidR="00B063BE" w:rsidRDefault="00A01FFE" w:rsidP="00704B08">
      <w:pPr>
        <w:ind w:left="-142" w:firstLine="284"/>
        <w:jc w:val="center"/>
        <w:rPr>
          <w:rFonts w:ascii="Arial Narrow" w:eastAsia="Calibri" w:hAnsi="Arial Narrow"/>
          <w:sz w:val="18"/>
          <w:szCs w:val="18"/>
          <w:lang w:eastAsia="en-US"/>
        </w:rPr>
      </w:pPr>
      <w:r>
        <w:rPr>
          <w:noProof/>
          <w:lang w:val="es-CR" w:eastAsia="es-CR"/>
        </w:rPr>
        <w:drawing>
          <wp:inline distT="0" distB="0" distL="0" distR="0" wp14:anchorId="5A786627" wp14:editId="69B2BB6C">
            <wp:extent cx="8213897" cy="2737485"/>
            <wp:effectExtent l="57150" t="57150" r="92075" b="100965"/>
            <wp:docPr id="101" name="Imagen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8222427" cy="2740328"/>
                    </a:xfrm>
                    <a:prstGeom prst="rect">
                      <a:avLst/>
                    </a:prstGeom>
                    <a:ln w="9525" cap="sq">
                      <a:solidFill>
                        <a:srgbClr val="00B0F0"/>
                      </a:solidFill>
                      <a:prstDash val="solid"/>
                      <a:miter lim="800000"/>
                    </a:ln>
                    <a:effectLst>
                      <a:outerShdw blurRad="50800" dist="38100" dir="2700000" algn="tl" rotWithShape="0">
                        <a:srgbClr val="000000">
                          <a:alpha val="43000"/>
                        </a:srgbClr>
                      </a:outerShdw>
                    </a:effectLst>
                  </pic:spPr>
                </pic:pic>
              </a:graphicData>
            </a:graphic>
          </wp:inline>
        </w:drawing>
      </w:r>
    </w:p>
    <w:p w14:paraId="36CD0C1D" w14:textId="73567472" w:rsidR="00B063BE" w:rsidRDefault="00B063BE" w:rsidP="00B063BE">
      <w:pPr>
        <w:ind w:left="-142" w:firstLine="850"/>
        <w:rPr>
          <w:rFonts w:ascii="Arial Narrow" w:eastAsia="Calibri" w:hAnsi="Arial Narrow"/>
          <w:sz w:val="18"/>
          <w:szCs w:val="18"/>
          <w:lang w:eastAsia="en-US"/>
        </w:rPr>
      </w:pPr>
    </w:p>
    <w:p w14:paraId="4FC2AC73" w14:textId="30FC9F47" w:rsidR="00B063BE" w:rsidRDefault="00B063BE" w:rsidP="00B063BE">
      <w:pPr>
        <w:ind w:left="-142" w:firstLine="850"/>
        <w:rPr>
          <w:rFonts w:ascii="Arial Narrow" w:eastAsia="Calibri" w:hAnsi="Arial Narrow"/>
          <w:sz w:val="18"/>
          <w:szCs w:val="18"/>
          <w:lang w:eastAsia="en-US"/>
        </w:rPr>
      </w:pPr>
      <w:r w:rsidRPr="000B4845">
        <w:rPr>
          <w:rFonts w:ascii="Arial Narrow" w:eastAsia="Calibri" w:hAnsi="Arial Narrow"/>
          <w:sz w:val="18"/>
          <w:szCs w:val="18"/>
          <w:lang w:eastAsia="en-US"/>
        </w:rPr>
        <w:t>Fuente: Sistema PEI al 24 de enero del 2020 (año 2019)</w:t>
      </w:r>
      <w:r>
        <w:rPr>
          <w:rFonts w:ascii="Arial Narrow" w:eastAsia="Calibri" w:hAnsi="Arial Narrow"/>
          <w:sz w:val="18"/>
          <w:szCs w:val="18"/>
          <w:lang w:eastAsia="en-US"/>
        </w:rPr>
        <w:t xml:space="preserve"> y 04 de marzo del 2021 (año 2020).</w:t>
      </w:r>
    </w:p>
    <w:p w14:paraId="337BAE83" w14:textId="034D9EB4" w:rsidR="00862F60" w:rsidRDefault="00862F60" w:rsidP="00704B08">
      <w:pPr>
        <w:rPr>
          <w:rFonts w:ascii="Arial Narrow" w:eastAsia="Calibri" w:hAnsi="Arial Narrow"/>
        </w:rPr>
      </w:pPr>
      <w:bookmarkStart w:id="110" w:name="_Hlk53475233"/>
    </w:p>
    <w:bookmarkEnd w:id="110"/>
    <w:p w14:paraId="781FCDC8" w14:textId="77777777" w:rsidR="009D5823" w:rsidRDefault="009D5823" w:rsidP="005E067A">
      <w:pPr>
        <w:sectPr w:rsidR="009D5823" w:rsidSect="009D5823">
          <w:pgSz w:w="15842" w:h="12242" w:orient="landscape" w:code="1"/>
          <w:pgMar w:top="1417" w:right="1701" w:bottom="1417" w:left="1701" w:header="709" w:footer="709" w:gutter="0"/>
          <w:cols w:space="708"/>
          <w:docGrid w:linePitch="360"/>
        </w:sectPr>
      </w:pPr>
    </w:p>
    <w:p w14:paraId="25108118" w14:textId="3C071E3D" w:rsidR="00712114" w:rsidRDefault="00712114" w:rsidP="005E067A"/>
    <w:p w14:paraId="7E81F3CB" w14:textId="5F4DF1A3" w:rsidR="00712114" w:rsidRDefault="00594999" w:rsidP="00704B08">
      <w:pPr>
        <w:spacing w:line="360" w:lineRule="auto"/>
        <w:jc w:val="both"/>
        <w:rPr>
          <w:rFonts w:ascii="Arial Narrow" w:hAnsi="Arial Narrow"/>
          <w:lang w:val="es-CR" w:eastAsia="es-CR"/>
        </w:rPr>
      </w:pPr>
      <w:r>
        <w:rPr>
          <w:rFonts w:ascii="Arial Narrow" w:hAnsi="Arial Narrow" w:cs="Calibri"/>
          <w:color w:val="000000"/>
          <w:lang w:val="es-CR" w:eastAsia="es-CR"/>
        </w:rPr>
        <w:t>La</w:t>
      </w:r>
      <w:r w:rsidRPr="002E0B96">
        <w:rPr>
          <w:rFonts w:ascii="Arial Narrow" w:hAnsi="Arial Narrow" w:cs="Calibri"/>
          <w:color w:val="000000"/>
          <w:lang w:val="es-CR" w:eastAsia="es-CR"/>
        </w:rPr>
        <w:t xml:space="preserve"> meta estratégica</w:t>
      </w:r>
      <w:r>
        <w:rPr>
          <w:rFonts w:ascii="Arial Narrow" w:hAnsi="Arial Narrow" w:cs="Calibri"/>
          <w:b/>
          <w:bCs/>
          <w:color w:val="000000"/>
          <w:lang w:val="es-CR" w:eastAsia="es-CR"/>
        </w:rPr>
        <w:t xml:space="preserve"> “</w:t>
      </w:r>
      <w:r w:rsidR="00712114" w:rsidRPr="00704B08">
        <w:rPr>
          <w:rFonts w:ascii="Arial Narrow" w:hAnsi="Arial Narrow"/>
          <w:b/>
          <w:bCs/>
          <w:i/>
          <w:iCs/>
          <w:lang w:val="es-CR" w:eastAsia="es-CR"/>
        </w:rPr>
        <w:t>Que al finalizar el 2024, se haya ampliado anualmente la cobertura efectiva de Teletrabajo, en puestos profesionales y personal técnico</w:t>
      </w:r>
      <w:r>
        <w:rPr>
          <w:rFonts w:ascii="Arial Narrow" w:hAnsi="Arial Narrow"/>
          <w:b/>
          <w:bCs/>
          <w:lang w:val="es-CR" w:eastAsia="es-CR"/>
        </w:rPr>
        <w:t>”</w:t>
      </w:r>
      <w:r w:rsidR="00DD2BFA">
        <w:rPr>
          <w:rFonts w:ascii="Arial Narrow" w:hAnsi="Arial Narrow"/>
          <w:b/>
          <w:bCs/>
          <w:lang w:val="es-CR" w:eastAsia="es-CR"/>
        </w:rPr>
        <w:t>,</w:t>
      </w:r>
      <w:r w:rsidR="00712114" w:rsidRPr="00712114">
        <w:rPr>
          <w:lang w:val="es-CR" w:eastAsia="es-CR"/>
        </w:rPr>
        <w:t xml:space="preserve"> </w:t>
      </w:r>
      <w:r>
        <w:rPr>
          <w:rFonts w:ascii="Arial Narrow" w:hAnsi="Arial Narrow"/>
          <w:lang w:val="es-CR" w:eastAsia="es-CR"/>
        </w:rPr>
        <w:t>s</w:t>
      </w:r>
      <w:r w:rsidR="00712114" w:rsidRPr="00704B08">
        <w:rPr>
          <w:rFonts w:ascii="Arial Narrow" w:hAnsi="Arial Narrow"/>
          <w:lang w:val="es-CR" w:eastAsia="es-CR"/>
        </w:rPr>
        <w:t xml:space="preserve">e implementan </w:t>
      </w:r>
      <w:r w:rsidR="005872B4">
        <w:rPr>
          <w:rFonts w:ascii="Arial Narrow" w:hAnsi="Arial Narrow"/>
          <w:lang w:val="es-CR" w:eastAsia="es-CR"/>
        </w:rPr>
        <w:t xml:space="preserve">para el año 2019 </w:t>
      </w:r>
      <w:r w:rsidR="00712114" w:rsidRPr="00704B08">
        <w:rPr>
          <w:rFonts w:ascii="Arial Narrow" w:hAnsi="Arial Narrow"/>
          <w:lang w:val="es-CR" w:eastAsia="es-CR"/>
        </w:rPr>
        <w:t xml:space="preserve">soluciones tecnológicas seguras para la aplicación efectiva de la modalidad de teletrabajo. En cuanto al plan de implementación del modelo de seguimiento en la sesión 4-19 celebrada el 17 de mayo </w:t>
      </w:r>
      <w:r w:rsidR="00712114">
        <w:rPr>
          <w:rFonts w:ascii="Arial Narrow" w:hAnsi="Arial Narrow"/>
          <w:lang w:val="es-CR" w:eastAsia="es-CR"/>
        </w:rPr>
        <w:t>2019</w:t>
      </w:r>
      <w:r w:rsidR="00DD2BFA">
        <w:rPr>
          <w:rFonts w:ascii="Arial Narrow" w:hAnsi="Arial Narrow"/>
          <w:lang w:val="es-CR" w:eastAsia="es-CR"/>
        </w:rPr>
        <w:t xml:space="preserve">, </w:t>
      </w:r>
      <w:r w:rsidR="00712114">
        <w:rPr>
          <w:rFonts w:ascii="Arial Narrow" w:hAnsi="Arial Narrow"/>
          <w:lang w:val="es-CR" w:eastAsia="es-CR"/>
        </w:rPr>
        <w:t xml:space="preserve"> </w:t>
      </w:r>
      <w:r w:rsidR="00712114" w:rsidRPr="00704B08">
        <w:rPr>
          <w:rFonts w:ascii="Arial Narrow" w:hAnsi="Arial Narrow"/>
          <w:lang w:val="es-CR" w:eastAsia="es-CR"/>
        </w:rPr>
        <w:t>art</w:t>
      </w:r>
      <w:r w:rsidR="00DD2BFA">
        <w:rPr>
          <w:rFonts w:ascii="Arial Narrow" w:hAnsi="Arial Narrow"/>
          <w:lang w:val="es-CR" w:eastAsia="es-CR"/>
        </w:rPr>
        <w:t>ículo</w:t>
      </w:r>
      <w:r w:rsidR="00712114" w:rsidRPr="00704B08">
        <w:rPr>
          <w:rFonts w:ascii="Arial Narrow" w:hAnsi="Arial Narrow"/>
          <w:lang w:val="es-CR" w:eastAsia="es-CR"/>
        </w:rPr>
        <w:t xml:space="preserve"> XV</w:t>
      </w:r>
      <w:r w:rsidR="00DD2BFA">
        <w:rPr>
          <w:rFonts w:ascii="Arial Narrow" w:hAnsi="Arial Narrow"/>
          <w:lang w:val="es-CR" w:eastAsia="es-CR"/>
        </w:rPr>
        <w:t>,</w:t>
      </w:r>
      <w:r w:rsidR="00712114" w:rsidRPr="00704B08">
        <w:rPr>
          <w:rFonts w:ascii="Arial Narrow" w:hAnsi="Arial Narrow"/>
          <w:lang w:val="es-CR" w:eastAsia="es-CR"/>
        </w:rPr>
        <w:t xml:space="preserve"> inc. B</w:t>
      </w:r>
      <w:r w:rsidR="00DD2BFA">
        <w:rPr>
          <w:rFonts w:ascii="Arial Narrow" w:hAnsi="Arial Narrow"/>
          <w:lang w:val="es-CR" w:eastAsia="es-CR"/>
        </w:rPr>
        <w:t>,</w:t>
      </w:r>
      <w:r w:rsidR="00712114" w:rsidRPr="00704B08">
        <w:rPr>
          <w:rFonts w:ascii="Arial Narrow" w:hAnsi="Arial Narrow"/>
          <w:lang w:val="es-CR" w:eastAsia="es-CR"/>
        </w:rPr>
        <w:t xml:space="preserve"> la Comisión Institucional de Teletrabajo acordó: En referencia al plan de implementación esto queda cubierto con el siguiente objetivo Analizar los perfiles de puestos profesionales y técnicos, con el fin de evaluar la factibilidad de ejecución de sus labores y el uso de los medios tecnológicos, mediante la modalidad de teletrabajo, contenidos en la primera etapa del Plan </w:t>
      </w:r>
      <w:r w:rsidR="001551AE" w:rsidRPr="00935D7F">
        <w:rPr>
          <w:rFonts w:ascii="Arial Narrow" w:hAnsi="Arial Narrow"/>
          <w:lang w:val="es-CR" w:eastAsia="es-CR"/>
        </w:rPr>
        <w:t>diseñado.</w:t>
      </w:r>
      <w:r w:rsidR="001551AE">
        <w:rPr>
          <w:rFonts w:ascii="Arial Narrow" w:hAnsi="Arial Narrow"/>
          <w:lang w:val="es-CR" w:eastAsia="es-CR"/>
        </w:rPr>
        <w:t xml:space="preserve"> Además</w:t>
      </w:r>
      <w:r w:rsidR="00712114">
        <w:rPr>
          <w:rFonts w:ascii="Arial Narrow" w:hAnsi="Arial Narrow"/>
          <w:lang w:val="es-CR" w:eastAsia="es-CR"/>
        </w:rPr>
        <w:t xml:space="preserve">, </w:t>
      </w:r>
      <w:r w:rsidR="005872B4">
        <w:rPr>
          <w:rFonts w:ascii="Arial Narrow" w:hAnsi="Arial Narrow"/>
          <w:lang w:val="es-CR" w:eastAsia="es-CR"/>
        </w:rPr>
        <w:t xml:space="preserve">para el año 2020 </w:t>
      </w:r>
      <w:r w:rsidR="001551AE">
        <w:rPr>
          <w:rFonts w:ascii="Arial Narrow" w:hAnsi="Arial Narrow"/>
          <w:lang w:val="es-CR" w:eastAsia="es-CR"/>
        </w:rPr>
        <w:t xml:space="preserve">por medio del oficio PJ-DGH-SAP-409-2020 donde se reporta la cantidad de personas servidoras judiciales que en el año 2020 tenían aprobado la prestación de servicios en la modalidad de teletrabajo y el aumentó que generó </w:t>
      </w:r>
      <w:r w:rsidR="000C439A">
        <w:rPr>
          <w:rFonts w:ascii="Arial Narrow" w:hAnsi="Arial Narrow"/>
          <w:lang w:val="es-CR" w:eastAsia="es-CR"/>
        </w:rPr>
        <w:t xml:space="preserve">el teletrabajo bajo la modalidad temporal atendiendo </w:t>
      </w:r>
      <w:r w:rsidR="000C439A" w:rsidRPr="00704B08">
        <w:rPr>
          <w:rFonts w:ascii="Arial Narrow" w:hAnsi="Arial Narrow"/>
          <w:lang w:val="es-CR" w:eastAsia="es-CR"/>
        </w:rPr>
        <w:t>las medidas adoptadas por el Ministerio de Salud, así como el decreto ejecutivo 42227-MS emitido el día 16 de marzo de 2020, en que se  declara estado de emergencia nacional en todo el territorio de la República de Costa Rica , donde Corte Pena y Consejo Superior disponen lineamientos temporales en aras de proteger y salvaguarda la vida de las personas usuarias y personas servidoras judiciales para que las Jefaturas de Oficinas o Coordinadores de Despacho puedan conceder el beneficio de teletrabajo, como medida temporal dada la situación de emergencia nacional producto del COVID-19.</w:t>
      </w:r>
      <w:r w:rsidR="00D86485">
        <w:rPr>
          <w:rFonts w:ascii="Arial Narrow" w:hAnsi="Arial Narrow"/>
          <w:lang w:val="es-CR" w:eastAsia="es-CR"/>
        </w:rPr>
        <w:t>Finalmente, se muestra como resultado un porcentaje de avance del 100%</w:t>
      </w:r>
      <w:r w:rsidR="005872B4">
        <w:rPr>
          <w:rFonts w:ascii="Arial Narrow" w:hAnsi="Arial Narrow"/>
          <w:lang w:val="es-CR" w:eastAsia="es-CR"/>
        </w:rPr>
        <w:t xml:space="preserve"> para los años 2019 y 2020</w:t>
      </w:r>
      <w:r w:rsidR="00D86485">
        <w:rPr>
          <w:rFonts w:ascii="Arial Narrow" w:hAnsi="Arial Narrow"/>
          <w:lang w:val="es-CR" w:eastAsia="es-CR"/>
        </w:rPr>
        <w:t>.</w:t>
      </w:r>
    </w:p>
    <w:p w14:paraId="48C6B70A" w14:textId="0A68DA52" w:rsidR="00F23433" w:rsidRDefault="00F23433" w:rsidP="00704B08">
      <w:pPr>
        <w:spacing w:line="360" w:lineRule="auto"/>
        <w:jc w:val="both"/>
        <w:rPr>
          <w:rFonts w:ascii="Arial Narrow" w:hAnsi="Arial Narrow"/>
          <w:lang w:val="es-CR" w:eastAsia="es-CR"/>
        </w:rPr>
      </w:pPr>
    </w:p>
    <w:p w14:paraId="03DD1261" w14:textId="77777777" w:rsidR="00D86485" w:rsidRPr="00704B08" w:rsidRDefault="00D86485" w:rsidP="00704B08">
      <w:pPr>
        <w:spacing w:line="360" w:lineRule="auto"/>
        <w:jc w:val="both"/>
        <w:rPr>
          <w:rFonts w:ascii="Arial Narrow" w:hAnsi="Arial Narrow"/>
          <w:b/>
          <w:bCs/>
          <w:lang w:val="es-CR" w:eastAsia="es-CR"/>
        </w:rPr>
      </w:pPr>
    </w:p>
    <w:p w14:paraId="4A04A33F" w14:textId="5F9C6A9E" w:rsidR="00712114" w:rsidRDefault="000C0EC5" w:rsidP="00712114">
      <w:pPr>
        <w:spacing w:line="360" w:lineRule="auto"/>
        <w:jc w:val="both"/>
        <w:rPr>
          <w:rFonts w:ascii="Arial Narrow" w:hAnsi="Arial Narrow" w:cs="Arial"/>
          <w:lang w:val="es-CR" w:eastAsia="es-CR"/>
        </w:rPr>
      </w:pPr>
      <w:r>
        <w:rPr>
          <w:rFonts w:ascii="Arial Narrow" w:hAnsi="Arial Narrow" w:cs="Calibri"/>
          <w:color w:val="000000"/>
          <w:lang w:val="es-CR" w:eastAsia="es-CR"/>
        </w:rPr>
        <w:t>Por su parte, la</w:t>
      </w:r>
      <w:r w:rsidRPr="002E0B96">
        <w:rPr>
          <w:rFonts w:ascii="Arial Narrow" w:hAnsi="Arial Narrow" w:cs="Calibri"/>
          <w:color w:val="000000"/>
          <w:lang w:val="es-CR" w:eastAsia="es-CR"/>
        </w:rPr>
        <w:t xml:space="preserve"> meta estratégica</w:t>
      </w:r>
      <w:r>
        <w:rPr>
          <w:rFonts w:ascii="Arial Narrow" w:hAnsi="Arial Narrow" w:cs="Calibri"/>
          <w:b/>
          <w:bCs/>
          <w:color w:val="000000"/>
          <w:lang w:val="es-CR" w:eastAsia="es-CR"/>
        </w:rPr>
        <w:t xml:space="preserve"> “</w:t>
      </w:r>
      <w:r w:rsidR="00712114" w:rsidRPr="00704B08">
        <w:rPr>
          <w:rFonts w:ascii="Arial Narrow" w:hAnsi="Arial Narrow"/>
          <w:b/>
          <w:bCs/>
          <w:i/>
          <w:iCs/>
          <w:lang w:val="es-CR" w:eastAsia="es-CR"/>
        </w:rPr>
        <w:t>Que al finalizar el 2024, se haya implementado en al menos 1200 (10%) de los puestos profesionales y técnicos, en los que sea factible, la adopción de modalidades alternativas de trabajo</w:t>
      </w:r>
      <w:r>
        <w:rPr>
          <w:rFonts w:ascii="Arial Narrow" w:hAnsi="Arial Narrow"/>
          <w:b/>
          <w:bCs/>
          <w:lang w:val="es-CR" w:eastAsia="es-CR"/>
        </w:rPr>
        <w:t>”</w:t>
      </w:r>
      <w:r w:rsidR="00712114" w:rsidRPr="00704B08">
        <w:rPr>
          <w:rFonts w:ascii="Arial Narrow" w:hAnsi="Arial Narrow" w:cs="Arial"/>
          <w:lang w:val="es-CR" w:eastAsia="es-CR"/>
        </w:rPr>
        <w:t xml:space="preserve"> </w:t>
      </w:r>
      <w:r>
        <w:rPr>
          <w:rFonts w:ascii="Arial Narrow" w:hAnsi="Arial Narrow" w:cs="Arial"/>
          <w:lang w:val="es-CR" w:eastAsia="es-CR"/>
        </w:rPr>
        <w:t>e</w:t>
      </w:r>
      <w:r w:rsidR="005872B4">
        <w:rPr>
          <w:rFonts w:ascii="Arial Narrow" w:hAnsi="Arial Narrow" w:cs="Arial"/>
          <w:lang w:val="es-CR" w:eastAsia="es-CR"/>
        </w:rPr>
        <w:t>n los años 2019 y 2020 s</w:t>
      </w:r>
      <w:r w:rsidR="00712114" w:rsidRPr="00704B08">
        <w:rPr>
          <w:rFonts w:ascii="Arial Narrow" w:hAnsi="Arial Narrow" w:cs="Arial"/>
          <w:lang w:val="es-CR" w:eastAsia="es-CR"/>
        </w:rPr>
        <w:t xml:space="preserve">e determinan las diferentes modalidades alternativas de trabajo y su prefactibilidad en el Poder Judicial. </w:t>
      </w:r>
      <w:r w:rsidR="005872B4">
        <w:rPr>
          <w:rFonts w:ascii="Arial Narrow" w:hAnsi="Arial Narrow" w:cs="Arial"/>
          <w:lang w:val="es-CR" w:eastAsia="es-CR"/>
        </w:rPr>
        <w:t>Además, s</w:t>
      </w:r>
      <w:r w:rsidR="00712114" w:rsidRPr="00704B08">
        <w:rPr>
          <w:rFonts w:ascii="Arial Narrow" w:hAnsi="Arial Narrow" w:cs="Arial"/>
          <w:lang w:val="es-CR" w:eastAsia="es-CR"/>
        </w:rPr>
        <w:t xml:space="preserve">e presenta documentación sobre las diferentes modalidades de trabajo flexible que se pueden implementar en el Poder Judicial. </w:t>
      </w:r>
      <w:r w:rsidR="005872B4">
        <w:rPr>
          <w:rFonts w:ascii="Arial Narrow" w:hAnsi="Arial Narrow" w:cs="Arial"/>
          <w:lang w:val="es-CR" w:eastAsia="es-CR"/>
        </w:rPr>
        <w:t>Por otra parte</w:t>
      </w:r>
      <w:r w:rsidR="00477DBE" w:rsidRPr="00704B08">
        <w:rPr>
          <w:rFonts w:ascii="Arial Narrow" w:hAnsi="Arial Narrow" w:cs="Arial"/>
          <w:lang w:val="es-CR" w:eastAsia="es-CR"/>
        </w:rPr>
        <w:t xml:space="preserve">, se tiene que por parte del Centro de Apoyo, Coordinación y Mejoramiento de la Función Jurisdiccional ha elaborado diferentes </w:t>
      </w:r>
      <w:r w:rsidR="00477DBE">
        <w:rPr>
          <w:rFonts w:ascii="Arial Narrow" w:hAnsi="Arial Narrow" w:cs="Arial"/>
          <w:lang w:val="es-CR" w:eastAsia="es-CR"/>
        </w:rPr>
        <w:t xml:space="preserve">informes de seguimiento de los </w:t>
      </w:r>
      <w:r w:rsidR="00477DBE" w:rsidRPr="00704B08">
        <w:rPr>
          <w:rFonts w:ascii="Arial Narrow" w:hAnsi="Arial Narrow" w:cs="Arial"/>
          <w:lang w:val="es-CR" w:eastAsia="es-CR"/>
        </w:rPr>
        <w:t xml:space="preserve">planes de trabajo </w:t>
      </w:r>
      <w:r w:rsidR="00477DBE" w:rsidRPr="00A618D8">
        <w:rPr>
          <w:rFonts w:ascii="Arial Narrow" w:hAnsi="Arial Narrow" w:cs="Arial"/>
          <w:lang w:val="es-CR" w:eastAsia="es-CR"/>
        </w:rPr>
        <w:t xml:space="preserve">sobre los resultados de las labores ejecutadas por los despachos judiciales del país a </w:t>
      </w:r>
      <w:r w:rsidR="00477DBE">
        <w:rPr>
          <w:rFonts w:ascii="Arial Narrow" w:hAnsi="Arial Narrow" w:cs="Arial"/>
          <w:lang w:val="es-CR" w:eastAsia="es-CR"/>
        </w:rPr>
        <w:t xml:space="preserve">su </w:t>
      </w:r>
      <w:r w:rsidR="00477DBE" w:rsidRPr="00A618D8">
        <w:rPr>
          <w:rFonts w:ascii="Arial Narrow" w:hAnsi="Arial Narrow" w:cs="Arial"/>
          <w:lang w:val="es-CR" w:eastAsia="es-CR"/>
        </w:rPr>
        <w:t>cargo</w:t>
      </w:r>
      <w:r w:rsidR="00477DBE">
        <w:rPr>
          <w:rFonts w:ascii="Arial Narrow" w:hAnsi="Arial Narrow" w:cs="Arial"/>
          <w:lang w:val="es-CR" w:eastAsia="es-CR"/>
        </w:rPr>
        <w:t xml:space="preserve"> </w:t>
      </w:r>
      <w:r w:rsidR="00FF3C8F">
        <w:rPr>
          <w:rFonts w:ascii="Arial Narrow" w:hAnsi="Arial Narrow" w:cs="Arial"/>
          <w:lang w:val="es-CR" w:eastAsia="es-CR"/>
        </w:rPr>
        <w:t xml:space="preserve">durante los dos años analizados. También se indica que por </w:t>
      </w:r>
      <w:r w:rsidR="00FF3C8F">
        <w:rPr>
          <w:rFonts w:ascii="Arial Narrow" w:hAnsi="Arial Narrow" w:cs="Arial"/>
          <w:lang w:val="es-CR" w:eastAsia="es-CR"/>
        </w:rPr>
        <w:lastRenderedPageBreak/>
        <w:t>parte del Centro</w:t>
      </w:r>
      <w:r w:rsidR="00FF3C8F" w:rsidRPr="00A618D8">
        <w:rPr>
          <w:rFonts w:ascii="Arial Narrow" w:hAnsi="Arial Narrow" w:cs="Arial"/>
          <w:lang w:val="es-CR" w:eastAsia="es-CR"/>
        </w:rPr>
        <w:t xml:space="preserve"> de Apoyo, Coordinación y Mejoramiento de la Función Jurisdiccional</w:t>
      </w:r>
      <w:r w:rsidR="00FF3C8F">
        <w:rPr>
          <w:rFonts w:ascii="Arial Narrow" w:hAnsi="Arial Narrow" w:cs="Arial"/>
          <w:lang w:val="es-CR" w:eastAsia="es-CR"/>
        </w:rPr>
        <w:t xml:space="preserve"> que han elaborado informes de seguimiento a planes de trabajo establecidos a los despachos de</w:t>
      </w:r>
      <w:r w:rsidR="00477DBE">
        <w:rPr>
          <w:rFonts w:ascii="Arial Narrow" w:hAnsi="Arial Narrow" w:cs="Arial"/>
          <w:lang w:val="es-CR" w:eastAsia="es-CR"/>
        </w:rPr>
        <w:t xml:space="preserve"> </w:t>
      </w:r>
      <w:r w:rsidR="00477DBE" w:rsidRPr="00A618D8">
        <w:rPr>
          <w:rFonts w:ascii="Arial Narrow" w:hAnsi="Arial Narrow" w:cs="Arial"/>
          <w:lang w:val="es-CR" w:eastAsia="es-CR"/>
        </w:rPr>
        <w:t>conformidad con las medidas establecidas por la pandemia COVID-19</w:t>
      </w:r>
      <w:r w:rsidR="00477DBE">
        <w:rPr>
          <w:rFonts w:ascii="Arial Narrow" w:hAnsi="Arial Narrow" w:cs="Arial"/>
          <w:lang w:val="es-CR" w:eastAsia="es-CR"/>
        </w:rPr>
        <w:t xml:space="preserve">, lo cuales fueron expuestos al </w:t>
      </w:r>
      <w:r w:rsidR="00477DBE" w:rsidRPr="00704B08">
        <w:rPr>
          <w:rFonts w:ascii="Arial Narrow" w:hAnsi="Arial Narrow" w:cs="Arial"/>
          <w:lang w:val="es-CR" w:eastAsia="es-CR"/>
        </w:rPr>
        <w:t xml:space="preserve">Órgano </w:t>
      </w:r>
      <w:r w:rsidR="00D86485" w:rsidRPr="00935D7F">
        <w:rPr>
          <w:rFonts w:ascii="Arial Narrow" w:hAnsi="Arial Narrow" w:cs="Arial"/>
          <w:lang w:val="es-CR" w:eastAsia="es-CR"/>
        </w:rPr>
        <w:t>Superior.</w:t>
      </w:r>
      <w:r w:rsidR="00477DBE">
        <w:rPr>
          <w:rFonts w:ascii="Arial Narrow" w:hAnsi="Arial Narrow" w:cs="Arial"/>
          <w:lang w:val="es-CR" w:eastAsia="es-CR"/>
        </w:rPr>
        <w:t xml:space="preserve"> </w:t>
      </w:r>
      <w:r w:rsidR="00D86485">
        <w:rPr>
          <w:rFonts w:ascii="Arial Narrow" w:hAnsi="Arial Narrow" w:cs="Arial"/>
          <w:lang w:val="es-CR" w:eastAsia="es-CR"/>
        </w:rPr>
        <w:t>Es por lo anterior, que se observa</w:t>
      </w:r>
      <w:r w:rsidR="00477DBE">
        <w:rPr>
          <w:rFonts w:ascii="Arial Narrow" w:hAnsi="Arial Narrow" w:cs="Arial"/>
          <w:lang w:val="es-CR" w:eastAsia="es-CR"/>
        </w:rPr>
        <w:t xml:space="preserve"> que esta meta estratégica reporta un </w:t>
      </w:r>
      <w:r w:rsidR="00D86485">
        <w:rPr>
          <w:rFonts w:ascii="Arial Narrow" w:hAnsi="Arial Narrow" w:cs="Arial"/>
          <w:lang w:val="es-CR" w:eastAsia="es-CR"/>
        </w:rPr>
        <w:t>avance cumplimiento</w:t>
      </w:r>
      <w:r w:rsidR="00477DBE">
        <w:rPr>
          <w:rFonts w:ascii="Arial Narrow" w:hAnsi="Arial Narrow" w:cs="Arial"/>
          <w:lang w:val="es-CR" w:eastAsia="es-CR"/>
        </w:rPr>
        <w:t xml:space="preserve"> del 100%.</w:t>
      </w:r>
    </w:p>
    <w:p w14:paraId="1EB10841" w14:textId="361A0B73" w:rsidR="00F23433" w:rsidRDefault="00F23433" w:rsidP="00F23433">
      <w:pPr>
        <w:spacing w:line="360" w:lineRule="auto"/>
        <w:jc w:val="both"/>
        <w:rPr>
          <w:rFonts w:ascii="Arial Narrow" w:hAnsi="Arial Narrow" w:cs="Arial"/>
          <w:lang w:val="es-CR" w:eastAsia="es-CR"/>
        </w:rPr>
      </w:pPr>
    </w:p>
    <w:p w14:paraId="089662AF" w14:textId="72868F5D" w:rsidR="00F23433" w:rsidRPr="00704B08" w:rsidRDefault="00F23433" w:rsidP="00F23433">
      <w:pPr>
        <w:spacing w:line="360" w:lineRule="auto"/>
        <w:jc w:val="both"/>
        <w:rPr>
          <w:rFonts w:ascii="Arial Narrow" w:hAnsi="Arial Narrow"/>
          <w:lang w:val="es-CR" w:eastAsia="es-CR"/>
        </w:rPr>
      </w:pPr>
      <w:r w:rsidRPr="000F6A3E">
        <w:rPr>
          <w:rFonts w:ascii="Arial Narrow" w:hAnsi="Arial Narrow"/>
          <w:lang w:val="es-CR" w:eastAsia="es-CR"/>
        </w:rPr>
        <w:t xml:space="preserve">Adicionalmente, </w:t>
      </w:r>
      <w:r w:rsidR="000F6A3E" w:rsidRPr="00C9711A">
        <w:rPr>
          <w:rFonts w:ascii="Arial Narrow" w:hAnsi="Arial Narrow"/>
          <w:lang w:val="es-CR" w:eastAsia="es-CR"/>
        </w:rPr>
        <w:t xml:space="preserve">en relación con las metas anteriores, </w:t>
      </w:r>
      <w:r w:rsidRPr="000F6A3E">
        <w:rPr>
          <w:rFonts w:ascii="Arial Narrow" w:hAnsi="Arial Narrow"/>
          <w:lang w:val="es-CR" w:eastAsia="es-CR"/>
        </w:rPr>
        <w:t xml:space="preserve">la Dirección </w:t>
      </w:r>
      <w:r w:rsidR="001B45A7" w:rsidRPr="000F6A3E">
        <w:rPr>
          <w:rFonts w:ascii="Arial Narrow" w:hAnsi="Arial Narrow"/>
          <w:lang w:val="es-CR" w:eastAsia="es-CR"/>
        </w:rPr>
        <w:t xml:space="preserve">de </w:t>
      </w:r>
      <w:r w:rsidRPr="000F6A3E">
        <w:rPr>
          <w:rFonts w:ascii="Arial Narrow" w:hAnsi="Arial Narrow"/>
          <w:lang w:val="es-CR" w:eastAsia="es-CR"/>
        </w:rPr>
        <w:t>Tecnología y el Poder Judicial en general, t</w:t>
      </w:r>
      <w:r w:rsidR="008A7E94" w:rsidRPr="000F6A3E">
        <w:rPr>
          <w:rFonts w:ascii="Arial Narrow" w:hAnsi="Arial Narrow"/>
          <w:lang w:val="es-CR" w:eastAsia="es-CR"/>
        </w:rPr>
        <w:t>omando</w:t>
      </w:r>
      <w:r w:rsidRPr="000F6A3E">
        <w:rPr>
          <w:rFonts w:ascii="Arial Narrow" w:hAnsi="Arial Narrow"/>
          <w:lang w:val="es-CR" w:eastAsia="es-CR"/>
        </w:rPr>
        <w:t xml:space="preserve"> en cuenta la situación país experimentada con motivo de la emergencia nacional por la pandemia COVID 19, realizó el esfuerzo por poner a funcionar a más de 1200 personas teletrabajadoras</w:t>
      </w:r>
      <w:r w:rsidR="008A7E94" w:rsidRPr="000F6A3E">
        <w:rPr>
          <w:rFonts w:ascii="Arial Narrow" w:hAnsi="Arial Narrow"/>
          <w:lang w:val="es-CR" w:eastAsia="es-CR"/>
        </w:rPr>
        <w:t>, según lo indicado en</w:t>
      </w:r>
      <w:r w:rsidRPr="000F6A3E">
        <w:rPr>
          <w:rFonts w:ascii="Arial Narrow" w:hAnsi="Arial Narrow"/>
          <w:lang w:val="es-CR" w:eastAsia="es-CR"/>
        </w:rPr>
        <w:t xml:space="preserve"> oficio 220-DTI-2021.</w:t>
      </w:r>
    </w:p>
    <w:p w14:paraId="66D106CA" w14:textId="4FC03215" w:rsidR="00F23433" w:rsidRDefault="00F23433" w:rsidP="00712114">
      <w:pPr>
        <w:spacing w:line="360" w:lineRule="auto"/>
        <w:jc w:val="both"/>
        <w:rPr>
          <w:rFonts w:ascii="Arial Narrow" w:hAnsi="Arial Narrow" w:cs="Arial"/>
          <w:lang w:val="es-CR" w:eastAsia="es-CR"/>
        </w:rPr>
        <w:sectPr w:rsidR="00F23433" w:rsidSect="009D5823">
          <w:pgSz w:w="12242" w:h="15842" w:code="1"/>
          <w:pgMar w:top="1701" w:right="1417" w:bottom="1701" w:left="1417" w:header="709" w:footer="709" w:gutter="0"/>
          <w:cols w:space="708"/>
          <w:docGrid w:linePitch="360"/>
        </w:sectPr>
      </w:pPr>
    </w:p>
    <w:p w14:paraId="214A095A" w14:textId="6E4687CA" w:rsidR="0092590E" w:rsidRDefault="0092590E" w:rsidP="0092590E">
      <w:pPr>
        <w:pStyle w:val="Descripcin"/>
        <w:jc w:val="center"/>
        <w:rPr>
          <w:rFonts w:ascii="Arial Narrow" w:hAnsi="Arial Narrow"/>
          <w:sz w:val="24"/>
          <w:szCs w:val="24"/>
        </w:rPr>
      </w:pPr>
    </w:p>
    <w:p w14:paraId="5C44599F" w14:textId="4D461E8B" w:rsidR="000C0EC5" w:rsidRPr="00484CC1" w:rsidRDefault="000C0EC5" w:rsidP="000C0EC5">
      <w:pPr>
        <w:pStyle w:val="Descripcin"/>
        <w:jc w:val="center"/>
        <w:rPr>
          <w:rFonts w:ascii="Arial Narrow" w:eastAsia="Calibri" w:hAnsi="Arial Narrow"/>
          <w:lang w:eastAsia="en-US"/>
        </w:rPr>
      </w:pPr>
      <w:bookmarkStart w:id="111" w:name="_Toc76062285"/>
      <w:r w:rsidRPr="00484CC1">
        <w:rPr>
          <w:rFonts w:ascii="Arial Narrow" w:hAnsi="Arial Narrow"/>
          <w:sz w:val="24"/>
          <w:szCs w:val="24"/>
        </w:rPr>
        <w:t>Cuadro</w:t>
      </w:r>
      <w:r>
        <w:rPr>
          <w:rFonts w:ascii="Arial Narrow" w:hAnsi="Arial Narrow"/>
          <w:sz w:val="24"/>
          <w:szCs w:val="24"/>
        </w:rPr>
        <w:t xml:space="preserve"> </w:t>
      </w:r>
      <w:r w:rsidRPr="00484CC1">
        <w:rPr>
          <w:rFonts w:ascii="Arial Narrow" w:hAnsi="Arial Narrow"/>
          <w:sz w:val="24"/>
          <w:szCs w:val="24"/>
        </w:rPr>
        <w:fldChar w:fldCharType="begin"/>
      </w:r>
      <w:r w:rsidRPr="00484CC1">
        <w:rPr>
          <w:rFonts w:ascii="Arial Narrow" w:hAnsi="Arial Narrow"/>
          <w:sz w:val="24"/>
          <w:szCs w:val="24"/>
        </w:rPr>
        <w:instrText xml:space="preserve"> SEQ Cuadro_No. \* ARABIC </w:instrText>
      </w:r>
      <w:r w:rsidRPr="00484CC1">
        <w:rPr>
          <w:rFonts w:ascii="Arial Narrow" w:hAnsi="Arial Narrow"/>
          <w:sz w:val="24"/>
          <w:szCs w:val="24"/>
        </w:rPr>
        <w:fldChar w:fldCharType="separate"/>
      </w:r>
      <w:r w:rsidR="009D5823">
        <w:rPr>
          <w:rFonts w:ascii="Arial Narrow" w:hAnsi="Arial Narrow"/>
          <w:noProof/>
          <w:sz w:val="24"/>
          <w:szCs w:val="24"/>
        </w:rPr>
        <w:t>62</w:t>
      </w:r>
      <w:r w:rsidRPr="00484CC1">
        <w:rPr>
          <w:rFonts w:ascii="Arial Narrow" w:hAnsi="Arial Narrow"/>
          <w:sz w:val="24"/>
          <w:szCs w:val="24"/>
        </w:rPr>
        <w:fldChar w:fldCharType="end"/>
      </w:r>
      <w:r w:rsidRPr="00484CC1">
        <w:rPr>
          <w:rFonts w:ascii="Arial Narrow" w:hAnsi="Arial Narrow"/>
          <w:sz w:val="24"/>
          <w:szCs w:val="24"/>
        </w:rPr>
        <w:t xml:space="preserve"> </w:t>
      </w:r>
      <w:r w:rsidRPr="00211B03">
        <w:rPr>
          <w:rFonts w:ascii="Arial Narrow" w:eastAsia="Calibri" w:hAnsi="Arial Narrow"/>
          <w:sz w:val="24"/>
          <w:szCs w:val="24"/>
        </w:rPr>
        <w:t>Metas estratégicas de Modalidades alternativas de trabajo, y su cumplimiento para el 2019</w:t>
      </w:r>
      <w:r>
        <w:rPr>
          <w:rFonts w:ascii="Arial Narrow" w:eastAsia="Calibri" w:hAnsi="Arial Narrow"/>
          <w:sz w:val="24"/>
          <w:szCs w:val="24"/>
        </w:rPr>
        <w:t xml:space="preserve"> y 2020.</w:t>
      </w:r>
      <w:bookmarkEnd w:id="111"/>
    </w:p>
    <w:p w14:paraId="72E33926" w14:textId="43887C8C" w:rsidR="0092590E" w:rsidRPr="00704B08" w:rsidRDefault="0092590E" w:rsidP="00704B08">
      <w:pPr>
        <w:spacing w:line="360" w:lineRule="auto"/>
        <w:jc w:val="center"/>
        <w:rPr>
          <w:rFonts w:ascii="Arial Narrow" w:hAnsi="Arial Narrow"/>
          <w:b/>
          <w:bCs/>
        </w:rPr>
      </w:pPr>
      <w:r>
        <w:rPr>
          <w:noProof/>
          <w:lang w:val="es-CR" w:eastAsia="es-CR"/>
        </w:rPr>
        <w:drawing>
          <wp:inline distT="0" distB="0" distL="0" distR="0" wp14:anchorId="26B32FC0" wp14:editId="4DC27A1A">
            <wp:extent cx="7874000" cy="2724687"/>
            <wp:effectExtent l="57150" t="57150" r="88900" b="95250"/>
            <wp:docPr id="102" name="Imagen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4"/>
                    <a:srcRect l="321" r="1"/>
                    <a:stretch/>
                  </pic:blipFill>
                  <pic:spPr bwMode="auto">
                    <a:xfrm>
                      <a:off x="0" y="0"/>
                      <a:ext cx="7882379" cy="2727587"/>
                    </a:xfrm>
                    <a:prstGeom prst="rect">
                      <a:avLst/>
                    </a:prstGeom>
                    <a:ln w="9525" cap="sq" cmpd="sng" algn="ctr">
                      <a:solidFill>
                        <a:srgbClr val="00B0F0"/>
                      </a:solidFill>
                      <a:prstDash val="solid"/>
                      <a:miter lim="800000"/>
                      <a:headEnd type="none" w="med" len="med"/>
                      <a:tailEnd type="none" w="med" len="med"/>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121452B4" w14:textId="77777777" w:rsidR="0092590E" w:rsidRDefault="0092590E" w:rsidP="0092590E">
      <w:pPr>
        <w:ind w:left="-142" w:firstLine="850"/>
        <w:rPr>
          <w:rFonts w:ascii="Arial Narrow" w:eastAsia="Calibri" w:hAnsi="Arial Narrow"/>
          <w:sz w:val="18"/>
          <w:szCs w:val="18"/>
          <w:lang w:eastAsia="en-US"/>
        </w:rPr>
      </w:pPr>
      <w:r w:rsidRPr="000B4845">
        <w:rPr>
          <w:rFonts w:ascii="Arial Narrow" w:eastAsia="Calibri" w:hAnsi="Arial Narrow"/>
          <w:sz w:val="18"/>
          <w:szCs w:val="18"/>
          <w:lang w:eastAsia="en-US"/>
        </w:rPr>
        <w:t>Fuente: Sistema PEI al 24 de enero del 2020 (año 2019)</w:t>
      </w:r>
      <w:r>
        <w:rPr>
          <w:rFonts w:ascii="Arial Narrow" w:eastAsia="Calibri" w:hAnsi="Arial Narrow"/>
          <w:sz w:val="18"/>
          <w:szCs w:val="18"/>
          <w:lang w:eastAsia="en-US"/>
        </w:rPr>
        <w:t xml:space="preserve"> y 04 de marzo del 2021 (año 2020).</w:t>
      </w:r>
    </w:p>
    <w:p w14:paraId="2D24C418" w14:textId="77777777" w:rsidR="009D5823" w:rsidRDefault="009D5823" w:rsidP="00712114">
      <w:pPr>
        <w:spacing w:line="360" w:lineRule="auto"/>
        <w:jc w:val="both"/>
        <w:rPr>
          <w:rFonts w:ascii="Arial Narrow" w:hAnsi="Arial Narrow"/>
          <w:b/>
          <w:bCs/>
        </w:rPr>
        <w:sectPr w:rsidR="009D5823" w:rsidSect="009D5823">
          <w:pgSz w:w="15842" w:h="12242" w:orient="landscape" w:code="1"/>
          <w:pgMar w:top="1417" w:right="1701" w:bottom="1417" w:left="1701" w:header="709" w:footer="709" w:gutter="0"/>
          <w:cols w:space="708"/>
          <w:docGrid w:linePitch="360"/>
        </w:sectPr>
      </w:pPr>
    </w:p>
    <w:p w14:paraId="68046EF4" w14:textId="4C3BDAF2" w:rsidR="00712114" w:rsidRPr="00704B08" w:rsidRDefault="000C0EC5" w:rsidP="00704B08">
      <w:pPr>
        <w:spacing w:line="360" w:lineRule="auto"/>
        <w:jc w:val="both"/>
        <w:rPr>
          <w:rFonts w:ascii="Arial Narrow" w:hAnsi="Arial Narrow"/>
          <w:b/>
          <w:bCs/>
          <w:lang w:val="es-CR" w:eastAsia="es-CR"/>
        </w:rPr>
      </w:pPr>
      <w:r>
        <w:rPr>
          <w:rFonts w:ascii="Arial Narrow" w:hAnsi="Arial Narrow" w:cs="Calibri"/>
          <w:color w:val="000000"/>
          <w:lang w:val="es-CR" w:eastAsia="es-CR"/>
        </w:rPr>
        <w:lastRenderedPageBreak/>
        <w:t>Por su parte, la</w:t>
      </w:r>
      <w:r w:rsidRPr="002E0B96">
        <w:rPr>
          <w:rFonts w:ascii="Arial Narrow" w:hAnsi="Arial Narrow" w:cs="Calibri"/>
          <w:color w:val="000000"/>
          <w:lang w:val="es-CR" w:eastAsia="es-CR"/>
        </w:rPr>
        <w:t xml:space="preserve"> meta estratégica</w:t>
      </w:r>
      <w:r>
        <w:rPr>
          <w:rFonts w:ascii="Arial Narrow" w:hAnsi="Arial Narrow" w:cs="Calibri"/>
          <w:b/>
          <w:bCs/>
          <w:color w:val="000000"/>
          <w:lang w:val="es-CR" w:eastAsia="es-CR"/>
        </w:rPr>
        <w:t xml:space="preserve"> “</w:t>
      </w:r>
      <w:r w:rsidR="00712114" w:rsidRPr="00704B08">
        <w:rPr>
          <w:rFonts w:ascii="Arial Narrow" w:hAnsi="Arial Narrow"/>
          <w:b/>
          <w:bCs/>
          <w:i/>
          <w:iCs/>
          <w:lang w:val="es-CR" w:eastAsia="es-CR"/>
        </w:rPr>
        <w:t>Que al finalizar el 2024, se cuente con las tecnologías de información adecuadas para la implementación de modalidades alternativas de trabajo, considerando los aspectos de seguridad de la información y cumplimiento de la normativa vigente</w:t>
      </w:r>
      <w:r>
        <w:rPr>
          <w:rFonts w:ascii="Arial Narrow" w:hAnsi="Arial Narrow"/>
          <w:b/>
          <w:bCs/>
          <w:lang w:val="es-CR" w:eastAsia="es-CR"/>
        </w:rPr>
        <w:t>”</w:t>
      </w:r>
      <w:r w:rsidR="00DD2BFA">
        <w:rPr>
          <w:rFonts w:ascii="Arial Narrow" w:hAnsi="Arial Narrow"/>
          <w:b/>
          <w:bCs/>
          <w:lang w:val="es-CR" w:eastAsia="es-CR"/>
        </w:rPr>
        <w:t>,</w:t>
      </w:r>
      <w:r w:rsidR="00D86485">
        <w:rPr>
          <w:rFonts w:ascii="Arial Narrow" w:hAnsi="Arial Narrow"/>
          <w:b/>
          <w:bCs/>
          <w:lang w:val="es-CR" w:eastAsia="es-CR"/>
        </w:rPr>
        <w:t xml:space="preserve"> </w:t>
      </w:r>
      <w:r>
        <w:rPr>
          <w:rFonts w:ascii="Arial Narrow" w:eastAsia="Calibri" w:hAnsi="Arial Narrow"/>
        </w:rPr>
        <w:t>d</w:t>
      </w:r>
      <w:r w:rsidR="00935D7F" w:rsidRPr="00085601">
        <w:rPr>
          <w:rFonts w:ascii="Arial Narrow" w:eastAsia="Calibri" w:hAnsi="Arial Narrow"/>
        </w:rPr>
        <w:t xml:space="preserve">ebido a un replanteamiento realizado por la Dirección de Tecnología de la Información para el año 2019 esta meta estratégica se retomó </w:t>
      </w:r>
      <w:r w:rsidR="00F817C4" w:rsidRPr="00085601">
        <w:rPr>
          <w:rFonts w:ascii="Arial Narrow" w:eastAsia="Calibri" w:hAnsi="Arial Narrow"/>
        </w:rPr>
        <w:t>p</w:t>
      </w:r>
      <w:r w:rsidR="00F817C4" w:rsidRPr="000417F1">
        <w:rPr>
          <w:rFonts w:ascii="Arial Narrow" w:eastAsia="Calibri" w:hAnsi="Arial Narrow"/>
        </w:rPr>
        <w:t>ara</w:t>
      </w:r>
      <w:r w:rsidR="00935D7F" w:rsidRPr="00F817C4">
        <w:rPr>
          <w:rFonts w:ascii="Arial Narrow" w:eastAsia="Calibri" w:hAnsi="Arial Narrow"/>
        </w:rPr>
        <w:t xml:space="preserve"> el 2020. Dentro de las actividades realizadas</w:t>
      </w:r>
      <w:r w:rsidR="005E4324">
        <w:rPr>
          <w:rFonts w:ascii="Arial Narrow" w:eastAsia="Calibri" w:hAnsi="Arial Narrow"/>
        </w:rPr>
        <w:t xml:space="preserve"> en el 2020 se tiene la ejecución de</w:t>
      </w:r>
      <w:r w:rsidR="00935D7F" w:rsidRPr="00F817C4">
        <w:rPr>
          <w:rFonts w:ascii="Arial Narrow" w:eastAsia="Calibri" w:hAnsi="Arial Narrow"/>
        </w:rPr>
        <w:t xml:space="preserve"> e</w:t>
      </w:r>
      <w:r w:rsidR="00935D7F" w:rsidRPr="00704B08">
        <w:rPr>
          <w:rFonts w:ascii="Arial Narrow" w:hAnsi="Arial Narrow"/>
        </w:rPr>
        <w:t>xtender el servicio de conectividad de VPN de manera segura para ser utilizado en equipo de cómputo personal</w:t>
      </w:r>
      <w:r w:rsidR="005E4324">
        <w:rPr>
          <w:rFonts w:ascii="Arial Narrow" w:hAnsi="Arial Narrow"/>
        </w:rPr>
        <w:t xml:space="preserve"> de los empleados judiciales y ejecutar </w:t>
      </w:r>
      <w:r w:rsidR="00935D7F" w:rsidRPr="00704B08">
        <w:rPr>
          <w:rFonts w:ascii="Arial Narrow" w:hAnsi="Arial Narrow"/>
        </w:rPr>
        <w:t>el servicio del portal de teletrabajadores</w:t>
      </w:r>
      <w:r w:rsidR="005E4324">
        <w:rPr>
          <w:rFonts w:ascii="Arial Narrow" w:hAnsi="Arial Narrow"/>
        </w:rPr>
        <w:t>.</w:t>
      </w:r>
    </w:p>
    <w:p w14:paraId="19F887DD" w14:textId="6B895597" w:rsidR="00712114" w:rsidRDefault="00712114" w:rsidP="00712114">
      <w:pPr>
        <w:spacing w:line="360" w:lineRule="auto"/>
        <w:jc w:val="both"/>
        <w:rPr>
          <w:rFonts w:ascii="Arial Narrow" w:hAnsi="Arial Narrow"/>
          <w:b/>
          <w:bCs/>
        </w:rPr>
      </w:pPr>
    </w:p>
    <w:p w14:paraId="5074A8AC" w14:textId="2F4B62DC" w:rsidR="00085601" w:rsidRPr="00A618D8" w:rsidRDefault="000C0EC5" w:rsidP="00085601">
      <w:pPr>
        <w:spacing w:line="360" w:lineRule="auto"/>
        <w:jc w:val="both"/>
        <w:rPr>
          <w:rFonts w:ascii="Arial Narrow" w:hAnsi="Arial Narrow"/>
          <w:lang w:val="es-CR" w:eastAsia="en-US"/>
        </w:rPr>
      </w:pPr>
      <w:r>
        <w:rPr>
          <w:rFonts w:ascii="Arial Narrow" w:hAnsi="Arial Narrow" w:cs="Calibri"/>
          <w:color w:val="000000"/>
          <w:lang w:val="es-CR" w:eastAsia="es-CR"/>
        </w:rPr>
        <w:t>Por su parte, la</w:t>
      </w:r>
      <w:r w:rsidRPr="002E0B96">
        <w:rPr>
          <w:rFonts w:ascii="Arial Narrow" w:hAnsi="Arial Narrow" w:cs="Calibri"/>
          <w:color w:val="000000"/>
          <w:lang w:val="es-CR" w:eastAsia="es-CR"/>
        </w:rPr>
        <w:t xml:space="preserve"> meta estratégica</w:t>
      </w:r>
      <w:r>
        <w:rPr>
          <w:rFonts w:ascii="Arial Narrow" w:hAnsi="Arial Narrow" w:cs="Calibri"/>
          <w:color w:val="000000"/>
          <w:lang w:val="es-CR" w:eastAsia="es-CR"/>
        </w:rPr>
        <w:t xml:space="preserve"> “</w:t>
      </w:r>
      <w:r w:rsidR="00712114" w:rsidRPr="00704B08">
        <w:rPr>
          <w:rFonts w:ascii="Arial Narrow" w:hAnsi="Arial Narrow"/>
          <w:b/>
          <w:bCs/>
          <w:i/>
          <w:iCs/>
          <w:lang w:val="es-CR" w:eastAsia="es-CR"/>
        </w:rPr>
        <w:t>Que al finalizar el 2024, se haya implementado una campaña de comunicación y divulgación, sobre la importancia de modalidades alternativas de trabajo y el teletrabajo, que permita la sensibilización, impulso, implementación y conocimiento a nivel institucional</w:t>
      </w:r>
      <w:r>
        <w:rPr>
          <w:rFonts w:ascii="Arial Narrow" w:hAnsi="Arial Narrow"/>
          <w:b/>
          <w:bCs/>
          <w:lang w:val="es-CR" w:eastAsia="es-CR"/>
        </w:rPr>
        <w:t>”</w:t>
      </w:r>
      <w:r w:rsidR="00DD2BFA">
        <w:rPr>
          <w:rFonts w:ascii="Arial Narrow" w:hAnsi="Arial Narrow"/>
          <w:b/>
          <w:bCs/>
          <w:lang w:val="es-CR" w:eastAsia="es-CR"/>
        </w:rPr>
        <w:t>,</w:t>
      </w:r>
      <w:r>
        <w:rPr>
          <w:rFonts w:ascii="Arial Narrow" w:eastAsia="Calibri" w:hAnsi="Arial Narrow"/>
        </w:rPr>
        <w:t xml:space="preserve"> </w:t>
      </w:r>
      <w:r w:rsidRPr="009D5823">
        <w:rPr>
          <w:rFonts w:ascii="Arial Narrow" w:eastAsia="Calibri" w:hAnsi="Arial Narrow"/>
        </w:rPr>
        <w:t>d</w:t>
      </w:r>
      <w:r w:rsidR="00F817C4" w:rsidRPr="009D5823">
        <w:rPr>
          <w:rFonts w:ascii="Arial Narrow" w:eastAsia="Calibri" w:hAnsi="Arial Narrow"/>
        </w:rPr>
        <w:t xml:space="preserve">ebido a un replanteamiento realizado por la Dirección de </w:t>
      </w:r>
      <w:r w:rsidR="00085601" w:rsidRPr="009D5823">
        <w:rPr>
          <w:rFonts w:ascii="Arial Narrow" w:eastAsia="Calibri" w:hAnsi="Arial Narrow"/>
        </w:rPr>
        <w:t>Gestión Humana para</w:t>
      </w:r>
      <w:r w:rsidR="00F817C4" w:rsidRPr="009D5823">
        <w:rPr>
          <w:rFonts w:ascii="Arial Narrow" w:eastAsia="Calibri" w:hAnsi="Arial Narrow"/>
        </w:rPr>
        <w:t xml:space="preserve"> el año 2019 esta meta estratégica se retomó para el 2020.</w:t>
      </w:r>
      <w:r w:rsidR="00F817C4" w:rsidRPr="00704B08">
        <w:rPr>
          <w:rFonts w:ascii="Arial Narrow" w:hAnsi="Arial Narrow"/>
        </w:rPr>
        <w:t xml:space="preserve"> </w:t>
      </w:r>
      <w:r w:rsidR="00085601" w:rsidRPr="00704B08">
        <w:rPr>
          <w:rFonts w:ascii="Arial Narrow" w:hAnsi="Arial Narrow"/>
        </w:rPr>
        <w:t xml:space="preserve">Al respecto </w:t>
      </w:r>
      <w:r w:rsidR="00085601" w:rsidRPr="009D5823">
        <w:rPr>
          <w:rFonts w:ascii="Arial Narrow" w:eastAsia="Calibri" w:hAnsi="Arial Narrow"/>
        </w:rPr>
        <w:t xml:space="preserve">se emitió la circular #67-2020, </w:t>
      </w:r>
      <w:r w:rsidR="005E4324" w:rsidRPr="009D5823">
        <w:rPr>
          <w:rFonts w:ascii="Arial Narrow" w:eastAsia="Calibri" w:hAnsi="Arial Narrow"/>
        </w:rPr>
        <w:t>sobre los l</w:t>
      </w:r>
      <w:r w:rsidR="00085601" w:rsidRPr="009D5823">
        <w:rPr>
          <w:rFonts w:ascii="Arial Narrow" w:eastAsia="Calibri" w:hAnsi="Arial Narrow"/>
        </w:rPr>
        <w:t xml:space="preserve">ineamientos generales para la implementación del acuerdo adoptado por la Corte Plena en sesión extraordinaria 18-2020, celebrada el 2 de abril de 2020, artículo único, en la cual se les brinda la potestad a las oficinas de realizar teletrabajo. Así mismo, se realizó un manual de Teletrabajo el cual fue trasladado a </w:t>
      </w:r>
      <w:r w:rsidR="00085601" w:rsidRPr="009D5823">
        <w:rPr>
          <w:rFonts w:ascii="Arial Narrow" w:hAnsi="Arial Narrow"/>
          <w:lang w:eastAsia="en-US"/>
        </w:rPr>
        <w:t xml:space="preserve">la población judicial y colgado en la página WEB de </w:t>
      </w:r>
      <w:r>
        <w:rPr>
          <w:rFonts w:ascii="Arial Narrow" w:hAnsi="Arial Narrow"/>
          <w:lang w:eastAsia="en-US"/>
        </w:rPr>
        <w:t xml:space="preserve">la Dirección de </w:t>
      </w:r>
      <w:r w:rsidR="00085601" w:rsidRPr="009D5823">
        <w:rPr>
          <w:rFonts w:ascii="Arial Narrow" w:hAnsi="Arial Narrow"/>
          <w:lang w:eastAsia="en-US"/>
        </w:rPr>
        <w:t>Gestión Humana.</w:t>
      </w:r>
    </w:p>
    <w:p w14:paraId="4FD07D13" w14:textId="77777777" w:rsidR="00712114" w:rsidRPr="00704B08" w:rsidRDefault="00712114" w:rsidP="005E067A">
      <w:pPr>
        <w:rPr>
          <w:rFonts w:ascii="Arial Narrow" w:hAnsi="Arial Narrow"/>
        </w:rPr>
      </w:pPr>
    </w:p>
    <w:p w14:paraId="6F2B22B3" w14:textId="439D32AC" w:rsidR="00D10E54" w:rsidRPr="00704B08" w:rsidRDefault="009547D6" w:rsidP="005E067A">
      <w:pPr>
        <w:pStyle w:val="Ttulo4"/>
        <w:numPr>
          <w:ilvl w:val="0"/>
          <w:numId w:val="75"/>
        </w:numPr>
        <w:rPr>
          <w:rFonts w:ascii="Arial Narrow" w:eastAsia="Calibri" w:hAnsi="Arial Narrow"/>
          <w:szCs w:val="24"/>
        </w:rPr>
      </w:pPr>
      <w:r>
        <w:rPr>
          <w:rFonts w:ascii="Arial Narrow" w:eastAsia="Calibri" w:hAnsi="Arial Narrow"/>
          <w:szCs w:val="24"/>
        </w:rPr>
        <w:t xml:space="preserve">5.3.5. </w:t>
      </w:r>
      <w:r w:rsidR="00D10E54" w:rsidRPr="00704B08">
        <w:rPr>
          <w:rFonts w:ascii="Arial Narrow" w:eastAsia="Calibri" w:hAnsi="Arial Narrow"/>
          <w:szCs w:val="24"/>
        </w:rPr>
        <w:t>Buenas prácticas</w:t>
      </w:r>
    </w:p>
    <w:p w14:paraId="2ACD1DD1" w14:textId="77777777" w:rsidR="00B063BE" w:rsidRPr="000B4845" w:rsidRDefault="00B063BE" w:rsidP="008B6366">
      <w:pPr>
        <w:rPr>
          <w:rFonts w:ascii="Arial Narrow" w:eastAsia="Calibri" w:hAnsi="Arial Narrow"/>
          <w:lang w:eastAsia="en-US"/>
        </w:rPr>
      </w:pPr>
    </w:p>
    <w:p w14:paraId="5C94C1B1" w14:textId="4F354D46" w:rsidR="00D10E54" w:rsidRDefault="005E4324" w:rsidP="00704B08">
      <w:pPr>
        <w:spacing w:line="360" w:lineRule="auto"/>
        <w:rPr>
          <w:rFonts w:ascii="Arial Narrow" w:eastAsia="Calibri" w:hAnsi="Arial Narrow"/>
        </w:rPr>
      </w:pPr>
      <w:r w:rsidRPr="00A618D8">
        <w:rPr>
          <w:rFonts w:ascii="Arial Narrow" w:eastAsia="Calibri" w:hAnsi="Arial Narrow"/>
          <w:lang w:val="es-CR" w:eastAsia="en-US"/>
        </w:rPr>
        <w:t xml:space="preserve">Se observan </w:t>
      </w:r>
      <w:r>
        <w:rPr>
          <w:rFonts w:ascii="Arial Narrow" w:eastAsia="Calibri" w:hAnsi="Arial Narrow"/>
          <w:lang w:val="es-CR" w:eastAsia="en-US"/>
        </w:rPr>
        <w:t>2</w:t>
      </w:r>
      <w:r w:rsidRPr="00A618D8">
        <w:rPr>
          <w:rFonts w:ascii="Arial Narrow" w:eastAsia="Calibri" w:hAnsi="Arial Narrow"/>
          <w:lang w:val="es-CR" w:eastAsia="en-US"/>
        </w:rPr>
        <w:t xml:space="preserve"> metas estratégicas las cuales </w:t>
      </w:r>
      <w:r>
        <w:rPr>
          <w:rFonts w:ascii="Arial Narrow" w:eastAsia="Calibri" w:hAnsi="Arial Narrow"/>
          <w:lang w:val="es-CR" w:eastAsia="en-US"/>
        </w:rPr>
        <w:t xml:space="preserve">todas </w:t>
      </w:r>
      <w:r w:rsidRPr="00A618D8">
        <w:rPr>
          <w:rFonts w:ascii="Arial Narrow" w:eastAsia="Calibri" w:hAnsi="Arial Narrow"/>
          <w:lang w:val="es-CR" w:eastAsia="en-US"/>
        </w:rPr>
        <w:t>reflejan una ejecución total en su cumplimiento.</w:t>
      </w:r>
      <w:r>
        <w:rPr>
          <w:rFonts w:ascii="Arial Narrow" w:eastAsia="Calibri" w:hAnsi="Arial Narrow"/>
          <w:lang w:val="es-CR" w:eastAsia="en-US"/>
        </w:rPr>
        <w:t xml:space="preserve"> </w:t>
      </w:r>
      <w:r w:rsidRPr="00A618D8">
        <w:rPr>
          <w:rFonts w:ascii="Arial Narrow" w:eastAsia="Calibri" w:hAnsi="Arial Narrow"/>
        </w:rPr>
        <w:t>Se muestran a continuación el detalle de las metas estratégicas y su cumplimiento para el 2019 y 2020</w:t>
      </w:r>
      <w:r>
        <w:rPr>
          <w:rFonts w:ascii="Arial Narrow" w:eastAsia="Calibri" w:hAnsi="Arial Narrow"/>
        </w:rPr>
        <w:t xml:space="preserve">: </w:t>
      </w:r>
    </w:p>
    <w:p w14:paraId="3D52E7F7" w14:textId="0F0A2D84" w:rsidR="005E4324" w:rsidRDefault="005E4324" w:rsidP="00D10E54">
      <w:pPr>
        <w:rPr>
          <w:rFonts w:ascii="Arial Narrow" w:eastAsia="Calibri" w:hAnsi="Arial Narrow"/>
        </w:rPr>
      </w:pPr>
    </w:p>
    <w:p w14:paraId="1480C765" w14:textId="2B6E2823" w:rsidR="005E4324" w:rsidRDefault="005E4324" w:rsidP="00D10E54">
      <w:pPr>
        <w:rPr>
          <w:rFonts w:ascii="Arial Narrow" w:eastAsia="Calibri" w:hAnsi="Arial Narrow"/>
        </w:rPr>
      </w:pPr>
    </w:p>
    <w:p w14:paraId="3C069444" w14:textId="6372CE77" w:rsidR="005E4324" w:rsidRDefault="005E4324" w:rsidP="00D10E54">
      <w:pPr>
        <w:rPr>
          <w:rFonts w:ascii="Arial Narrow" w:eastAsia="Calibri" w:hAnsi="Arial Narrow"/>
        </w:rPr>
      </w:pPr>
    </w:p>
    <w:p w14:paraId="46679C4C" w14:textId="0FE3ED20" w:rsidR="005E4324" w:rsidRDefault="005E4324" w:rsidP="00D10E54">
      <w:pPr>
        <w:rPr>
          <w:rFonts w:ascii="Arial Narrow" w:eastAsia="Calibri" w:hAnsi="Arial Narrow"/>
        </w:rPr>
      </w:pPr>
    </w:p>
    <w:p w14:paraId="360C8C1D" w14:textId="1A6803D0" w:rsidR="005E4324" w:rsidRDefault="005E4324" w:rsidP="00D10E54">
      <w:pPr>
        <w:rPr>
          <w:rFonts w:ascii="Arial Narrow" w:eastAsia="Calibri" w:hAnsi="Arial Narrow"/>
        </w:rPr>
      </w:pPr>
    </w:p>
    <w:p w14:paraId="2366FCC9" w14:textId="40FC63AA" w:rsidR="005E4324" w:rsidRDefault="005E4324" w:rsidP="00D10E54">
      <w:pPr>
        <w:rPr>
          <w:rFonts w:ascii="Arial Narrow" w:eastAsia="Calibri" w:hAnsi="Arial Narrow"/>
        </w:rPr>
      </w:pPr>
    </w:p>
    <w:p w14:paraId="2D8856E3" w14:textId="627A0C0B" w:rsidR="005E4324" w:rsidRDefault="005E4324" w:rsidP="00D10E54">
      <w:pPr>
        <w:rPr>
          <w:rFonts w:ascii="Arial Narrow" w:eastAsia="Calibri" w:hAnsi="Arial Narrow"/>
        </w:rPr>
      </w:pPr>
    </w:p>
    <w:p w14:paraId="6798AD76" w14:textId="77777777" w:rsidR="009D5823" w:rsidRDefault="009D5823" w:rsidP="00D10E54">
      <w:pPr>
        <w:rPr>
          <w:rFonts w:ascii="Arial Narrow" w:eastAsia="Calibri" w:hAnsi="Arial Narrow"/>
        </w:rPr>
        <w:sectPr w:rsidR="009D5823" w:rsidSect="009D5823">
          <w:pgSz w:w="12242" w:h="15842" w:code="1"/>
          <w:pgMar w:top="1701" w:right="1417" w:bottom="1701" w:left="1417" w:header="709" w:footer="709" w:gutter="0"/>
          <w:cols w:space="708"/>
          <w:docGrid w:linePitch="360"/>
        </w:sectPr>
      </w:pPr>
    </w:p>
    <w:p w14:paraId="41B30C49" w14:textId="77777777" w:rsidR="00B97C38" w:rsidRPr="000B4845" w:rsidRDefault="00B97C38" w:rsidP="008B6366">
      <w:pPr>
        <w:rPr>
          <w:rFonts w:ascii="Arial Narrow" w:eastAsia="Calibri" w:hAnsi="Arial Narrow"/>
          <w:lang w:eastAsia="en-US"/>
        </w:rPr>
      </w:pPr>
    </w:p>
    <w:p w14:paraId="49CDA044" w14:textId="4AE24CF9" w:rsidR="008B6366" w:rsidRDefault="00211B03" w:rsidP="00484CC1">
      <w:pPr>
        <w:pStyle w:val="Descripcin"/>
        <w:jc w:val="center"/>
        <w:rPr>
          <w:rFonts w:ascii="Arial Narrow" w:eastAsia="Calibri" w:hAnsi="Arial Narrow"/>
          <w:sz w:val="24"/>
          <w:szCs w:val="24"/>
        </w:rPr>
      </w:pPr>
      <w:bookmarkStart w:id="112" w:name="_Toc76062286"/>
      <w:r w:rsidRPr="00484CC1">
        <w:rPr>
          <w:rFonts w:ascii="Arial Narrow" w:hAnsi="Arial Narrow"/>
          <w:sz w:val="24"/>
          <w:szCs w:val="24"/>
        </w:rPr>
        <w:t xml:space="preserve">Cuadro </w:t>
      </w:r>
      <w:r w:rsidRPr="00484CC1">
        <w:rPr>
          <w:rFonts w:ascii="Arial Narrow" w:hAnsi="Arial Narrow"/>
          <w:sz w:val="24"/>
          <w:szCs w:val="24"/>
        </w:rPr>
        <w:fldChar w:fldCharType="begin"/>
      </w:r>
      <w:r w:rsidRPr="00484CC1">
        <w:rPr>
          <w:rFonts w:ascii="Arial Narrow" w:hAnsi="Arial Narrow"/>
          <w:sz w:val="24"/>
          <w:szCs w:val="24"/>
        </w:rPr>
        <w:instrText xml:space="preserve"> SEQ Cuadro_No. \* ARABIC </w:instrText>
      </w:r>
      <w:r w:rsidRPr="00484CC1">
        <w:rPr>
          <w:rFonts w:ascii="Arial Narrow" w:hAnsi="Arial Narrow"/>
          <w:sz w:val="24"/>
          <w:szCs w:val="24"/>
        </w:rPr>
        <w:fldChar w:fldCharType="separate"/>
      </w:r>
      <w:r w:rsidR="00187CB4">
        <w:rPr>
          <w:rFonts w:ascii="Arial Narrow" w:hAnsi="Arial Narrow"/>
          <w:noProof/>
          <w:sz w:val="24"/>
          <w:szCs w:val="24"/>
        </w:rPr>
        <w:t>63</w:t>
      </w:r>
      <w:r w:rsidRPr="00484CC1">
        <w:rPr>
          <w:rFonts w:ascii="Arial Narrow" w:hAnsi="Arial Narrow"/>
          <w:sz w:val="24"/>
          <w:szCs w:val="24"/>
        </w:rPr>
        <w:fldChar w:fldCharType="end"/>
      </w:r>
      <w:r w:rsidRPr="00484CC1">
        <w:rPr>
          <w:rFonts w:ascii="Arial Narrow" w:hAnsi="Arial Narrow"/>
          <w:sz w:val="24"/>
          <w:szCs w:val="24"/>
        </w:rPr>
        <w:t xml:space="preserve"> </w:t>
      </w:r>
      <w:r w:rsidRPr="00211B03">
        <w:rPr>
          <w:rFonts w:ascii="Arial Narrow" w:eastAsia="Calibri" w:hAnsi="Arial Narrow"/>
          <w:sz w:val="24"/>
          <w:szCs w:val="24"/>
        </w:rPr>
        <w:t>Metas estratégicas de Buenas Prácticas, y su cumplimiento para el 2019</w:t>
      </w:r>
      <w:r w:rsidR="00B063BE">
        <w:rPr>
          <w:rFonts w:ascii="Arial Narrow" w:eastAsia="Calibri" w:hAnsi="Arial Narrow"/>
          <w:sz w:val="24"/>
          <w:szCs w:val="24"/>
        </w:rPr>
        <w:t xml:space="preserve"> y 2020.</w:t>
      </w:r>
      <w:bookmarkEnd w:id="112"/>
    </w:p>
    <w:p w14:paraId="4E4EA3FF" w14:textId="77777777" w:rsidR="00B063BE" w:rsidRDefault="00B063BE" w:rsidP="008E6926">
      <w:pPr>
        <w:rPr>
          <w:noProof/>
        </w:rPr>
      </w:pPr>
    </w:p>
    <w:p w14:paraId="0B7E826E" w14:textId="7F2950DB" w:rsidR="00531E25" w:rsidRPr="000B4845" w:rsidRDefault="00B063BE" w:rsidP="00704B08">
      <w:pPr>
        <w:jc w:val="center"/>
        <w:rPr>
          <w:rFonts w:ascii="Arial Narrow" w:eastAsia="Calibri" w:hAnsi="Arial Narrow"/>
          <w:lang w:eastAsia="en-US"/>
        </w:rPr>
      </w:pPr>
      <w:r>
        <w:rPr>
          <w:noProof/>
          <w:lang w:val="es-CR" w:eastAsia="es-CR"/>
        </w:rPr>
        <w:drawing>
          <wp:inline distT="0" distB="0" distL="0" distR="0" wp14:anchorId="56183BCA" wp14:editId="3D047024">
            <wp:extent cx="7835900" cy="2956507"/>
            <wp:effectExtent l="57150" t="57150" r="88900" b="92075"/>
            <wp:docPr id="96" name="Imagen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5"/>
                    <a:srcRect l="402" t="746" r="402" b="895"/>
                    <a:stretch/>
                  </pic:blipFill>
                  <pic:spPr bwMode="auto">
                    <a:xfrm>
                      <a:off x="0" y="0"/>
                      <a:ext cx="7838402" cy="2957451"/>
                    </a:xfrm>
                    <a:prstGeom prst="rect">
                      <a:avLst/>
                    </a:prstGeom>
                    <a:ln w="12700" cap="sq">
                      <a:solidFill>
                        <a:srgbClr val="00B0F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652EA662" w14:textId="4B882356" w:rsidR="00B063BE" w:rsidRDefault="008E6926" w:rsidP="00B063BE">
      <w:pPr>
        <w:ind w:left="-142" w:firstLine="850"/>
        <w:rPr>
          <w:rFonts w:ascii="Arial Narrow" w:eastAsia="Calibri" w:hAnsi="Arial Narrow"/>
          <w:sz w:val="18"/>
          <w:szCs w:val="18"/>
          <w:lang w:eastAsia="en-US"/>
        </w:rPr>
      </w:pPr>
      <w:r>
        <w:rPr>
          <w:rFonts w:ascii="Arial Narrow" w:eastAsia="Calibri" w:hAnsi="Arial Narrow"/>
          <w:lang w:eastAsia="en-US"/>
        </w:rPr>
        <w:t xml:space="preserve"> </w:t>
      </w:r>
      <w:r w:rsidR="00B47C8B">
        <w:rPr>
          <w:rFonts w:ascii="Arial Narrow" w:eastAsia="Calibri" w:hAnsi="Arial Narrow"/>
          <w:lang w:eastAsia="en-US"/>
        </w:rPr>
        <w:t xml:space="preserve"> </w:t>
      </w:r>
      <w:r w:rsidR="00B063BE" w:rsidRPr="000B4845">
        <w:rPr>
          <w:rFonts w:ascii="Arial Narrow" w:eastAsia="Calibri" w:hAnsi="Arial Narrow"/>
          <w:sz w:val="18"/>
          <w:szCs w:val="18"/>
          <w:lang w:eastAsia="en-US"/>
        </w:rPr>
        <w:t>Fuente: Sistema PEI al 24 de enero del 2020 (año 2019)</w:t>
      </w:r>
      <w:r w:rsidR="00B063BE">
        <w:rPr>
          <w:rFonts w:ascii="Arial Narrow" w:eastAsia="Calibri" w:hAnsi="Arial Narrow"/>
          <w:sz w:val="18"/>
          <w:szCs w:val="18"/>
          <w:lang w:eastAsia="en-US"/>
        </w:rPr>
        <w:t xml:space="preserve"> y 04 de marzo del 2021 (año 2020).</w:t>
      </w:r>
    </w:p>
    <w:p w14:paraId="60C275D5" w14:textId="77777777" w:rsidR="00B063BE" w:rsidRDefault="00B063BE" w:rsidP="00B063BE">
      <w:pPr>
        <w:ind w:left="-142" w:firstLine="850"/>
        <w:rPr>
          <w:rFonts w:ascii="Arial Narrow" w:eastAsia="Calibri" w:hAnsi="Arial Narrow"/>
          <w:sz w:val="18"/>
          <w:szCs w:val="18"/>
          <w:lang w:eastAsia="en-US"/>
        </w:rPr>
      </w:pPr>
    </w:p>
    <w:p w14:paraId="40C04229" w14:textId="77777777" w:rsidR="009D5823" w:rsidRDefault="009D5823" w:rsidP="00B47C8B">
      <w:pPr>
        <w:rPr>
          <w:rFonts w:ascii="Arial Narrow" w:eastAsia="Calibri" w:hAnsi="Arial Narrow"/>
          <w:sz w:val="18"/>
          <w:szCs w:val="18"/>
          <w:lang w:eastAsia="en-US"/>
        </w:rPr>
        <w:sectPr w:rsidR="009D5823" w:rsidSect="009D5823">
          <w:pgSz w:w="15842" w:h="12242" w:orient="landscape" w:code="1"/>
          <w:pgMar w:top="1417" w:right="1701" w:bottom="1417" w:left="1701" w:header="709" w:footer="709" w:gutter="0"/>
          <w:cols w:space="708"/>
          <w:docGrid w:linePitch="360"/>
        </w:sectPr>
      </w:pPr>
    </w:p>
    <w:p w14:paraId="2921810C" w14:textId="77777777" w:rsidR="000C0EC5" w:rsidRDefault="000C0EC5" w:rsidP="000C0EC5">
      <w:pPr>
        <w:spacing w:line="360" w:lineRule="auto"/>
        <w:jc w:val="both"/>
        <w:rPr>
          <w:rFonts w:ascii="Arial Narrow" w:hAnsi="Arial Narrow"/>
          <w:b/>
          <w:bCs/>
        </w:rPr>
      </w:pPr>
    </w:p>
    <w:p w14:paraId="197BE2B1" w14:textId="7A1C6FCE" w:rsidR="00257253" w:rsidRPr="00704B08" w:rsidRDefault="000C0EC5" w:rsidP="00704B08">
      <w:pPr>
        <w:spacing w:line="360" w:lineRule="auto"/>
        <w:jc w:val="both"/>
        <w:rPr>
          <w:rFonts w:ascii="Arial Narrow" w:hAnsi="Arial Narrow"/>
        </w:rPr>
      </w:pPr>
      <w:r>
        <w:rPr>
          <w:rFonts w:ascii="Arial Narrow" w:hAnsi="Arial Narrow" w:cs="Calibri"/>
          <w:color w:val="000000"/>
          <w:lang w:val="es-CR" w:eastAsia="es-CR"/>
        </w:rPr>
        <w:t>Por su parte, la</w:t>
      </w:r>
      <w:r w:rsidRPr="002E0B96">
        <w:rPr>
          <w:rFonts w:ascii="Arial Narrow" w:hAnsi="Arial Narrow" w:cs="Calibri"/>
          <w:color w:val="000000"/>
          <w:lang w:val="es-CR" w:eastAsia="es-CR"/>
        </w:rPr>
        <w:t xml:space="preserve"> meta estratégica</w:t>
      </w:r>
      <w:r>
        <w:rPr>
          <w:rFonts w:ascii="Arial Narrow" w:hAnsi="Arial Narrow" w:cs="Calibri"/>
          <w:color w:val="000000"/>
          <w:lang w:val="es-CR" w:eastAsia="es-CR"/>
        </w:rPr>
        <w:t xml:space="preserve"> “</w:t>
      </w:r>
      <w:r w:rsidR="00257253" w:rsidRPr="00704B08">
        <w:rPr>
          <w:rFonts w:ascii="Arial Narrow" w:hAnsi="Arial Narrow"/>
          <w:b/>
          <w:bCs/>
          <w:i/>
          <w:iCs/>
          <w:lang w:val="es-CR" w:eastAsia="es-CR"/>
        </w:rPr>
        <w:t>Que al finalizar el 2024, se haya implementado un plan de trabajo para incrementar la cantidad de oficinas y despachos donde se replican las buenas prácticas institucionales</w:t>
      </w:r>
      <w:r w:rsidRPr="00704B08">
        <w:rPr>
          <w:rFonts w:ascii="Arial Narrow" w:hAnsi="Arial Narrow"/>
          <w:b/>
          <w:bCs/>
          <w:i/>
          <w:iCs/>
          <w:lang w:val="es-CR" w:eastAsia="es-CR"/>
        </w:rPr>
        <w:t>”</w:t>
      </w:r>
      <w:r w:rsidR="00DD2BFA">
        <w:rPr>
          <w:rFonts w:ascii="Arial Narrow" w:hAnsi="Arial Narrow"/>
          <w:b/>
          <w:bCs/>
          <w:i/>
          <w:iCs/>
          <w:lang w:val="es-CR" w:eastAsia="es-CR"/>
        </w:rPr>
        <w:t>,</w:t>
      </w:r>
      <w:r w:rsidRPr="00704B08">
        <w:rPr>
          <w:rFonts w:ascii="Arial Narrow" w:hAnsi="Arial Narrow"/>
          <w:i/>
          <w:iCs/>
          <w:lang w:val="es-CR" w:eastAsia="es-CR"/>
        </w:rPr>
        <w:t xml:space="preserve"> </w:t>
      </w:r>
      <w:r>
        <w:rPr>
          <w:rFonts w:ascii="Arial Narrow" w:hAnsi="Arial Narrow"/>
          <w:lang w:val="es-CR" w:eastAsia="es-CR"/>
        </w:rPr>
        <w:t>s</w:t>
      </w:r>
      <w:r w:rsidR="00246A37" w:rsidRPr="00704B08">
        <w:rPr>
          <w:rFonts w:ascii="Arial Narrow" w:hAnsi="Arial Narrow"/>
          <w:lang w:val="es-CR" w:eastAsia="es-CR"/>
        </w:rPr>
        <w:t xml:space="preserve">e diseña un plan de trabajo para la réplica de las buenas prácticas institucionales a través de Comisiones, Centros de Responsabilidad y otras instancias judiciales. Se ha trabajado durante el 2019 en las giras realizadas de Moderna Gestión en coordinación con las Administraciones y despachos el que ingresar a la página de Buenas Prácticas y de igual forma replicaran las existentes y así colaboran en ingresar las que se están desarrollando. Además, se indica </w:t>
      </w:r>
      <w:r w:rsidR="00B91241">
        <w:rPr>
          <w:rFonts w:ascii="Arial Narrow" w:hAnsi="Arial Narrow"/>
          <w:lang w:val="es-CR" w:eastAsia="es-CR"/>
        </w:rPr>
        <w:t xml:space="preserve">para el año 2020 </w:t>
      </w:r>
      <w:r w:rsidR="00246A37" w:rsidRPr="00704B08">
        <w:rPr>
          <w:rFonts w:ascii="Arial Narrow" w:hAnsi="Arial Narrow"/>
          <w:lang w:val="es-CR" w:eastAsia="es-CR"/>
        </w:rPr>
        <w:t>l</w:t>
      </w:r>
      <w:r w:rsidR="00246A37" w:rsidRPr="00704B08">
        <w:rPr>
          <w:rFonts w:ascii="Arial Narrow" w:hAnsi="Arial Narrow"/>
        </w:rPr>
        <w:t>as réplicas de Buenas Prácticas, que se han aplicado en informes del Subproceso de Evaluación y Organización Institucional de la Dirección de Planificación.</w:t>
      </w:r>
    </w:p>
    <w:p w14:paraId="2D0E7E9A" w14:textId="201B9B0F" w:rsidR="00246A37" w:rsidRDefault="00246A37" w:rsidP="00246A37">
      <w:pPr>
        <w:jc w:val="both"/>
      </w:pPr>
    </w:p>
    <w:p w14:paraId="5E18625E" w14:textId="77777777" w:rsidR="00246A37" w:rsidRPr="00704B08" w:rsidRDefault="00246A37" w:rsidP="00704B08">
      <w:pPr>
        <w:jc w:val="both"/>
        <w:rPr>
          <w:rFonts w:cs="Calibri"/>
          <w:sz w:val="22"/>
          <w:szCs w:val="22"/>
          <w:lang w:val="es-CR" w:eastAsia="es-CR"/>
        </w:rPr>
      </w:pPr>
    </w:p>
    <w:p w14:paraId="2636D1F9" w14:textId="2FFA2288" w:rsidR="000417F1" w:rsidRPr="00704B08" w:rsidRDefault="000C0EC5" w:rsidP="00704B08">
      <w:pPr>
        <w:spacing w:line="360" w:lineRule="auto"/>
        <w:jc w:val="both"/>
        <w:rPr>
          <w:rFonts w:ascii="Arial Narrow" w:hAnsi="Arial Narrow"/>
        </w:rPr>
      </w:pPr>
      <w:r>
        <w:rPr>
          <w:rFonts w:ascii="Arial Narrow" w:hAnsi="Arial Narrow" w:cs="Calibri"/>
          <w:color w:val="000000"/>
          <w:lang w:val="es-CR" w:eastAsia="es-CR"/>
        </w:rPr>
        <w:t>La</w:t>
      </w:r>
      <w:r w:rsidRPr="002E0B96">
        <w:rPr>
          <w:rFonts w:ascii="Arial Narrow" w:hAnsi="Arial Narrow" w:cs="Calibri"/>
          <w:color w:val="000000"/>
          <w:lang w:val="es-CR" w:eastAsia="es-CR"/>
        </w:rPr>
        <w:t xml:space="preserve"> meta estratégica</w:t>
      </w:r>
      <w:r>
        <w:rPr>
          <w:rFonts w:ascii="Arial Narrow" w:hAnsi="Arial Narrow" w:cs="Calibri"/>
          <w:color w:val="000000"/>
          <w:lang w:val="es-CR" w:eastAsia="es-CR"/>
        </w:rPr>
        <w:t xml:space="preserve"> “</w:t>
      </w:r>
      <w:r w:rsidR="00257253" w:rsidRPr="00704B08">
        <w:rPr>
          <w:rFonts w:ascii="Arial Narrow" w:hAnsi="Arial Narrow"/>
          <w:b/>
          <w:bCs/>
          <w:i/>
          <w:iCs/>
          <w:lang w:val="es-CR" w:eastAsia="es-CR"/>
        </w:rPr>
        <w:t>Que al finalizar el 2024, se hayan incrementado la cantidad de ideas innovadoras que se consideran como buenas prácticas institucionales, cada dos años</w:t>
      </w:r>
      <w:r>
        <w:rPr>
          <w:rFonts w:ascii="Arial Narrow" w:hAnsi="Arial Narrow"/>
          <w:b/>
          <w:bCs/>
          <w:lang w:val="es-CR" w:eastAsia="es-CR"/>
        </w:rPr>
        <w:t>”</w:t>
      </w:r>
      <w:r w:rsidR="00DD2BFA">
        <w:rPr>
          <w:rFonts w:ascii="Arial Narrow" w:hAnsi="Arial Narrow"/>
          <w:b/>
          <w:bCs/>
          <w:lang w:val="es-CR" w:eastAsia="es-CR"/>
        </w:rPr>
        <w:t>,</w:t>
      </w:r>
      <w:r w:rsidR="00257253">
        <w:rPr>
          <w:rFonts w:ascii="Arial Narrow" w:hAnsi="Arial Narrow"/>
          <w:b/>
          <w:bCs/>
          <w:lang w:val="es-CR" w:eastAsia="es-CR"/>
        </w:rPr>
        <w:t xml:space="preserve"> </w:t>
      </w:r>
      <w:r>
        <w:rPr>
          <w:rFonts w:ascii="Arial Narrow" w:hAnsi="Arial Narrow"/>
        </w:rPr>
        <w:t>s</w:t>
      </w:r>
      <w:r w:rsidR="00246A37" w:rsidRPr="00704B08">
        <w:rPr>
          <w:rFonts w:ascii="Arial Narrow" w:hAnsi="Arial Narrow"/>
        </w:rPr>
        <w:t xml:space="preserve">e realiza el concurso de buenas prácticas </w:t>
      </w:r>
      <w:r w:rsidR="0097122A" w:rsidRPr="00704B08">
        <w:rPr>
          <w:rFonts w:ascii="Arial Narrow" w:hAnsi="Arial Narrow"/>
        </w:rPr>
        <w:t>2019 con</w:t>
      </w:r>
      <w:r w:rsidR="00246A37" w:rsidRPr="00704B08">
        <w:rPr>
          <w:rFonts w:ascii="Arial Narrow" w:hAnsi="Arial Narrow"/>
        </w:rPr>
        <w:t xml:space="preserve"> el fin de recopilar al menos 25 nuevas buenas prácticas a nivel nacional. Se realizaron seguimientos para promover la aplicación de iniciativas del Banco de Buenas Prácticas en las oficinas y despachos judiciales. Estos seguimientos se hicieron por medio de diversos oficios emitidos por el Consejo Superior, producto de las visitas que realiza la Inspección Judicial a los despachos y oficinas judiciales. </w:t>
      </w:r>
      <w:r w:rsidR="0097122A" w:rsidRPr="00704B08">
        <w:rPr>
          <w:rFonts w:ascii="Arial Narrow" w:hAnsi="Arial Narrow"/>
        </w:rPr>
        <w:t xml:space="preserve">Por otra </w:t>
      </w:r>
      <w:r w:rsidR="0097122A" w:rsidRPr="000417F1">
        <w:rPr>
          <w:rFonts w:ascii="Arial Narrow" w:hAnsi="Arial Narrow"/>
        </w:rPr>
        <w:t>parte,</w:t>
      </w:r>
      <w:r w:rsidR="0097122A" w:rsidRPr="00704B08">
        <w:rPr>
          <w:rFonts w:ascii="Arial Narrow" w:hAnsi="Arial Narrow"/>
        </w:rPr>
        <w:t xml:space="preserve"> para el año 2020 se tiene que por medio del cronograma de trabajo establecido y aprobado por Comisión de Buenas </w:t>
      </w:r>
      <w:r w:rsidR="00010417">
        <w:rPr>
          <w:rFonts w:ascii="Arial Narrow" w:hAnsi="Arial Narrow"/>
        </w:rPr>
        <w:t>P</w:t>
      </w:r>
      <w:r w:rsidR="0097122A" w:rsidRPr="00704B08">
        <w:rPr>
          <w:rFonts w:ascii="Arial Narrow" w:hAnsi="Arial Narrow"/>
        </w:rPr>
        <w:t>rácticas se realizó el concurso en 6 despachos judiciales realizando diferentes actividades.</w:t>
      </w:r>
      <w:r w:rsidR="00B91241">
        <w:rPr>
          <w:rFonts w:ascii="Arial Narrow" w:hAnsi="Arial Narrow"/>
        </w:rPr>
        <w:t xml:space="preserve"> </w:t>
      </w:r>
      <w:r w:rsidR="000417F1" w:rsidRPr="00704B08">
        <w:rPr>
          <w:rFonts w:ascii="Arial Narrow" w:eastAsia="Calibri" w:hAnsi="Arial Narrow"/>
          <w:lang w:eastAsia="en-US"/>
        </w:rPr>
        <w:t>Como se observa de la acción de Buenas Prácticas, se tiene un cumplimiento total, debido a los esfuerzos realizados por la Dirección de Planificación.</w:t>
      </w:r>
    </w:p>
    <w:p w14:paraId="639A0DBC" w14:textId="75063767" w:rsidR="00257253" w:rsidRDefault="00257253" w:rsidP="008B6366">
      <w:pPr>
        <w:rPr>
          <w:rFonts w:ascii="Arial Narrow" w:eastAsia="Calibri" w:hAnsi="Arial Narrow"/>
          <w:lang w:eastAsia="en-US"/>
        </w:rPr>
      </w:pPr>
    </w:p>
    <w:p w14:paraId="0A884DC7" w14:textId="59F8BE6C" w:rsidR="00257253" w:rsidRDefault="00257253" w:rsidP="008B6366">
      <w:pPr>
        <w:rPr>
          <w:rFonts w:ascii="Arial Narrow" w:eastAsia="Calibri" w:hAnsi="Arial Narrow"/>
          <w:lang w:eastAsia="en-US"/>
        </w:rPr>
      </w:pPr>
    </w:p>
    <w:p w14:paraId="5E050005" w14:textId="2A4F1557" w:rsidR="00257253" w:rsidRDefault="00257253" w:rsidP="008B6366">
      <w:pPr>
        <w:rPr>
          <w:rFonts w:ascii="Arial Narrow" w:eastAsia="Calibri" w:hAnsi="Arial Narrow"/>
          <w:lang w:eastAsia="en-US"/>
        </w:rPr>
      </w:pPr>
    </w:p>
    <w:p w14:paraId="36F2638D" w14:textId="0BE1F3DD" w:rsidR="00D6325F" w:rsidRDefault="00D6325F" w:rsidP="008B6366">
      <w:pPr>
        <w:rPr>
          <w:rFonts w:ascii="Arial Narrow" w:eastAsia="Calibri" w:hAnsi="Arial Narrow"/>
          <w:lang w:eastAsia="en-US"/>
        </w:rPr>
      </w:pPr>
    </w:p>
    <w:p w14:paraId="76551E61" w14:textId="3A7B58D0" w:rsidR="00D6325F" w:rsidRDefault="00D6325F" w:rsidP="008B6366">
      <w:pPr>
        <w:rPr>
          <w:rFonts w:ascii="Arial Narrow" w:eastAsia="Calibri" w:hAnsi="Arial Narrow"/>
          <w:lang w:eastAsia="en-US"/>
        </w:rPr>
      </w:pPr>
    </w:p>
    <w:p w14:paraId="6BE1D64C" w14:textId="6BCE521B" w:rsidR="009D5823" w:rsidRDefault="009D5823" w:rsidP="008B6366">
      <w:pPr>
        <w:rPr>
          <w:rFonts w:ascii="Arial Narrow" w:eastAsia="Calibri" w:hAnsi="Arial Narrow"/>
          <w:lang w:eastAsia="en-US"/>
        </w:rPr>
      </w:pPr>
    </w:p>
    <w:p w14:paraId="6530D855" w14:textId="19784EDC" w:rsidR="009D5823" w:rsidRDefault="009D5823" w:rsidP="008B6366">
      <w:pPr>
        <w:rPr>
          <w:rFonts w:ascii="Arial Narrow" w:eastAsia="Calibri" w:hAnsi="Arial Narrow"/>
          <w:lang w:eastAsia="en-US"/>
        </w:rPr>
      </w:pPr>
    </w:p>
    <w:p w14:paraId="37761554" w14:textId="2895FB2F" w:rsidR="009D5823" w:rsidRDefault="009D5823" w:rsidP="008B6366">
      <w:pPr>
        <w:rPr>
          <w:rFonts w:ascii="Arial Narrow" w:eastAsia="Calibri" w:hAnsi="Arial Narrow"/>
          <w:lang w:eastAsia="en-US"/>
        </w:rPr>
      </w:pPr>
    </w:p>
    <w:p w14:paraId="1CD1F8DE" w14:textId="77777777" w:rsidR="009D5823" w:rsidRDefault="009D5823" w:rsidP="008B6366">
      <w:pPr>
        <w:rPr>
          <w:rFonts w:ascii="Arial Narrow" w:eastAsia="Calibri" w:hAnsi="Arial Narrow"/>
          <w:lang w:eastAsia="en-US"/>
        </w:rPr>
      </w:pPr>
    </w:p>
    <w:p w14:paraId="781691FB" w14:textId="77777777" w:rsidR="00257253" w:rsidRPr="000B4845" w:rsidRDefault="00257253" w:rsidP="008B6366">
      <w:pPr>
        <w:rPr>
          <w:rFonts w:ascii="Arial Narrow" w:eastAsia="Calibri" w:hAnsi="Arial Narrow"/>
          <w:lang w:eastAsia="en-US"/>
        </w:rPr>
      </w:pPr>
    </w:p>
    <w:p w14:paraId="1851E583" w14:textId="7851845E" w:rsidR="00803EF6" w:rsidRPr="002E0B96" w:rsidRDefault="00194BB6" w:rsidP="00803EF6">
      <w:pPr>
        <w:pStyle w:val="Ttulo3"/>
        <w:numPr>
          <w:ilvl w:val="0"/>
          <w:numId w:val="64"/>
        </w:numPr>
        <w:rPr>
          <w:rFonts w:ascii="Arial Narrow" w:eastAsia="Calibri" w:hAnsi="Arial Narrow"/>
          <w:lang w:val="es-CR"/>
        </w:rPr>
      </w:pPr>
      <w:bookmarkStart w:id="113" w:name="_Toc84919355"/>
      <w:r>
        <w:rPr>
          <w:rFonts w:ascii="Arial Narrow" w:eastAsia="Calibri" w:hAnsi="Arial Narrow"/>
          <w:lang w:val="es-CR"/>
        </w:rPr>
        <w:lastRenderedPageBreak/>
        <w:t xml:space="preserve">5.4 </w:t>
      </w:r>
      <w:r w:rsidR="00803EF6" w:rsidRPr="002E0B96">
        <w:rPr>
          <w:rFonts w:ascii="Arial Narrow" w:eastAsia="Calibri" w:hAnsi="Arial Narrow"/>
          <w:lang w:val="es-CR"/>
        </w:rPr>
        <w:t>Tema estratégico: Gestión del Personal</w:t>
      </w:r>
      <w:bookmarkEnd w:id="113"/>
    </w:p>
    <w:p w14:paraId="18DE9D12" w14:textId="77777777" w:rsidR="00803EF6" w:rsidRPr="002E0B96" w:rsidRDefault="00803EF6" w:rsidP="00803EF6">
      <w:pPr>
        <w:rPr>
          <w:rFonts w:ascii="Arial Narrow" w:eastAsia="Calibri" w:hAnsi="Arial Narrow"/>
          <w:lang w:eastAsia="en-US"/>
        </w:rPr>
      </w:pPr>
    </w:p>
    <w:p w14:paraId="2F3C8425" w14:textId="69338CDE" w:rsidR="00803EF6" w:rsidRPr="002E0B96" w:rsidRDefault="00803EF6" w:rsidP="00803EF6">
      <w:pPr>
        <w:spacing w:line="360" w:lineRule="auto"/>
        <w:jc w:val="both"/>
        <w:rPr>
          <w:rFonts w:ascii="Arial Narrow" w:eastAsia="Calibri" w:hAnsi="Arial Narrow"/>
          <w:lang w:eastAsia="en-US"/>
        </w:rPr>
      </w:pPr>
      <w:r w:rsidRPr="002E0B96">
        <w:rPr>
          <w:rFonts w:ascii="Arial Narrow" w:eastAsia="Calibri" w:hAnsi="Arial Narrow"/>
          <w:lang w:eastAsia="en-US"/>
        </w:rPr>
        <w:t xml:space="preserve">Sobre la Gestión del </w:t>
      </w:r>
      <w:r w:rsidR="00901E05">
        <w:rPr>
          <w:rFonts w:ascii="Arial Narrow" w:eastAsia="Calibri" w:hAnsi="Arial Narrow"/>
          <w:lang w:eastAsia="en-US"/>
        </w:rPr>
        <w:t>P</w:t>
      </w:r>
      <w:r w:rsidRPr="002E0B96">
        <w:rPr>
          <w:rFonts w:ascii="Arial Narrow" w:eastAsia="Calibri" w:hAnsi="Arial Narrow"/>
          <w:lang w:eastAsia="en-US"/>
        </w:rPr>
        <w:t>ersonal se tiene que se busca mejorar la idoneidad competencial, el compromiso y el bienestar del personal judicial, con el fin de alcanzar la excelencia en la Administración de Justicia. Las acciones estratégicas que lo integran son:</w:t>
      </w:r>
    </w:p>
    <w:p w14:paraId="3FA659A8" w14:textId="77777777" w:rsidR="00803EF6" w:rsidRPr="002E0B96" w:rsidRDefault="00803EF6" w:rsidP="00803EF6">
      <w:pPr>
        <w:spacing w:line="360" w:lineRule="auto"/>
        <w:jc w:val="both"/>
        <w:rPr>
          <w:rFonts w:ascii="Arial Narrow" w:eastAsia="Calibri" w:hAnsi="Arial Narrow"/>
          <w:lang w:eastAsia="en-US"/>
        </w:rPr>
      </w:pPr>
    </w:p>
    <w:p w14:paraId="6BCA502E" w14:textId="77777777" w:rsidR="00803EF6" w:rsidRPr="002E0B96" w:rsidRDefault="00803EF6" w:rsidP="00803EF6">
      <w:pPr>
        <w:pStyle w:val="Prrafodelista"/>
        <w:numPr>
          <w:ilvl w:val="0"/>
          <w:numId w:val="23"/>
        </w:numPr>
        <w:spacing w:line="360" w:lineRule="auto"/>
        <w:jc w:val="both"/>
        <w:rPr>
          <w:rFonts w:ascii="Arial Narrow" w:eastAsia="Calibri" w:hAnsi="Arial Narrow"/>
          <w:lang w:eastAsia="en-US"/>
        </w:rPr>
      </w:pPr>
      <w:r w:rsidRPr="002E0B96">
        <w:rPr>
          <w:rFonts w:ascii="Arial Narrow" w:eastAsia="Calibri" w:hAnsi="Arial Narrow"/>
          <w:b/>
          <w:bCs/>
          <w:lang w:eastAsia="en-US"/>
        </w:rPr>
        <w:t>Evaluación del desempeño</w:t>
      </w:r>
      <w:r w:rsidRPr="002E0B96">
        <w:rPr>
          <w:rFonts w:ascii="Arial Narrow" w:eastAsia="Calibri" w:hAnsi="Arial Narrow"/>
          <w:lang w:eastAsia="en-US"/>
        </w:rPr>
        <w:t xml:space="preserve">: Implementar el sistema integrado de evaluación del desempeño, que permita la mejora en el desempeño integral del personal judicial. </w:t>
      </w:r>
    </w:p>
    <w:p w14:paraId="4B72DFDC" w14:textId="77777777" w:rsidR="00803EF6" w:rsidRPr="002E0B96" w:rsidRDefault="00803EF6" w:rsidP="00803EF6">
      <w:pPr>
        <w:pStyle w:val="Prrafodelista"/>
        <w:numPr>
          <w:ilvl w:val="0"/>
          <w:numId w:val="23"/>
        </w:numPr>
        <w:spacing w:line="360" w:lineRule="auto"/>
        <w:jc w:val="both"/>
        <w:rPr>
          <w:rFonts w:ascii="Arial Narrow" w:eastAsia="Calibri" w:hAnsi="Arial Narrow"/>
          <w:lang w:eastAsia="en-US"/>
        </w:rPr>
      </w:pPr>
      <w:r w:rsidRPr="002E0B96">
        <w:rPr>
          <w:rFonts w:ascii="Arial Narrow" w:eastAsia="Calibri" w:hAnsi="Arial Narrow"/>
          <w:b/>
          <w:bCs/>
          <w:lang w:eastAsia="en-US"/>
        </w:rPr>
        <w:t>Reclutamiento y selección</w:t>
      </w:r>
      <w:r w:rsidRPr="002E0B96">
        <w:rPr>
          <w:rFonts w:ascii="Arial Narrow" w:eastAsia="Calibri" w:hAnsi="Arial Narrow"/>
          <w:lang w:eastAsia="en-US"/>
        </w:rPr>
        <w:t>: Mejorar los procesos de reclutamiento y selección con el fin de lograr mayor eficacia en el desempeño de las funciones en los puestos de trabajo.</w:t>
      </w:r>
    </w:p>
    <w:p w14:paraId="1102CB2C" w14:textId="77777777" w:rsidR="00803EF6" w:rsidRPr="002E0B96" w:rsidRDefault="00803EF6" w:rsidP="00803EF6">
      <w:pPr>
        <w:pStyle w:val="Prrafodelista"/>
        <w:numPr>
          <w:ilvl w:val="0"/>
          <w:numId w:val="23"/>
        </w:numPr>
        <w:spacing w:line="360" w:lineRule="auto"/>
        <w:jc w:val="both"/>
        <w:rPr>
          <w:rFonts w:ascii="Arial Narrow" w:eastAsia="Calibri" w:hAnsi="Arial Narrow"/>
          <w:lang w:eastAsia="en-US"/>
        </w:rPr>
      </w:pPr>
      <w:r w:rsidRPr="002E0B96">
        <w:rPr>
          <w:rFonts w:ascii="Arial Narrow" w:eastAsia="Calibri" w:hAnsi="Arial Narrow"/>
          <w:b/>
          <w:bCs/>
          <w:lang w:eastAsia="en-US"/>
        </w:rPr>
        <w:t>Capacitación</w:t>
      </w:r>
      <w:r w:rsidRPr="002E0B96">
        <w:rPr>
          <w:rFonts w:ascii="Arial Narrow" w:eastAsia="Calibri" w:hAnsi="Arial Narrow"/>
          <w:lang w:eastAsia="en-US"/>
        </w:rPr>
        <w:t>: Implementar estrategias de capacitación y formación para mejorar las habilidades y conocimientos del personal en el desempeño de sus funciones, acorde a las necesidades, valores y ejes institucionales.</w:t>
      </w:r>
    </w:p>
    <w:p w14:paraId="33391F11" w14:textId="77777777" w:rsidR="00803EF6" w:rsidRPr="002E0B96" w:rsidRDefault="00803EF6" w:rsidP="00803EF6">
      <w:pPr>
        <w:pStyle w:val="Prrafodelista"/>
        <w:numPr>
          <w:ilvl w:val="0"/>
          <w:numId w:val="23"/>
        </w:numPr>
        <w:spacing w:line="360" w:lineRule="auto"/>
        <w:jc w:val="both"/>
        <w:rPr>
          <w:rFonts w:ascii="Arial Narrow" w:eastAsia="Calibri" w:hAnsi="Arial Narrow"/>
          <w:lang w:eastAsia="en-US"/>
        </w:rPr>
      </w:pPr>
      <w:r w:rsidRPr="002E0B96">
        <w:rPr>
          <w:rFonts w:ascii="Arial Narrow" w:eastAsia="Calibri" w:hAnsi="Arial Narrow"/>
          <w:b/>
          <w:bCs/>
          <w:lang w:eastAsia="en-US"/>
        </w:rPr>
        <w:t>Carrera</w:t>
      </w:r>
      <w:r w:rsidRPr="002E0B96">
        <w:rPr>
          <w:rFonts w:ascii="Arial Narrow" w:eastAsia="Calibri" w:hAnsi="Arial Narrow"/>
          <w:lang w:eastAsia="en-US"/>
        </w:rPr>
        <w:t>: Diseñar el modelo de carrera escalonada dirigido al personal de los diferentes ámbitos, considerando la condición de género y vulnerabilidad del personal.</w:t>
      </w:r>
    </w:p>
    <w:p w14:paraId="31699EFA" w14:textId="77777777" w:rsidR="00803EF6" w:rsidRPr="000B4845" w:rsidRDefault="00803EF6" w:rsidP="00803EF6">
      <w:pPr>
        <w:pStyle w:val="Prrafodelista"/>
        <w:numPr>
          <w:ilvl w:val="0"/>
          <w:numId w:val="23"/>
        </w:numPr>
        <w:spacing w:line="360" w:lineRule="auto"/>
        <w:jc w:val="both"/>
        <w:rPr>
          <w:rFonts w:ascii="Arial Narrow" w:eastAsia="Calibri" w:hAnsi="Arial Narrow"/>
          <w:lang w:eastAsia="en-US"/>
        </w:rPr>
      </w:pPr>
      <w:r w:rsidRPr="002E0B96">
        <w:rPr>
          <w:rFonts w:ascii="Arial Narrow" w:eastAsia="Calibri" w:hAnsi="Arial Narrow"/>
          <w:b/>
          <w:bCs/>
          <w:lang w:eastAsia="en-US"/>
        </w:rPr>
        <w:t>Bienestar y salud:</w:t>
      </w:r>
      <w:r w:rsidRPr="002E0B96">
        <w:rPr>
          <w:rFonts w:ascii="Arial Narrow" w:eastAsia="Calibri" w:hAnsi="Arial Narrow"/>
          <w:lang w:eastAsia="en-US"/>
        </w:rPr>
        <w:t xml:space="preserve"> Mejorar el</w:t>
      </w:r>
      <w:r w:rsidRPr="000B4845">
        <w:rPr>
          <w:rFonts w:ascii="Arial Narrow" w:eastAsia="Calibri" w:hAnsi="Arial Narrow"/>
          <w:lang w:eastAsia="en-US"/>
        </w:rPr>
        <w:t xml:space="preserve"> cumplimiento de los objetivos organizacionales, por medio de la conciliación de la vida personal, familiar y laboral del personal judicial.</w:t>
      </w:r>
    </w:p>
    <w:p w14:paraId="3C04A175" w14:textId="77777777" w:rsidR="00803EF6" w:rsidRDefault="00803EF6" w:rsidP="00803EF6">
      <w:pPr>
        <w:rPr>
          <w:rFonts w:ascii="Arial Narrow" w:eastAsia="Calibri" w:hAnsi="Arial Narrow"/>
          <w:lang w:eastAsia="en-US"/>
        </w:rPr>
      </w:pPr>
      <w:r>
        <w:rPr>
          <w:rFonts w:ascii="Arial Narrow" w:eastAsia="Calibri" w:hAnsi="Arial Narrow"/>
          <w:lang w:eastAsia="en-US"/>
        </w:rPr>
        <w:t>Se presenta el análisis de metas estratégicas agrupadas por la acción estratégica a la que pertenecen:</w:t>
      </w:r>
    </w:p>
    <w:p w14:paraId="18B2C7AB" w14:textId="062A144A" w:rsidR="00803EF6" w:rsidRPr="00704B08" w:rsidRDefault="009547D6" w:rsidP="00803EF6">
      <w:pPr>
        <w:pStyle w:val="Ttulo4"/>
        <w:numPr>
          <w:ilvl w:val="0"/>
          <w:numId w:val="64"/>
        </w:numPr>
        <w:rPr>
          <w:rFonts w:ascii="Arial Narrow" w:eastAsia="Calibri" w:hAnsi="Arial Narrow"/>
        </w:rPr>
      </w:pPr>
      <w:r>
        <w:rPr>
          <w:rFonts w:ascii="Arial Narrow" w:eastAsia="Calibri" w:hAnsi="Arial Narrow"/>
        </w:rPr>
        <w:t xml:space="preserve">5.4.1. </w:t>
      </w:r>
      <w:r w:rsidR="00803EF6" w:rsidRPr="00704B08">
        <w:rPr>
          <w:rFonts w:ascii="Arial Narrow" w:eastAsia="Calibri" w:hAnsi="Arial Narrow"/>
        </w:rPr>
        <w:t xml:space="preserve">Evaluación del </w:t>
      </w:r>
      <w:r w:rsidR="00833DF5">
        <w:rPr>
          <w:rFonts w:ascii="Arial Narrow" w:eastAsia="Calibri" w:hAnsi="Arial Narrow"/>
        </w:rPr>
        <w:t>D</w:t>
      </w:r>
      <w:r w:rsidR="00803EF6" w:rsidRPr="00704B08">
        <w:rPr>
          <w:rFonts w:ascii="Arial Narrow" w:eastAsia="Calibri" w:hAnsi="Arial Narrow"/>
        </w:rPr>
        <w:t>esempeño</w:t>
      </w:r>
    </w:p>
    <w:p w14:paraId="1DA2AD83" w14:textId="77777777" w:rsidR="00803EF6" w:rsidRPr="000B4845" w:rsidRDefault="00803EF6" w:rsidP="00803EF6">
      <w:pPr>
        <w:rPr>
          <w:rFonts w:eastAsia="Calibri"/>
        </w:rPr>
      </w:pPr>
    </w:p>
    <w:p w14:paraId="683EFEA5" w14:textId="6C2DCDDC" w:rsidR="00F0386C" w:rsidRPr="00704B08" w:rsidRDefault="00F0386C" w:rsidP="00704B08">
      <w:pPr>
        <w:spacing w:line="360" w:lineRule="auto"/>
        <w:jc w:val="both"/>
        <w:rPr>
          <w:rFonts w:ascii="Arial Narrow" w:hAnsi="Arial Narrow" w:cs="Segoe UI"/>
          <w:sz w:val="21"/>
          <w:szCs w:val="21"/>
          <w:lang w:val="es-CR" w:eastAsia="es-CR"/>
        </w:rPr>
      </w:pPr>
      <w:r w:rsidRPr="00704B08">
        <w:rPr>
          <w:rFonts w:ascii="Arial Narrow" w:hAnsi="Arial Narrow" w:cs="Segoe UI"/>
          <w:lang w:eastAsia="es-CR"/>
        </w:rPr>
        <w:t xml:space="preserve">Se observan 7 metas estratégicas de las cuales </w:t>
      </w:r>
      <w:r>
        <w:rPr>
          <w:rFonts w:ascii="Arial Narrow" w:hAnsi="Arial Narrow" w:cs="Segoe UI"/>
          <w:lang w:eastAsia="es-CR"/>
        </w:rPr>
        <w:t>todas</w:t>
      </w:r>
      <w:r w:rsidRPr="00704B08">
        <w:rPr>
          <w:rFonts w:ascii="Arial Narrow" w:hAnsi="Arial Narrow" w:cs="Segoe UI"/>
          <w:lang w:eastAsia="es-CR"/>
        </w:rPr>
        <w:t xml:space="preserve"> muestran una ejecución alta en su cumplimiento. Se detalla a continuación las metas estratégicas y su cumplimiento para el 2019 y 2020:</w:t>
      </w:r>
    </w:p>
    <w:p w14:paraId="361DC5A1" w14:textId="77777777" w:rsidR="009D5823" w:rsidRDefault="009D5823" w:rsidP="00803EF6">
      <w:pPr>
        <w:spacing w:line="360" w:lineRule="auto"/>
        <w:jc w:val="both"/>
        <w:rPr>
          <w:rFonts w:ascii="Arial Narrow" w:eastAsia="Calibri" w:hAnsi="Arial Narrow"/>
        </w:rPr>
      </w:pPr>
    </w:p>
    <w:p w14:paraId="67153F05" w14:textId="77777777" w:rsidR="009D5823" w:rsidRDefault="009D5823" w:rsidP="00803EF6">
      <w:pPr>
        <w:rPr>
          <w:rFonts w:ascii="Arial Narrow" w:eastAsia="Calibri" w:hAnsi="Arial Narrow"/>
        </w:rPr>
        <w:sectPr w:rsidR="009D5823" w:rsidSect="009D5823">
          <w:pgSz w:w="12242" w:h="15842" w:code="1"/>
          <w:pgMar w:top="1701" w:right="1417" w:bottom="1701" w:left="1417" w:header="709" w:footer="709" w:gutter="0"/>
          <w:cols w:space="708"/>
          <w:docGrid w:linePitch="360"/>
        </w:sectPr>
      </w:pPr>
    </w:p>
    <w:p w14:paraId="337D583F" w14:textId="2D851F79" w:rsidR="00803EF6" w:rsidRPr="000B4845" w:rsidRDefault="00803EF6" w:rsidP="00803EF6">
      <w:pPr>
        <w:rPr>
          <w:rFonts w:ascii="Arial Narrow" w:eastAsia="Calibri" w:hAnsi="Arial Narrow"/>
        </w:rPr>
      </w:pPr>
    </w:p>
    <w:p w14:paraId="6AAF34F0" w14:textId="5D0E62E9" w:rsidR="00803EF6" w:rsidRDefault="00803EF6" w:rsidP="00803EF6">
      <w:pPr>
        <w:pStyle w:val="Descripcin"/>
        <w:jc w:val="center"/>
        <w:rPr>
          <w:rFonts w:ascii="Arial Narrow" w:eastAsia="Calibri" w:hAnsi="Arial Narrow"/>
          <w:sz w:val="24"/>
          <w:szCs w:val="24"/>
        </w:rPr>
      </w:pPr>
      <w:bookmarkStart w:id="114" w:name="_Toc76062287"/>
      <w:r w:rsidRPr="00704B08">
        <w:rPr>
          <w:rFonts w:ascii="Arial Narrow" w:hAnsi="Arial Narrow"/>
          <w:sz w:val="24"/>
          <w:szCs w:val="24"/>
        </w:rPr>
        <w:t xml:space="preserve">Cuadro </w:t>
      </w:r>
      <w:r w:rsidRPr="00704B08">
        <w:rPr>
          <w:rFonts w:ascii="Arial Narrow" w:hAnsi="Arial Narrow"/>
          <w:sz w:val="24"/>
          <w:szCs w:val="24"/>
        </w:rPr>
        <w:fldChar w:fldCharType="begin"/>
      </w:r>
      <w:r w:rsidRPr="00704B08">
        <w:rPr>
          <w:rFonts w:ascii="Arial Narrow" w:hAnsi="Arial Narrow"/>
          <w:sz w:val="24"/>
          <w:szCs w:val="24"/>
        </w:rPr>
        <w:instrText xml:space="preserve"> SEQ Cuadro_No. \* ARABIC </w:instrText>
      </w:r>
      <w:r w:rsidRPr="00704B08">
        <w:rPr>
          <w:rFonts w:ascii="Arial Narrow" w:hAnsi="Arial Narrow"/>
          <w:sz w:val="24"/>
          <w:szCs w:val="24"/>
        </w:rPr>
        <w:fldChar w:fldCharType="separate"/>
      </w:r>
      <w:r w:rsidR="009D5823">
        <w:rPr>
          <w:rFonts w:ascii="Arial Narrow" w:hAnsi="Arial Narrow"/>
          <w:noProof/>
          <w:sz w:val="24"/>
          <w:szCs w:val="24"/>
        </w:rPr>
        <w:t>64</w:t>
      </w:r>
      <w:r w:rsidRPr="00704B08">
        <w:rPr>
          <w:rFonts w:ascii="Arial Narrow" w:hAnsi="Arial Narrow"/>
          <w:sz w:val="24"/>
          <w:szCs w:val="24"/>
        </w:rPr>
        <w:fldChar w:fldCharType="end"/>
      </w:r>
      <w:r w:rsidRPr="009D5823">
        <w:rPr>
          <w:rFonts w:ascii="Arial Narrow" w:hAnsi="Arial Narrow"/>
          <w:sz w:val="24"/>
          <w:szCs w:val="24"/>
        </w:rPr>
        <w:t xml:space="preserve"> </w:t>
      </w:r>
      <w:r w:rsidRPr="009D5823">
        <w:rPr>
          <w:rFonts w:ascii="Arial Narrow" w:eastAsia="Calibri" w:hAnsi="Arial Narrow"/>
          <w:sz w:val="24"/>
          <w:szCs w:val="24"/>
        </w:rPr>
        <w:t>Metas estratégicas</w:t>
      </w:r>
      <w:r w:rsidRPr="00211B03">
        <w:rPr>
          <w:rFonts w:ascii="Arial Narrow" w:eastAsia="Calibri" w:hAnsi="Arial Narrow"/>
          <w:sz w:val="24"/>
          <w:szCs w:val="24"/>
        </w:rPr>
        <w:t xml:space="preserve"> de </w:t>
      </w:r>
      <w:r>
        <w:rPr>
          <w:rFonts w:ascii="Arial Narrow" w:eastAsia="Calibri" w:hAnsi="Arial Narrow"/>
          <w:sz w:val="24"/>
          <w:szCs w:val="24"/>
        </w:rPr>
        <w:t>Evaluación del Desempeño</w:t>
      </w:r>
      <w:r w:rsidRPr="00211B03">
        <w:rPr>
          <w:rFonts w:ascii="Arial Narrow" w:eastAsia="Calibri" w:hAnsi="Arial Narrow"/>
          <w:sz w:val="24"/>
          <w:szCs w:val="24"/>
        </w:rPr>
        <w:t>, y su cumplimiento para el 2019</w:t>
      </w:r>
      <w:r>
        <w:rPr>
          <w:rFonts w:ascii="Arial Narrow" w:eastAsia="Calibri" w:hAnsi="Arial Narrow"/>
          <w:sz w:val="24"/>
          <w:szCs w:val="24"/>
        </w:rPr>
        <w:t>-2020</w:t>
      </w:r>
      <w:bookmarkEnd w:id="114"/>
    </w:p>
    <w:p w14:paraId="5E8EC309" w14:textId="77777777" w:rsidR="00803EF6" w:rsidRPr="00071D90" w:rsidRDefault="00803EF6" w:rsidP="00803EF6">
      <w:pPr>
        <w:rPr>
          <w:rFonts w:eastAsia="Calibri"/>
        </w:rPr>
      </w:pPr>
    </w:p>
    <w:p w14:paraId="25DD2708" w14:textId="77777777" w:rsidR="00803EF6" w:rsidRDefault="00803EF6" w:rsidP="00803EF6">
      <w:pPr>
        <w:rPr>
          <w:rFonts w:eastAsia="Calibri"/>
          <w:lang w:eastAsia="en-US"/>
        </w:rPr>
      </w:pPr>
      <w:r>
        <w:rPr>
          <w:noProof/>
          <w:lang w:val="es-CR" w:eastAsia="es-CR"/>
        </w:rPr>
        <w:drawing>
          <wp:inline distT="0" distB="0" distL="0" distR="0" wp14:anchorId="7318AE21" wp14:editId="665CEC86">
            <wp:extent cx="7899400" cy="3290821"/>
            <wp:effectExtent l="19050" t="19050" r="25400" b="24130"/>
            <wp:docPr id="126" name="Imagen 126" descr="Tabla&#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n 96" descr="Tabla&#10;&#10;Descripción generada automáticamente con confianza baja"/>
                    <pic:cNvPicPr/>
                  </pic:nvPicPr>
                  <pic:blipFill>
                    <a:blip r:embed="rId126"/>
                    <a:stretch>
                      <a:fillRect/>
                    </a:stretch>
                  </pic:blipFill>
                  <pic:spPr>
                    <a:xfrm>
                      <a:off x="0" y="0"/>
                      <a:ext cx="7904300" cy="3292862"/>
                    </a:xfrm>
                    <a:prstGeom prst="rect">
                      <a:avLst/>
                    </a:prstGeom>
                    <a:ln w="19050">
                      <a:solidFill>
                        <a:schemeClr val="accent1"/>
                      </a:solidFill>
                    </a:ln>
                  </pic:spPr>
                </pic:pic>
              </a:graphicData>
            </a:graphic>
          </wp:inline>
        </w:drawing>
      </w:r>
      <w:r w:rsidDel="005D5F18">
        <w:rPr>
          <w:noProof/>
        </w:rPr>
        <w:t xml:space="preserve"> </w:t>
      </w:r>
    </w:p>
    <w:p w14:paraId="302F33ED" w14:textId="77777777" w:rsidR="00803EF6" w:rsidRDefault="00803EF6" w:rsidP="00803EF6">
      <w:pPr>
        <w:rPr>
          <w:rFonts w:eastAsia="Calibri"/>
          <w:lang w:eastAsia="en-US"/>
        </w:rPr>
      </w:pPr>
    </w:p>
    <w:p w14:paraId="1DE7D2A8" w14:textId="77777777" w:rsidR="00803EF6" w:rsidRDefault="00803EF6" w:rsidP="00803EF6">
      <w:pPr>
        <w:rPr>
          <w:rFonts w:ascii="Arial Narrow" w:hAnsi="Arial Narrow"/>
          <w:sz w:val="18"/>
          <w:szCs w:val="18"/>
          <w:lang w:val="es-CR" w:eastAsia="es-CR"/>
        </w:rPr>
      </w:pPr>
      <w:r>
        <w:rPr>
          <w:rFonts w:ascii="Arial Narrow" w:eastAsia="Calibri" w:hAnsi="Arial Narrow"/>
        </w:rPr>
        <w:tab/>
      </w:r>
      <w:r w:rsidRPr="00EE2E13">
        <w:rPr>
          <w:rFonts w:ascii="Arial Narrow" w:hAnsi="Arial Narrow"/>
          <w:sz w:val="18"/>
          <w:szCs w:val="18"/>
          <w:lang w:val="es-CR" w:eastAsia="es-CR"/>
        </w:rPr>
        <w:t>Fuente: Sistema PEI al 24 de enero del 2020 (año 2019) y 04 de marzo del 2021 (año 2020).</w:t>
      </w:r>
    </w:p>
    <w:p w14:paraId="61893C6A" w14:textId="77777777" w:rsidR="00803EF6" w:rsidRDefault="00803EF6" w:rsidP="00803EF6">
      <w:pPr>
        <w:rPr>
          <w:rFonts w:ascii="Arial Narrow" w:hAnsi="Arial Narrow"/>
          <w:sz w:val="18"/>
          <w:szCs w:val="18"/>
          <w:lang w:val="es-CR" w:eastAsia="es-CR"/>
        </w:rPr>
      </w:pPr>
    </w:p>
    <w:p w14:paraId="1A613BF8" w14:textId="77777777" w:rsidR="009D5823" w:rsidRDefault="009D5823" w:rsidP="00803EF6">
      <w:pPr>
        <w:rPr>
          <w:rFonts w:ascii="Arial Narrow" w:hAnsi="Arial Narrow"/>
          <w:sz w:val="18"/>
          <w:szCs w:val="18"/>
          <w:lang w:val="es-CR" w:eastAsia="es-CR"/>
        </w:rPr>
        <w:sectPr w:rsidR="009D5823" w:rsidSect="009D5823">
          <w:pgSz w:w="15842" w:h="12242" w:orient="landscape" w:code="1"/>
          <w:pgMar w:top="1417" w:right="1701" w:bottom="1417" w:left="1701" w:header="709" w:footer="709" w:gutter="0"/>
          <w:cols w:space="708"/>
          <w:docGrid w:linePitch="360"/>
        </w:sectPr>
      </w:pPr>
    </w:p>
    <w:p w14:paraId="68DF8FFD" w14:textId="45A9B3BD" w:rsidR="00803EF6" w:rsidRDefault="00803EF6" w:rsidP="00803EF6">
      <w:pPr>
        <w:rPr>
          <w:rFonts w:ascii="Arial Narrow" w:hAnsi="Arial Narrow"/>
          <w:sz w:val="18"/>
          <w:szCs w:val="18"/>
          <w:lang w:val="es-CR" w:eastAsia="es-CR"/>
        </w:rPr>
      </w:pPr>
    </w:p>
    <w:p w14:paraId="63A3C2D0" w14:textId="77777777" w:rsidR="00803EF6" w:rsidRDefault="00803EF6" w:rsidP="00803EF6">
      <w:pPr>
        <w:rPr>
          <w:rFonts w:ascii="Arial Narrow" w:hAnsi="Arial Narrow"/>
          <w:sz w:val="18"/>
          <w:szCs w:val="18"/>
          <w:lang w:val="es-CR" w:eastAsia="es-CR"/>
        </w:rPr>
      </w:pPr>
    </w:p>
    <w:p w14:paraId="4128AB48" w14:textId="77777777" w:rsidR="002430C9" w:rsidRDefault="002430C9" w:rsidP="00803EF6">
      <w:pPr>
        <w:spacing w:line="360" w:lineRule="auto"/>
        <w:jc w:val="both"/>
        <w:rPr>
          <w:rFonts w:ascii="Arial Narrow" w:eastAsia="Calibri" w:hAnsi="Arial Narrow"/>
        </w:rPr>
      </w:pPr>
    </w:p>
    <w:p w14:paraId="3A9591E3" w14:textId="77777777" w:rsidR="002430C9" w:rsidRDefault="002430C9" w:rsidP="00803EF6">
      <w:pPr>
        <w:spacing w:line="360" w:lineRule="auto"/>
        <w:jc w:val="both"/>
        <w:rPr>
          <w:rFonts w:ascii="Arial Narrow" w:eastAsia="Calibri" w:hAnsi="Arial Narrow"/>
        </w:rPr>
      </w:pPr>
    </w:p>
    <w:p w14:paraId="06CC0C56" w14:textId="77777777" w:rsidR="002430C9" w:rsidRDefault="002430C9" w:rsidP="00803EF6">
      <w:pPr>
        <w:spacing w:line="360" w:lineRule="auto"/>
        <w:jc w:val="both"/>
        <w:rPr>
          <w:rFonts w:ascii="Arial Narrow" w:eastAsia="Calibri" w:hAnsi="Arial Narrow"/>
        </w:rPr>
      </w:pPr>
    </w:p>
    <w:p w14:paraId="1C75809A" w14:textId="170A7235" w:rsidR="00803EF6" w:rsidRDefault="00803EF6" w:rsidP="00803EF6">
      <w:pPr>
        <w:spacing w:line="360" w:lineRule="auto"/>
        <w:jc w:val="both"/>
        <w:rPr>
          <w:rFonts w:ascii="Arial Narrow" w:eastAsia="Calibri" w:hAnsi="Arial Narrow"/>
        </w:rPr>
      </w:pPr>
      <w:r>
        <w:rPr>
          <w:rFonts w:ascii="Arial Narrow" w:eastAsia="Calibri" w:hAnsi="Arial Narrow"/>
        </w:rPr>
        <w:t xml:space="preserve">La meta estratégica </w:t>
      </w:r>
      <w:r w:rsidR="00DD2BFA">
        <w:rPr>
          <w:rFonts w:ascii="Arial Narrow" w:eastAsia="Calibri" w:hAnsi="Arial Narrow"/>
        </w:rPr>
        <w:t>“</w:t>
      </w:r>
      <w:r w:rsidRPr="002E0B96">
        <w:rPr>
          <w:rFonts w:ascii="Arial Narrow" w:eastAsia="Calibri" w:hAnsi="Arial Narrow"/>
          <w:b/>
          <w:bCs/>
          <w:i/>
          <w:iCs/>
        </w:rPr>
        <w:t>Que al finalizar el 2024, se haya gestionado la aprobación de la reforma legal sobre evaluación del desempeño</w:t>
      </w:r>
      <w:r w:rsidR="00DD2BFA">
        <w:rPr>
          <w:rFonts w:ascii="Arial Narrow" w:eastAsia="Calibri" w:hAnsi="Arial Narrow"/>
          <w:b/>
          <w:bCs/>
          <w:i/>
          <w:iCs/>
        </w:rPr>
        <w:t>”</w:t>
      </w:r>
      <w:r>
        <w:rPr>
          <w:rFonts w:ascii="Arial Narrow" w:eastAsia="Calibri" w:hAnsi="Arial Narrow"/>
        </w:rPr>
        <w:t>, registra un cumplimiento total de los aportes para el 2019 y 2020, siendo que el Despacho de la Presidencia es el responsable, se consigna los esfuerzos realizados como el acuerdo tomado por Corte Plena, sesión 27-2020, art</w:t>
      </w:r>
      <w:r w:rsidR="00DD2BFA">
        <w:rPr>
          <w:rFonts w:ascii="Arial Narrow" w:eastAsia="Calibri" w:hAnsi="Arial Narrow"/>
        </w:rPr>
        <w:t>í</w:t>
      </w:r>
      <w:r>
        <w:rPr>
          <w:rFonts w:ascii="Arial Narrow" w:eastAsia="Calibri" w:hAnsi="Arial Narrow"/>
        </w:rPr>
        <w:t>culo XIII</w:t>
      </w:r>
      <w:r w:rsidR="00DD2BFA">
        <w:rPr>
          <w:rFonts w:ascii="Arial Narrow" w:eastAsia="Calibri" w:hAnsi="Arial Narrow"/>
        </w:rPr>
        <w:t>,</w:t>
      </w:r>
      <w:r>
        <w:rPr>
          <w:rFonts w:ascii="Arial Narrow" w:eastAsia="Calibri" w:hAnsi="Arial Narrow"/>
        </w:rPr>
        <w:t xml:space="preserve"> donde se </w:t>
      </w:r>
      <w:r w:rsidRPr="002E0B96">
        <w:rPr>
          <w:rFonts w:ascii="Arial Narrow" w:eastAsia="Calibri" w:hAnsi="Arial Narrow"/>
        </w:rPr>
        <w:t>aprueban las modificaciones al Reglamento del Sistema Integrado de Evaluación del Desempeño del Poder Judicial</w:t>
      </w:r>
      <w:r>
        <w:rPr>
          <w:rFonts w:ascii="Arial Narrow" w:eastAsia="Calibri" w:hAnsi="Arial Narrow"/>
        </w:rPr>
        <w:t>.</w:t>
      </w:r>
    </w:p>
    <w:p w14:paraId="62D36205" w14:textId="77777777" w:rsidR="00803EF6" w:rsidRPr="00EE2E13" w:rsidRDefault="00803EF6" w:rsidP="00803EF6">
      <w:pPr>
        <w:spacing w:line="360" w:lineRule="auto"/>
        <w:jc w:val="both"/>
        <w:rPr>
          <w:rFonts w:ascii="Arial Narrow" w:hAnsi="Arial Narrow"/>
          <w:sz w:val="18"/>
          <w:szCs w:val="18"/>
          <w:lang w:val="es-CR" w:eastAsia="es-CR"/>
        </w:rPr>
      </w:pPr>
    </w:p>
    <w:p w14:paraId="62643DFE" w14:textId="2DAA835F" w:rsidR="00803EF6" w:rsidRDefault="00803EF6" w:rsidP="00803EF6">
      <w:pPr>
        <w:tabs>
          <w:tab w:val="left" w:pos="2994"/>
        </w:tabs>
        <w:spacing w:line="360" w:lineRule="auto"/>
        <w:jc w:val="both"/>
        <w:rPr>
          <w:rFonts w:ascii="Arial Narrow" w:eastAsia="Calibri" w:hAnsi="Arial Narrow"/>
        </w:rPr>
      </w:pPr>
      <w:r w:rsidRPr="00CD7DDB">
        <w:rPr>
          <w:rFonts w:ascii="Arial Narrow" w:eastAsia="Calibri" w:hAnsi="Arial Narrow"/>
        </w:rPr>
        <w:t xml:space="preserve">Con respecto a </w:t>
      </w:r>
      <w:r>
        <w:rPr>
          <w:rFonts w:ascii="Arial Narrow" w:eastAsia="Calibri" w:hAnsi="Arial Narrow"/>
        </w:rPr>
        <w:t>la</w:t>
      </w:r>
      <w:r w:rsidRPr="00CD7DDB">
        <w:rPr>
          <w:rFonts w:ascii="Arial Narrow" w:eastAsia="Calibri" w:hAnsi="Arial Narrow"/>
        </w:rPr>
        <w:t xml:space="preserve"> meta estratégic</w:t>
      </w:r>
      <w:r>
        <w:rPr>
          <w:rFonts w:ascii="Arial Narrow" w:eastAsia="Calibri" w:hAnsi="Arial Narrow"/>
        </w:rPr>
        <w:t>a</w:t>
      </w:r>
      <w:r w:rsidRPr="00CD7DDB">
        <w:rPr>
          <w:rFonts w:ascii="Arial Narrow" w:eastAsia="Calibri" w:hAnsi="Arial Narrow"/>
        </w:rPr>
        <w:t xml:space="preserve"> </w:t>
      </w:r>
      <w:r w:rsidR="00DD2BFA">
        <w:rPr>
          <w:rFonts w:ascii="Arial Narrow" w:eastAsia="Calibri" w:hAnsi="Arial Narrow"/>
        </w:rPr>
        <w:t>“</w:t>
      </w:r>
      <w:r w:rsidRPr="00CD7DDB">
        <w:rPr>
          <w:rFonts w:ascii="Arial Narrow" w:eastAsia="Calibri" w:hAnsi="Arial Narrow"/>
          <w:b/>
          <w:bCs/>
          <w:i/>
          <w:iCs/>
        </w:rPr>
        <w:t>Que al finalizar el 2024, se haya aumentado anualmente la implementación del Sistema Integrado para la gestión de la Evaluación del Desempeño</w:t>
      </w:r>
      <w:r w:rsidR="00DD2BFA">
        <w:rPr>
          <w:rFonts w:ascii="Arial Narrow" w:eastAsia="Calibri" w:hAnsi="Arial Narrow"/>
        </w:rPr>
        <w:t>”,</w:t>
      </w:r>
      <w:r>
        <w:rPr>
          <w:rFonts w:ascii="Arial Narrow" w:eastAsia="Calibri" w:hAnsi="Arial Narrow"/>
        </w:rPr>
        <w:t xml:space="preserve"> esta meta experimentó variaciones en su ejecución debido a que desde marzo del 2019 </w:t>
      </w:r>
      <w:r w:rsidRPr="00CD7DDB">
        <w:rPr>
          <w:rFonts w:ascii="Arial Narrow" w:eastAsia="Calibri" w:hAnsi="Arial Narrow"/>
        </w:rPr>
        <w:t>la implementación de la evaluación del desempeño ha sido objeto de modificación, en razón del acuerdo de Corte Plena, en sesión número 11-2019 del 18 de marzo</w:t>
      </w:r>
      <w:r>
        <w:rPr>
          <w:rFonts w:ascii="Arial Narrow" w:eastAsia="Calibri" w:hAnsi="Arial Narrow"/>
        </w:rPr>
        <w:t xml:space="preserve"> 2019</w:t>
      </w:r>
      <w:r w:rsidRPr="00CD7DDB">
        <w:rPr>
          <w:rFonts w:ascii="Arial Narrow" w:eastAsia="Calibri" w:hAnsi="Arial Narrow"/>
        </w:rPr>
        <w:t>, artículo XIV, donde se conoció el informe DJ-824-2019 de la Dirección Jurídica, sobre el impacto de la Ley 9635 en las relaciones de empleo del Poder Judicial, en particular con respecto a la recomendación de implementar de manera inmediata el proceso administrativo de evaluación del desempeño, al 100 % de la población</w:t>
      </w:r>
      <w:r>
        <w:rPr>
          <w:rFonts w:ascii="Arial Narrow" w:eastAsia="Calibri" w:hAnsi="Arial Narrow"/>
        </w:rPr>
        <w:t>. Debido a esos cambios y ajustes no se logró implementar de manera total para el 2019 registrando un 59%. Para el 2020, el registro de avance para esta meta fue de 95%.</w:t>
      </w:r>
    </w:p>
    <w:p w14:paraId="3AAB33DB" w14:textId="77777777" w:rsidR="00803EF6" w:rsidRDefault="00803EF6" w:rsidP="00803EF6">
      <w:pPr>
        <w:tabs>
          <w:tab w:val="left" w:pos="2994"/>
        </w:tabs>
        <w:spacing w:line="360" w:lineRule="auto"/>
        <w:jc w:val="both"/>
        <w:rPr>
          <w:rFonts w:ascii="Arial Narrow" w:eastAsia="Calibri" w:hAnsi="Arial Narrow"/>
        </w:rPr>
      </w:pPr>
    </w:p>
    <w:p w14:paraId="2EA3F033" w14:textId="77777777" w:rsidR="002430C9" w:rsidRDefault="002430C9">
      <w:pPr>
        <w:rPr>
          <w:rFonts w:ascii="Arial Narrow" w:eastAsia="Calibri" w:hAnsi="Arial Narrow"/>
        </w:rPr>
      </w:pPr>
      <w:r>
        <w:rPr>
          <w:rFonts w:ascii="Arial Narrow" w:eastAsia="Calibri" w:hAnsi="Arial Narrow"/>
        </w:rPr>
        <w:br w:type="page"/>
      </w:r>
    </w:p>
    <w:p w14:paraId="2F9EA68F" w14:textId="77777777" w:rsidR="002430C9" w:rsidRDefault="002430C9" w:rsidP="00803EF6">
      <w:pPr>
        <w:spacing w:line="360" w:lineRule="auto"/>
        <w:jc w:val="both"/>
        <w:rPr>
          <w:rFonts w:ascii="Arial Narrow" w:eastAsia="Calibri" w:hAnsi="Arial Narrow"/>
        </w:rPr>
      </w:pPr>
    </w:p>
    <w:p w14:paraId="6A476390" w14:textId="77777777" w:rsidR="002430C9" w:rsidRDefault="002430C9" w:rsidP="00803EF6">
      <w:pPr>
        <w:spacing w:line="360" w:lineRule="auto"/>
        <w:jc w:val="both"/>
        <w:rPr>
          <w:rFonts w:ascii="Arial Narrow" w:eastAsia="Calibri" w:hAnsi="Arial Narrow"/>
        </w:rPr>
      </w:pPr>
    </w:p>
    <w:p w14:paraId="1C83C3C2" w14:textId="74688F1E" w:rsidR="009D5823" w:rsidRDefault="00803EF6" w:rsidP="00803EF6">
      <w:pPr>
        <w:spacing w:line="360" w:lineRule="auto"/>
        <w:jc w:val="both"/>
        <w:rPr>
          <w:rFonts w:ascii="Arial Narrow" w:eastAsia="Calibri" w:hAnsi="Arial Narrow"/>
        </w:rPr>
        <w:sectPr w:rsidR="009D5823" w:rsidSect="009D5823">
          <w:pgSz w:w="12242" w:h="15842" w:code="1"/>
          <w:pgMar w:top="1701" w:right="1417" w:bottom="1701" w:left="1417" w:header="709" w:footer="709" w:gutter="0"/>
          <w:cols w:space="708"/>
          <w:docGrid w:linePitch="360"/>
        </w:sectPr>
      </w:pPr>
      <w:r>
        <w:rPr>
          <w:rFonts w:ascii="Arial Narrow" w:eastAsia="Calibri" w:hAnsi="Arial Narrow"/>
        </w:rPr>
        <w:t xml:space="preserve">Por su parte la meta estratégica </w:t>
      </w:r>
      <w:r w:rsidRPr="007A4EFB">
        <w:rPr>
          <w:rFonts w:ascii="Arial Narrow" w:eastAsia="Calibri" w:hAnsi="Arial Narrow"/>
          <w:b/>
          <w:bCs/>
          <w:i/>
          <w:iCs/>
        </w:rPr>
        <w:t>“</w:t>
      </w:r>
      <w:r w:rsidRPr="00743B20">
        <w:rPr>
          <w:rFonts w:ascii="Arial Narrow" w:eastAsia="Calibri" w:hAnsi="Arial Narrow"/>
          <w:b/>
          <w:bCs/>
          <w:i/>
          <w:iCs/>
        </w:rPr>
        <w:t>Que al finalizar el 2024, haya implementado el modelo de evaluación del desempeño en la Oficina de Atención a la Víctima de Delitos y la Unidad de Protección de Víctimas y Testigo</w:t>
      </w:r>
      <w:r w:rsidR="002430C9">
        <w:rPr>
          <w:rFonts w:ascii="Arial Narrow" w:eastAsia="Calibri" w:hAnsi="Arial Narrow"/>
          <w:b/>
          <w:bCs/>
          <w:i/>
          <w:iCs/>
        </w:rPr>
        <w:t>s”</w:t>
      </w:r>
      <w:r w:rsidR="002430C9">
        <w:rPr>
          <w:rFonts w:ascii="Arial Narrow" w:eastAsia="Calibri" w:hAnsi="Arial Narrow"/>
        </w:rPr>
        <w:t xml:space="preserve">, </w:t>
      </w:r>
      <w:r>
        <w:rPr>
          <w:rFonts w:ascii="Arial Narrow" w:eastAsia="Calibri" w:hAnsi="Arial Narrow"/>
        </w:rPr>
        <w:t xml:space="preserve">registra un cumplimiento alto de 100% para el 2019 y para el 2020 dado que la OAPVT junto con la Unidad de Protección de Víctimas y Testigos evidencian los resultados obtenidos en el 2019 al realizar </w:t>
      </w:r>
      <w:r w:rsidRPr="002E0B96">
        <w:rPr>
          <w:rFonts w:ascii="Arial Narrow" w:eastAsia="Calibri" w:hAnsi="Arial Narrow"/>
        </w:rPr>
        <w:t xml:space="preserve">una reunión entre la OAPVD y la UPROV y Gestión Humana, para analizar aspectos relacionado con Evaluación del Desempeño, </w:t>
      </w:r>
      <w:r w:rsidR="002430C9">
        <w:rPr>
          <w:rFonts w:ascii="Arial Narrow" w:eastAsia="Calibri" w:hAnsi="Arial Narrow"/>
        </w:rPr>
        <w:t xml:space="preserve">así </w:t>
      </w:r>
      <w:r w:rsidRPr="002E0B96">
        <w:rPr>
          <w:rFonts w:ascii="Arial Narrow" w:eastAsia="Calibri" w:hAnsi="Arial Narrow"/>
        </w:rPr>
        <w:t>como una propuesta que describa los indicadores y el plan de trabajo así como el diseño de evaluación del desempeño del personal de la OAPVD y UPROV.</w:t>
      </w:r>
      <w:r>
        <w:rPr>
          <w:rFonts w:ascii="Arial Narrow" w:eastAsia="Calibri" w:hAnsi="Arial Narrow"/>
        </w:rPr>
        <w:t xml:space="preserve">  Para el 2020, se señala que </w:t>
      </w:r>
      <w:r w:rsidRPr="002E0B96">
        <w:rPr>
          <w:rFonts w:ascii="Arial Narrow" w:eastAsia="Calibri" w:hAnsi="Arial Narrow"/>
        </w:rPr>
        <w:t xml:space="preserve">por parte de la OAPVD </w:t>
      </w:r>
      <w:r>
        <w:rPr>
          <w:rFonts w:ascii="Arial Narrow" w:eastAsia="Calibri" w:hAnsi="Arial Narrow"/>
        </w:rPr>
        <w:t xml:space="preserve">que se realizaron </w:t>
      </w:r>
      <w:r w:rsidRPr="002E0B96">
        <w:rPr>
          <w:rFonts w:ascii="Arial Narrow" w:eastAsia="Calibri" w:hAnsi="Arial Narrow"/>
        </w:rPr>
        <w:t xml:space="preserve">varias reuniones con Gestión Humana para analizar lo referente a Evaluación del Desempeño. En apego a las etapas de Planificación, Ejecución y Comunicado de resultados. Por su parte la OAPVD y en apego al cronograma institucional trabaja en la etapa de planificación y </w:t>
      </w:r>
      <w:r w:rsidRPr="00B7381E">
        <w:rPr>
          <w:rFonts w:ascii="Arial Narrow" w:eastAsia="Calibri" w:hAnsi="Arial Narrow"/>
        </w:rPr>
        <w:t>próximamente</w:t>
      </w:r>
      <w:r w:rsidRPr="002E0B96">
        <w:rPr>
          <w:rFonts w:ascii="Arial Narrow" w:eastAsia="Calibri" w:hAnsi="Arial Narrow"/>
        </w:rPr>
        <w:t xml:space="preserve"> la ejecución</w:t>
      </w:r>
      <w:r>
        <w:rPr>
          <w:rFonts w:ascii="Arial Narrow" w:eastAsia="Calibri" w:hAnsi="Arial Narrow"/>
        </w:rPr>
        <w:t xml:space="preserve">, así como </w:t>
      </w:r>
      <w:r w:rsidRPr="002E0B96">
        <w:rPr>
          <w:rFonts w:ascii="Arial Narrow" w:eastAsia="Calibri" w:hAnsi="Arial Narrow"/>
        </w:rPr>
        <w:t xml:space="preserve">la </w:t>
      </w:r>
      <w:r>
        <w:rPr>
          <w:rFonts w:ascii="Arial Narrow" w:eastAsia="Calibri" w:hAnsi="Arial Narrow"/>
        </w:rPr>
        <w:t>aplicación d</w:t>
      </w:r>
      <w:r w:rsidRPr="002E0B96">
        <w:rPr>
          <w:rFonts w:ascii="Arial Narrow" w:eastAsia="Calibri" w:hAnsi="Arial Narrow"/>
        </w:rPr>
        <w:t xml:space="preserve">el comunicado referente al tema de Evaluación del desempeño, </w:t>
      </w:r>
      <w:r>
        <w:rPr>
          <w:rFonts w:ascii="Arial Narrow" w:eastAsia="Calibri" w:hAnsi="Arial Narrow"/>
        </w:rPr>
        <w:t>se redactaron</w:t>
      </w:r>
      <w:r w:rsidRPr="002E0B96">
        <w:rPr>
          <w:rFonts w:ascii="Arial Narrow" w:eastAsia="Calibri" w:hAnsi="Arial Narrow"/>
        </w:rPr>
        <w:t xml:space="preserve"> las metas para cada colaborador, </w:t>
      </w:r>
      <w:r>
        <w:rPr>
          <w:rFonts w:ascii="Arial Narrow" w:eastAsia="Calibri" w:hAnsi="Arial Narrow"/>
        </w:rPr>
        <w:t xml:space="preserve">se </w:t>
      </w:r>
      <w:r w:rsidRPr="002E0B96">
        <w:rPr>
          <w:rFonts w:ascii="Arial Narrow" w:eastAsia="Calibri" w:hAnsi="Arial Narrow"/>
        </w:rPr>
        <w:t xml:space="preserve">realizó reuniones y notificó los planes a cada persona, </w:t>
      </w:r>
      <w:r>
        <w:rPr>
          <w:rFonts w:ascii="Arial Narrow" w:eastAsia="Calibri" w:hAnsi="Arial Narrow"/>
        </w:rPr>
        <w:t>así como el</w:t>
      </w:r>
      <w:r w:rsidRPr="002E0B96">
        <w:rPr>
          <w:rFonts w:ascii="Arial Narrow" w:eastAsia="Calibri" w:hAnsi="Arial Narrow"/>
        </w:rPr>
        <w:t xml:space="preserve"> control de los documentos que respaldan la evaluación.</w:t>
      </w:r>
    </w:p>
    <w:p w14:paraId="54F138B1" w14:textId="4267A077" w:rsidR="00803EF6" w:rsidRDefault="00803EF6" w:rsidP="00803EF6">
      <w:pPr>
        <w:spacing w:line="360" w:lineRule="auto"/>
        <w:jc w:val="both"/>
        <w:rPr>
          <w:rFonts w:ascii="Arial Narrow" w:eastAsia="Calibri" w:hAnsi="Arial Narrow"/>
        </w:rPr>
      </w:pPr>
    </w:p>
    <w:p w14:paraId="4518B9DD" w14:textId="77777777" w:rsidR="00803EF6" w:rsidRDefault="00803EF6" w:rsidP="00803EF6">
      <w:pPr>
        <w:spacing w:line="360" w:lineRule="auto"/>
        <w:jc w:val="both"/>
        <w:rPr>
          <w:rFonts w:ascii="Arial Narrow" w:eastAsia="Calibri" w:hAnsi="Arial Narrow"/>
        </w:rPr>
      </w:pPr>
    </w:p>
    <w:p w14:paraId="609F2BC6" w14:textId="5645EE5C" w:rsidR="00803EF6" w:rsidRDefault="00803EF6" w:rsidP="00803EF6">
      <w:pPr>
        <w:pStyle w:val="Descripcin"/>
        <w:jc w:val="center"/>
        <w:rPr>
          <w:rFonts w:ascii="Arial Narrow" w:eastAsia="Calibri" w:hAnsi="Arial Narrow"/>
          <w:sz w:val="24"/>
          <w:szCs w:val="24"/>
        </w:rPr>
      </w:pPr>
      <w:bookmarkStart w:id="115" w:name="_Toc76062288"/>
      <w:r w:rsidRPr="00704B08">
        <w:rPr>
          <w:rFonts w:ascii="Arial Narrow" w:hAnsi="Arial Narrow"/>
          <w:sz w:val="24"/>
          <w:szCs w:val="24"/>
        </w:rPr>
        <w:t xml:space="preserve">Cuadro </w:t>
      </w:r>
      <w:r w:rsidRPr="00704B08">
        <w:rPr>
          <w:rFonts w:ascii="Arial Narrow" w:hAnsi="Arial Narrow"/>
          <w:sz w:val="24"/>
          <w:szCs w:val="24"/>
        </w:rPr>
        <w:fldChar w:fldCharType="begin"/>
      </w:r>
      <w:r w:rsidRPr="00704B08">
        <w:rPr>
          <w:rFonts w:ascii="Arial Narrow" w:hAnsi="Arial Narrow"/>
          <w:sz w:val="24"/>
          <w:szCs w:val="24"/>
        </w:rPr>
        <w:instrText xml:space="preserve"> SEQ Cuadro_No. \* ARABIC </w:instrText>
      </w:r>
      <w:r w:rsidRPr="00704B08">
        <w:rPr>
          <w:rFonts w:ascii="Arial Narrow" w:hAnsi="Arial Narrow"/>
          <w:sz w:val="24"/>
          <w:szCs w:val="24"/>
        </w:rPr>
        <w:fldChar w:fldCharType="separate"/>
      </w:r>
      <w:r w:rsidR="009D5823">
        <w:rPr>
          <w:rFonts w:ascii="Arial Narrow" w:hAnsi="Arial Narrow"/>
          <w:noProof/>
          <w:sz w:val="24"/>
          <w:szCs w:val="24"/>
        </w:rPr>
        <w:t>65</w:t>
      </w:r>
      <w:r w:rsidRPr="00704B08">
        <w:rPr>
          <w:rFonts w:ascii="Arial Narrow" w:hAnsi="Arial Narrow"/>
          <w:sz w:val="24"/>
          <w:szCs w:val="24"/>
        </w:rPr>
        <w:fldChar w:fldCharType="end"/>
      </w:r>
      <w:r w:rsidRPr="009D5823">
        <w:rPr>
          <w:rFonts w:ascii="Arial Narrow" w:hAnsi="Arial Narrow"/>
          <w:sz w:val="24"/>
          <w:szCs w:val="24"/>
        </w:rPr>
        <w:t xml:space="preserve"> </w:t>
      </w:r>
      <w:r w:rsidRPr="009D5823">
        <w:rPr>
          <w:rFonts w:ascii="Arial Narrow" w:eastAsia="Calibri" w:hAnsi="Arial Narrow"/>
          <w:sz w:val="24"/>
          <w:szCs w:val="24"/>
        </w:rPr>
        <w:t>Metas</w:t>
      </w:r>
      <w:r w:rsidRPr="00211B03">
        <w:rPr>
          <w:rFonts w:ascii="Arial Narrow" w:eastAsia="Calibri" w:hAnsi="Arial Narrow"/>
          <w:sz w:val="24"/>
          <w:szCs w:val="24"/>
        </w:rPr>
        <w:t xml:space="preserve"> estratégicas de </w:t>
      </w:r>
      <w:r>
        <w:rPr>
          <w:rFonts w:ascii="Arial Narrow" w:eastAsia="Calibri" w:hAnsi="Arial Narrow"/>
          <w:sz w:val="24"/>
          <w:szCs w:val="24"/>
        </w:rPr>
        <w:t>Evaluación del Desempeño</w:t>
      </w:r>
      <w:r w:rsidRPr="00211B03">
        <w:rPr>
          <w:rFonts w:ascii="Arial Narrow" w:eastAsia="Calibri" w:hAnsi="Arial Narrow"/>
          <w:sz w:val="24"/>
          <w:szCs w:val="24"/>
        </w:rPr>
        <w:t>, y su cumplimiento para el 2019</w:t>
      </w:r>
      <w:r>
        <w:rPr>
          <w:rFonts w:ascii="Arial Narrow" w:eastAsia="Calibri" w:hAnsi="Arial Narrow"/>
          <w:sz w:val="24"/>
          <w:szCs w:val="24"/>
        </w:rPr>
        <w:t>-2020</w:t>
      </w:r>
      <w:bookmarkEnd w:id="115"/>
    </w:p>
    <w:p w14:paraId="555F38A0" w14:textId="77777777" w:rsidR="00803EF6" w:rsidRPr="00071D90" w:rsidRDefault="00803EF6" w:rsidP="00803EF6">
      <w:pPr>
        <w:rPr>
          <w:rFonts w:eastAsia="Calibri"/>
        </w:rPr>
      </w:pPr>
    </w:p>
    <w:p w14:paraId="410C28F8" w14:textId="77777777" w:rsidR="00803EF6" w:rsidRDefault="00803EF6" w:rsidP="00803EF6">
      <w:pPr>
        <w:rPr>
          <w:rFonts w:eastAsia="Calibri"/>
          <w:lang w:eastAsia="en-US"/>
        </w:rPr>
      </w:pPr>
      <w:r>
        <w:rPr>
          <w:noProof/>
          <w:lang w:val="es-CR" w:eastAsia="es-CR"/>
        </w:rPr>
        <w:drawing>
          <wp:inline distT="0" distB="0" distL="0" distR="0" wp14:anchorId="01F74197" wp14:editId="189828A5">
            <wp:extent cx="7899400" cy="3664308"/>
            <wp:effectExtent l="19050" t="19050" r="25400" b="12700"/>
            <wp:docPr id="128" name="Imagen 128" descr="Tabl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Imagen 97" descr="Tabla&#10;&#10;Descripción generada automáticamente con confianza media"/>
                    <pic:cNvPicPr/>
                  </pic:nvPicPr>
                  <pic:blipFill>
                    <a:blip r:embed="rId127"/>
                    <a:stretch>
                      <a:fillRect/>
                    </a:stretch>
                  </pic:blipFill>
                  <pic:spPr>
                    <a:xfrm>
                      <a:off x="0" y="0"/>
                      <a:ext cx="7902121" cy="3665570"/>
                    </a:xfrm>
                    <a:prstGeom prst="rect">
                      <a:avLst/>
                    </a:prstGeom>
                    <a:ln w="19050">
                      <a:solidFill>
                        <a:schemeClr val="accent1"/>
                      </a:solidFill>
                    </a:ln>
                  </pic:spPr>
                </pic:pic>
              </a:graphicData>
            </a:graphic>
          </wp:inline>
        </w:drawing>
      </w:r>
    </w:p>
    <w:p w14:paraId="0A8C7994" w14:textId="77777777" w:rsidR="00803EF6" w:rsidRDefault="00803EF6" w:rsidP="00803EF6">
      <w:pPr>
        <w:rPr>
          <w:rFonts w:eastAsia="Calibri"/>
          <w:lang w:eastAsia="en-US"/>
        </w:rPr>
      </w:pPr>
    </w:p>
    <w:p w14:paraId="4A20E12E" w14:textId="77777777" w:rsidR="00803EF6" w:rsidRDefault="00803EF6" w:rsidP="00803EF6">
      <w:pPr>
        <w:rPr>
          <w:rFonts w:ascii="Arial Narrow" w:hAnsi="Arial Narrow"/>
          <w:sz w:val="18"/>
          <w:szCs w:val="18"/>
          <w:lang w:val="es-CR" w:eastAsia="es-CR"/>
        </w:rPr>
      </w:pPr>
      <w:r>
        <w:rPr>
          <w:rFonts w:ascii="Arial Narrow" w:eastAsia="Calibri" w:hAnsi="Arial Narrow"/>
        </w:rPr>
        <w:tab/>
      </w:r>
      <w:r w:rsidRPr="00EE2E13">
        <w:rPr>
          <w:rFonts w:ascii="Arial Narrow" w:hAnsi="Arial Narrow"/>
          <w:sz w:val="18"/>
          <w:szCs w:val="18"/>
          <w:lang w:val="es-CR" w:eastAsia="es-CR"/>
        </w:rPr>
        <w:t>Fuente: Sistema PEI al 24 de enero del 2020 (año 2019) y 04 de marzo del 2021 (año 2020).</w:t>
      </w:r>
    </w:p>
    <w:p w14:paraId="107A5A92" w14:textId="77777777" w:rsidR="009D5823" w:rsidRDefault="009D5823" w:rsidP="00803EF6">
      <w:pPr>
        <w:spacing w:line="360" w:lineRule="auto"/>
        <w:jc w:val="both"/>
        <w:rPr>
          <w:rFonts w:ascii="Arial Narrow" w:eastAsia="Calibri" w:hAnsi="Arial Narrow"/>
        </w:rPr>
        <w:sectPr w:rsidR="009D5823" w:rsidSect="009D5823">
          <w:pgSz w:w="15842" w:h="12242" w:orient="landscape" w:code="1"/>
          <w:pgMar w:top="1417" w:right="1701" w:bottom="1417" w:left="1701" w:header="709" w:footer="709" w:gutter="0"/>
          <w:cols w:space="708"/>
          <w:docGrid w:linePitch="360"/>
        </w:sectPr>
      </w:pPr>
    </w:p>
    <w:p w14:paraId="59D0FD30" w14:textId="4FC37A48" w:rsidR="00803EF6" w:rsidRDefault="00803EF6" w:rsidP="00803EF6">
      <w:pPr>
        <w:spacing w:line="360" w:lineRule="auto"/>
        <w:jc w:val="both"/>
        <w:rPr>
          <w:rFonts w:ascii="Arial Narrow" w:eastAsia="Calibri" w:hAnsi="Arial Narrow"/>
        </w:rPr>
      </w:pPr>
      <w:r>
        <w:rPr>
          <w:rFonts w:ascii="Arial Narrow" w:eastAsia="Calibri" w:hAnsi="Arial Narrow"/>
        </w:rPr>
        <w:lastRenderedPageBreak/>
        <w:t xml:space="preserve">La meta estratégica </w:t>
      </w:r>
      <w:r w:rsidRPr="002E0B96">
        <w:rPr>
          <w:rFonts w:ascii="Arial Narrow" w:eastAsia="Calibri" w:hAnsi="Arial Narrow"/>
          <w:b/>
          <w:bCs/>
          <w:i/>
          <w:iCs/>
        </w:rPr>
        <w:t>“Que al finalizar el 2024,se haya implementado el modelo de evaluación del desempeño definido en el Organismo de Investigación Judicial</w:t>
      </w:r>
      <w:r>
        <w:rPr>
          <w:rFonts w:ascii="Arial Narrow" w:eastAsia="Calibri" w:hAnsi="Arial Narrow"/>
        </w:rPr>
        <w:t>”</w:t>
      </w:r>
      <w:r w:rsidR="002430C9">
        <w:rPr>
          <w:rFonts w:ascii="Arial Narrow" w:eastAsia="Calibri" w:hAnsi="Arial Narrow"/>
        </w:rPr>
        <w:t>,</w:t>
      </w:r>
      <w:r>
        <w:rPr>
          <w:rFonts w:ascii="Arial Narrow" w:eastAsia="Calibri" w:hAnsi="Arial Narrow"/>
        </w:rPr>
        <w:t xml:space="preserve"> registra un cumplimiento alto de 100% para el 2019 y para el 2020 se consigna un 90%, esto debido a que  ciertas oficinas operativas no lograron la consecución del 100% de la meta asignada, dado que según manifestaron aunque se logró la planificación quedo pendiente la evaluación propiamente, como lo menciona la Seccion de Transportes que realizaron </w:t>
      </w:r>
      <w:r w:rsidRPr="002E0B96">
        <w:rPr>
          <w:rFonts w:ascii="Arial Narrow" w:eastAsia="Calibri" w:hAnsi="Arial Narrow"/>
        </w:rPr>
        <w:t xml:space="preserve">la fijación de los indicadores de todas las unidades que conforman la Sección de Transportes quedando sólo pendiente la evaluación, </w:t>
      </w:r>
      <w:r w:rsidRPr="0071176B">
        <w:rPr>
          <w:rFonts w:ascii="Arial Narrow" w:eastAsia="Calibri" w:hAnsi="Arial Narrow"/>
        </w:rPr>
        <w:t>también</w:t>
      </w:r>
      <w:r w:rsidRPr="002E0B96">
        <w:rPr>
          <w:rFonts w:ascii="Arial Narrow" w:eastAsia="Calibri" w:hAnsi="Arial Narrow"/>
        </w:rPr>
        <w:t xml:space="preserve"> se incluyen los indicadores de las jefaturas</w:t>
      </w:r>
      <w:r>
        <w:rPr>
          <w:rFonts w:ascii="Arial Narrow" w:eastAsia="Calibri" w:hAnsi="Arial Narrow"/>
        </w:rPr>
        <w:t>.</w:t>
      </w:r>
    </w:p>
    <w:p w14:paraId="418DFCBE" w14:textId="77777777" w:rsidR="00803EF6" w:rsidRDefault="00803EF6" w:rsidP="00803EF6">
      <w:pPr>
        <w:spacing w:line="360" w:lineRule="auto"/>
        <w:jc w:val="both"/>
        <w:rPr>
          <w:rFonts w:ascii="Arial Narrow" w:eastAsia="Calibri" w:hAnsi="Arial Narrow"/>
        </w:rPr>
      </w:pPr>
    </w:p>
    <w:p w14:paraId="7F25EAD9" w14:textId="1936F65F" w:rsidR="00803EF6" w:rsidRDefault="00803EF6" w:rsidP="00803EF6">
      <w:pPr>
        <w:spacing w:line="360" w:lineRule="auto"/>
        <w:jc w:val="both"/>
        <w:rPr>
          <w:rFonts w:ascii="Arial Narrow" w:eastAsia="Calibri" w:hAnsi="Arial Narrow"/>
        </w:rPr>
      </w:pPr>
      <w:r w:rsidRPr="00484CC1">
        <w:rPr>
          <w:rFonts w:ascii="Arial Narrow" w:eastAsia="Calibri" w:hAnsi="Arial Narrow"/>
        </w:rPr>
        <w:t>Es importante señalar que en la Matriz del PEI 2019-2024 adicionalmente se incluye la meta estratégica “</w:t>
      </w:r>
      <w:r w:rsidRPr="002E0B96">
        <w:rPr>
          <w:rFonts w:ascii="Arial Narrow" w:eastAsia="Calibri" w:hAnsi="Arial Narrow"/>
          <w:b/>
          <w:bCs/>
          <w:i/>
          <w:iCs/>
        </w:rPr>
        <w:t>Que al finalizar el 2024,</w:t>
      </w:r>
      <w:r>
        <w:rPr>
          <w:rFonts w:ascii="Arial Narrow" w:eastAsia="Calibri" w:hAnsi="Arial Narrow"/>
          <w:b/>
          <w:bCs/>
          <w:i/>
          <w:iCs/>
        </w:rPr>
        <w:t xml:space="preserve"> </w:t>
      </w:r>
      <w:r w:rsidRPr="002E0B96">
        <w:rPr>
          <w:rFonts w:ascii="Arial Narrow" w:eastAsia="Calibri" w:hAnsi="Arial Narrow"/>
          <w:b/>
          <w:bCs/>
          <w:i/>
          <w:iCs/>
        </w:rPr>
        <w:t>se haya implementado el modelo de evaluación del desempeño en el Ministerio Público</w:t>
      </w:r>
      <w:r>
        <w:rPr>
          <w:rFonts w:ascii="Arial Narrow" w:eastAsia="Calibri" w:hAnsi="Arial Narrow"/>
        </w:rPr>
        <w:t>”</w:t>
      </w:r>
      <w:r w:rsidR="002430C9">
        <w:rPr>
          <w:rFonts w:ascii="Arial Narrow" w:eastAsia="Calibri" w:hAnsi="Arial Narrow"/>
        </w:rPr>
        <w:t>,</w:t>
      </w:r>
      <w:r>
        <w:rPr>
          <w:rFonts w:ascii="Arial Narrow" w:eastAsia="Calibri" w:hAnsi="Arial Narrow"/>
        </w:rPr>
        <w:t xml:space="preserve"> </w:t>
      </w:r>
      <w:r w:rsidRPr="00484CC1">
        <w:rPr>
          <w:rFonts w:ascii="Arial Narrow" w:eastAsia="Calibri" w:hAnsi="Arial Narrow"/>
        </w:rPr>
        <w:t>la cual de acuerdo con la revisión efectuada se logró determinar que no se asoció a ningún PAO de oficina para el 2019, sin embargo, para el 2020 ya fue contemplada en los planes de</w:t>
      </w:r>
      <w:r>
        <w:rPr>
          <w:rFonts w:ascii="Arial Narrow" w:eastAsia="Calibri" w:hAnsi="Arial Narrow"/>
        </w:rPr>
        <w:t xml:space="preserve">l Ministerio Público, y se logró reportar un cumplimiento alto de 100% según lo consignado  por la Fiscalia General y por la Unidad de Capacitación del Ministerio Público quienes informan se realizaron </w:t>
      </w:r>
      <w:r w:rsidRPr="002E0B96">
        <w:rPr>
          <w:rFonts w:ascii="Arial Narrow" w:eastAsia="Calibri" w:hAnsi="Arial Narrow"/>
        </w:rPr>
        <w:t xml:space="preserve">campañas de información: Se replicaron dos cápsulas sobre la Evaluación del Desempeño diseñadas por la Dirección de Gestión Humana, que se actualizaron para ser divulgadas al personal del Ministerio Público, </w:t>
      </w:r>
      <w:r w:rsidRPr="00B7381E">
        <w:rPr>
          <w:rFonts w:ascii="Arial Narrow" w:eastAsia="Calibri" w:hAnsi="Arial Narrow"/>
        </w:rPr>
        <w:t>así</w:t>
      </w:r>
      <w:r w:rsidRPr="002E0B96">
        <w:rPr>
          <w:rFonts w:ascii="Arial Narrow" w:eastAsia="Calibri" w:hAnsi="Arial Narrow"/>
        </w:rPr>
        <w:t xml:space="preserve"> como brindar información a la población del Ministerio Público sobre el plan de implementación del modelo de evaluación del desempeño en el Poder Judicial, de acuerdo con los Lineamiento</w:t>
      </w:r>
      <w:r>
        <w:rPr>
          <w:rFonts w:ascii="Arial Narrow" w:eastAsia="Calibri" w:hAnsi="Arial Narrow"/>
        </w:rPr>
        <w:t xml:space="preserve">s </w:t>
      </w:r>
      <w:r w:rsidRPr="002E0B96">
        <w:rPr>
          <w:rFonts w:ascii="Arial Narrow" w:eastAsia="Calibri" w:hAnsi="Arial Narrow"/>
        </w:rPr>
        <w:t>de la Dirección de Gestión Humana.</w:t>
      </w:r>
    </w:p>
    <w:p w14:paraId="6CAF8143" w14:textId="77777777" w:rsidR="00803EF6" w:rsidRDefault="00803EF6" w:rsidP="00803EF6">
      <w:pPr>
        <w:spacing w:line="360" w:lineRule="auto"/>
        <w:jc w:val="both"/>
        <w:rPr>
          <w:rFonts w:ascii="Arial Narrow" w:eastAsia="Calibri" w:hAnsi="Arial Narrow"/>
        </w:rPr>
      </w:pPr>
    </w:p>
    <w:p w14:paraId="23FEE00D" w14:textId="77777777" w:rsidR="00803EF6" w:rsidRPr="00CD7DDB" w:rsidRDefault="00803EF6" w:rsidP="00803EF6">
      <w:pPr>
        <w:spacing w:line="360" w:lineRule="auto"/>
        <w:jc w:val="both"/>
        <w:rPr>
          <w:rFonts w:ascii="Arial Narrow" w:eastAsia="Calibri" w:hAnsi="Arial Narrow"/>
        </w:rPr>
      </w:pPr>
      <w:r>
        <w:rPr>
          <w:rFonts w:ascii="Arial Narrow" w:eastAsia="Calibri" w:hAnsi="Arial Narrow"/>
        </w:rPr>
        <w:t>A su vez, la meta “</w:t>
      </w:r>
      <w:r w:rsidRPr="002E0B96">
        <w:rPr>
          <w:rFonts w:ascii="Arial Narrow" w:eastAsia="Calibri" w:hAnsi="Arial Narrow"/>
          <w:b/>
          <w:bCs/>
          <w:i/>
          <w:iCs/>
        </w:rPr>
        <w:t>Que al finalizar el 2024, se hayan implementado el plan de integración de los módulos relacionados con el módulo SIGA</w:t>
      </w:r>
      <w:r>
        <w:rPr>
          <w:rFonts w:ascii="Arial Narrow" w:eastAsia="Calibri" w:hAnsi="Arial Narrow"/>
          <w:b/>
          <w:bCs/>
          <w:i/>
          <w:iCs/>
        </w:rPr>
        <w:t>”</w:t>
      </w:r>
      <w:r w:rsidRPr="00CD7DDB">
        <w:rPr>
          <w:rFonts w:ascii="Arial Narrow" w:eastAsia="Calibri" w:hAnsi="Arial Narrow"/>
        </w:rPr>
        <w:t>.</w:t>
      </w:r>
      <w:r>
        <w:rPr>
          <w:rFonts w:ascii="Arial Narrow" w:eastAsia="Calibri" w:hAnsi="Arial Narrow"/>
        </w:rPr>
        <w:t xml:space="preserve"> Si bien es cierto se tienen importantes avances, a raíz del </w:t>
      </w:r>
      <w:r w:rsidRPr="00CD7DDB">
        <w:rPr>
          <w:rFonts w:ascii="Arial Narrow" w:eastAsia="Calibri" w:hAnsi="Arial Narrow"/>
        </w:rPr>
        <w:t>impacto de la reforma fiscal en la</w:t>
      </w:r>
      <w:r>
        <w:rPr>
          <w:rFonts w:ascii="Arial Narrow" w:eastAsia="Calibri" w:hAnsi="Arial Narrow"/>
        </w:rPr>
        <w:t>s</w:t>
      </w:r>
      <w:r w:rsidRPr="00CD7DDB">
        <w:rPr>
          <w:rFonts w:ascii="Arial Narrow" w:eastAsia="Calibri" w:hAnsi="Arial Narrow"/>
        </w:rPr>
        <w:t xml:space="preserve"> prioridades de Gestión Humana y la Dirección de Tecnología, la propuesta de integración será considerada </w:t>
      </w:r>
      <w:r>
        <w:rPr>
          <w:rFonts w:ascii="Arial Narrow" w:eastAsia="Calibri" w:hAnsi="Arial Narrow"/>
        </w:rPr>
        <w:t>para el</w:t>
      </w:r>
      <w:r w:rsidRPr="00CD7DDB">
        <w:rPr>
          <w:rFonts w:ascii="Arial Narrow" w:eastAsia="Calibri" w:hAnsi="Arial Narrow"/>
        </w:rPr>
        <w:t xml:space="preserve"> 2020</w:t>
      </w:r>
      <w:r>
        <w:rPr>
          <w:rFonts w:ascii="Arial Narrow" w:eastAsia="Calibri" w:hAnsi="Arial Narrow"/>
        </w:rPr>
        <w:t xml:space="preserve">. A su vez, </w:t>
      </w:r>
      <w:r w:rsidRPr="00CD7DDB">
        <w:rPr>
          <w:rFonts w:ascii="Arial Narrow" w:eastAsia="Calibri" w:hAnsi="Arial Narrow"/>
        </w:rPr>
        <w:t>a partir de marzo de 2019 se establecieron cambios en el cronograma para la implementación con el colectivo judicial, por lo que se hicieron ajustes al módulo informático y de acuerdo</w:t>
      </w:r>
      <w:r>
        <w:rPr>
          <w:rFonts w:ascii="Arial Narrow" w:eastAsia="Calibri" w:hAnsi="Arial Narrow"/>
        </w:rPr>
        <w:t xml:space="preserve"> con el </w:t>
      </w:r>
      <w:r w:rsidRPr="00CD7DDB">
        <w:rPr>
          <w:rFonts w:ascii="Arial Narrow" w:eastAsia="Calibri" w:hAnsi="Arial Narrow"/>
        </w:rPr>
        <w:t>último informe</w:t>
      </w:r>
      <w:r>
        <w:rPr>
          <w:rFonts w:ascii="Arial Narrow" w:eastAsia="Calibri" w:hAnsi="Arial Narrow"/>
        </w:rPr>
        <w:t xml:space="preserve"> registrado,</w:t>
      </w:r>
      <w:r w:rsidRPr="00CD7DDB">
        <w:rPr>
          <w:rFonts w:ascii="Arial Narrow" w:eastAsia="Calibri" w:hAnsi="Arial Narrow"/>
        </w:rPr>
        <w:t xml:space="preserve"> se tiene un avance del 61% al 31 de octubre</w:t>
      </w:r>
      <w:r>
        <w:rPr>
          <w:rFonts w:ascii="Arial Narrow" w:eastAsia="Calibri" w:hAnsi="Arial Narrow"/>
        </w:rPr>
        <w:t xml:space="preserve"> de 2019. Para el 2020, se reporta un cumplimiento alto del 100% por parte del Subproceso de Gestión del Desempeño donde se desataca que </w:t>
      </w:r>
      <w:r w:rsidRPr="002E0B96">
        <w:rPr>
          <w:rFonts w:ascii="Arial Narrow" w:eastAsia="Calibri" w:hAnsi="Arial Narrow"/>
        </w:rPr>
        <w:t xml:space="preserve">la ejecución de la evaluación del </w:t>
      </w:r>
      <w:r w:rsidRPr="0071176B">
        <w:rPr>
          <w:rFonts w:ascii="Arial Narrow" w:eastAsia="Calibri" w:hAnsi="Arial Narrow"/>
        </w:rPr>
        <w:t>desempeño</w:t>
      </w:r>
      <w:r w:rsidRPr="002E0B96">
        <w:rPr>
          <w:rFonts w:ascii="Arial Narrow" w:eastAsia="Calibri" w:hAnsi="Arial Narrow"/>
        </w:rPr>
        <w:t xml:space="preserve"> se determina por el avance en la etapas, de las cuales la capacitación es una, según lo indicado en el objetivo anterior, además durante este año se hicieron ajustes para cumplir lo </w:t>
      </w:r>
      <w:r>
        <w:rPr>
          <w:rFonts w:ascii="Arial Narrow" w:eastAsia="Calibri" w:hAnsi="Arial Narrow"/>
        </w:rPr>
        <w:t xml:space="preserve">que </w:t>
      </w:r>
      <w:r w:rsidRPr="002E0B96">
        <w:rPr>
          <w:rFonts w:ascii="Arial Narrow" w:eastAsia="Calibri" w:hAnsi="Arial Narrow"/>
        </w:rPr>
        <w:t xml:space="preserve">ordena el MIDEPLAN, en razón de la orden de la Contraloría </w:t>
      </w:r>
      <w:r w:rsidRPr="002E0B96">
        <w:rPr>
          <w:rFonts w:ascii="Arial Narrow" w:eastAsia="Calibri" w:hAnsi="Arial Narrow"/>
        </w:rPr>
        <w:lastRenderedPageBreak/>
        <w:t>General de la República, respecto de la Ley 9635</w:t>
      </w:r>
      <w:r>
        <w:rPr>
          <w:rFonts w:ascii="Arial Narrow" w:eastAsia="Calibri" w:hAnsi="Arial Narrow"/>
        </w:rPr>
        <w:t>, por lo tanto, al 15 de junio del 2020</w:t>
      </w:r>
      <w:r w:rsidRPr="002E0B96">
        <w:rPr>
          <w:rFonts w:ascii="Arial Narrow" w:eastAsia="Calibri" w:hAnsi="Arial Narrow"/>
        </w:rPr>
        <w:t>, se emitió la circular de inicio del período de planeación de la evaluación 2020, según el cronograma establecido, desde junio se inició la implementación, y para enero de 2021 se ejecutará la evaluación final del período</w:t>
      </w:r>
      <w:r>
        <w:rPr>
          <w:rFonts w:ascii="Arial Narrow" w:eastAsia="Calibri" w:hAnsi="Arial Narrow"/>
        </w:rPr>
        <w:t>.</w:t>
      </w:r>
    </w:p>
    <w:p w14:paraId="03E61E2E" w14:textId="77777777" w:rsidR="00803EF6" w:rsidRDefault="00803EF6" w:rsidP="00803EF6">
      <w:pPr>
        <w:spacing w:line="360" w:lineRule="auto"/>
        <w:jc w:val="both"/>
        <w:rPr>
          <w:rFonts w:eastAsia="Calibri"/>
          <w:lang w:eastAsia="en-US"/>
        </w:rPr>
      </w:pPr>
    </w:p>
    <w:p w14:paraId="2E207AD1" w14:textId="77777777" w:rsidR="00803EF6" w:rsidRPr="002E0B96" w:rsidRDefault="00803EF6" w:rsidP="00803EF6">
      <w:pPr>
        <w:spacing w:line="360" w:lineRule="auto"/>
        <w:jc w:val="both"/>
        <w:rPr>
          <w:rFonts w:ascii="Arial Narrow" w:eastAsia="Calibri" w:hAnsi="Arial Narrow"/>
        </w:rPr>
      </w:pPr>
      <w:r>
        <w:rPr>
          <w:rFonts w:ascii="Arial Narrow" w:eastAsia="Calibri" w:hAnsi="Arial Narrow"/>
        </w:rPr>
        <w:t>Finalmente, para esta acción estratégica es</w:t>
      </w:r>
      <w:r w:rsidRPr="00484CC1">
        <w:rPr>
          <w:rFonts w:ascii="Arial Narrow" w:eastAsia="Calibri" w:hAnsi="Arial Narrow"/>
        </w:rPr>
        <w:t xml:space="preserve"> importante </w:t>
      </w:r>
      <w:r>
        <w:rPr>
          <w:rFonts w:ascii="Arial Narrow" w:eastAsia="Calibri" w:hAnsi="Arial Narrow"/>
        </w:rPr>
        <w:t>destacar</w:t>
      </w:r>
      <w:r w:rsidRPr="00484CC1">
        <w:rPr>
          <w:rFonts w:ascii="Arial Narrow" w:eastAsia="Calibri" w:hAnsi="Arial Narrow"/>
        </w:rPr>
        <w:t xml:space="preserve"> que en la Matriz del PEI 2019-2024 adicionalmente se incluye la meta estratégica “</w:t>
      </w:r>
      <w:r w:rsidRPr="007A4EFB">
        <w:rPr>
          <w:rFonts w:ascii="Arial Narrow" w:eastAsia="Calibri" w:hAnsi="Arial Narrow"/>
          <w:b/>
          <w:bCs/>
          <w:i/>
          <w:iCs/>
        </w:rPr>
        <w:t>Que al finalizar el 2024, se haya implementado el modelo de evaluación del desempeño definido en la Defensa Pública</w:t>
      </w:r>
      <w:r>
        <w:rPr>
          <w:rFonts w:ascii="Arial Narrow" w:eastAsia="Calibri" w:hAnsi="Arial Narrow"/>
        </w:rPr>
        <w:t xml:space="preserve">” </w:t>
      </w:r>
      <w:r w:rsidRPr="00484CC1">
        <w:rPr>
          <w:rFonts w:ascii="Arial Narrow" w:eastAsia="Calibri" w:hAnsi="Arial Narrow"/>
        </w:rPr>
        <w:t xml:space="preserve"> la cual de acuerdo con la revisión efectuada se logró determinar que no se asoció a ningún PAO de oficina para el 2019, sin embargo, para el 2020 ya fue contemplada en los planes de la Defensa Pública</w:t>
      </w:r>
      <w:r>
        <w:rPr>
          <w:rFonts w:ascii="Arial Narrow" w:eastAsia="Calibri" w:hAnsi="Arial Narrow"/>
        </w:rPr>
        <w:t xml:space="preserve"> y se consignó un 100% de cumplimiento, destacándose los esfuerzos de girar una circular 4-2020 sobre la Evaluación del Desempeño a toda la Defensa Pública, donde se adjuntan las guías de las diferentes etapas, así como se les facilita la </w:t>
      </w:r>
      <w:r w:rsidRPr="002E0B96">
        <w:rPr>
          <w:rFonts w:ascii="Arial Narrow" w:eastAsia="Calibri" w:hAnsi="Arial Narrow"/>
        </w:rPr>
        <w:t xml:space="preserve">Guía para la determinación del factor cuantitativo </w:t>
      </w:r>
      <w:r>
        <w:rPr>
          <w:rFonts w:ascii="Arial Narrow" w:eastAsia="Calibri" w:hAnsi="Arial Narrow"/>
        </w:rPr>
        <w:t xml:space="preserve"> </w:t>
      </w:r>
      <w:r w:rsidRPr="002E0B96">
        <w:rPr>
          <w:rFonts w:ascii="Arial Narrow" w:eastAsia="Calibri" w:hAnsi="Arial Narrow"/>
        </w:rPr>
        <w:t>(Metas)</w:t>
      </w:r>
      <w:r>
        <w:rPr>
          <w:rFonts w:ascii="Arial Narrow" w:eastAsia="Calibri" w:hAnsi="Arial Narrow"/>
        </w:rPr>
        <w:t xml:space="preserve"> a los empleados.</w:t>
      </w:r>
    </w:p>
    <w:p w14:paraId="4C8B196A" w14:textId="77777777" w:rsidR="00803EF6" w:rsidRDefault="00803EF6" w:rsidP="00803EF6">
      <w:pPr>
        <w:spacing w:line="360" w:lineRule="auto"/>
        <w:jc w:val="both"/>
        <w:rPr>
          <w:rFonts w:eastAsia="Calibri"/>
          <w:lang w:eastAsia="en-US"/>
        </w:rPr>
      </w:pPr>
    </w:p>
    <w:p w14:paraId="3FD093FC" w14:textId="77777777" w:rsidR="00803EF6" w:rsidRDefault="00803EF6" w:rsidP="00803EF6">
      <w:pPr>
        <w:spacing w:line="360" w:lineRule="auto"/>
        <w:jc w:val="both"/>
        <w:rPr>
          <w:rFonts w:eastAsia="Calibri"/>
          <w:lang w:eastAsia="en-US"/>
        </w:rPr>
      </w:pPr>
    </w:p>
    <w:p w14:paraId="3FC9F1CE" w14:textId="4F0CB0BE" w:rsidR="00803EF6" w:rsidRPr="000B4845" w:rsidRDefault="009547D6" w:rsidP="00803EF6">
      <w:pPr>
        <w:pStyle w:val="Ttulo4"/>
        <w:numPr>
          <w:ilvl w:val="0"/>
          <w:numId w:val="64"/>
        </w:numPr>
        <w:rPr>
          <w:rFonts w:eastAsia="Calibri"/>
        </w:rPr>
      </w:pPr>
      <w:r>
        <w:rPr>
          <w:rFonts w:eastAsia="Calibri"/>
        </w:rPr>
        <w:t xml:space="preserve">5.4.2. </w:t>
      </w:r>
      <w:r w:rsidR="00803EF6" w:rsidRPr="000B4845">
        <w:rPr>
          <w:rFonts w:eastAsia="Calibri"/>
        </w:rPr>
        <w:t>Reclutamiento y Selección</w:t>
      </w:r>
    </w:p>
    <w:p w14:paraId="414E3BB6" w14:textId="77777777" w:rsidR="00803EF6" w:rsidRPr="000B4845" w:rsidRDefault="00803EF6" w:rsidP="00803EF6">
      <w:pPr>
        <w:rPr>
          <w:rFonts w:eastAsia="Calibri"/>
          <w:lang w:eastAsia="en-US"/>
        </w:rPr>
      </w:pPr>
    </w:p>
    <w:p w14:paraId="031AA100" w14:textId="77F8AF06" w:rsidR="00F0386C" w:rsidRPr="00704B08" w:rsidRDefault="00F0386C" w:rsidP="00704B08">
      <w:pPr>
        <w:spacing w:line="360" w:lineRule="auto"/>
        <w:jc w:val="both"/>
        <w:rPr>
          <w:rFonts w:ascii="Arial Narrow" w:hAnsi="Arial Narrow" w:cs="Segoe UI"/>
          <w:sz w:val="21"/>
          <w:szCs w:val="21"/>
          <w:lang w:val="es-CR" w:eastAsia="es-CR"/>
        </w:rPr>
      </w:pPr>
      <w:r w:rsidRPr="00704B08">
        <w:rPr>
          <w:rFonts w:ascii="Arial Narrow" w:hAnsi="Arial Narrow" w:cs="Segoe UI"/>
          <w:lang w:eastAsia="es-CR"/>
        </w:rPr>
        <w:t>Se tienen 7 metas estratégicas para esta acción, de las cuales todas muestran una ejecución alta en su cumplimiento. Se detalla a continuación las metas estratégicas y su cumplimiento para el 2019 y 2020:</w:t>
      </w:r>
    </w:p>
    <w:p w14:paraId="5E301774" w14:textId="56A80E45" w:rsidR="009D5823" w:rsidRDefault="009D5823" w:rsidP="00803EF6">
      <w:pPr>
        <w:rPr>
          <w:rFonts w:ascii="Arial Narrow" w:eastAsia="Calibri" w:hAnsi="Arial Narrow"/>
        </w:rPr>
      </w:pPr>
    </w:p>
    <w:p w14:paraId="08385A9E" w14:textId="4846B62E" w:rsidR="009D5823" w:rsidRDefault="009D5823" w:rsidP="00803EF6">
      <w:pPr>
        <w:rPr>
          <w:rFonts w:ascii="Arial Narrow" w:eastAsia="Calibri" w:hAnsi="Arial Narrow"/>
        </w:rPr>
      </w:pPr>
    </w:p>
    <w:p w14:paraId="36D8E406" w14:textId="39B09020" w:rsidR="009D5823" w:rsidRDefault="009D5823" w:rsidP="00803EF6">
      <w:pPr>
        <w:rPr>
          <w:rFonts w:ascii="Arial Narrow" w:eastAsia="Calibri" w:hAnsi="Arial Narrow"/>
        </w:rPr>
      </w:pPr>
    </w:p>
    <w:p w14:paraId="4595DC37" w14:textId="212DF37D" w:rsidR="009D5823" w:rsidRDefault="009D5823" w:rsidP="00803EF6">
      <w:pPr>
        <w:rPr>
          <w:rFonts w:ascii="Arial Narrow" w:eastAsia="Calibri" w:hAnsi="Arial Narrow"/>
        </w:rPr>
      </w:pPr>
    </w:p>
    <w:p w14:paraId="7AE2BD27" w14:textId="5426B649" w:rsidR="009D5823" w:rsidRDefault="009D5823" w:rsidP="00803EF6">
      <w:pPr>
        <w:rPr>
          <w:rFonts w:ascii="Arial Narrow" w:eastAsia="Calibri" w:hAnsi="Arial Narrow"/>
        </w:rPr>
      </w:pPr>
    </w:p>
    <w:p w14:paraId="6C2BE1C3" w14:textId="6A80EE79" w:rsidR="009D5823" w:rsidRDefault="009D5823" w:rsidP="00803EF6">
      <w:pPr>
        <w:rPr>
          <w:rFonts w:ascii="Arial Narrow" w:eastAsia="Calibri" w:hAnsi="Arial Narrow"/>
        </w:rPr>
      </w:pPr>
    </w:p>
    <w:p w14:paraId="6F4982E1" w14:textId="6886BFD4" w:rsidR="009D5823" w:rsidRDefault="009D5823" w:rsidP="00803EF6">
      <w:pPr>
        <w:rPr>
          <w:rFonts w:ascii="Arial Narrow" w:eastAsia="Calibri" w:hAnsi="Arial Narrow"/>
        </w:rPr>
      </w:pPr>
    </w:p>
    <w:p w14:paraId="147A0754" w14:textId="6EAF94EB" w:rsidR="009D5823" w:rsidRDefault="009D5823" w:rsidP="00803EF6">
      <w:pPr>
        <w:rPr>
          <w:rFonts w:ascii="Arial Narrow" w:eastAsia="Calibri" w:hAnsi="Arial Narrow"/>
        </w:rPr>
      </w:pPr>
    </w:p>
    <w:p w14:paraId="60F0F1E8" w14:textId="167D38E9" w:rsidR="009D5823" w:rsidRDefault="009D5823" w:rsidP="00803EF6">
      <w:pPr>
        <w:rPr>
          <w:rFonts w:ascii="Arial Narrow" w:eastAsia="Calibri" w:hAnsi="Arial Narrow"/>
        </w:rPr>
      </w:pPr>
    </w:p>
    <w:p w14:paraId="5CFCFE23" w14:textId="231D6AA4" w:rsidR="009D5823" w:rsidRDefault="009D5823" w:rsidP="00803EF6">
      <w:pPr>
        <w:rPr>
          <w:rFonts w:ascii="Arial Narrow" w:eastAsia="Calibri" w:hAnsi="Arial Narrow"/>
        </w:rPr>
      </w:pPr>
    </w:p>
    <w:p w14:paraId="3A90DB90" w14:textId="6243EFD0" w:rsidR="009D5823" w:rsidRDefault="009D5823" w:rsidP="00803EF6">
      <w:pPr>
        <w:rPr>
          <w:rFonts w:ascii="Arial Narrow" w:eastAsia="Calibri" w:hAnsi="Arial Narrow"/>
        </w:rPr>
      </w:pPr>
    </w:p>
    <w:p w14:paraId="6353E9DC" w14:textId="253F7AF5" w:rsidR="009D5823" w:rsidRDefault="009D5823" w:rsidP="00803EF6">
      <w:pPr>
        <w:rPr>
          <w:rFonts w:ascii="Arial Narrow" w:eastAsia="Calibri" w:hAnsi="Arial Narrow"/>
        </w:rPr>
      </w:pPr>
    </w:p>
    <w:p w14:paraId="05AE3A06" w14:textId="77777777" w:rsidR="009D5823" w:rsidRDefault="009D5823" w:rsidP="00803EF6">
      <w:pPr>
        <w:rPr>
          <w:rFonts w:ascii="Arial Narrow" w:eastAsia="Calibri" w:hAnsi="Arial Narrow"/>
        </w:rPr>
        <w:sectPr w:rsidR="009D5823" w:rsidSect="009D5823">
          <w:pgSz w:w="12242" w:h="15842" w:code="1"/>
          <w:pgMar w:top="1701" w:right="1417" w:bottom="1701" w:left="1417" w:header="709" w:footer="709" w:gutter="0"/>
          <w:cols w:space="708"/>
          <w:docGrid w:linePitch="360"/>
        </w:sectPr>
      </w:pPr>
    </w:p>
    <w:p w14:paraId="7837F73F" w14:textId="77777777" w:rsidR="00803EF6" w:rsidRDefault="00803EF6" w:rsidP="00803EF6">
      <w:pPr>
        <w:rPr>
          <w:rFonts w:ascii="Arial Narrow" w:eastAsia="Calibri" w:hAnsi="Arial Narrow"/>
        </w:rPr>
      </w:pPr>
    </w:p>
    <w:p w14:paraId="16151504" w14:textId="49AE8DFA" w:rsidR="00803EF6" w:rsidRDefault="00803EF6" w:rsidP="00803EF6">
      <w:pPr>
        <w:pStyle w:val="Descripcin"/>
        <w:jc w:val="center"/>
        <w:rPr>
          <w:rFonts w:ascii="Arial Narrow" w:eastAsia="Calibri" w:hAnsi="Arial Narrow"/>
          <w:sz w:val="24"/>
          <w:szCs w:val="24"/>
        </w:rPr>
      </w:pPr>
      <w:bookmarkStart w:id="116" w:name="_Toc76062289"/>
      <w:r w:rsidRPr="00484CC1">
        <w:rPr>
          <w:rFonts w:ascii="Arial Narrow" w:hAnsi="Arial Narrow"/>
          <w:sz w:val="24"/>
          <w:szCs w:val="24"/>
        </w:rPr>
        <w:t>Cuadro</w:t>
      </w:r>
      <w:r>
        <w:rPr>
          <w:rFonts w:ascii="Arial Narrow" w:hAnsi="Arial Narrow"/>
          <w:sz w:val="24"/>
          <w:szCs w:val="24"/>
        </w:rPr>
        <w:t xml:space="preserve"> </w:t>
      </w:r>
      <w:r w:rsidRPr="00484CC1">
        <w:rPr>
          <w:rFonts w:ascii="Arial Narrow" w:hAnsi="Arial Narrow"/>
          <w:sz w:val="24"/>
          <w:szCs w:val="24"/>
        </w:rPr>
        <w:fldChar w:fldCharType="begin"/>
      </w:r>
      <w:r w:rsidRPr="00484CC1">
        <w:rPr>
          <w:rFonts w:ascii="Arial Narrow" w:hAnsi="Arial Narrow"/>
          <w:sz w:val="24"/>
          <w:szCs w:val="24"/>
        </w:rPr>
        <w:instrText xml:space="preserve"> SEQ Cuadro_No. \* ARABIC </w:instrText>
      </w:r>
      <w:r w:rsidRPr="00484CC1">
        <w:rPr>
          <w:rFonts w:ascii="Arial Narrow" w:hAnsi="Arial Narrow"/>
          <w:sz w:val="24"/>
          <w:szCs w:val="24"/>
        </w:rPr>
        <w:fldChar w:fldCharType="separate"/>
      </w:r>
      <w:r w:rsidR="009D5823">
        <w:rPr>
          <w:rFonts w:ascii="Arial Narrow" w:hAnsi="Arial Narrow"/>
          <w:noProof/>
          <w:sz w:val="24"/>
          <w:szCs w:val="24"/>
        </w:rPr>
        <w:t>66</w:t>
      </w:r>
      <w:r w:rsidRPr="00484CC1">
        <w:rPr>
          <w:rFonts w:ascii="Arial Narrow" w:hAnsi="Arial Narrow"/>
          <w:sz w:val="24"/>
          <w:szCs w:val="24"/>
        </w:rPr>
        <w:fldChar w:fldCharType="end"/>
      </w:r>
      <w:r w:rsidRPr="00484CC1">
        <w:rPr>
          <w:rFonts w:ascii="Arial Narrow" w:hAnsi="Arial Narrow"/>
          <w:sz w:val="24"/>
          <w:szCs w:val="24"/>
        </w:rPr>
        <w:t xml:space="preserve"> </w:t>
      </w:r>
      <w:r w:rsidRPr="00211B03">
        <w:rPr>
          <w:rFonts w:ascii="Arial Narrow" w:eastAsia="Calibri" w:hAnsi="Arial Narrow"/>
          <w:sz w:val="24"/>
          <w:szCs w:val="24"/>
        </w:rPr>
        <w:t>Metas estratégicas de Reclutamiento y selección, y su cumplimiento para el 2019</w:t>
      </w:r>
      <w:r>
        <w:rPr>
          <w:rFonts w:ascii="Arial Narrow" w:eastAsia="Calibri" w:hAnsi="Arial Narrow"/>
          <w:sz w:val="24"/>
          <w:szCs w:val="24"/>
        </w:rPr>
        <w:t>-2020</w:t>
      </w:r>
      <w:bookmarkEnd w:id="116"/>
    </w:p>
    <w:p w14:paraId="41D3E7EF" w14:textId="77777777" w:rsidR="00803EF6" w:rsidRDefault="00803EF6" w:rsidP="00803EF6">
      <w:pPr>
        <w:tabs>
          <w:tab w:val="left" w:pos="3852"/>
        </w:tabs>
        <w:rPr>
          <w:rFonts w:eastAsia="Calibri"/>
        </w:rPr>
      </w:pPr>
    </w:p>
    <w:p w14:paraId="79759F7A" w14:textId="77777777" w:rsidR="00803EF6" w:rsidRDefault="00803EF6" w:rsidP="00803EF6">
      <w:pPr>
        <w:tabs>
          <w:tab w:val="left" w:pos="3852"/>
        </w:tabs>
        <w:rPr>
          <w:rFonts w:eastAsia="Calibri"/>
        </w:rPr>
      </w:pPr>
      <w:r>
        <w:rPr>
          <w:noProof/>
          <w:lang w:val="es-CR" w:eastAsia="es-CR"/>
        </w:rPr>
        <w:drawing>
          <wp:inline distT="0" distB="0" distL="0" distR="0" wp14:anchorId="4797DD4F" wp14:editId="030F5823">
            <wp:extent cx="7899400" cy="3110517"/>
            <wp:effectExtent l="19050" t="19050" r="25400" b="13970"/>
            <wp:docPr id="129" name="Imagen 129"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n 98" descr="Tabla&#10;&#10;Descripción generada automáticamente"/>
                    <pic:cNvPicPr/>
                  </pic:nvPicPr>
                  <pic:blipFill>
                    <a:blip r:embed="rId128"/>
                    <a:stretch>
                      <a:fillRect/>
                    </a:stretch>
                  </pic:blipFill>
                  <pic:spPr>
                    <a:xfrm>
                      <a:off x="0" y="0"/>
                      <a:ext cx="7903794" cy="3112247"/>
                    </a:xfrm>
                    <a:prstGeom prst="rect">
                      <a:avLst/>
                    </a:prstGeom>
                    <a:ln w="19050">
                      <a:solidFill>
                        <a:schemeClr val="accent1"/>
                      </a:solidFill>
                    </a:ln>
                  </pic:spPr>
                </pic:pic>
              </a:graphicData>
            </a:graphic>
          </wp:inline>
        </w:drawing>
      </w:r>
      <w:r>
        <w:rPr>
          <w:rFonts w:eastAsia="Calibri"/>
        </w:rPr>
        <w:t xml:space="preserve">   </w:t>
      </w:r>
    </w:p>
    <w:p w14:paraId="3073FB7D" w14:textId="77777777" w:rsidR="00803EF6" w:rsidRDefault="00803EF6" w:rsidP="00803EF6">
      <w:pPr>
        <w:rPr>
          <w:rFonts w:ascii="Arial Narrow" w:hAnsi="Arial Narrow"/>
          <w:sz w:val="18"/>
          <w:szCs w:val="18"/>
          <w:lang w:val="es-CR" w:eastAsia="es-CR"/>
        </w:rPr>
      </w:pPr>
      <w:r>
        <w:rPr>
          <w:rFonts w:ascii="Arial Narrow" w:eastAsia="Calibri" w:hAnsi="Arial Narrow"/>
        </w:rPr>
        <w:tab/>
      </w:r>
      <w:r w:rsidRPr="00EE2E13">
        <w:rPr>
          <w:rFonts w:ascii="Arial Narrow" w:hAnsi="Arial Narrow"/>
          <w:sz w:val="18"/>
          <w:szCs w:val="18"/>
          <w:lang w:val="es-CR" w:eastAsia="es-CR"/>
        </w:rPr>
        <w:t>Fuente: Sistema PEI al 24 de enero del 2020 (año 2019) y 04 de marzo del 2021 (año 2020).</w:t>
      </w:r>
    </w:p>
    <w:p w14:paraId="6C83C11A" w14:textId="77777777" w:rsidR="00803EF6" w:rsidRDefault="00803EF6" w:rsidP="00803EF6">
      <w:pPr>
        <w:tabs>
          <w:tab w:val="left" w:pos="3852"/>
        </w:tabs>
        <w:rPr>
          <w:rFonts w:ascii="Arial Narrow" w:eastAsia="Calibri" w:hAnsi="Arial Narrow"/>
          <w:sz w:val="18"/>
          <w:szCs w:val="18"/>
          <w:lang w:eastAsia="en-US"/>
        </w:rPr>
      </w:pPr>
    </w:p>
    <w:p w14:paraId="1593E25B" w14:textId="77777777" w:rsidR="00803EF6" w:rsidRDefault="00803EF6" w:rsidP="00803EF6">
      <w:pPr>
        <w:tabs>
          <w:tab w:val="left" w:pos="3852"/>
        </w:tabs>
        <w:rPr>
          <w:rFonts w:ascii="Arial Narrow" w:eastAsia="Calibri" w:hAnsi="Arial Narrow"/>
          <w:sz w:val="18"/>
          <w:szCs w:val="18"/>
          <w:lang w:eastAsia="en-US"/>
        </w:rPr>
      </w:pPr>
    </w:p>
    <w:p w14:paraId="655F83B7" w14:textId="77777777" w:rsidR="00803EF6" w:rsidRDefault="00803EF6" w:rsidP="00803EF6">
      <w:pPr>
        <w:tabs>
          <w:tab w:val="left" w:pos="3852"/>
        </w:tabs>
        <w:rPr>
          <w:rFonts w:ascii="Arial Narrow" w:eastAsia="Calibri" w:hAnsi="Arial Narrow"/>
          <w:sz w:val="18"/>
          <w:szCs w:val="18"/>
          <w:lang w:eastAsia="en-US"/>
        </w:rPr>
      </w:pPr>
    </w:p>
    <w:p w14:paraId="2E2E4ACA" w14:textId="77777777" w:rsidR="009D5823" w:rsidRDefault="009D5823" w:rsidP="00803EF6">
      <w:pPr>
        <w:tabs>
          <w:tab w:val="left" w:pos="3852"/>
        </w:tabs>
        <w:rPr>
          <w:rFonts w:ascii="Arial Narrow" w:eastAsia="Calibri" w:hAnsi="Arial Narrow"/>
          <w:sz w:val="18"/>
          <w:szCs w:val="18"/>
          <w:lang w:eastAsia="en-US"/>
        </w:rPr>
        <w:sectPr w:rsidR="009D5823" w:rsidSect="009D5823">
          <w:pgSz w:w="15842" w:h="12242" w:orient="landscape" w:code="1"/>
          <w:pgMar w:top="1417" w:right="1701" w:bottom="1417" w:left="1701" w:header="709" w:footer="709" w:gutter="0"/>
          <w:cols w:space="708"/>
          <w:docGrid w:linePitch="360"/>
        </w:sectPr>
      </w:pPr>
    </w:p>
    <w:p w14:paraId="1C4CE856" w14:textId="2F3F65BA" w:rsidR="00803EF6" w:rsidRDefault="00803EF6" w:rsidP="00803EF6">
      <w:pPr>
        <w:tabs>
          <w:tab w:val="left" w:pos="3852"/>
        </w:tabs>
        <w:rPr>
          <w:rFonts w:ascii="Arial Narrow" w:eastAsia="Calibri" w:hAnsi="Arial Narrow"/>
          <w:sz w:val="18"/>
          <w:szCs w:val="18"/>
          <w:lang w:eastAsia="en-US"/>
        </w:rPr>
      </w:pPr>
    </w:p>
    <w:p w14:paraId="4D79F173" w14:textId="1BB6B178" w:rsidR="00803EF6" w:rsidRDefault="00803EF6" w:rsidP="00803EF6">
      <w:pPr>
        <w:tabs>
          <w:tab w:val="left" w:pos="3852"/>
        </w:tabs>
        <w:rPr>
          <w:rFonts w:eastAsia="Calibri"/>
          <w:lang w:eastAsia="en-US"/>
        </w:rPr>
      </w:pPr>
    </w:p>
    <w:p w14:paraId="4AC31864" w14:textId="398B9F54" w:rsidR="002430C9" w:rsidRDefault="002430C9" w:rsidP="00803EF6">
      <w:pPr>
        <w:tabs>
          <w:tab w:val="left" w:pos="3852"/>
        </w:tabs>
        <w:rPr>
          <w:rFonts w:eastAsia="Calibri"/>
          <w:lang w:eastAsia="en-US"/>
        </w:rPr>
      </w:pPr>
    </w:p>
    <w:p w14:paraId="3C6C1BAE" w14:textId="77777777" w:rsidR="002430C9" w:rsidRDefault="002430C9" w:rsidP="00803EF6">
      <w:pPr>
        <w:tabs>
          <w:tab w:val="left" w:pos="3852"/>
        </w:tabs>
        <w:rPr>
          <w:rFonts w:eastAsia="Calibri"/>
          <w:lang w:eastAsia="en-US"/>
        </w:rPr>
      </w:pPr>
    </w:p>
    <w:p w14:paraId="5A30AA2F" w14:textId="77777777" w:rsidR="00803EF6" w:rsidRDefault="00803EF6" w:rsidP="00803EF6">
      <w:pPr>
        <w:spacing w:line="360" w:lineRule="auto"/>
        <w:jc w:val="both"/>
        <w:rPr>
          <w:rFonts w:ascii="Arial Narrow" w:eastAsia="Calibri" w:hAnsi="Arial Narrow"/>
        </w:rPr>
      </w:pPr>
      <w:r w:rsidRPr="00B5604F">
        <w:rPr>
          <w:rFonts w:ascii="Arial Narrow" w:eastAsia="Calibri" w:hAnsi="Arial Narrow"/>
        </w:rPr>
        <w:t>Sobre</w:t>
      </w:r>
      <w:r>
        <w:rPr>
          <w:rFonts w:ascii="Arial Narrow" w:eastAsia="Calibri" w:hAnsi="Arial Narrow"/>
        </w:rPr>
        <w:t xml:space="preserve"> la meta estratégica “</w:t>
      </w:r>
      <w:r w:rsidRPr="002E0B96">
        <w:rPr>
          <w:rFonts w:ascii="Arial Narrow" w:eastAsia="Calibri" w:hAnsi="Arial Narrow"/>
          <w:b/>
          <w:bCs/>
          <w:i/>
          <w:iCs/>
        </w:rPr>
        <w:t>Que al finalizar el 2024, se haya gestionado la aprobación la reforma legal sobre la selección de magistrados y magistradas con garantía de independencia e idoneidad técnica y ética</w:t>
      </w:r>
      <w:r>
        <w:rPr>
          <w:rFonts w:ascii="Arial Narrow" w:eastAsia="Calibri" w:hAnsi="Arial Narrow"/>
          <w:b/>
          <w:bCs/>
          <w:i/>
          <w:iCs/>
        </w:rPr>
        <w:t>”</w:t>
      </w:r>
      <w:r w:rsidRPr="003D6840">
        <w:rPr>
          <w:rFonts w:ascii="Arial Narrow" w:eastAsia="Calibri" w:hAnsi="Arial Narrow"/>
        </w:rPr>
        <w:t>.</w:t>
      </w:r>
      <w:r>
        <w:rPr>
          <w:rFonts w:ascii="Arial Narrow" w:eastAsia="Calibri" w:hAnsi="Arial Narrow"/>
        </w:rPr>
        <w:t xml:space="preserve"> Figura como responsable el Despacho de la Presidencia, reporta un cumplimiento alto para ambos años, se destaca el avance registrado con respecto al conocimiento d</w:t>
      </w:r>
      <w:r w:rsidRPr="002E0B96">
        <w:rPr>
          <w:rFonts w:ascii="Arial Narrow" w:eastAsia="Calibri" w:hAnsi="Arial Narrow"/>
        </w:rPr>
        <w:t>el producto sobre “Recomendaciones para el nombramiento de magistrados y magistradas de la Corte Suprema de Justicia” que presenta la Comisión</w:t>
      </w:r>
      <w:r>
        <w:rPr>
          <w:rFonts w:ascii="Arial Narrow" w:eastAsia="Calibri" w:hAnsi="Arial Narrow"/>
        </w:rPr>
        <w:t xml:space="preserve">, Se indica que </w:t>
      </w:r>
      <w:r w:rsidRPr="002E0B96">
        <w:rPr>
          <w:rFonts w:ascii="Arial Narrow" w:eastAsia="Calibri" w:hAnsi="Arial Narrow"/>
        </w:rPr>
        <w:t>el producto se encuentra pendiente del análisis de Corte Plena en una sesión extraordinaria.</w:t>
      </w:r>
    </w:p>
    <w:p w14:paraId="17FDAC03" w14:textId="77777777" w:rsidR="00803EF6" w:rsidRDefault="00803EF6" w:rsidP="00803EF6">
      <w:pPr>
        <w:spacing w:line="360" w:lineRule="auto"/>
        <w:jc w:val="both"/>
        <w:rPr>
          <w:rFonts w:ascii="Arial Narrow" w:eastAsia="Calibri" w:hAnsi="Arial Narrow"/>
        </w:rPr>
      </w:pPr>
    </w:p>
    <w:p w14:paraId="79BCA7E2" w14:textId="613A068A" w:rsidR="00803EF6" w:rsidRDefault="00803EF6" w:rsidP="00803EF6">
      <w:pPr>
        <w:spacing w:line="360" w:lineRule="auto"/>
        <w:jc w:val="both"/>
        <w:rPr>
          <w:rFonts w:ascii="Arial Narrow" w:eastAsia="Calibri" w:hAnsi="Arial Narrow"/>
        </w:rPr>
      </w:pPr>
      <w:r w:rsidRPr="002E0B96">
        <w:rPr>
          <w:rFonts w:ascii="Arial Narrow" w:eastAsia="Calibri" w:hAnsi="Arial Narrow"/>
        </w:rPr>
        <w:t xml:space="preserve">Por otra parte, la </w:t>
      </w:r>
      <w:r>
        <w:rPr>
          <w:rFonts w:ascii="Arial Narrow" w:eastAsia="Calibri" w:hAnsi="Arial Narrow"/>
        </w:rPr>
        <w:t>meta estratégica “</w:t>
      </w:r>
      <w:r w:rsidRPr="002E0B96">
        <w:rPr>
          <w:rFonts w:ascii="Arial Narrow" w:eastAsia="Calibri" w:hAnsi="Arial Narrow"/>
          <w:b/>
          <w:bCs/>
          <w:i/>
          <w:iCs/>
        </w:rPr>
        <w:t>Que al finalizar el 2024, se haya implementado un sistema integral automatizado para la gestión del proceso de reclutamiento y selección de persona</w:t>
      </w:r>
      <w:r>
        <w:rPr>
          <w:rFonts w:ascii="Arial Narrow" w:eastAsia="Calibri" w:hAnsi="Arial Narrow"/>
          <w:b/>
          <w:bCs/>
          <w:i/>
          <w:iCs/>
        </w:rPr>
        <w:t>”</w:t>
      </w:r>
      <w:r w:rsidR="002430C9">
        <w:rPr>
          <w:rFonts w:ascii="Arial Narrow" w:eastAsia="Calibri" w:hAnsi="Arial Narrow"/>
          <w:b/>
          <w:bCs/>
          <w:i/>
          <w:iCs/>
        </w:rPr>
        <w:t>,</w:t>
      </w:r>
      <w:r>
        <w:rPr>
          <w:rFonts w:ascii="Arial Narrow" w:eastAsia="Calibri" w:hAnsi="Arial Narrow"/>
          <w:b/>
          <w:bCs/>
          <w:i/>
          <w:iCs/>
        </w:rPr>
        <w:t xml:space="preserve"> </w:t>
      </w:r>
      <w:r>
        <w:rPr>
          <w:rFonts w:ascii="Arial Narrow" w:eastAsia="Calibri" w:hAnsi="Arial Narrow"/>
        </w:rPr>
        <w:t>se tiene que para el 2019 se registró un cumplimiento de un 70% debido a que s</w:t>
      </w:r>
      <w:r w:rsidRPr="00B5604F">
        <w:rPr>
          <w:rFonts w:ascii="Arial Narrow" w:eastAsia="Calibri" w:hAnsi="Arial Narrow"/>
        </w:rPr>
        <w:t xml:space="preserve">e realizaron tareas operativas </w:t>
      </w:r>
      <w:r>
        <w:rPr>
          <w:rFonts w:ascii="Arial Narrow" w:eastAsia="Calibri" w:hAnsi="Arial Narrow"/>
        </w:rPr>
        <w:t>como el</w:t>
      </w:r>
      <w:r w:rsidRPr="00B5604F">
        <w:rPr>
          <w:rFonts w:ascii="Arial Narrow" w:eastAsia="Calibri" w:hAnsi="Arial Narrow"/>
        </w:rPr>
        <w:t xml:space="preserve"> </w:t>
      </w:r>
      <w:r>
        <w:rPr>
          <w:rFonts w:ascii="Arial Narrow" w:eastAsia="Calibri" w:hAnsi="Arial Narrow"/>
        </w:rPr>
        <w:t>trabajo hecho en</w:t>
      </w:r>
      <w:r w:rsidRPr="00B5604F">
        <w:rPr>
          <w:rFonts w:ascii="Arial Narrow" w:eastAsia="Calibri" w:hAnsi="Arial Narrow"/>
        </w:rPr>
        <w:t xml:space="preserve"> la materia Penal, específicamente en lo correspondiente a Juez 2 ejecución de la pena, Juez 3 Penal y Juez 4 penal. Es importante resaltar que al alcanzar el paso denominado “sistema informático”, se debe migrar la matriz creada a dicho sistema, y en caso de encontrar un error se debe reportar el mismo para que sea corregido. Se procedió a finalizar con las propuestas de matrices competenciales, y se generaron procesos de alimentación del sistema informático a partir de la matriz de penal 3. Se realizaron las pruebas piloto de nuevas matrices y baterías de test psicológicos por categoría y materia; se realizaron pruebas para las categorías y materias: civil 1, 3 y civil 4, contencioso 3, familia 1, laboral 1 y 3, penal 3 al 4, Ejecución de la pena, genérico</w:t>
      </w:r>
      <w:r>
        <w:rPr>
          <w:rFonts w:ascii="Arial Narrow" w:eastAsia="Calibri" w:hAnsi="Arial Narrow"/>
        </w:rPr>
        <w:t xml:space="preserve">; debido a lo anterior, el avance de esta meta quedó consignado en un 70%. Para el 2020, se consigna un 100% con el detalle de que se </w:t>
      </w:r>
      <w:r w:rsidRPr="002E0B96">
        <w:rPr>
          <w:rFonts w:ascii="Arial Narrow" w:eastAsia="Calibri" w:hAnsi="Arial Narrow"/>
        </w:rPr>
        <w:t>está trabajando en conjunto con DTI, las correcciones de errores de la última pantalla para iniciar con las pruebas en producción</w:t>
      </w:r>
      <w:r>
        <w:rPr>
          <w:rFonts w:ascii="Arial Narrow" w:eastAsia="Calibri" w:hAnsi="Arial Narrow"/>
        </w:rPr>
        <w:t>.</w:t>
      </w:r>
    </w:p>
    <w:p w14:paraId="55817D2A" w14:textId="1A6EA49A" w:rsidR="002430C9" w:rsidRDefault="002430C9">
      <w:pPr>
        <w:rPr>
          <w:rFonts w:ascii="Arial Narrow" w:eastAsia="Calibri" w:hAnsi="Arial Narrow"/>
        </w:rPr>
      </w:pPr>
      <w:r>
        <w:rPr>
          <w:rFonts w:ascii="Arial Narrow" w:eastAsia="Calibri" w:hAnsi="Arial Narrow"/>
        </w:rPr>
        <w:br w:type="page"/>
      </w:r>
    </w:p>
    <w:p w14:paraId="21AD58E0" w14:textId="77777777" w:rsidR="00803EF6" w:rsidRDefault="00803EF6" w:rsidP="00803EF6">
      <w:pPr>
        <w:spacing w:line="360" w:lineRule="auto"/>
        <w:jc w:val="both"/>
        <w:rPr>
          <w:rFonts w:ascii="Arial Narrow" w:eastAsia="Calibri" w:hAnsi="Arial Narrow"/>
        </w:rPr>
      </w:pPr>
    </w:p>
    <w:p w14:paraId="63AB9C08" w14:textId="0A19D2BF" w:rsidR="00803EF6" w:rsidRDefault="00803EF6" w:rsidP="00803EF6">
      <w:pPr>
        <w:spacing w:line="360" w:lineRule="auto"/>
        <w:jc w:val="both"/>
        <w:rPr>
          <w:rFonts w:ascii="Arial Narrow" w:eastAsia="Calibri" w:hAnsi="Arial Narrow"/>
        </w:rPr>
      </w:pPr>
      <w:r>
        <w:rPr>
          <w:rFonts w:ascii="Arial Narrow" w:eastAsia="Calibri" w:hAnsi="Arial Narrow"/>
        </w:rPr>
        <w:t>A su vez,</w:t>
      </w:r>
      <w:r w:rsidRPr="007A4EFB">
        <w:rPr>
          <w:rFonts w:ascii="Arial Narrow" w:eastAsia="Calibri" w:hAnsi="Arial Narrow"/>
        </w:rPr>
        <w:t xml:space="preserve"> la </w:t>
      </w:r>
      <w:r>
        <w:rPr>
          <w:rFonts w:ascii="Arial Narrow" w:eastAsia="Calibri" w:hAnsi="Arial Narrow"/>
        </w:rPr>
        <w:t>meta estratégica “</w:t>
      </w:r>
      <w:r w:rsidRPr="000D4F72">
        <w:rPr>
          <w:rFonts w:ascii="Arial Narrow" w:eastAsia="Calibri" w:hAnsi="Arial Narrow"/>
          <w:b/>
          <w:bCs/>
          <w:i/>
          <w:iCs/>
        </w:rPr>
        <w:t>Que al finalizar el 2024, se haya presentado una propuesta de la reforma de la normativa relacionada al reclutamiento y selección del personal en el Poder Judicial, al órgano aprobador</w:t>
      </w:r>
      <w:r>
        <w:rPr>
          <w:rFonts w:ascii="Arial Narrow" w:eastAsia="Calibri" w:hAnsi="Arial Narrow"/>
          <w:b/>
          <w:bCs/>
          <w:i/>
          <w:iCs/>
        </w:rPr>
        <w:t>”</w:t>
      </w:r>
      <w:r w:rsidR="002430C9">
        <w:rPr>
          <w:rFonts w:ascii="Arial Narrow" w:eastAsia="Calibri" w:hAnsi="Arial Narrow"/>
          <w:b/>
          <w:bCs/>
          <w:i/>
          <w:iCs/>
        </w:rPr>
        <w:t>,</w:t>
      </w:r>
      <w:r>
        <w:rPr>
          <w:rFonts w:ascii="Arial Narrow" w:eastAsia="Calibri" w:hAnsi="Arial Narrow"/>
          <w:b/>
          <w:bCs/>
          <w:i/>
          <w:iCs/>
        </w:rPr>
        <w:t xml:space="preserve"> </w:t>
      </w:r>
      <w:r>
        <w:rPr>
          <w:rFonts w:ascii="Arial Narrow" w:eastAsia="Calibri" w:hAnsi="Arial Narrow"/>
        </w:rPr>
        <w:t>se tiene que para el 2019 y 2020 se registró un cumplimiento de un 100%  por parte de la Seccion de Reclutamiento y Selección, debido a que s</w:t>
      </w:r>
      <w:r w:rsidRPr="00B5604F">
        <w:rPr>
          <w:rFonts w:ascii="Arial Narrow" w:eastAsia="Calibri" w:hAnsi="Arial Narrow"/>
        </w:rPr>
        <w:t xml:space="preserve">e realizaron tareas operativas </w:t>
      </w:r>
      <w:r>
        <w:rPr>
          <w:rFonts w:ascii="Arial Narrow" w:eastAsia="Calibri" w:hAnsi="Arial Narrow"/>
        </w:rPr>
        <w:t xml:space="preserve">como la </w:t>
      </w:r>
      <w:r w:rsidRPr="002E0B96">
        <w:rPr>
          <w:rFonts w:ascii="Arial Narrow" w:eastAsia="Calibri" w:hAnsi="Arial Narrow"/>
        </w:rPr>
        <w:t>confección de una plantilla que recopila las diferentes etapas que conforman los modelos de reclutamiento y selección y las herramientas utilizadas en cada uno de ellos, como información requerida para el análisis correspondiente de los factores que afectan directamente al reclutamiento y selección de personal en el Poder Judicial. Dicha plantilla incorpora el criterio de las diferentes coordinaciones de cada una las unidades involucradas en el Subproceso y encargadas de la aplicación de la norma</w:t>
      </w:r>
      <w:r>
        <w:rPr>
          <w:rFonts w:ascii="Arial Narrow" w:eastAsia="Calibri" w:hAnsi="Arial Narrow"/>
        </w:rPr>
        <w:t>, s</w:t>
      </w:r>
      <w:r w:rsidRPr="002E0B96">
        <w:rPr>
          <w:rFonts w:ascii="Arial Narrow" w:eastAsia="Calibri" w:hAnsi="Arial Narrow"/>
        </w:rPr>
        <w:t>e finaliza con el documento de hallazgos, que analiza los datos de la plantilla de los modelos selectivos y la normativa que lo sustenta, la cual servirá de insumo principal para la confección del borrador de propuesta definitiva</w:t>
      </w:r>
      <w:r>
        <w:rPr>
          <w:rFonts w:ascii="Arial Narrow" w:eastAsia="Calibri" w:hAnsi="Arial Narrow"/>
        </w:rPr>
        <w:t>.</w:t>
      </w:r>
    </w:p>
    <w:p w14:paraId="11C5DF5E" w14:textId="77777777" w:rsidR="009D5823" w:rsidRDefault="009D5823" w:rsidP="00803EF6">
      <w:pPr>
        <w:spacing w:line="360" w:lineRule="auto"/>
        <w:jc w:val="both"/>
        <w:rPr>
          <w:rFonts w:ascii="Arial Narrow" w:eastAsia="Calibri" w:hAnsi="Arial Narrow"/>
        </w:rPr>
        <w:sectPr w:rsidR="009D5823" w:rsidSect="009D5823">
          <w:pgSz w:w="12242" w:h="15842" w:code="1"/>
          <w:pgMar w:top="1701" w:right="1417" w:bottom="1701" w:left="1417" w:header="709" w:footer="709" w:gutter="0"/>
          <w:cols w:space="708"/>
          <w:docGrid w:linePitch="360"/>
        </w:sectPr>
      </w:pPr>
    </w:p>
    <w:p w14:paraId="540C7834" w14:textId="4E043083" w:rsidR="009D5823" w:rsidRDefault="009D5823" w:rsidP="00803EF6">
      <w:pPr>
        <w:spacing w:line="360" w:lineRule="auto"/>
        <w:jc w:val="both"/>
        <w:rPr>
          <w:rFonts w:ascii="Arial Narrow" w:eastAsia="Calibri" w:hAnsi="Arial Narrow"/>
        </w:rPr>
      </w:pPr>
    </w:p>
    <w:p w14:paraId="498DCEB3" w14:textId="77777777" w:rsidR="00803EF6" w:rsidRDefault="00803EF6" w:rsidP="00803EF6">
      <w:pPr>
        <w:spacing w:line="360" w:lineRule="auto"/>
        <w:jc w:val="both"/>
        <w:rPr>
          <w:rFonts w:ascii="Arial Narrow" w:eastAsia="Calibri" w:hAnsi="Arial Narrow"/>
        </w:rPr>
      </w:pPr>
    </w:p>
    <w:p w14:paraId="603F832A" w14:textId="1C8A0B7B" w:rsidR="00803EF6" w:rsidRDefault="00803EF6" w:rsidP="00803EF6">
      <w:pPr>
        <w:pStyle w:val="Descripcin"/>
        <w:jc w:val="center"/>
        <w:rPr>
          <w:rFonts w:ascii="Arial Narrow" w:eastAsia="Calibri" w:hAnsi="Arial Narrow"/>
          <w:sz w:val="24"/>
          <w:szCs w:val="24"/>
        </w:rPr>
      </w:pPr>
      <w:bookmarkStart w:id="117" w:name="_Toc76062290"/>
      <w:r w:rsidRPr="00704B08">
        <w:rPr>
          <w:rFonts w:ascii="Arial Narrow" w:hAnsi="Arial Narrow"/>
          <w:sz w:val="24"/>
          <w:szCs w:val="24"/>
        </w:rPr>
        <w:t xml:space="preserve">Cuadro </w:t>
      </w:r>
      <w:r w:rsidRPr="00704B08">
        <w:rPr>
          <w:rFonts w:ascii="Arial Narrow" w:hAnsi="Arial Narrow"/>
          <w:sz w:val="24"/>
          <w:szCs w:val="24"/>
        </w:rPr>
        <w:fldChar w:fldCharType="begin"/>
      </w:r>
      <w:r w:rsidRPr="00704B08">
        <w:rPr>
          <w:rFonts w:ascii="Arial Narrow" w:hAnsi="Arial Narrow"/>
          <w:sz w:val="24"/>
          <w:szCs w:val="24"/>
        </w:rPr>
        <w:instrText xml:space="preserve"> SEQ Cuadro_No. \* ARABIC </w:instrText>
      </w:r>
      <w:r w:rsidRPr="00704B08">
        <w:rPr>
          <w:rFonts w:ascii="Arial Narrow" w:hAnsi="Arial Narrow"/>
          <w:sz w:val="24"/>
          <w:szCs w:val="24"/>
        </w:rPr>
        <w:fldChar w:fldCharType="separate"/>
      </w:r>
      <w:r w:rsidR="009D5823">
        <w:rPr>
          <w:rFonts w:ascii="Arial Narrow" w:hAnsi="Arial Narrow"/>
          <w:noProof/>
          <w:sz w:val="24"/>
          <w:szCs w:val="24"/>
        </w:rPr>
        <w:t>67</w:t>
      </w:r>
      <w:r w:rsidRPr="00704B08">
        <w:rPr>
          <w:rFonts w:ascii="Arial Narrow" w:hAnsi="Arial Narrow"/>
          <w:sz w:val="24"/>
          <w:szCs w:val="24"/>
        </w:rPr>
        <w:fldChar w:fldCharType="end"/>
      </w:r>
      <w:r w:rsidRPr="00704B08">
        <w:rPr>
          <w:rFonts w:ascii="Arial Narrow" w:hAnsi="Arial Narrow"/>
          <w:sz w:val="24"/>
          <w:szCs w:val="24"/>
        </w:rPr>
        <w:t xml:space="preserve"> </w:t>
      </w:r>
      <w:r w:rsidRPr="00704B08">
        <w:rPr>
          <w:rFonts w:ascii="Arial Narrow" w:eastAsia="Calibri" w:hAnsi="Arial Narrow"/>
          <w:sz w:val="24"/>
          <w:szCs w:val="24"/>
        </w:rPr>
        <w:t>Metas</w:t>
      </w:r>
      <w:r w:rsidRPr="009D5823">
        <w:rPr>
          <w:rFonts w:ascii="Arial Narrow" w:eastAsia="Calibri" w:hAnsi="Arial Narrow"/>
          <w:sz w:val="24"/>
          <w:szCs w:val="24"/>
        </w:rPr>
        <w:t xml:space="preserve"> estratégicas</w:t>
      </w:r>
      <w:r w:rsidRPr="00211B03">
        <w:rPr>
          <w:rFonts w:ascii="Arial Narrow" w:eastAsia="Calibri" w:hAnsi="Arial Narrow"/>
          <w:sz w:val="24"/>
          <w:szCs w:val="24"/>
        </w:rPr>
        <w:t xml:space="preserve"> de Reclutamiento y selección, y su cumplimiento para el 2019</w:t>
      </w:r>
      <w:r>
        <w:rPr>
          <w:rFonts w:ascii="Arial Narrow" w:eastAsia="Calibri" w:hAnsi="Arial Narrow"/>
          <w:sz w:val="24"/>
          <w:szCs w:val="24"/>
        </w:rPr>
        <w:t>-2020</w:t>
      </w:r>
      <w:bookmarkEnd w:id="117"/>
    </w:p>
    <w:p w14:paraId="7F97CFCD" w14:textId="77777777" w:rsidR="00803EF6" w:rsidRDefault="00803EF6" w:rsidP="00803EF6">
      <w:pPr>
        <w:spacing w:line="360" w:lineRule="auto"/>
        <w:jc w:val="both"/>
        <w:rPr>
          <w:rFonts w:ascii="Arial Narrow" w:eastAsia="Calibri" w:hAnsi="Arial Narrow"/>
        </w:rPr>
      </w:pPr>
    </w:p>
    <w:p w14:paraId="7E0BDABD" w14:textId="77777777" w:rsidR="00803EF6" w:rsidRDefault="00803EF6" w:rsidP="00803EF6">
      <w:pPr>
        <w:spacing w:line="360" w:lineRule="auto"/>
        <w:jc w:val="both"/>
        <w:rPr>
          <w:rFonts w:ascii="Arial Narrow" w:eastAsia="Calibri" w:hAnsi="Arial Narrow"/>
        </w:rPr>
      </w:pPr>
      <w:r>
        <w:rPr>
          <w:noProof/>
          <w:lang w:val="es-CR" w:eastAsia="es-CR"/>
        </w:rPr>
        <w:drawing>
          <wp:inline distT="0" distB="0" distL="0" distR="0" wp14:anchorId="5276B19F" wp14:editId="03285D8B">
            <wp:extent cx="7899400" cy="3290821"/>
            <wp:effectExtent l="19050" t="19050" r="25400" b="24130"/>
            <wp:docPr id="130" name="Imagen 130" descr="Imagen que contiene gabinete, reloj&#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Imagen 99" descr="Imagen que contiene gabinete, reloj&#10;&#10;Descripción generada automáticamente"/>
                    <pic:cNvPicPr/>
                  </pic:nvPicPr>
                  <pic:blipFill>
                    <a:blip r:embed="rId129"/>
                    <a:stretch>
                      <a:fillRect/>
                    </a:stretch>
                  </pic:blipFill>
                  <pic:spPr>
                    <a:xfrm>
                      <a:off x="0" y="0"/>
                      <a:ext cx="7900024" cy="3291081"/>
                    </a:xfrm>
                    <a:prstGeom prst="rect">
                      <a:avLst/>
                    </a:prstGeom>
                    <a:ln w="19050">
                      <a:solidFill>
                        <a:schemeClr val="accent1"/>
                      </a:solidFill>
                    </a:ln>
                  </pic:spPr>
                </pic:pic>
              </a:graphicData>
            </a:graphic>
          </wp:inline>
        </w:drawing>
      </w:r>
    </w:p>
    <w:p w14:paraId="27D37AD3" w14:textId="77777777" w:rsidR="00803EF6" w:rsidRDefault="00803EF6" w:rsidP="00803EF6">
      <w:pPr>
        <w:rPr>
          <w:rFonts w:ascii="Arial Narrow" w:hAnsi="Arial Narrow"/>
          <w:sz w:val="18"/>
          <w:szCs w:val="18"/>
          <w:lang w:val="es-CR" w:eastAsia="es-CR"/>
        </w:rPr>
      </w:pPr>
      <w:r>
        <w:rPr>
          <w:rFonts w:ascii="Arial Narrow" w:eastAsia="Calibri" w:hAnsi="Arial Narrow"/>
        </w:rPr>
        <w:tab/>
      </w:r>
      <w:r w:rsidRPr="00EE2E13">
        <w:rPr>
          <w:rFonts w:ascii="Arial Narrow" w:hAnsi="Arial Narrow"/>
          <w:sz w:val="18"/>
          <w:szCs w:val="18"/>
          <w:lang w:val="es-CR" w:eastAsia="es-CR"/>
        </w:rPr>
        <w:t>Fuente: Sistema PEI al 24 de enero del 2020 (año 2019) y 04 de marzo del 2021 (año 2020).</w:t>
      </w:r>
    </w:p>
    <w:p w14:paraId="4EB6C4B5" w14:textId="77777777" w:rsidR="009D5823" w:rsidRDefault="009D5823" w:rsidP="00803EF6">
      <w:pPr>
        <w:spacing w:line="360" w:lineRule="auto"/>
        <w:jc w:val="both"/>
        <w:rPr>
          <w:rFonts w:ascii="Arial Narrow" w:eastAsia="Calibri" w:hAnsi="Arial Narrow"/>
        </w:rPr>
        <w:sectPr w:rsidR="009D5823" w:rsidSect="009D5823">
          <w:pgSz w:w="15842" w:h="12242" w:orient="landscape" w:code="1"/>
          <w:pgMar w:top="1417" w:right="1701" w:bottom="1417" w:left="1701" w:header="709" w:footer="709" w:gutter="0"/>
          <w:cols w:space="708"/>
          <w:docGrid w:linePitch="360"/>
        </w:sectPr>
      </w:pPr>
    </w:p>
    <w:p w14:paraId="6FAA0063" w14:textId="77777777" w:rsidR="002430C9" w:rsidRDefault="002430C9" w:rsidP="00803EF6">
      <w:pPr>
        <w:spacing w:line="360" w:lineRule="auto"/>
        <w:jc w:val="both"/>
        <w:rPr>
          <w:rFonts w:ascii="Arial Narrow" w:eastAsia="Calibri" w:hAnsi="Arial Narrow"/>
        </w:rPr>
      </w:pPr>
    </w:p>
    <w:p w14:paraId="40C7CB79" w14:textId="77777777" w:rsidR="002430C9" w:rsidRDefault="002430C9" w:rsidP="00803EF6">
      <w:pPr>
        <w:spacing w:line="360" w:lineRule="auto"/>
        <w:jc w:val="both"/>
        <w:rPr>
          <w:rFonts w:ascii="Arial Narrow" w:eastAsia="Calibri" w:hAnsi="Arial Narrow"/>
        </w:rPr>
      </w:pPr>
    </w:p>
    <w:p w14:paraId="6F96EAA2" w14:textId="62F00452" w:rsidR="00803EF6" w:rsidRDefault="00803EF6" w:rsidP="00803EF6">
      <w:pPr>
        <w:spacing w:line="360" w:lineRule="auto"/>
        <w:jc w:val="both"/>
        <w:rPr>
          <w:rFonts w:ascii="Arial Narrow" w:eastAsia="Calibri" w:hAnsi="Arial Narrow"/>
        </w:rPr>
      </w:pPr>
      <w:r>
        <w:rPr>
          <w:rFonts w:ascii="Arial Narrow" w:eastAsia="Calibri" w:hAnsi="Arial Narrow"/>
        </w:rPr>
        <w:t>L</w:t>
      </w:r>
      <w:r w:rsidRPr="007A4EFB">
        <w:rPr>
          <w:rFonts w:ascii="Arial Narrow" w:eastAsia="Calibri" w:hAnsi="Arial Narrow"/>
        </w:rPr>
        <w:t xml:space="preserve">a </w:t>
      </w:r>
      <w:r>
        <w:rPr>
          <w:rFonts w:ascii="Arial Narrow" w:eastAsia="Calibri" w:hAnsi="Arial Narrow"/>
        </w:rPr>
        <w:t>meta estratégica “</w:t>
      </w:r>
      <w:r w:rsidRPr="002E0B96">
        <w:rPr>
          <w:rFonts w:ascii="Arial Narrow" w:eastAsia="Calibri" w:hAnsi="Arial Narrow"/>
          <w:b/>
          <w:bCs/>
          <w:i/>
          <w:iCs/>
        </w:rPr>
        <w:t>Que al finalizar el 2024, se presente una propuesta de estructura para el Subproceso de Reclutamiento y Selección al órgano aprobador</w:t>
      </w:r>
      <w:r>
        <w:rPr>
          <w:rFonts w:ascii="Arial Narrow" w:eastAsia="Calibri" w:hAnsi="Arial Narrow"/>
          <w:b/>
          <w:bCs/>
          <w:i/>
          <w:iCs/>
        </w:rPr>
        <w:t>”</w:t>
      </w:r>
      <w:r w:rsidR="002430C9">
        <w:rPr>
          <w:rFonts w:ascii="Arial Narrow" w:eastAsia="Calibri" w:hAnsi="Arial Narrow"/>
        </w:rPr>
        <w:t>,</w:t>
      </w:r>
      <w:r>
        <w:rPr>
          <w:rFonts w:ascii="Arial Narrow" w:eastAsia="Calibri" w:hAnsi="Arial Narrow"/>
        </w:rPr>
        <w:t xml:space="preserve">  </w:t>
      </w:r>
      <w:r w:rsidRPr="00484CC1">
        <w:rPr>
          <w:rFonts w:ascii="Arial Narrow" w:eastAsia="Calibri" w:hAnsi="Arial Narrow"/>
        </w:rPr>
        <w:t>la cual de acuerdo con la revisión efectuada se logró determinar que no se asoció a ningún PAO de oficina para el 2019, sin embargo, se retomó para cumplirse en el 2020 por medio de la ejecución operativa</w:t>
      </w:r>
      <w:r>
        <w:rPr>
          <w:rFonts w:ascii="Arial Narrow" w:eastAsia="Calibri" w:hAnsi="Arial Narrow"/>
        </w:rPr>
        <w:t xml:space="preserve"> y como responsable la Seccion de Reclutamiento y Selección, donde informan que se tiene un </w:t>
      </w:r>
      <w:r w:rsidRPr="002E0B96">
        <w:rPr>
          <w:rFonts w:ascii="Arial Narrow" w:eastAsia="Calibri" w:hAnsi="Arial Narrow"/>
        </w:rPr>
        <w:t>primer avance del proyecto de estandarización del proceso de reclutamiento y selección, así como las minutas de las reuniones efectuadas</w:t>
      </w:r>
      <w:r>
        <w:rPr>
          <w:rFonts w:ascii="Arial Narrow" w:eastAsia="Calibri" w:hAnsi="Arial Narrow"/>
        </w:rPr>
        <w:t>, se adjunta una matriz de estandarización de procesos como parte del segundo avance del proyecto.</w:t>
      </w:r>
    </w:p>
    <w:p w14:paraId="0BB446F6" w14:textId="77777777" w:rsidR="00803EF6" w:rsidRPr="002E0B96" w:rsidRDefault="00803EF6" w:rsidP="00803EF6">
      <w:pPr>
        <w:spacing w:line="360" w:lineRule="auto"/>
        <w:jc w:val="both"/>
        <w:rPr>
          <w:rFonts w:ascii="Arial Narrow" w:eastAsia="Calibri" w:hAnsi="Arial Narrow"/>
        </w:rPr>
      </w:pPr>
    </w:p>
    <w:p w14:paraId="1E12F375" w14:textId="2CE2AA49" w:rsidR="00803EF6" w:rsidRDefault="00803EF6" w:rsidP="00803EF6">
      <w:pPr>
        <w:spacing w:line="360" w:lineRule="auto"/>
        <w:jc w:val="both"/>
        <w:rPr>
          <w:rFonts w:ascii="Arial Narrow" w:eastAsia="Calibri" w:hAnsi="Arial Narrow"/>
        </w:rPr>
      </w:pPr>
      <w:r>
        <w:rPr>
          <w:rFonts w:ascii="Arial Narrow" w:eastAsia="Calibri" w:hAnsi="Arial Narrow"/>
        </w:rPr>
        <w:t>L</w:t>
      </w:r>
      <w:r w:rsidRPr="007A4EFB">
        <w:rPr>
          <w:rFonts w:ascii="Arial Narrow" w:eastAsia="Calibri" w:hAnsi="Arial Narrow"/>
        </w:rPr>
        <w:t xml:space="preserve">a </w:t>
      </w:r>
      <w:r>
        <w:rPr>
          <w:rFonts w:ascii="Arial Narrow" w:eastAsia="Calibri" w:hAnsi="Arial Narrow"/>
        </w:rPr>
        <w:t>meta estratégica “</w:t>
      </w:r>
      <w:r w:rsidRPr="000D4F72">
        <w:rPr>
          <w:rFonts w:ascii="Arial Narrow" w:eastAsia="Calibri" w:hAnsi="Arial Narrow"/>
          <w:b/>
          <w:bCs/>
          <w:i/>
          <w:iCs/>
        </w:rPr>
        <w:t>Que al finalizar el 2024, se haya implementado la estrategia definida para estandarizar las herramientas y procedimientos para el reclutamiento y selección del personal (entrevistas, mecanismos de reclutamiento, pruebas orales y escritas, entre otros), incorporando el uso de las tecnologías de la información</w:t>
      </w:r>
      <w:r>
        <w:rPr>
          <w:rFonts w:ascii="Arial Narrow" w:eastAsia="Calibri" w:hAnsi="Arial Narrow"/>
          <w:b/>
          <w:bCs/>
          <w:i/>
          <w:iCs/>
        </w:rPr>
        <w:t>”</w:t>
      </w:r>
      <w:r w:rsidR="002430C9">
        <w:rPr>
          <w:rFonts w:ascii="Arial Narrow" w:eastAsia="Calibri" w:hAnsi="Arial Narrow"/>
          <w:b/>
          <w:bCs/>
          <w:i/>
          <w:iCs/>
        </w:rPr>
        <w:t>,</w:t>
      </w:r>
      <w:r>
        <w:rPr>
          <w:rFonts w:ascii="Arial Narrow" w:eastAsia="Calibri" w:hAnsi="Arial Narrow"/>
        </w:rPr>
        <w:t xml:space="preserve">  </w:t>
      </w:r>
      <w:r w:rsidRPr="00484CC1">
        <w:rPr>
          <w:rFonts w:ascii="Arial Narrow" w:eastAsia="Calibri" w:hAnsi="Arial Narrow"/>
        </w:rPr>
        <w:t xml:space="preserve">la cual de acuerdo con la revisión efectuada se logró determinar </w:t>
      </w:r>
      <w:r>
        <w:rPr>
          <w:rFonts w:ascii="Arial Narrow" w:eastAsia="Calibri" w:hAnsi="Arial Narrow"/>
        </w:rPr>
        <w:t>que para el 2019 y 2020 registra un cumplimiento del 100% donde se destaca que se buscaba a</w:t>
      </w:r>
      <w:r w:rsidRPr="001D70E1">
        <w:rPr>
          <w:rFonts w:ascii="Arial Narrow" w:eastAsia="Calibri" w:hAnsi="Arial Narrow"/>
        </w:rPr>
        <w:t>decuar las técnicas selectivas a modalidades virtuales, con la finalidad de resguardar la salud de los oferentes y los funcionarios de las oficinas producto de la emergencia nacional  del Covid-19</w:t>
      </w:r>
      <w:r>
        <w:rPr>
          <w:rFonts w:ascii="Arial Narrow" w:eastAsia="Calibri" w:hAnsi="Arial Narrow"/>
        </w:rPr>
        <w:t xml:space="preserve">, se establecen </w:t>
      </w:r>
      <w:r w:rsidRPr="002E0B96">
        <w:rPr>
          <w:rFonts w:ascii="Arial Narrow" w:eastAsia="Calibri" w:hAnsi="Arial Narrow"/>
        </w:rPr>
        <w:t>las acciones realizadas por la Unidad de Investigación Sociolaboral y de Antecedentes para el cumplimiento del objetivo, sobre la virtualización de la Fase</w:t>
      </w:r>
      <w:r>
        <w:rPr>
          <w:rFonts w:ascii="Arial Narrow" w:eastAsia="Calibri" w:hAnsi="Arial Narrow"/>
        </w:rPr>
        <w:t xml:space="preserve">, </w:t>
      </w:r>
      <w:r w:rsidRPr="001D70E1">
        <w:rPr>
          <w:rFonts w:ascii="Arial Narrow" w:eastAsia="Calibri" w:hAnsi="Arial Narrow"/>
        </w:rPr>
        <w:t>así</w:t>
      </w:r>
      <w:r w:rsidRPr="002E0B96">
        <w:rPr>
          <w:rFonts w:ascii="Arial Narrow" w:eastAsia="Calibri" w:hAnsi="Arial Narrow"/>
        </w:rPr>
        <w:t xml:space="preserve"> como </w:t>
      </w:r>
      <w:r>
        <w:rPr>
          <w:rFonts w:ascii="Arial Narrow" w:eastAsia="Calibri" w:hAnsi="Arial Narrow"/>
        </w:rPr>
        <w:t>la confección de</w:t>
      </w:r>
      <w:r w:rsidRPr="002E0B96">
        <w:rPr>
          <w:rFonts w:ascii="Arial Narrow" w:eastAsia="Calibri" w:hAnsi="Arial Narrow"/>
        </w:rPr>
        <w:t xml:space="preserve"> un cuadro comparativo final de las etapas generales de los procesos selectivos, con desarrollo de acciones referidas a la modalidad virtual, y por unidad adscrita a la Sección.</w:t>
      </w:r>
    </w:p>
    <w:p w14:paraId="581289CC" w14:textId="77777777" w:rsidR="00803EF6" w:rsidRPr="00B5604F" w:rsidRDefault="00803EF6" w:rsidP="00803EF6">
      <w:pPr>
        <w:spacing w:line="360" w:lineRule="auto"/>
        <w:jc w:val="both"/>
        <w:rPr>
          <w:rFonts w:ascii="Arial Narrow" w:eastAsia="Calibri" w:hAnsi="Arial Narrow"/>
        </w:rPr>
      </w:pPr>
    </w:p>
    <w:p w14:paraId="5A3D3D16" w14:textId="664B760F" w:rsidR="00803EF6" w:rsidRDefault="00803EF6" w:rsidP="00803EF6">
      <w:pPr>
        <w:spacing w:line="360" w:lineRule="auto"/>
        <w:jc w:val="both"/>
        <w:rPr>
          <w:rFonts w:ascii="Arial Narrow" w:eastAsia="Calibri" w:hAnsi="Arial Narrow"/>
        </w:rPr>
      </w:pPr>
      <w:r>
        <w:rPr>
          <w:rFonts w:ascii="Arial Narrow" w:eastAsia="Calibri" w:hAnsi="Arial Narrow"/>
        </w:rPr>
        <w:t>Por su parte, la</w:t>
      </w:r>
      <w:r w:rsidRPr="007A4EFB">
        <w:rPr>
          <w:rFonts w:ascii="Arial Narrow" w:eastAsia="Calibri" w:hAnsi="Arial Narrow"/>
        </w:rPr>
        <w:t xml:space="preserve"> </w:t>
      </w:r>
      <w:r>
        <w:rPr>
          <w:rFonts w:ascii="Arial Narrow" w:eastAsia="Calibri" w:hAnsi="Arial Narrow"/>
        </w:rPr>
        <w:t>meta estratégica “</w:t>
      </w:r>
      <w:r w:rsidRPr="001D70E1">
        <w:rPr>
          <w:rFonts w:ascii="Arial Narrow" w:eastAsia="Calibri" w:hAnsi="Arial Narrow"/>
          <w:b/>
          <w:bCs/>
          <w:i/>
          <w:iCs/>
        </w:rPr>
        <w:t>Que al finalizar el 2024, se hayan implementado al menos 3 mecanismos de reclutamiento y selección que permitan contar oportunamente con la cantidad de oferentes a nivel regional</w:t>
      </w:r>
      <w:r>
        <w:rPr>
          <w:rFonts w:ascii="Arial Narrow" w:eastAsia="Calibri" w:hAnsi="Arial Narrow"/>
          <w:b/>
          <w:bCs/>
          <w:i/>
          <w:iCs/>
        </w:rPr>
        <w:t>”</w:t>
      </w:r>
      <w:r w:rsidR="002430C9">
        <w:rPr>
          <w:rFonts w:ascii="Arial Narrow" w:eastAsia="Calibri" w:hAnsi="Arial Narrow"/>
        </w:rPr>
        <w:t>,</w:t>
      </w:r>
      <w:r>
        <w:rPr>
          <w:rFonts w:ascii="Arial Narrow" w:eastAsia="Calibri" w:hAnsi="Arial Narrow"/>
        </w:rPr>
        <w:t xml:space="preserve"> </w:t>
      </w:r>
      <w:r w:rsidRPr="00484CC1">
        <w:rPr>
          <w:rFonts w:ascii="Arial Narrow" w:eastAsia="Calibri" w:hAnsi="Arial Narrow"/>
        </w:rPr>
        <w:t xml:space="preserve">la cual </w:t>
      </w:r>
      <w:r>
        <w:rPr>
          <w:rFonts w:ascii="Arial Narrow" w:eastAsia="Calibri" w:hAnsi="Arial Narrow"/>
        </w:rPr>
        <w:t xml:space="preserve">figura como responsable la Administración del OIJ </w:t>
      </w:r>
      <w:r w:rsidRPr="00484CC1">
        <w:rPr>
          <w:rFonts w:ascii="Arial Narrow" w:eastAsia="Calibri" w:hAnsi="Arial Narrow"/>
        </w:rPr>
        <w:t xml:space="preserve">se logró determinar </w:t>
      </w:r>
      <w:r>
        <w:rPr>
          <w:rFonts w:ascii="Arial Narrow" w:eastAsia="Calibri" w:hAnsi="Arial Narrow"/>
        </w:rPr>
        <w:t xml:space="preserve">que para el 2019 y 2020 registra un cumplimiento del 100% donde se destaca que se ha </w:t>
      </w:r>
      <w:r w:rsidRPr="001D70E1">
        <w:rPr>
          <w:rFonts w:ascii="Arial Narrow" w:eastAsia="Calibri" w:hAnsi="Arial Narrow"/>
        </w:rPr>
        <w:t>confeccionado un documento para evaluar el perfil competencial del área policial OIJ</w:t>
      </w:r>
      <w:r>
        <w:rPr>
          <w:rFonts w:ascii="Arial Narrow" w:eastAsia="Calibri" w:hAnsi="Arial Narrow"/>
        </w:rPr>
        <w:t xml:space="preserve"> (investigador 1), se</w:t>
      </w:r>
      <w:r w:rsidRPr="001D70E1">
        <w:rPr>
          <w:rFonts w:ascii="Arial Narrow" w:eastAsia="Calibri" w:hAnsi="Arial Narrow"/>
        </w:rPr>
        <w:t xml:space="preserve"> conform</w:t>
      </w:r>
      <w:r>
        <w:rPr>
          <w:rFonts w:ascii="Arial Narrow" w:eastAsia="Calibri" w:hAnsi="Arial Narrow"/>
        </w:rPr>
        <w:t>ó un</w:t>
      </w:r>
      <w:r w:rsidRPr="001D70E1">
        <w:rPr>
          <w:rFonts w:ascii="Arial Narrow" w:eastAsia="Calibri" w:hAnsi="Arial Narrow"/>
        </w:rPr>
        <w:t xml:space="preserve"> equipo interdisciplinario</w:t>
      </w:r>
      <w:r>
        <w:rPr>
          <w:rFonts w:ascii="Arial Narrow" w:eastAsia="Calibri" w:hAnsi="Arial Narrow"/>
        </w:rPr>
        <w:t xml:space="preserve"> (</w:t>
      </w:r>
      <w:r w:rsidRPr="002E0B96">
        <w:rPr>
          <w:rFonts w:ascii="Arial Narrow" w:eastAsia="Calibri" w:hAnsi="Arial Narrow"/>
        </w:rPr>
        <w:t>Se cre</w:t>
      </w:r>
      <w:r>
        <w:rPr>
          <w:rFonts w:ascii="Arial Narrow" w:eastAsia="Calibri" w:hAnsi="Arial Narrow"/>
        </w:rPr>
        <w:t>ó</w:t>
      </w:r>
      <w:r w:rsidRPr="002E0B96">
        <w:rPr>
          <w:rFonts w:ascii="Arial Narrow" w:eastAsia="Calibri" w:hAnsi="Arial Narrow"/>
        </w:rPr>
        <w:t xml:space="preserve"> la U</w:t>
      </w:r>
      <w:r>
        <w:rPr>
          <w:rFonts w:ascii="Arial Narrow" w:eastAsia="Calibri" w:hAnsi="Arial Narrow"/>
        </w:rPr>
        <w:t xml:space="preserve">nidad de </w:t>
      </w:r>
      <w:r w:rsidRPr="002E0B96">
        <w:rPr>
          <w:rFonts w:ascii="Arial Narrow" w:eastAsia="Calibri" w:hAnsi="Arial Narrow"/>
        </w:rPr>
        <w:t>P</w:t>
      </w:r>
      <w:r>
        <w:rPr>
          <w:rFonts w:ascii="Arial Narrow" w:eastAsia="Calibri" w:hAnsi="Arial Narrow"/>
        </w:rPr>
        <w:t xml:space="preserve">otencial </w:t>
      </w:r>
      <w:r w:rsidRPr="002E0B96">
        <w:rPr>
          <w:rFonts w:ascii="Arial Narrow" w:eastAsia="Calibri" w:hAnsi="Arial Narrow"/>
        </w:rPr>
        <w:t>I</w:t>
      </w:r>
      <w:r>
        <w:rPr>
          <w:rFonts w:ascii="Arial Narrow" w:eastAsia="Calibri" w:hAnsi="Arial Narrow"/>
        </w:rPr>
        <w:t>nterno,</w:t>
      </w:r>
      <w:r w:rsidRPr="002E0B96">
        <w:rPr>
          <w:rFonts w:ascii="Arial Narrow" w:eastAsia="Calibri" w:hAnsi="Arial Narrow"/>
        </w:rPr>
        <w:t xml:space="preserve"> equipo </w:t>
      </w:r>
      <w:r w:rsidRPr="001D70E1">
        <w:rPr>
          <w:rFonts w:ascii="Arial Narrow" w:eastAsia="Calibri" w:hAnsi="Arial Narrow"/>
        </w:rPr>
        <w:t>interdisciplinario</w:t>
      </w:r>
      <w:r w:rsidRPr="002E0B96">
        <w:rPr>
          <w:rFonts w:ascii="Arial Narrow" w:eastAsia="Calibri" w:hAnsi="Arial Narrow"/>
        </w:rPr>
        <w:t xml:space="preserve"> de </w:t>
      </w:r>
      <w:r w:rsidRPr="001D70E1">
        <w:rPr>
          <w:rFonts w:ascii="Arial Narrow" w:eastAsia="Calibri" w:hAnsi="Arial Narrow"/>
        </w:rPr>
        <w:t>administrador</w:t>
      </w:r>
      <w:r>
        <w:rPr>
          <w:rFonts w:ascii="Arial Narrow" w:eastAsia="Calibri" w:hAnsi="Arial Narrow"/>
        </w:rPr>
        <w:t xml:space="preserve">es </w:t>
      </w:r>
      <w:r w:rsidRPr="002E0B96">
        <w:rPr>
          <w:rFonts w:ascii="Arial Narrow" w:eastAsia="Calibri" w:hAnsi="Arial Narrow"/>
        </w:rPr>
        <w:t xml:space="preserve">y </w:t>
      </w:r>
      <w:r w:rsidRPr="001D70E1">
        <w:rPr>
          <w:rFonts w:ascii="Arial Narrow" w:eastAsia="Calibri" w:hAnsi="Arial Narrow"/>
        </w:rPr>
        <w:t>psicólogos</w:t>
      </w:r>
      <w:r w:rsidRPr="002E0B96">
        <w:rPr>
          <w:rFonts w:ascii="Arial Narrow" w:eastAsia="Calibri" w:hAnsi="Arial Narrow"/>
        </w:rPr>
        <w:t xml:space="preserve"> que valora a los funcionarios de primer ingreso</w:t>
      </w:r>
      <w:r>
        <w:rPr>
          <w:rFonts w:ascii="Arial Narrow" w:eastAsia="Calibri" w:hAnsi="Arial Narrow"/>
        </w:rPr>
        <w:t xml:space="preserve">) y finalmente se realiza un análisis el 24 de agosto </w:t>
      </w:r>
      <w:r>
        <w:rPr>
          <w:rFonts w:ascii="Arial Narrow" w:eastAsia="Calibri" w:hAnsi="Arial Narrow"/>
        </w:rPr>
        <w:lastRenderedPageBreak/>
        <w:t>se rinde el informe ejecutivo de base de datos longitudinal para puestos policiales den el OIJ para primer ingreso.</w:t>
      </w:r>
    </w:p>
    <w:p w14:paraId="7A5D56FF" w14:textId="77777777" w:rsidR="00803EF6" w:rsidRDefault="00803EF6" w:rsidP="00803EF6">
      <w:pPr>
        <w:spacing w:line="360" w:lineRule="auto"/>
        <w:jc w:val="both"/>
        <w:rPr>
          <w:rFonts w:ascii="Arial Narrow" w:eastAsia="Calibri" w:hAnsi="Arial Narrow"/>
        </w:rPr>
      </w:pPr>
    </w:p>
    <w:p w14:paraId="69DF64F4" w14:textId="3F655B05" w:rsidR="00803EF6" w:rsidRDefault="00803EF6" w:rsidP="00803EF6">
      <w:pPr>
        <w:spacing w:line="360" w:lineRule="auto"/>
        <w:jc w:val="both"/>
        <w:rPr>
          <w:rFonts w:ascii="Arial Narrow" w:eastAsia="Calibri" w:hAnsi="Arial Narrow"/>
        </w:rPr>
      </w:pPr>
      <w:r>
        <w:rPr>
          <w:rFonts w:ascii="Arial Narrow" w:eastAsia="Calibri" w:hAnsi="Arial Narrow"/>
        </w:rPr>
        <w:t>Por otro lado, se encuentra la</w:t>
      </w:r>
      <w:r w:rsidRPr="007A4EFB">
        <w:rPr>
          <w:rFonts w:ascii="Arial Narrow" w:eastAsia="Calibri" w:hAnsi="Arial Narrow"/>
        </w:rPr>
        <w:t xml:space="preserve"> </w:t>
      </w:r>
      <w:r>
        <w:rPr>
          <w:rFonts w:ascii="Arial Narrow" w:eastAsia="Calibri" w:hAnsi="Arial Narrow"/>
        </w:rPr>
        <w:t>meta estratégica “</w:t>
      </w:r>
      <w:r w:rsidRPr="00ED799B">
        <w:rPr>
          <w:rFonts w:ascii="Arial Narrow" w:eastAsia="Calibri" w:hAnsi="Arial Narrow"/>
          <w:b/>
          <w:bCs/>
          <w:i/>
          <w:iCs/>
        </w:rPr>
        <w:t>Que al finalizar el 2024, se hayan actualizado los perfiles competenciales por ámbito</w:t>
      </w:r>
      <w:r>
        <w:rPr>
          <w:rFonts w:ascii="Arial Narrow" w:eastAsia="Calibri" w:hAnsi="Arial Narrow"/>
          <w:b/>
          <w:bCs/>
          <w:i/>
          <w:iCs/>
        </w:rPr>
        <w:t>”</w:t>
      </w:r>
      <w:r w:rsidR="002430C9">
        <w:rPr>
          <w:rFonts w:ascii="Arial Narrow" w:eastAsia="Calibri" w:hAnsi="Arial Narrow"/>
          <w:b/>
          <w:bCs/>
          <w:i/>
          <w:iCs/>
        </w:rPr>
        <w:t>,</w:t>
      </w:r>
      <w:r>
        <w:rPr>
          <w:rFonts w:ascii="Arial Narrow" w:eastAsia="Calibri" w:hAnsi="Arial Narrow"/>
        </w:rPr>
        <w:t xml:space="preserve"> </w:t>
      </w:r>
      <w:r w:rsidRPr="00484CC1">
        <w:rPr>
          <w:rFonts w:ascii="Arial Narrow" w:eastAsia="Calibri" w:hAnsi="Arial Narrow"/>
        </w:rPr>
        <w:t xml:space="preserve">la cual </w:t>
      </w:r>
      <w:r>
        <w:rPr>
          <w:rFonts w:ascii="Arial Narrow" w:eastAsia="Calibri" w:hAnsi="Arial Narrow"/>
        </w:rPr>
        <w:t xml:space="preserve">figura como responsable la Seccion de Análisis de Puestos para el 2019 y 2020 registran un nivel de cumplimiento alto con un 100% esto debido a los esfuerzos realizados en el 2019 se logra la aprobación </w:t>
      </w:r>
      <w:r w:rsidRPr="002E0B96">
        <w:rPr>
          <w:rFonts w:ascii="Arial Narrow" w:eastAsia="Calibri" w:hAnsi="Arial Narrow"/>
        </w:rPr>
        <w:t>mediante acuerdo tomado por el Consejo Superior, en la sesión 85-19 del 01 de octubre el 2019, artículo LXXXV</w:t>
      </w:r>
      <w:r w:rsidR="002430C9">
        <w:rPr>
          <w:rFonts w:ascii="Arial Narrow" w:eastAsia="Calibri" w:hAnsi="Arial Narrow"/>
        </w:rPr>
        <w:t>,</w:t>
      </w:r>
      <w:r w:rsidRPr="002E0B96">
        <w:rPr>
          <w:rFonts w:ascii="Arial Narrow" w:eastAsia="Calibri" w:hAnsi="Arial Narrow"/>
        </w:rPr>
        <w:t xml:space="preserve"> se aprueba el informe SAP-546- 2019. E</w:t>
      </w:r>
      <w:r>
        <w:rPr>
          <w:rFonts w:ascii="Arial Narrow" w:eastAsia="Calibri" w:hAnsi="Arial Narrow"/>
        </w:rPr>
        <w:t xml:space="preserve">n 2020 </w:t>
      </w:r>
      <w:r w:rsidRPr="002E0B96">
        <w:rPr>
          <w:rFonts w:ascii="Arial Narrow" w:eastAsia="Calibri" w:hAnsi="Arial Narrow"/>
        </w:rPr>
        <w:t xml:space="preserve">se elaboran y actualizan las descripciones de clases de puestos: </w:t>
      </w:r>
      <w:r w:rsidRPr="00A455E7">
        <w:rPr>
          <w:rFonts w:ascii="Arial Narrow" w:eastAsia="Calibri" w:hAnsi="Arial Narrow"/>
        </w:rPr>
        <w:t>director</w:t>
      </w:r>
      <w:r w:rsidRPr="002E0B96">
        <w:rPr>
          <w:rFonts w:ascii="Arial Narrow" w:eastAsia="Calibri" w:hAnsi="Arial Narrow"/>
        </w:rPr>
        <w:t xml:space="preserve"> y </w:t>
      </w:r>
      <w:r w:rsidRPr="00A455E7">
        <w:rPr>
          <w:rFonts w:ascii="Arial Narrow" w:eastAsia="Calibri" w:hAnsi="Arial Narrow"/>
        </w:rPr>
        <w:t>subdirector</w:t>
      </w:r>
      <w:r w:rsidRPr="002E0B96">
        <w:rPr>
          <w:rFonts w:ascii="Arial Narrow" w:eastAsia="Calibri" w:hAnsi="Arial Narrow"/>
        </w:rPr>
        <w:t xml:space="preserve"> de la Escuela </w:t>
      </w:r>
      <w:r w:rsidRPr="00A455E7">
        <w:rPr>
          <w:rFonts w:ascii="Arial Narrow" w:eastAsia="Calibri" w:hAnsi="Arial Narrow"/>
        </w:rPr>
        <w:t>Judicial</w:t>
      </w:r>
      <w:r w:rsidRPr="002E0B96">
        <w:rPr>
          <w:rFonts w:ascii="Arial Narrow" w:eastAsia="Calibri" w:hAnsi="Arial Narrow"/>
        </w:rPr>
        <w:t xml:space="preserve">, Fiscalía Adjunta de Probidad, Transparencia y Anticorrupción (F.A.P.T.A.), y del Programa de Justicia Restaurativa; para un Total 30. Para tales efectos </w:t>
      </w:r>
      <w:r>
        <w:rPr>
          <w:rFonts w:ascii="Arial Narrow" w:eastAsia="Calibri" w:hAnsi="Arial Narrow"/>
        </w:rPr>
        <w:t xml:space="preserve">se rinden los </w:t>
      </w:r>
      <w:r w:rsidRPr="002E0B96">
        <w:rPr>
          <w:rFonts w:ascii="Arial Narrow" w:eastAsia="Calibri" w:hAnsi="Arial Narrow"/>
        </w:rPr>
        <w:t>Informe</w:t>
      </w:r>
      <w:r>
        <w:rPr>
          <w:rFonts w:ascii="Arial Narrow" w:eastAsia="Calibri" w:hAnsi="Arial Narrow"/>
        </w:rPr>
        <w:t>s</w:t>
      </w:r>
      <w:r w:rsidRPr="002E0B96">
        <w:rPr>
          <w:rFonts w:ascii="Arial Narrow" w:eastAsia="Calibri" w:hAnsi="Arial Narrow"/>
        </w:rPr>
        <w:t>- SAP- 2020</w:t>
      </w:r>
      <w:r>
        <w:rPr>
          <w:rFonts w:ascii="Arial Narrow" w:eastAsia="Calibri" w:hAnsi="Arial Narrow"/>
        </w:rPr>
        <w:t xml:space="preserve"> (152,251,242 y 84).</w:t>
      </w:r>
    </w:p>
    <w:p w14:paraId="3A30C945" w14:textId="77777777" w:rsidR="00803EF6" w:rsidRDefault="00803EF6" w:rsidP="00803EF6">
      <w:pPr>
        <w:spacing w:line="360" w:lineRule="auto"/>
        <w:jc w:val="both"/>
        <w:rPr>
          <w:rFonts w:ascii="Arial Narrow" w:eastAsia="Calibri" w:hAnsi="Arial Narrow"/>
        </w:rPr>
      </w:pPr>
    </w:p>
    <w:p w14:paraId="7CA633BB" w14:textId="5DBA84BE" w:rsidR="00803EF6" w:rsidRPr="002E0B96" w:rsidRDefault="009547D6" w:rsidP="00803EF6">
      <w:pPr>
        <w:pStyle w:val="Ttulo4"/>
        <w:numPr>
          <w:ilvl w:val="0"/>
          <w:numId w:val="64"/>
        </w:numPr>
        <w:rPr>
          <w:rFonts w:ascii="Arial Narrow" w:eastAsia="Calibri" w:hAnsi="Arial Narrow"/>
        </w:rPr>
      </w:pPr>
      <w:r>
        <w:rPr>
          <w:rFonts w:ascii="Arial Narrow" w:eastAsia="Calibri" w:hAnsi="Arial Narrow"/>
        </w:rPr>
        <w:t xml:space="preserve">5.4.3. </w:t>
      </w:r>
      <w:r w:rsidR="00803EF6" w:rsidRPr="002E0B96">
        <w:rPr>
          <w:rFonts w:ascii="Arial Narrow" w:eastAsia="Calibri" w:hAnsi="Arial Narrow"/>
        </w:rPr>
        <w:t>Capacitación</w:t>
      </w:r>
    </w:p>
    <w:p w14:paraId="0F1B7AB5" w14:textId="77777777" w:rsidR="00803EF6" w:rsidRPr="000B4845" w:rsidRDefault="00803EF6" w:rsidP="00803EF6">
      <w:pPr>
        <w:rPr>
          <w:rFonts w:ascii="Arial Narrow" w:eastAsia="Calibri" w:hAnsi="Arial Narrow"/>
        </w:rPr>
      </w:pPr>
    </w:p>
    <w:p w14:paraId="6F287248" w14:textId="62089B0F" w:rsidR="00F0386C" w:rsidRPr="00704B08" w:rsidRDefault="00F0386C" w:rsidP="00704B08">
      <w:pPr>
        <w:spacing w:line="360" w:lineRule="auto"/>
        <w:jc w:val="both"/>
        <w:rPr>
          <w:rFonts w:ascii="Arial Narrow" w:hAnsi="Arial Narrow" w:cs="Segoe UI"/>
          <w:lang w:eastAsia="es-CR"/>
        </w:rPr>
      </w:pPr>
      <w:r w:rsidRPr="00704B08">
        <w:rPr>
          <w:rFonts w:ascii="Arial Narrow" w:hAnsi="Arial Narrow" w:cs="Segoe UI"/>
          <w:lang w:eastAsia="es-CR"/>
        </w:rPr>
        <w:t>Se observan 29 metas estratégicas</w:t>
      </w:r>
      <w:r>
        <w:rPr>
          <w:rFonts w:ascii="Arial Narrow" w:hAnsi="Arial Narrow" w:cs="Segoe UI"/>
          <w:lang w:eastAsia="es-CR"/>
        </w:rPr>
        <w:t>,</w:t>
      </w:r>
      <w:r w:rsidRPr="00704B08">
        <w:rPr>
          <w:rFonts w:ascii="Arial Narrow" w:hAnsi="Arial Narrow" w:cs="Segoe UI"/>
          <w:lang w:eastAsia="es-CR"/>
        </w:rPr>
        <w:t xml:space="preserve"> de las cuales 23 muestran una ejecución alta en su cumplimiento. Por otro lado, hay 6 metas que registran un cumplimiento medio. Se detalla a continuación las metas estratégicas y su cumplimiento para el 2019 y 2020:</w:t>
      </w:r>
    </w:p>
    <w:p w14:paraId="0E1F5320" w14:textId="77777777" w:rsidR="00803EF6" w:rsidRPr="00F0386C" w:rsidRDefault="00803EF6" w:rsidP="00704B08">
      <w:pPr>
        <w:spacing w:line="360" w:lineRule="auto"/>
        <w:jc w:val="both"/>
        <w:rPr>
          <w:rFonts w:ascii="Arial Narrow" w:eastAsia="Calibri" w:hAnsi="Arial Narrow"/>
        </w:rPr>
      </w:pPr>
    </w:p>
    <w:p w14:paraId="62C4AD4B" w14:textId="77777777" w:rsidR="00803EF6" w:rsidRPr="00F0386C" w:rsidRDefault="00803EF6" w:rsidP="00704B08">
      <w:pPr>
        <w:spacing w:line="360" w:lineRule="auto"/>
        <w:jc w:val="both"/>
        <w:rPr>
          <w:rFonts w:ascii="Arial Narrow" w:eastAsia="Calibri" w:hAnsi="Arial Narrow"/>
        </w:rPr>
      </w:pPr>
    </w:p>
    <w:p w14:paraId="2E38F8B4" w14:textId="77777777" w:rsidR="00803EF6" w:rsidRDefault="00803EF6" w:rsidP="00803EF6">
      <w:pPr>
        <w:rPr>
          <w:rFonts w:ascii="Arial Narrow" w:eastAsia="Calibri" w:hAnsi="Arial Narrow"/>
        </w:rPr>
      </w:pPr>
    </w:p>
    <w:p w14:paraId="5AA9DECA" w14:textId="77777777" w:rsidR="00803EF6" w:rsidRDefault="00803EF6" w:rsidP="00803EF6">
      <w:pPr>
        <w:rPr>
          <w:rFonts w:ascii="Arial Narrow" w:eastAsia="Calibri" w:hAnsi="Arial Narrow"/>
        </w:rPr>
      </w:pPr>
    </w:p>
    <w:p w14:paraId="1D54B5D4" w14:textId="77777777" w:rsidR="009D5823" w:rsidRDefault="009D5823" w:rsidP="00803EF6">
      <w:pPr>
        <w:rPr>
          <w:rFonts w:ascii="Arial Narrow" w:eastAsia="Calibri" w:hAnsi="Arial Narrow"/>
        </w:rPr>
        <w:sectPr w:rsidR="009D5823" w:rsidSect="009D5823">
          <w:pgSz w:w="12242" w:h="15842" w:code="1"/>
          <w:pgMar w:top="1701" w:right="1417" w:bottom="1701" w:left="1417" w:header="709" w:footer="709" w:gutter="0"/>
          <w:cols w:space="708"/>
          <w:docGrid w:linePitch="360"/>
        </w:sectPr>
      </w:pPr>
    </w:p>
    <w:p w14:paraId="41D4DD93" w14:textId="4682A730" w:rsidR="00803EF6" w:rsidRDefault="00803EF6" w:rsidP="00803EF6">
      <w:pPr>
        <w:rPr>
          <w:rFonts w:ascii="Arial Narrow" w:eastAsia="Calibri" w:hAnsi="Arial Narrow"/>
        </w:rPr>
      </w:pPr>
    </w:p>
    <w:p w14:paraId="1E45235A" w14:textId="77777777" w:rsidR="00803EF6" w:rsidRDefault="00803EF6" w:rsidP="00803EF6">
      <w:pPr>
        <w:pStyle w:val="Descripcin"/>
        <w:jc w:val="center"/>
        <w:rPr>
          <w:rFonts w:ascii="Arial Narrow" w:hAnsi="Arial Narrow"/>
          <w:sz w:val="24"/>
          <w:szCs w:val="24"/>
        </w:rPr>
      </w:pPr>
    </w:p>
    <w:p w14:paraId="5D69EA17" w14:textId="5C27C407" w:rsidR="00803EF6" w:rsidRDefault="00803EF6" w:rsidP="00803EF6">
      <w:pPr>
        <w:pStyle w:val="Descripcin"/>
        <w:jc w:val="center"/>
        <w:rPr>
          <w:rFonts w:ascii="Arial Narrow" w:eastAsia="Calibri" w:hAnsi="Arial Narrow"/>
          <w:sz w:val="24"/>
          <w:szCs w:val="24"/>
        </w:rPr>
      </w:pPr>
      <w:bookmarkStart w:id="118" w:name="_Toc76062291"/>
      <w:r w:rsidRPr="00484CC1">
        <w:rPr>
          <w:rFonts w:ascii="Arial Narrow" w:hAnsi="Arial Narrow"/>
          <w:sz w:val="24"/>
          <w:szCs w:val="24"/>
        </w:rPr>
        <w:t>Cuadro</w:t>
      </w:r>
      <w:r>
        <w:rPr>
          <w:rFonts w:ascii="Arial Narrow" w:hAnsi="Arial Narrow"/>
          <w:sz w:val="24"/>
          <w:szCs w:val="24"/>
        </w:rPr>
        <w:t xml:space="preserve"> </w:t>
      </w:r>
      <w:r w:rsidRPr="00484CC1">
        <w:rPr>
          <w:rFonts w:ascii="Arial Narrow" w:hAnsi="Arial Narrow"/>
          <w:sz w:val="24"/>
          <w:szCs w:val="24"/>
        </w:rPr>
        <w:fldChar w:fldCharType="begin"/>
      </w:r>
      <w:r w:rsidRPr="00484CC1">
        <w:rPr>
          <w:rFonts w:ascii="Arial Narrow" w:hAnsi="Arial Narrow"/>
          <w:sz w:val="24"/>
          <w:szCs w:val="24"/>
        </w:rPr>
        <w:instrText xml:space="preserve"> SEQ Cuadro_No. \* ARABIC </w:instrText>
      </w:r>
      <w:r w:rsidRPr="00484CC1">
        <w:rPr>
          <w:rFonts w:ascii="Arial Narrow" w:hAnsi="Arial Narrow"/>
          <w:sz w:val="24"/>
          <w:szCs w:val="24"/>
        </w:rPr>
        <w:fldChar w:fldCharType="separate"/>
      </w:r>
      <w:r w:rsidR="009D5823">
        <w:rPr>
          <w:rFonts w:ascii="Arial Narrow" w:hAnsi="Arial Narrow"/>
          <w:noProof/>
          <w:sz w:val="24"/>
          <w:szCs w:val="24"/>
        </w:rPr>
        <w:t>68</w:t>
      </w:r>
      <w:r w:rsidRPr="00484CC1">
        <w:rPr>
          <w:rFonts w:ascii="Arial Narrow" w:hAnsi="Arial Narrow"/>
          <w:sz w:val="24"/>
          <w:szCs w:val="24"/>
        </w:rPr>
        <w:fldChar w:fldCharType="end"/>
      </w:r>
      <w:r w:rsidRPr="00484CC1">
        <w:rPr>
          <w:rFonts w:ascii="Arial Narrow" w:hAnsi="Arial Narrow"/>
          <w:sz w:val="24"/>
          <w:szCs w:val="24"/>
        </w:rPr>
        <w:t xml:space="preserve"> </w:t>
      </w:r>
      <w:r w:rsidRPr="00211B03">
        <w:rPr>
          <w:rFonts w:ascii="Arial Narrow" w:eastAsia="Calibri" w:hAnsi="Arial Narrow"/>
          <w:sz w:val="24"/>
          <w:szCs w:val="24"/>
        </w:rPr>
        <w:t xml:space="preserve">Metas estratégicas de </w:t>
      </w:r>
      <w:r>
        <w:rPr>
          <w:rFonts w:ascii="Arial Narrow" w:eastAsia="Calibri" w:hAnsi="Arial Narrow"/>
          <w:sz w:val="24"/>
          <w:szCs w:val="24"/>
        </w:rPr>
        <w:t>Capacitación</w:t>
      </w:r>
      <w:r w:rsidRPr="00211B03">
        <w:rPr>
          <w:rFonts w:ascii="Arial Narrow" w:eastAsia="Calibri" w:hAnsi="Arial Narrow"/>
          <w:sz w:val="24"/>
          <w:szCs w:val="24"/>
        </w:rPr>
        <w:t>, y su cumplimiento para el 2019</w:t>
      </w:r>
      <w:r>
        <w:rPr>
          <w:rFonts w:ascii="Arial Narrow" w:eastAsia="Calibri" w:hAnsi="Arial Narrow"/>
          <w:sz w:val="24"/>
          <w:szCs w:val="24"/>
        </w:rPr>
        <w:t>-2020</w:t>
      </w:r>
      <w:bookmarkEnd w:id="118"/>
    </w:p>
    <w:p w14:paraId="43466F9D" w14:textId="77777777" w:rsidR="00803EF6" w:rsidRDefault="00803EF6" w:rsidP="00803EF6">
      <w:pPr>
        <w:rPr>
          <w:rFonts w:eastAsia="Calibri"/>
        </w:rPr>
      </w:pPr>
    </w:p>
    <w:p w14:paraId="0034AC29" w14:textId="77777777" w:rsidR="00803EF6" w:rsidRDefault="00803EF6" w:rsidP="00803EF6">
      <w:pPr>
        <w:rPr>
          <w:rFonts w:eastAsia="Calibri"/>
        </w:rPr>
      </w:pPr>
    </w:p>
    <w:p w14:paraId="7FBD575D" w14:textId="77777777" w:rsidR="00803EF6" w:rsidRDefault="00803EF6" w:rsidP="00803EF6">
      <w:pPr>
        <w:rPr>
          <w:rFonts w:eastAsia="Calibri"/>
        </w:rPr>
      </w:pPr>
      <w:r>
        <w:rPr>
          <w:noProof/>
          <w:lang w:val="es-CR" w:eastAsia="es-CR"/>
        </w:rPr>
        <w:drawing>
          <wp:inline distT="0" distB="0" distL="0" distR="0" wp14:anchorId="5B38D2A1" wp14:editId="097BB5B2">
            <wp:extent cx="7899400" cy="3084758"/>
            <wp:effectExtent l="19050" t="19050" r="25400" b="20955"/>
            <wp:docPr id="131" name="Imagen 13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Imagen 101" descr="Tabla&#10;&#10;Descripción generada automáticamente"/>
                    <pic:cNvPicPr/>
                  </pic:nvPicPr>
                  <pic:blipFill>
                    <a:blip r:embed="rId130"/>
                    <a:stretch>
                      <a:fillRect/>
                    </a:stretch>
                  </pic:blipFill>
                  <pic:spPr>
                    <a:xfrm>
                      <a:off x="0" y="0"/>
                      <a:ext cx="7901503" cy="3085579"/>
                    </a:xfrm>
                    <a:prstGeom prst="rect">
                      <a:avLst/>
                    </a:prstGeom>
                    <a:ln w="19050">
                      <a:solidFill>
                        <a:schemeClr val="accent1"/>
                      </a:solidFill>
                    </a:ln>
                  </pic:spPr>
                </pic:pic>
              </a:graphicData>
            </a:graphic>
          </wp:inline>
        </w:drawing>
      </w:r>
    </w:p>
    <w:p w14:paraId="1DCD8D04" w14:textId="77777777" w:rsidR="00803EF6" w:rsidRDefault="00803EF6" w:rsidP="00803EF6">
      <w:pPr>
        <w:rPr>
          <w:rFonts w:eastAsia="Calibri"/>
        </w:rPr>
      </w:pPr>
    </w:p>
    <w:p w14:paraId="71A78879" w14:textId="77777777" w:rsidR="00803EF6" w:rsidRDefault="00803EF6" w:rsidP="00803EF6">
      <w:pPr>
        <w:rPr>
          <w:rFonts w:ascii="Arial Narrow" w:hAnsi="Arial Narrow"/>
          <w:sz w:val="18"/>
          <w:szCs w:val="18"/>
          <w:lang w:val="es-CR" w:eastAsia="es-CR"/>
        </w:rPr>
      </w:pPr>
      <w:r w:rsidRPr="00EE2E13">
        <w:rPr>
          <w:rFonts w:ascii="Arial Narrow" w:hAnsi="Arial Narrow"/>
          <w:sz w:val="18"/>
          <w:szCs w:val="18"/>
          <w:lang w:val="es-CR" w:eastAsia="es-CR"/>
        </w:rPr>
        <w:t>Fuente: Sistema PEI al 24 de enero del 2020 (año 2019) y 04 de marzo del 2021 (año 2020).</w:t>
      </w:r>
    </w:p>
    <w:p w14:paraId="4A55770C" w14:textId="77777777" w:rsidR="009D5823" w:rsidRDefault="009D5823" w:rsidP="00803EF6">
      <w:pPr>
        <w:rPr>
          <w:rFonts w:eastAsia="Calibri"/>
        </w:rPr>
        <w:sectPr w:rsidR="009D5823" w:rsidSect="009D5823">
          <w:pgSz w:w="15842" w:h="12242" w:orient="landscape" w:code="1"/>
          <w:pgMar w:top="1417" w:right="1701" w:bottom="1417" w:left="1701" w:header="709" w:footer="709" w:gutter="0"/>
          <w:cols w:space="708"/>
          <w:docGrid w:linePitch="360"/>
        </w:sectPr>
      </w:pPr>
    </w:p>
    <w:p w14:paraId="6A617024" w14:textId="6126D60B" w:rsidR="00803EF6" w:rsidRDefault="00803EF6" w:rsidP="00803EF6">
      <w:pPr>
        <w:spacing w:line="360" w:lineRule="auto"/>
        <w:jc w:val="both"/>
        <w:rPr>
          <w:rFonts w:ascii="Arial Narrow" w:eastAsia="Calibri" w:hAnsi="Arial Narrow"/>
        </w:rPr>
      </w:pPr>
      <w:r>
        <w:rPr>
          <w:rFonts w:ascii="Arial Narrow" w:eastAsia="Calibri" w:hAnsi="Arial Narrow"/>
        </w:rPr>
        <w:lastRenderedPageBreak/>
        <w:t>L</w:t>
      </w:r>
      <w:r w:rsidRPr="007A4EFB">
        <w:rPr>
          <w:rFonts w:ascii="Arial Narrow" w:eastAsia="Calibri" w:hAnsi="Arial Narrow"/>
        </w:rPr>
        <w:t xml:space="preserve">a </w:t>
      </w:r>
      <w:r>
        <w:rPr>
          <w:rFonts w:ascii="Arial Narrow" w:eastAsia="Calibri" w:hAnsi="Arial Narrow"/>
        </w:rPr>
        <w:t>meta estratégica “</w:t>
      </w:r>
      <w:r w:rsidRPr="00274A14">
        <w:rPr>
          <w:rFonts w:ascii="Arial Narrow" w:eastAsia="Calibri" w:hAnsi="Arial Narrow"/>
          <w:b/>
          <w:bCs/>
          <w:i/>
          <w:iCs/>
        </w:rPr>
        <w:t>Que al finalizar el 2024, se haya cumplido la estrategia de capacitación diseñada para la Defensa Pública</w:t>
      </w:r>
      <w:r>
        <w:rPr>
          <w:rFonts w:ascii="Arial Narrow" w:eastAsia="Calibri" w:hAnsi="Arial Narrow"/>
          <w:b/>
          <w:bCs/>
          <w:i/>
          <w:iCs/>
        </w:rPr>
        <w:t>”</w:t>
      </w:r>
      <w:r w:rsidR="001918E6">
        <w:rPr>
          <w:rFonts w:ascii="Arial Narrow" w:eastAsia="Calibri" w:hAnsi="Arial Narrow"/>
        </w:rPr>
        <w:t>,</w:t>
      </w:r>
      <w:r>
        <w:rPr>
          <w:rFonts w:ascii="Arial Narrow" w:eastAsia="Calibri" w:hAnsi="Arial Narrow"/>
        </w:rPr>
        <w:t xml:space="preserve"> </w:t>
      </w:r>
      <w:r w:rsidRPr="00484CC1">
        <w:rPr>
          <w:rFonts w:ascii="Arial Narrow" w:eastAsia="Calibri" w:hAnsi="Arial Narrow"/>
        </w:rPr>
        <w:t xml:space="preserve">la cual de acuerdo con la revisión efectuada se logró determinar </w:t>
      </w:r>
      <w:r>
        <w:rPr>
          <w:rFonts w:ascii="Arial Narrow" w:eastAsia="Calibri" w:hAnsi="Arial Narrow"/>
        </w:rPr>
        <w:t xml:space="preserve">que para el 2019 y 2020 registra un cumplimiento del 100% donde se destaca que la Unidad de Capacitación y Supervisión de la Defensa Pública se realizaron gestiones como </w:t>
      </w:r>
      <w:r w:rsidRPr="002E0B96">
        <w:rPr>
          <w:rFonts w:ascii="Arial Narrow" w:eastAsia="Calibri" w:hAnsi="Arial Narrow"/>
        </w:rPr>
        <w:t>dar cumplimiento a la meta mediante la implementación del sistema SAGA en la Defensa Pública. Se han realizado las gestiones y aportados los documentos requeridos por la Escuela Judicial para iniciar con el Plan Piloto para implementar el sistema automatizado, el cual se denominará PRAD Plataforma de Registro para Actividades Académicas de la Defensa Pública.</w:t>
      </w:r>
    </w:p>
    <w:p w14:paraId="371802B3" w14:textId="77777777" w:rsidR="00803EF6" w:rsidRDefault="00803EF6" w:rsidP="00803EF6">
      <w:pPr>
        <w:spacing w:line="360" w:lineRule="auto"/>
        <w:jc w:val="both"/>
        <w:rPr>
          <w:rFonts w:ascii="Arial Narrow" w:eastAsia="Calibri" w:hAnsi="Arial Narrow"/>
        </w:rPr>
      </w:pPr>
    </w:p>
    <w:p w14:paraId="2F2C5CE7" w14:textId="11107E78" w:rsidR="00803EF6" w:rsidRDefault="00803EF6" w:rsidP="00803EF6">
      <w:pPr>
        <w:spacing w:line="360" w:lineRule="auto"/>
        <w:jc w:val="both"/>
        <w:rPr>
          <w:rFonts w:ascii="Arial Narrow" w:eastAsia="Calibri" w:hAnsi="Arial Narrow"/>
        </w:rPr>
      </w:pPr>
      <w:r>
        <w:rPr>
          <w:rFonts w:ascii="Arial Narrow" w:eastAsia="Calibri" w:hAnsi="Arial Narrow"/>
        </w:rPr>
        <w:t>L</w:t>
      </w:r>
      <w:r w:rsidRPr="007A4EFB">
        <w:rPr>
          <w:rFonts w:ascii="Arial Narrow" w:eastAsia="Calibri" w:hAnsi="Arial Narrow"/>
        </w:rPr>
        <w:t xml:space="preserve">a </w:t>
      </w:r>
      <w:r>
        <w:rPr>
          <w:rFonts w:ascii="Arial Narrow" w:eastAsia="Calibri" w:hAnsi="Arial Narrow"/>
        </w:rPr>
        <w:t>meta estratégica “</w:t>
      </w:r>
      <w:r w:rsidRPr="00274A14">
        <w:rPr>
          <w:rFonts w:ascii="Arial Narrow" w:eastAsia="Calibri" w:hAnsi="Arial Narrow"/>
          <w:b/>
          <w:bCs/>
          <w:i/>
          <w:iCs/>
        </w:rPr>
        <w:t>Que al finalizar el 2024, se haya cumplido la estrategia de capacitación diseñada para el Ministerio Público</w:t>
      </w:r>
      <w:r>
        <w:rPr>
          <w:rFonts w:ascii="Arial Narrow" w:eastAsia="Calibri" w:hAnsi="Arial Narrow"/>
          <w:b/>
          <w:bCs/>
          <w:i/>
          <w:iCs/>
        </w:rPr>
        <w:t>”</w:t>
      </w:r>
      <w:r w:rsidR="002430C9">
        <w:rPr>
          <w:rFonts w:ascii="Arial Narrow" w:eastAsia="Calibri" w:hAnsi="Arial Narrow"/>
          <w:b/>
          <w:bCs/>
          <w:i/>
          <w:iCs/>
        </w:rPr>
        <w:t>,</w:t>
      </w:r>
      <w:r>
        <w:rPr>
          <w:rFonts w:ascii="Arial Narrow" w:eastAsia="Calibri" w:hAnsi="Arial Narrow"/>
        </w:rPr>
        <w:t xml:space="preserve"> </w:t>
      </w:r>
      <w:r w:rsidRPr="00484CC1">
        <w:rPr>
          <w:rFonts w:ascii="Arial Narrow" w:eastAsia="Calibri" w:hAnsi="Arial Narrow"/>
        </w:rPr>
        <w:t xml:space="preserve">la cual de acuerdo con la revisión efectuada se logró determinar </w:t>
      </w:r>
      <w:r>
        <w:rPr>
          <w:rFonts w:ascii="Arial Narrow" w:eastAsia="Calibri" w:hAnsi="Arial Narrow"/>
        </w:rPr>
        <w:t>que para el 2019 y 2020 registra un cumplimiento del 100% donde se destaca que la Unidad de Capacitación y Supervisión del Ministerio Público informa que se está</w:t>
      </w:r>
      <w:r w:rsidRPr="002E0B96">
        <w:rPr>
          <w:rFonts w:ascii="Arial Narrow" w:eastAsia="Calibri" w:hAnsi="Arial Narrow"/>
        </w:rPr>
        <w:t xml:space="preserve"> a la espera de la implementación del SAGA en la UCS. El Área de Servicios Técnicos de la Escuela Judicial está en las últimas pruebas para ello</w:t>
      </w:r>
      <w:r>
        <w:rPr>
          <w:rFonts w:ascii="Arial Narrow" w:eastAsia="Calibri" w:hAnsi="Arial Narrow"/>
        </w:rPr>
        <w:t>.</w:t>
      </w:r>
    </w:p>
    <w:p w14:paraId="53F4D585" w14:textId="77777777" w:rsidR="00803EF6" w:rsidRDefault="00803EF6" w:rsidP="00803EF6">
      <w:pPr>
        <w:spacing w:line="360" w:lineRule="auto"/>
        <w:jc w:val="both"/>
        <w:rPr>
          <w:rFonts w:ascii="Arial Narrow" w:eastAsia="Calibri" w:hAnsi="Arial Narrow"/>
        </w:rPr>
      </w:pPr>
      <w:r>
        <w:rPr>
          <w:rFonts w:ascii="Arial Narrow" w:eastAsia="Calibri" w:hAnsi="Arial Narrow"/>
        </w:rPr>
        <w:t xml:space="preserve"> </w:t>
      </w:r>
    </w:p>
    <w:p w14:paraId="72B033B8" w14:textId="40D07C6A" w:rsidR="00803EF6" w:rsidRDefault="00803EF6" w:rsidP="00803EF6">
      <w:pPr>
        <w:spacing w:line="360" w:lineRule="auto"/>
        <w:jc w:val="both"/>
        <w:rPr>
          <w:rFonts w:ascii="Arial Narrow" w:eastAsia="Calibri" w:hAnsi="Arial Narrow"/>
        </w:rPr>
      </w:pPr>
      <w:r>
        <w:rPr>
          <w:rFonts w:ascii="Arial Narrow" w:eastAsia="Calibri" w:hAnsi="Arial Narrow"/>
        </w:rPr>
        <w:t>Por otra parte, l</w:t>
      </w:r>
      <w:r w:rsidRPr="007A4EFB">
        <w:rPr>
          <w:rFonts w:ascii="Arial Narrow" w:eastAsia="Calibri" w:hAnsi="Arial Narrow"/>
        </w:rPr>
        <w:t xml:space="preserve">a </w:t>
      </w:r>
      <w:r>
        <w:rPr>
          <w:rFonts w:ascii="Arial Narrow" w:eastAsia="Calibri" w:hAnsi="Arial Narrow"/>
        </w:rPr>
        <w:t>meta estratégica “</w:t>
      </w:r>
      <w:r w:rsidRPr="00274A14">
        <w:rPr>
          <w:rFonts w:ascii="Arial Narrow" w:eastAsia="Calibri" w:hAnsi="Arial Narrow"/>
          <w:b/>
          <w:bCs/>
          <w:i/>
          <w:iCs/>
        </w:rPr>
        <w:t>Que al finalizar el 2024, se haya cumplido la estrategia de capacitación diseñada para el ámbito administrativo</w:t>
      </w:r>
      <w:r>
        <w:rPr>
          <w:rFonts w:ascii="Arial Narrow" w:eastAsia="Calibri" w:hAnsi="Arial Narrow"/>
          <w:b/>
          <w:bCs/>
          <w:i/>
          <w:iCs/>
        </w:rPr>
        <w:t>”</w:t>
      </w:r>
      <w:r w:rsidR="002430C9">
        <w:rPr>
          <w:rFonts w:ascii="Arial Narrow" w:eastAsia="Calibri" w:hAnsi="Arial Narrow"/>
          <w:b/>
          <w:bCs/>
          <w:i/>
          <w:iCs/>
        </w:rPr>
        <w:t>,</w:t>
      </w:r>
      <w:r>
        <w:rPr>
          <w:rFonts w:ascii="Arial Narrow" w:eastAsia="Calibri" w:hAnsi="Arial Narrow"/>
        </w:rPr>
        <w:t xml:space="preserve"> la</w:t>
      </w:r>
      <w:r w:rsidRPr="00484CC1">
        <w:rPr>
          <w:rFonts w:ascii="Arial Narrow" w:eastAsia="Calibri" w:hAnsi="Arial Narrow"/>
        </w:rPr>
        <w:t xml:space="preserve"> cual de acuerdo con la revisión efectuada se logró determinar </w:t>
      </w:r>
      <w:r>
        <w:rPr>
          <w:rFonts w:ascii="Arial Narrow" w:eastAsia="Calibri" w:hAnsi="Arial Narrow"/>
        </w:rPr>
        <w:t>que para el 2019 y 2020 registra un cumplimiento del 100% donde se destaca que la Sección Gestión de la Capacitación registran</w:t>
      </w:r>
      <w:r w:rsidRPr="002E0B96">
        <w:rPr>
          <w:rFonts w:ascii="Arial Narrow" w:eastAsia="Calibri" w:hAnsi="Arial Narrow"/>
        </w:rPr>
        <w:t xml:space="preserve"> documentos relacionados a la solicitud planteada a la Dirección de Tecnología de la información para brindarle prioridad al Proyecto así como el correo remitido a la Unidad de Presupuesto para la separación de recursos que corresponde, además </w:t>
      </w:r>
      <w:r>
        <w:rPr>
          <w:rFonts w:ascii="Arial Narrow" w:eastAsia="Calibri" w:hAnsi="Arial Narrow"/>
        </w:rPr>
        <w:t xml:space="preserve">aportan </w:t>
      </w:r>
      <w:r w:rsidRPr="002E0B96">
        <w:rPr>
          <w:rFonts w:ascii="Arial Narrow" w:eastAsia="Calibri" w:hAnsi="Arial Narrow"/>
        </w:rPr>
        <w:t>minutas donde consta las coordinaciones realizadas a la fecha para su implementación</w:t>
      </w:r>
      <w:r>
        <w:rPr>
          <w:rFonts w:ascii="Arial Narrow" w:eastAsia="Calibri" w:hAnsi="Arial Narrow"/>
        </w:rPr>
        <w:t xml:space="preserve"> lo que evidencia los esfuerzos realizados.</w:t>
      </w:r>
    </w:p>
    <w:p w14:paraId="6CBD02F7" w14:textId="77777777" w:rsidR="00803EF6" w:rsidRDefault="00803EF6" w:rsidP="00803EF6">
      <w:pPr>
        <w:spacing w:line="360" w:lineRule="auto"/>
        <w:jc w:val="both"/>
        <w:rPr>
          <w:rFonts w:ascii="Arial Narrow" w:eastAsia="Calibri" w:hAnsi="Arial Narrow"/>
        </w:rPr>
      </w:pPr>
    </w:p>
    <w:p w14:paraId="2A27B7F1" w14:textId="77777777" w:rsidR="00803EF6" w:rsidRDefault="00803EF6" w:rsidP="00803EF6">
      <w:pPr>
        <w:spacing w:line="360" w:lineRule="auto"/>
        <w:jc w:val="both"/>
        <w:rPr>
          <w:rFonts w:ascii="Arial Narrow" w:eastAsia="Calibri" w:hAnsi="Arial Narrow"/>
        </w:rPr>
      </w:pPr>
    </w:p>
    <w:p w14:paraId="50C855EB" w14:textId="77777777" w:rsidR="00803EF6" w:rsidRDefault="00803EF6" w:rsidP="00803EF6">
      <w:pPr>
        <w:spacing w:line="360" w:lineRule="auto"/>
        <w:jc w:val="both"/>
        <w:rPr>
          <w:rFonts w:ascii="Arial Narrow" w:eastAsia="Calibri" w:hAnsi="Arial Narrow"/>
        </w:rPr>
      </w:pPr>
    </w:p>
    <w:p w14:paraId="7DB658F3" w14:textId="77777777" w:rsidR="009D5823" w:rsidRDefault="009D5823" w:rsidP="00803EF6">
      <w:pPr>
        <w:spacing w:line="360" w:lineRule="auto"/>
        <w:jc w:val="both"/>
        <w:rPr>
          <w:rFonts w:ascii="Arial Narrow" w:eastAsia="Calibri" w:hAnsi="Arial Narrow"/>
        </w:rPr>
        <w:sectPr w:rsidR="009D5823" w:rsidSect="009D5823">
          <w:pgSz w:w="12242" w:h="15842" w:code="1"/>
          <w:pgMar w:top="1701" w:right="1417" w:bottom="1701" w:left="1417" w:header="709" w:footer="709" w:gutter="0"/>
          <w:cols w:space="708"/>
          <w:docGrid w:linePitch="360"/>
        </w:sectPr>
      </w:pPr>
    </w:p>
    <w:p w14:paraId="41C03E1F" w14:textId="77777777" w:rsidR="00803EF6" w:rsidRDefault="00803EF6" w:rsidP="00803EF6">
      <w:pPr>
        <w:spacing w:line="360" w:lineRule="auto"/>
        <w:jc w:val="both"/>
        <w:rPr>
          <w:rFonts w:ascii="Arial Narrow" w:eastAsia="Calibri" w:hAnsi="Arial Narrow"/>
        </w:rPr>
      </w:pPr>
    </w:p>
    <w:p w14:paraId="071BFB24" w14:textId="354158B7" w:rsidR="00803EF6" w:rsidRPr="002E0B96" w:rsidRDefault="00803EF6" w:rsidP="00803EF6">
      <w:pPr>
        <w:spacing w:line="360" w:lineRule="auto"/>
        <w:jc w:val="center"/>
        <w:rPr>
          <w:rFonts w:ascii="Arial Narrow" w:eastAsia="Calibri" w:hAnsi="Arial Narrow"/>
          <w:b/>
          <w:bCs/>
        </w:rPr>
      </w:pPr>
      <w:bookmarkStart w:id="119" w:name="_Toc76062292"/>
      <w:r w:rsidRPr="002E0B96">
        <w:rPr>
          <w:rFonts w:ascii="Arial Narrow" w:hAnsi="Arial Narrow"/>
          <w:b/>
          <w:bCs/>
        </w:rPr>
        <w:t xml:space="preserve">Cuadro </w:t>
      </w:r>
      <w:r w:rsidRPr="002E0B96">
        <w:rPr>
          <w:rFonts w:ascii="Arial Narrow" w:hAnsi="Arial Narrow"/>
          <w:b/>
          <w:bCs/>
        </w:rPr>
        <w:fldChar w:fldCharType="begin"/>
      </w:r>
      <w:r w:rsidRPr="002E0B96">
        <w:rPr>
          <w:rFonts w:ascii="Arial Narrow" w:hAnsi="Arial Narrow"/>
          <w:b/>
          <w:bCs/>
        </w:rPr>
        <w:instrText xml:space="preserve"> SEQ Cuadro_No. \* ARABIC </w:instrText>
      </w:r>
      <w:r w:rsidRPr="002E0B96">
        <w:rPr>
          <w:rFonts w:ascii="Arial Narrow" w:hAnsi="Arial Narrow"/>
          <w:b/>
          <w:bCs/>
        </w:rPr>
        <w:fldChar w:fldCharType="separate"/>
      </w:r>
      <w:r w:rsidR="009D5823">
        <w:rPr>
          <w:rFonts w:ascii="Arial Narrow" w:hAnsi="Arial Narrow"/>
          <w:b/>
          <w:bCs/>
          <w:noProof/>
        </w:rPr>
        <w:t>69</w:t>
      </w:r>
      <w:r w:rsidRPr="002E0B96">
        <w:rPr>
          <w:rFonts w:ascii="Arial Narrow" w:hAnsi="Arial Narrow"/>
          <w:b/>
          <w:bCs/>
        </w:rPr>
        <w:fldChar w:fldCharType="end"/>
      </w:r>
      <w:r w:rsidRPr="002E0B96">
        <w:rPr>
          <w:rFonts w:ascii="Arial Narrow" w:hAnsi="Arial Narrow"/>
          <w:b/>
          <w:bCs/>
        </w:rPr>
        <w:t xml:space="preserve"> </w:t>
      </w:r>
      <w:r w:rsidRPr="002E0B96">
        <w:rPr>
          <w:rFonts w:ascii="Arial Narrow" w:eastAsia="Calibri" w:hAnsi="Arial Narrow"/>
          <w:b/>
          <w:bCs/>
        </w:rPr>
        <w:t>Metas estratégicas de Capacitación, y su cumplimiento para el 2019-2020</w:t>
      </w:r>
      <w:bookmarkEnd w:id="119"/>
    </w:p>
    <w:p w14:paraId="577E3951" w14:textId="77777777" w:rsidR="00803EF6" w:rsidRDefault="00803EF6" w:rsidP="00803EF6">
      <w:pPr>
        <w:spacing w:line="360" w:lineRule="auto"/>
        <w:jc w:val="both"/>
        <w:rPr>
          <w:rFonts w:ascii="Arial Narrow" w:eastAsia="Calibri" w:hAnsi="Arial Narrow"/>
        </w:rPr>
      </w:pPr>
    </w:p>
    <w:p w14:paraId="2069BCD5" w14:textId="77777777" w:rsidR="00803EF6" w:rsidRDefault="00803EF6" w:rsidP="00803EF6">
      <w:pPr>
        <w:spacing w:line="360" w:lineRule="auto"/>
        <w:jc w:val="both"/>
        <w:rPr>
          <w:rFonts w:ascii="Arial Narrow" w:eastAsia="Calibri" w:hAnsi="Arial Narrow"/>
        </w:rPr>
      </w:pPr>
      <w:r>
        <w:rPr>
          <w:noProof/>
          <w:lang w:val="es-CR" w:eastAsia="es-CR"/>
        </w:rPr>
        <w:drawing>
          <wp:inline distT="0" distB="0" distL="0" distR="0" wp14:anchorId="36D20A9A" wp14:editId="4ECF62B9">
            <wp:extent cx="7897478" cy="3213547"/>
            <wp:effectExtent l="19050" t="19050" r="27940" b="25400"/>
            <wp:docPr id="132" name="Imagen 132"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Imagen 102" descr="Tabla&#10;&#10;Descripción generada automáticamente"/>
                    <pic:cNvPicPr/>
                  </pic:nvPicPr>
                  <pic:blipFill rotWithShape="1">
                    <a:blip r:embed="rId131"/>
                    <a:srcRect b="1913"/>
                    <a:stretch/>
                  </pic:blipFill>
                  <pic:spPr bwMode="auto">
                    <a:xfrm>
                      <a:off x="0" y="0"/>
                      <a:ext cx="7910080" cy="3218675"/>
                    </a:xfrm>
                    <a:prstGeom prst="rect">
                      <a:avLst/>
                    </a:prstGeom>
                    <a:ln w="19050" cap="flat" cmpd="sng" algn="ctr">
                      <a:solidFill>
                        <a:srgbClr val="4472C4"/>
                      </a:solidFill>
                      <a:prstDash val="solid"/>
                      <a:round/>
                      <a:headEnd type="none" w="med" len="med"/>
                      <a:tailEnd type="none" w="med" len="med"/>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137DFA25" w14:textId="77777777" w:rsidR="00803EF6" w:rsidRDefault="00803EF6" w:rsidP="00803EF6">
      <w:pPr>
        <w:rPr>
          <w:rFonts w:ascii="Arial Narrow" w:hAnsi="Arial Narrow"/>
          <w:sz w:val="18"/>
          <w:szCs w:val="18"/>
          <w:lang w:val="es-CR" w:eastAsia="es-CR"/>
        </w:rPr>
      </w:pPr>
      <w:r w:rsidRPr="00EE2E13">
        <w:rPr>
          <w:rFonts w:ascii="Arial Narrow" w:hAnsi="Arial Narrow"/>
          <w:sz w:val="18"/>
          <w:szCs w:val="18"/>
          <w:lang w:val="es-CR" w:eastAsia="es-CR"/>
        </w:rPr>
        <w:t>Fuente: Sistema PEI al 24 de enero del 2020 (año 2019) y 04 de marzo del 2021 (año 2020).</w:t>
      </w:r>
    </w:p>
    <w:p w14:paraId="62F20AD9" w14:textId="27F886F7" w:rsidR="00803EF6" w:rsidRDefault="00803EF6" w:rsidP="00803EF6">
      <w:pPr>
        <w:spacing w:line="360" w:lineRule="auto"/>
        <w:jc w:val="both"/>
        <w:rPr>
          <w:rFonts w:ascii="Arial Narrow" w:eastAsia="Calibri" w:hAnsi="Arial Narrow"/>
        </w:rPr>
      </w:pPr>
    </w:p>
    <w:p w14:paraId="0F9DF2D5" w14:textId="77777777" w:rsidR="009D5823" w:rsidRDefault="009D5823" w:rsidP="00803EF6">
      <w:pPr>
        <w:spacing w:line="360" w:lineRule="auto"/>
        <w:jc w:val="both"/>
        <w:rPr>
          <w:rFonts w:ascii="Arial Narrow" w:eastAsia="Calibri" w:hAnsi="Arial Narrow"/>
        </w:rPr>
        <w:sectPr w:rsidR="009D5823" w:rsidSect="009D5823">
          <w:pgSz w:w="15842" w:h="12242" w:orient="landscape" w:code="1"/>
          <w:pgMar w:top="1417" w:right="1701" w:bottom="1417" w:left="1701" w:header="709" w:footer="709" w:gutter="0"/>
          <w:cols w:space="708"/>
          <w:docGrid w:linePitch="360"/>
        </w:sectPr>
      </w:pPr>
    </w:p>
    <w:p w14:paraId="7A970384" w14:textId="1941B88A" w:rsidR="00803EF6" w:rsidRDefault="00803EF6" w:rsidP="00803EF6">
      <w:pPr>
        <w:spacing w:line="360" w:lineRule="auto"/>
        <w:jc w:val="both"/>
        <w:rPr>
          <w:rFonts w:ascii="Arial Narrow" w:eastAsia="Calibri" w:hAnsi="Arial Narrow"/>
        </w:rPr>
      </w:pPr>
      <w:r>
        <w:rPr>
          <w:rFonts w:ascii="Arial Narrow" w:eastAsia="Calibri" w:hAnsi="Arial Narrow"/>
        </w:rPr>
        <w:lastRenderedPageBreak/>
        <w:t>L</w:t>
      </w:r>
      <w:r w:rsidRPr="007A4EFB">
        <w:rPr>
          <w:rFonts w:ascii="Arial Narrow" w:eastAsia="Calibri" w:hAnsi="Arial Narrow"/>
        </w:rPr>
        <w:t xml:space="preserve">a </w:t>
      </w:r>
      <w:r>
        <w:rPr>
          <w:rFonts w:ascii="Arial Narrow" w:eastAsia="Calibri" w:hAnsi="Arial Narrow"/>
        </w:rPr>
        <w:t>meta estratégica “</w:t>
      </w:r>
      <w:r w:rsidRPr="000B0D4F">
        <w:rPr>
          <w:rFonts w:ascii="Arial Narrow" w:eastAsia="Calibri" w:hAnsi="Arial Narrow"/>
          <w:b/>
          <w:bCs/>
          <w:i/>
          <w:iCs/>
        </w:rPr>
        <w:t>Que al finalizar el 2024, se haya cumplido la estrategia de capacitación diseñada para el Organismo de Investigación Judicial</w:t>
      </w:r>
      <w:r>
        <w:rPr>
          <w:rFonts w:ascii="Arial Narrow" w:eastAsia="Calibri" w:hAnsi="Arial Narrow"/>
          <w:b/>
          <w:bCs/>
          <w:i/>
          <w:iCs/>
        </w:rPr>
        <w:t>”</w:t>
      </w:r>
      <w:r w:rsidR="002430C9">
        <w:rPr>
          <w:rFonts w:ascii="Arial Narrow" w:eastAsia="Calibri" w:hAnsi="Arial Narrow"/>
          <w:b/>
          <w:bCs/>
          <w:i/>
          <w:iCs/>
        </w:rPr>
        <w:t>,</w:t>
      </w:r>
      <w:r>
        <w:rPr>
          <w:rFonts w:ascii="Arial Narrow" w:eastAsia="Calibri" w:hAnsi="Arial Narrow"/>
        </w:rPr>
        <w:t xml:space="preserve"> la</w:t>
      </w:r>
      <w:r w:rsidRPr="00484CC1">
        <w:rPr>
          <w:rFonts w:ascii="Arial Narrow" w:eastAsia="Calibri" w:hAnsi="Arial Narrow"/>
        </w:rPr>
        <w:t xml:space="preserve"> cual de acuerdo con la revisión efectuada se logró determinar </w:t>
      </w:r>
      <w:r>
        <w:rPr>
          <w:rFonts w:ascii="Arial Narrow" w:eastAsia="Calibri" w:hAnsi="Arial Narrow"/>
        </w:rPr>
        <w:t>que para el 2019 y 2020 registra un cumplimiento del 100% donde se destaca que la Unidad de Adiestramiento informa sobre los avances por parte del</w:t>
      </w:r>
      <w:r w:rsidRPr="002E0B96">
        <w:rPr>
          <w:rFonts w:ascii="Arial Narrow" w:eastAsia="Calibri" w:hAnsi="Arial Narrow"/>
        </w:rPr>
        <w:t xml:space="preserve"> personal de la Unidad de Capacitación </w:t>
      </w:r>
      <w:r>
        <w:rPr>
          <w:rFonts w:ascii="Arial Narrow" w:eastAsia="Calibri" w:hAnsi="Arial Narrow"/>
        </w:rPr>
        <w:t>los cuales están</w:t>
      </w:r>
      <w:r w:rsidRPr="002E0B96">
        <w:rPr>
          <w:rFonts w:ascii="Arial Narrow" w:eastAsia="Calibri" w:hAnsi="Arial Narrow"/>
        </w:rPr>
        <w:t xml:space="preserve"> trabajando en la virtualización de las actividades </w:t>
      </w:r>
      <w:r w:rsidRPr="000B0D4F">
        <w:rPr>
          <w:rFonts w:ascii="Arial Narrow" w:eastAsia="Calibri" w:hAnsi="Arial Narrow"/>
        </w:rPr>
        <w:t>académicas</w:t>
      </w:r>
      <w:r w:rsidRPr="002E0B96">
        <w:rPr>
          <w:rFonts w:ascii="Arial Narrow" w:eastAsia="Calibri" w:hAnsi="Arial Narrow"/>
        </w:rPr>
        <w:t xml:space="preserve"> y en el caso de las materias o cursos presenciales</w:t>
      </w:r>
      <w:r>
        <w:rPr>
          <w:rFonts w:ascii="Arial Narrow" w:eastAsia="Calibri" w:hAnsi="Arial Narrow"/>
        </w:rPr>
        <w:t xml:space="preserve">, se basan </w:t>
      </w:r>
      <w:r w:rsidRPr="002E0B96">
        <w:rPr>
          <w:rFonts w:ascii="Arial Narrow" w:eastAsia="Calibri" w:hAnsi="Arial Narrow"/>
        </w:rPr>
        <w:t>en la plantilla del sistema especifico de la valoración del riesgo.</w:t>
      </w:r>
    </w:p>
    <w:p w14:paraId="0E6ED33F" w14:textId="77777777" w:rsidR="00803EF6" w:rsidRDefault="00803EF6" w:rsidP="00803EF6">
      <w:pPr>
        <w:spacing w:line="360" w:lineRule="auto"/>
        <w:jc w:val="both"/>
        <w:rPr>
          <w:rFonts w:ascii="Arial Narrow" w:eastAsia="Calibri" w:hAnsi="Arial Narrow"/>
        </w:rPr>
      </w:pPr>
    </w:p>
    <w:p w14:paraId="4CAAC7C4" w14:textId="2798A624" w:rsidR="00803EF6" w:rsidRDefault="00803EF6" w:rsidP="00803EF6">
      <w:pPr>
        <w:spacing w:line="360" w:lineRule="auto"/>
        <w:jc w:val="both"/>
      </w:pPr>
      <w:r>
        <w:rPr>
          <w:rFonts w:ascii="Arial Narrow" w:eastAsia="Calibri" w:hAnsi="Arial Narrow"/>
        </w:rPr>
        <w:t>Por otra parte, l</w:t>
      </w:r>
      <w:r w:rsidRPr="007A4EFB">
        <w:rPr>
          <w:rFonts w:ascii="Arial Narrow" w:eastAsia="Calibri" w:hAnsi="Arial Narrow"/>
        </w:rPr>
        <w:t xml:space="preserve">a </w:t>
      </w:r>
      <w:r>
        <w:rPr>
          <w:rFonts w:ascii="Arial Narrow" w:eastAsia="Calibri" w:hAnsi="Arial Narrow"/>
        </w:rPr>
        <w:t>meta estratégica “</w:t>
      </w:r>
      <w:r w:rsidRPr="000B0D4F">
        <w:rPr>
          <w:rFonts w:ascii="Arial Narrow" w:eastAsia="Calibri" w:hAnsi="Arial Narrow"/>
          <w:b/>
          <w:bCs/>
          <w:i/>
          <w:iCs/>
        </w:rPr>
        <w:t>Que al finalizar el 2024, se haya implementado la estrategia de capacitación y actualización para el personal de la Oficina de Atención a la Víctima de Delitos y la Unidad de Protección de Víctimas y Testigos en temas afines</w:t>
      </w:r>
      <w:r>
        <w:rPr>
          <w:rFonts w:ascii="Arial Narrow" w:eastAsia="Calibri" w:hAnsi="Arial Narrow"/>
          <w:b/>
          <w:bCs/>
          <w:i/>
          <w:iCs/>
        </w:rPr>
        <w:t>”</w:t>
      </w:r>
      <w:r w:rsidR="006F4FB2">
        <w:rPr>
          <w:rFonts w:ascii="Arial Narrow" w:eastAsia="Calibri" w:hAnsi="Arial Narrow"/>
          <w:b/>
          <w:bCs/>
          <w:i/>
          <w:iCs/>
        </w:rPr>
        <w:t>,</w:t>
      </w:r>
      <w:r>
        <w:rPr>
          <w:rFonts w:ascii="Arial Narrow" w:eastAsia="Calibri" w:hAnsi="Arial Narrow"/>
        </w:rPr>
        <w:t xml:space="preserve"> la</w:t>
      </w:r>
      <w:r w:rsidRPr="00484CC1">
        <w:rPr>
          <w:rFonts w:ascii="Arial Narrow" w:eastAsia="Calibri" w:hAnsi="Arial Narrow"/>
        </w:rPr>
        <w:t xml:space="preserve"> cual de acuerdo con la revisión efectuada se logró determinar </w:t>
      </w:r>
      <w:r>
        <w:rPr>
          <w:rFonts w:ascii="Arial Narrow" w:eastAsia="Calibri" w:hAnsi="Arial Narrow"/>
        </w:rPr>
        <w:t xml:space="preserve">que para el 2019 no tenía meta operativa vinculada por lo que no se le registra cumplimiento para ese año. Para el 2020 registra un cumplimiento medio del 67% donde se indican los resultados obtenidos por parte de la Oficina de Atención y Protección de la Víctima donde manifiestan que </w:t>
      </w:r>
      <w:r w:rsidRPr="002E0B96">
        <w:rPr>
          <w:rFonts w:ascii="Arial Narrow" w:eastAsia="Calibri" w:hAnsi="Arial Narrow"/>
        </w:rPr>
        <w:t>han sostenido reuniones con la Unidad de Capacitación del Ministerio Público para definir la metodología y se desarrollaron las encuestas aplicadas a los Fiscales, personal de la OAPVD, por lo que ahora, se cuenta con datos tabulados lo que permite el desarrollo de la propuesta de estratégica</w:t>
      </w:r>
      <w:r>
        <w:rPr>
          <w:rFonts w:ascii="Arial Narrow" w:eastAsia="Calibri" w:hAnsi="Arial Narrow"/>
        </w:rPr>
        <w:t>, sin embargo, al corte del 2020 no se contaba aún con la aprobación</w:t>
      </w:r>
      <w:r w:rsidRPr="00FE2216">
        <w:rPr>
          <w:rFonts w:ascii="Arial Narrow" w:eastAsia="Calibri" w:hAnsi="Arial Narrow"/>
        </w:rPr>
        <w:t xml:space="preserve"> por parte de la Jefatura de la OAPVD  </w:t>
      </w:r>
      <w:r>
        <w:rPr>
          <w:rFonts w:ascii="Arial Narrow" w:eastAsia="Calibri" w:hAnsi="Arial Narrow"/>
        </w:rPr>
        <w:t>sobre la</w:t>
      </w:r>
      <w:r w:rsidRPr="00FE2216">
        <w:rPr>
          <w:rFonts w:ascii="Arial Narrow" w:eastAsia="Calibri" w:hAnsi="Arial Narrow"/>
        </w:rPr>
        <w:t xml:space="preserve">  estrategia  de capacitación y actualización para el personal </w:t>
      </w:r>
      <w:r>
        <w:rPr>
          <w:rFonts w:ascii="Arial Narrow" w:eastAsia="Calibri" w:hAnsi="Arial Narrow"/>
        </w:rPr>
        <w:t>de ahí el registro de cumplimiento.</w:t>
      </w:r>
    </w:p>
    <w:p w14:paraId="4EBE86AA" w14:textId="77777777" w:rsidR="00803EF6" w:rsidRDefault="00803EF6" w:rsidP="00803EF6">
      <w:pPr>
        <w:spacing w:line="360" w:lineRule="auto"/>
        <w:jc w:val="both"/>
        <w:rPr>
          <w:rFonts w:ascii="Arial Narrow" w:eastAsia="Calibri" w:hAnsi="Arial Narrow"/>
        </w:rPr>
      </w:pPr>
    </w:p>
    <w:p w14:paraId="7E410723" w14:textId="262A8859" w:rsidR="00803EF6" w:rsidRDefault="00803EF6" w:rsidP="00803EF6">
      <w:pPr>
        <w:spacing w:line="360" w:lineRule="auto"/>
        <w:jc w:val="both"/>
        <w:rPr>
          <w:rFonts w:ascii="Arial Narrow" w:eastAsia="Calibri" w:hAnsi="Arial Narrow"/>
        </w:rPr>
      </w:pPr>
      <w:r>
        <w:rPr>
          <w:rFonts w:ascii="Arial Narrow" w:eastAsia="Calibri" w:hAnsi="Arial Narrow"/>
        </w:rPr>
        <w:t>L</w:t>
      </w:r>
      <w:r w:rsidRPr="007A4EFB">
        <w:rPr>
          <w:rFonts w:ascii="Arial Narrow" w:eastAsia="Calibri" w:hAnsi="Arial Narrow"/>
        </w:rPr>
        <w:t xml:space="preserve">a </w:t>
      </w:r>
      <w:r>
        <w:rPr>
          <w:rFonts w:ascii="Arial Narrow" w:eastAsia="Calibri" w:hAnsi="Arial Narrow"/>
        </w:rPr>
        <w:t>meta estratégica “</w:t>
      </w:r>
      <w:r w:rsidRPr="000B0D4F">
        <w:rPr>
          <w:rFonts w:ascii="Arial Narrow" w:eastAsia="Calibri" w:hAnsi="Arial Narrow"/>
          <w:b/>
          <w:bCs/>
          <w:i/>
          <w:iCs/>
        </w:rPr>
        <w:t>Que al finalizar el 2024, se haya incorporado el módulo de los Servicios de Atención y Protección a la Víctima, en los programas de capacitación de la Escuela Judicial</w:t>
      </w:r>
      <w:r>
        <w:rPr>
          <w:rFonts w:ascii="Arial Narrow" w:eastAsia="Calibri" w:hAnsi="Arial Narrow"/>
          <w:b/>
          <w:bCs/>
          <w:i/>
          <w:iCs/>
        </w:rPr>
        <w:t>”</w:t>
      </w:r>
      <w:r w:rsidR="006F4FB2">
        <w:rPr>
          <w:rFonts w:ascii="Arial Narrow" w:eastAsia="Calibri" w:hAnsi="Arial Narrow"/>
          <w:b/>
          <w:bCs/>
          <w:i/>
          <w:iCs/>
        </w:rPr>
        <w:t>,</w:t>
      </w:r>
      <w:r>
        <w:rPr>
          <w:rFonts w:ascii="Arial Narrow" w:eastAsia="Calibri" w:hAnsi="Arial Narrow"/>
        </w:rPr>
        <w:t xml:space="preserve"> la</w:t>
      </w:r>
      <w:r w:rsidRPr="00484CC1">
        <w:rPr>
          <w:rFonts w:ascii="Arial Narrow" w:eastAsia="Calibri" w:hAnsi="Arial Narrow"/>
        </w:rPr>
        <w:t xml:space="preserve"> cual de acuerdo con la revisión efectuada se logró determinar </w:t>
      </w:r>
      <w:r>
        <w:rPr>
          <w:rFonts w:ascii="Arial Narrow" w:eastAsia="Calibri" w:hAnsi="Arial Narrow"/>
        </w:rPr>
        <w:t xml:space="preserve">que para el 2019 no tenía meta operativa vinculada por lo que no se le registra cumplimiento para ese año. Para el 2020 registra un cumplimiento medio del 83% donde se indican los resultados obtenidos por parte de la Oficina de Atención y Protección de la Víctima y la Escuela Judicial. Se informa por parte de la Oficina de Atención que </w:t>
      </w:r>
      <w:r w:rsidRPr="002E0B96">
        <w:rPr>
          <w:rFonts w:ascii="Arial Narrow" w:eastAsia="Calibri" w:hAnsi="Arial Narrow"/>
        </w:rPr>
        <w:t>mediante reunión con Rebeca Guardia de la Escuela Judicial y doña Sara Arce, se acordó que tomando en consideración lo referente a la pandemia, la propuesta de capacitación para personal judicial tendría que enfocarse en un curso de autoformación. Se cuenta con un borrador del diseño curricular para dicho curso el cual está siendo revisado por parte de la Escuela Judicial</w:t>
      </w:r>
      <w:r>
        <w:rPr>
          <w:rFonts w:ascii="Arial Narrow" w:eastAsia="Calibri" w:hAnsi="Arial Narrow"/>
        </w:rPr>
        <w:t xml:space="preserve">, este avance ocasiona que la meta no se considera completada con respecto a la </w:t>
      </w:r>
      <w:r w:rsidRPr="00FE2216">
        <w:rPr>
          <w:rFonts w:ascii="Arial Narrow" w:eastAsia="Calibri" w:hAnsi="Arial Narrow"/>
        </w:rPr>
        <w:t xml:space="preserve">estrategia </w:t>
      </w:r>
      <w:r w:rsidRPr="00FE2216">
        <w:rPr>
          <w:rFonts w:ascii="Arial Narrow" w:eastAsia="Calibri" w:hAnsi="Arial Narrow"/>
        </w:rPr>
        <w:lastRenderedPageBreak/>
        <w:t>de capacitación para su inclusión en los procesos de capacitación del personal judicial</w:t>
      </w:r>
      <w:r>
        <w:rPr>
          <w:rFonts w:ascii="Arial Narrow" w:eastAsia="Calibri" w:hAnsi="Arial Narrow"/>
        </w:rPr>
        <w:t>, la cual sigue pendiente.</w:t>
      </w:r>
    </w:p>
    <w:p w14:paraId="3118D46A" w14:textId="77777777" w:rsidR="009D5823" w:rsidRDefault="009D5823" w:rsidP="00803EF6">
      <w:pPr>
        <w:spacing w:line="360" w:lineRule="auto"/>
        <w:jc w:val="both"/>
        <w:rPr>
          <w:rFonts w:ascii="Arial Narrow" w:eastAsia="Calibri" w:hAnsi="Arial Narrow"/>
        </w:rPr>
        <w:sectPr w:rsidR="009D5823" w:rsidSect="009D5823">
          <w:pgSz w:w="12242" w:h="15842" w:code="1"/>
          <w:pgMar w:top="1701" w:right="1417" w:bottom="1701" w:left="1417" w:header="709" w:footer="709" w:gutter="0"/>
          <w:cols w:space="708"/>
          <w:docGrid w:linePitch="360"/>
        </w:sectPr>
      </w:pPr>
    </w:p>
    <w:p w14:paraId="038E5EEA" w14:textId="77777777" w:rsidR="00803EF6" w:rsidRDefault="00803EF6" w:rsidP="00803EF6">
      <w:pPr>
        <w:spacing w:line="360" w:lineRule="auto"/>
        <w:jc w:val="both"/>
        <w:rPr>
          <w:rFonts w:ascii="Arial Narrow" w:eastAsia="Calibri" w:hAnsi="Arial Narrow"/>
        </w:rPr>
      </w:pPr>
    </w:p>
    <w:p w14:paraId="07DBFA99" w14:textId="5A79E645" w:rsidR="00803EF6" w:rsidRPr="007A4EFB" w:rsidRDefault="00803EF6" w:rsidP="00803EF6">
      <w:pPr>
        <w:spacing w:line="360" w:lineRule="auto"/>
        <w:jc w:val="center"/>
        <w:rPr>
          <w:rFonts w:ascii="Arial Narrow" w:eastAsia="Calibri" w:hAnsi="Arial Narrow"/>
          <w:b/>
          <w:bCs/>
        </w:rPr>
      </w:pPr>
      <w:bookmarkStart w:id="120" w:name="_Toc76062293"/>
      <w:r w:rsidRPr="007A4EFB">
        <w:rPr>
          <w:rFonts w:ascii="Arial Narrow" w:hAnsi="Arial Narrow"/>
          <w:b/>
          <w:bCs/>
        </w:rPr>
        <w:t xml:space="preserve">Cuadro </w:t>
      </w:r>
      <w:r w:rsidRPr="007A4EFB">
        <w:rPr>
          <w:rFonts w:ascii="Arial Narrow" w:hAnsi="Arial Narrow"/>
          <w:b/>
          <w:bCs/>
        </w:rPr>
        <w:fldChar w:fldCharType="begin"/>
      </w:r>
      <w:r w:rsidRPr="007A4EFB">
        <w:rPr>
          <w:rFonts w:ascii="Arial Narrow" w:hAnsi="Arial Narrow"/>
          <w:b/>
          <w:bCs/>
        </w:rPr>
        <w:instrText xml:space="preserve"> SEQ Cuadro_No. \* ARABIC </w:instrText>
      </w:r>
      <w:r w:rsidRPr="007A4EFB">
        <w:rPr>
          <w:rFonts w:ascii="Arial Narrow" w:hAnsi="Arial Narrow"/>
          <w:b/>
          <w:bCs/>
        </w:rPr>
        <w:fldChar w:fldCharType="separate"/>
      </w:r>
      <w:r w:rsidR="00A70B40">
        <w:rPr>
          <w:rFonts w:ascii="Arial Narrow" w:hAnsi="Arial Narrow"/>
          <w:b/>
          <w:bCs/>
          <w:noProof/>
        </w:rPr>
        <w:t>70</w:t>
      </w:r>
      <w:r w:rsidRPr="007A4EFB">
        <w:rPr>
          <w:rFonts w:ascii="Arial Narrow" w:hAnsi="Arial Narrow"/>
          <w:b/>
          <w:bCs/>
        </w:rPr>
        <w:fldChar w:fldCharType="end"/>
      </w:r>
      <w:r w:rsidRPr="007A4EFB">
        <w:rPr>
          <w:rFonts w:ascii="Arial Narrow" w:hAnsi="Arial Narrow"/>
          <w:b/>
          <w:bCs/>
        </w:rPr>
        <w:t xml:space="preserve"> </w:t>
      </w:r>
      <w:r w:rsidRPr="007A4EFB">
        <w:rPr>
          <w:rFonts w:ascii="Arial Narrow" w:eastAsia="Calibri" w:hAnsi="Arial Narrow"/>
          <w:b/>
          <w:bCs/>
        </w:rPr>
        <w:t>Metas estratégicas de Capacitación, y su cumplimiento para el 2019-2020</w:t>
      </w:r>
      <w:bookmarkEnd w:id="120"/>
    </w:p>
    <w:p w14:paraId="1D296CEB" w14:textId="77777777" w:rsidR="00803EF6" w:rsidRDefault="00803EF6" w:rsidP="00803EF6">
      <w:pPr>
        <w:spacing w:line="360" w:lineRule="auto"/>
        <w:jc w:val="both"/>
        <w:rPr>
          <w:rFonts w:ascii="Arial Narrow" w:eastAsia="Calibri" w:hAnsi="Arial Narrow"/>
        </w:rPr>
      </w:pPr>
      <w:r>
        <w:rPr>
          <w:noProof/>
          <w:lang w:val="es-CR" w:eastAsia="es-CR"/>
        </w:rPr>
        <w:drawing>
          <wp:inline distT="0" distB="0" distL="0" distR="0" wp14:anchorId="5B1FCCD1" wp14:editId="46251616">
            <wp:extent cx="7899400" cy="3599913"/>
            <wp:effectExtent l="19050" t="19050" r="25400" b="19685"/>
            <wp:docPr id="133" name="Imagen 133"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magen 104" descr="Tabla&#10;&#10;Descripción generada automáticamente"/>
                    <pic:cNvPicPr/>
                  </pic:nvPicPr>
                  <pic:blipFill>
                    <a:blip r:embed="rId132"/>
                    <a:stretch>
                      <a:fillRect/>
                    </a:stretch>
                  </pic:blipFill>
                  <pic:spPr>
                    <a:xfrm>
                      <a:off x="0" y="0"/>
                      <a:ext cx="7901783" cy="3600999"/>
                    </a:xfrm>
                    <a:prstGeom prst="rect">
                      <a:avLst/>
                    </a:prstGeom>
                    <a:ln w="19050">
                      <a:solidFill>
                        <a:schemeClr val="accent1"/>
                      </a:solidFill>
                    </a:ln>
                  </pic:spPr>
                </pic:pic>
              </a:graphicData>
            </a:graphic>
          </wp:inline>
        </w:drawing>
      </w:r>
    </w:p>
    <w:p w14:paraId="594422B9" w14:textId="57A915DE" w:rsidR="00803EF6" w:rsidRDefault="00803EF6" w:rsidP="00803EF6">
      <w:pPr>
        <w:spacing w:line="360" w:lineRule="auto"/>
        <w:jc w:val="both"/>
        <w:rPr>
          <w:rFonts w:ascii="Arial Narrow" w:hAnsi="Arial Narrow"/>
          <w:sz w:val="18"/>
          <w:szCs w:val="18"/>
          <w:lang w:val="es-CR" w:eastAsia="es-CR"/>
        </w:rPr>
      </w:pPr>
      <w:r w:rsidRPr="00EE2E13">
        <w:rPr>
          <w:rFonts w:ascii="Arial Narrow" w:hAnsi="Arial Narrow"/>
          <w:sz w:val="18"/>
          <w:szCs w:val="18"/>
          <w:lang w:val="es-CR" w:eastAsia="es-CR"/>
        </w:rPr>
        <w:t>Fuente: Sistema PEI al 24 de enero del 2020 (año 2019) y 04 de marzo del 2021 (año 2020).</w:t>
      </w:r>
    </w:p>
    <w:p w14:paraId="5280468B" w14:textId="77777777" w:rsidR="009D5823" w:rsidRDefault="009D5823" w:rsidP="00803EF6">
      <w:pPr>
        <w:spacing w:line="360" w:lineRule="auto"/>
        <w:jc w:val="both"/>
        <w:rPr>
          <w:rFonts w:ascii="Arial Narrow" w:eastAsia="Calibri" w:hAnsi="Arial Narrow"/>
        </w:rPr>
        <w:sectPr w:rsidR="009D5823" w:rsidSect="009D5823">
          <w:pgSz w:w="15842" w:h="12242" w:orient="landscape" w:code="1"/>
          <w:pgMar w:top="1417" w:right="1701" w:bottom="1417" w:left="1701" w:header="709" w:footer="709" w:gutter="0"/>
          <w:cols w:space="708"/>
          <w:docGrid w:linePitch="360"/>
        </w:sectPr>
      </w:pPr>
    </w:p>
    <w:p w14:paraId="44CB8244" w14:textId="48BD8CEE" w:rsidR="00803EF6" w:rsidRDefault="00803EF6" w:rsidP="00803EF6">
      <w:pPr>
        <w:spacing w:line="360" w:lineRule="auto"/>
        <w:jc w:val="both"/>
        <w:rPr>
          <w:rFonts w:ascii="Arial Narrow" w:eastAsia="Calibri" w:hAnsi="Arial Narrow"/>
        </w:rPr>
      </w:pPr>
      <w:r>
        <w:rPr>
          <w:rFonts w:ascii="Arial Narrow" w:eastAsia="Calibri" w:hAnsi="Arial Narrow"/>
        </w:rPr>
        <w:lastRenderedPageBreak/>
        <w:t>L</w:t>
      </w:r>
      <w:r w:rsidRPr="007A4EFB">
        <w:rPr>
          <w:rFonts w:ascii="Arial Narrow" w:eastAsia="Calibri" w:hAnsi="Arial Narrow"/>
        </w:rPr>
        <w:t xml:space="preserve">a </w:t>
      </w:r>
      <w:r>
        <w:rPr>
          <w:rFonts w:ascii="Arial Narrow" w:eastAsia="Calibri" w:hAnsi="Arial Narrow"/>
        </w:rPr>
        <w:t>meta estratégica “</w:t>
      </w:r>
      <w:r w:rsidRPr="00FE2216">
        <w:rPr>
          <w:rFonts w:ascii="Arial Narrow" w:eastAsia="Calibri" w:hAnsi="Arial Narrow"/>
          <w:b/>
          <w:bCs/>
          <w:i/>
          <w:iCs/>
        </w:rPr>
        <w:t>Que al finalizar el 2024, se hayan implementado los planes establecidos para lograr la captación de recursos internacionales, así como capacitaciones a través de instituciones y gobiernos colaboradores</w:t>
      </w:r>
      <w:r>
        <w:rPr>
          <w:rFonts w:ascii="Arial Narrow" w:eastAsia="Calibri" w:hAnsi="Arial Narrow"/>
          <w:b/>
          <w:bCs/>
          <w:i/>
          <w:iCs/>
        </w:rPr>
        <w:t>”</w:t>
      </w:r>
      <w:r w:rsidR="006F4FB2">
        <w:rPr>
          <w:rFonts w:ascii="Arial Narrow" w:eastAsia="Calibri" w:hAnsi="Arial Narrow"/>
          <w:b/>
          <w:bCs/>
          <w:i/>
          <w:iCs/>
        </w:rPr>
        <w:t>,</w:t>
      </w:r>
      <w:r>
        <w:rPr>
          <w:rFonts w:ascii="Arial Narrow" w:eastAsia="Calibri" w:hAnsi="Arial Narrow"/>
        </w:rPr>
        <w:t xml:space="preserve"> la</w:t>
      </w:r>
      <w:r w:rsidRPr="00484CC1">
        <w:rPr>
          <w:rFonts w:ascii="Arial Narrow" w:eastAsia="Calibri" w:hAnsi="Arial Narrow"/>
        </w:rPr>
        <w:t xml:space="preserve"> cual de acuerdo con la revisión efectuada se logró determinar </w:t>
      </w:r>
      <w:r>
        <w:rPr>
          <w:rFonts w:ascii="Arial Narrow" w:eastAsia="Calibri" w:hAnsi="Arial Narrow"/>
        </w:rPr>
        <w:t xml:space="preserve">que para el 2019 y 2020 se tiene un cumplimiento alto del 100%. Para el 2019, se informa que </w:t>
      </w:r>
      <w:r w:rsidRPr="002E0B96">
        <w:rPr>
          <w:rFonts w:ascii="Arial Narrow" w:eastAsia="Calibri" w:hAnsi="Arial Narrow"/>
        </w:rPr>
        <w:t>la Oficina de Enlace y Relaciones internacionales del OIJ ha realizado los esfuerzos necesarios para el cumplimiento de la meta propuesta como se muestra en el cuarto Avance del proyecto denominado: "Logística y ejecución de Cooperación Internacional"</w:t>
      </w:r>
      <w:r>
        <w:rPr>
          <w:rFonts w:ascii="Arial Narrow" w:eastAsia="Calibri" w:hAnsi="Arial Narrow"/>
        </w:rPr>
        <w:t xml:space="preserve"> para ese año. Con respecto al 2020, </w:t>
      </w:r>
      <w:r w:rsidR="00DE5966">
        <w:rPr>
          <w:rFonts w:ascii="Arial Narrow" w:eastAsia="Calibri" w:hAnsi="Arial Narrow"/>
        </w:rPr>
        <w:t>s</w:t>
      </w:r>
      <w:r>
        <w:rPr>
          <w:rFonts w:ascii="Arial Narrow" w:eastAsia="Calibri" w:hAnsi="Arial Narrow"/>
        </w:rPr>
        <w:t>e destaca que la Dirección General reporta que e</w:t>
      </w:r>
      <w:r w:rsidRPr="002E0B96">
        <w:rPr>
          <w:rFonts w:ascii="Arial Narrow" w:eastAsia="Calibri" w:hAnsi="Arial Narrow"/>
        </w:rPr>
        <w:t xml:space="preserve">l objetivo </w:t>
      </w:r>
      <w:r>
        <w:rPr>
          <w:rFonts w:ascii="Arial Narrow" w:eastAsia="Calibri" w:hAnsi="Arial Narrow"/>
        </w:rPr>
        <w:t>sigue ejecutándose</w:t>
      </w:r>
      <w:r w:rsidRPr="002E0B96">
        <w:rPr>
          <w:rFonts w:ascii="Arial Narrow" w:eastAsia="Calibri" w:hAnsi="Arial Narrow"/>
        </w:rPr>
        <w:t xml:space="preserve"> mediante el proyecto denominado: "Logística y Ejecución de Cooperación Internacional” código 1167-OIJ-P11-ODERI.</w:t>
      </w:r>
      <w:r>
        <w:rPr>
          <w:rFonts w:ascii="Arial Narrow" w:eastAsia="Calibri" w:hAnsi="Arial Narrow"/>
        </w:rPr>
        <w:t xml:space="preserve"> Se evidencia el tercer informe de avance con fecha del 31 de agosto del 2020 con un cumplimiento del cronograma de 53% del proyecto.</w:t>
      </w:r>
    </w:p>
    <w:p w14:paraId="4E514AB0" w14:textId="77777777" w:rsidR="00803EF6" w:rsidRDefault="00803EF6" w:rsidP="00803EF6">
      <w:pPr>
        <w:spacing w:line="360" w:lineRule="auto"/>
        <w:jc w:val="both"/>
        <w:rPr>
          <w:rFonts w:ascii="Arial Narrow" w:eastAsia="Calibri" w:hAnsi="Arial Narrow"/>
        </w:rPr>
      </w:pPr>
    </w:p>
    <w:p w14:paraId="1FAB0F91" w14:textId="6E50960B" w:rsidR="00803EF6" w:rsidRDefault="00803EF6" w:rsidP="00803EF6">
      <w:pPr>
        <w:spacing w:line="360" w:lineRule="auto"/>
        <w:jc w:val="both"/>
        <w:rPr>
          <w:rFonts w:ascii="Arial Narrow" w:eastAsia="Calibri" w:hAnsi="Arial Narrow"/>
        </w:rPr>
      </w:pPr>
      <w:r>
        <w:rPr>
          <w:rFonts w:ascii="Arial Narrow" w:eastAsia="Calibri" w:hAnsi="Arial Narrow"/>
        </w:rPr>
        <w:t>Por otra parte, l</w:t>
      </w:r>
      <w:r w:rsidRPr="007A4EFB">
        <w:rPr>
          <w:rFonts w:ascii="Arial Narrow" w:eastAsia="Calibri" w:hAnsi="Arial Narrow"/>
        </w:rPr>
        <w:t xml:space="preserve">a </w:t>
      </w:r>
      <w:r>
        <w:rPr>
          <w:rFonts w:ascii="Arial Narrow" w:eastAsia="Calibri" w:hAnsi="Arial Narrow"/>
        </w:rPr>
        <w:t>meta estratégica “</w:t>
      </w:r>
      <w:r w:rsidRPr="00FE2216">
        <w:rPr>
          <w:rFonts w:ascii="Arial Narrow" w:eastAsia="Calibri" w:hAnsi="Arial Narrow"/>
          <w:b/>
          <w:bCs/>
          <w:i/>
          <w:iCs/>
        </w:rPr>
        <w:t>Que al finalizar el 2024 se haya incorporado de manera integral los valores y ejes transversales institucionales, en al menos 10 actividades de capacitación de la Escuela Judicial</w:t>
      </w:r>
      <w:r>
        <w:rPr>
          <w:rFonts w:ascii="Arial Narrow" w:eastAsia="Calibri" w:hAnsi="Arial Narrow"/>
          <w:b/>
          <w:bCs/>
          <w:i/>
          <w:iCs/>
        </w:rPr>
        <w:t>”</w:t>
      </w:r>
      <w:r w:rsidR="006F4FB2">
        <w:rPr>
          <w:rFonts w:ascii="Arial Narrow" w:eastAsia="Calibri" w:hAnsi="Arial Narrow"/>
          <w:b/>
          <w:bCs/>
          <w:i/>
          <w:iCs/>
        </w:rPr>
        <w:t xml:space="preserve">, </w:t>
      </w:r>
      <w:r>
        <w:rPr>
          <w:rFonts w:ascii="Arial Narrow" w:eastAsia="Calibri" w:hAnsi="Arial Narrow"/>
        </w:rPr>
        <w:t>la</w:t>
      </w:r>
      <w:r w:rsidRPr="00484CC1">
        <w:rPr>
          <w:rFonts w:ascii="Arial Narrow" w:eastAsia="Calibri" w:hAnsi="Arial Narrow"/>
        </w:rPr>
        <w:t xml:space="preserve"> cual de acuerdo con la revisión efectuada se logró determinar </w:t>
      </w:r>
      <w:r>
        <w:rPr>
          <w:rFonts w:ascii="Arial Narrow" w:eastAsia="Calibri" w:hAnsi="Arial Narrow"/>
        </w:rPr>
        <w:t xml:space="preserve">que para el 2019 y 2020 se tiene un cumplimiento alto del 100%. Se destaca que la Escuela Judicial manifiesta que para el 2019 avanzaron en el </w:t>
      </w:r>
      <w:r w:rsidRPr="002E0B96">
        <w:rPr>
          <w:rFonts w:ascii="Arial Narrow" w:eastAsia="Calibri" w:hAnsi="Arial Narrow"/>
        </w:rPr>
        <w:t>diseño del curso autoformativo sobre Justicia Abierta el cual se trabaja con CONAMAJ. Se encontraba en diseño del Congreso Virtual en Justicia Abierta que se trabaja con CONAMAJ</w:t>
      </w:r>
      <w:r>
        <w:rPr>
          <w:rFonts w:ascii="Arial Narrow" w:eastAsia="Calibri" w:hAnsi="Arial Narrow"/>
        </w:rPr>
        <w:t>. A su vez, se trabajó e</w:t>
      </w:r>
      <w:r w:rsidRPr="002E0B96">
        <w:rPr>
          <w:rFonts w:ascii="Arial Narrow" w:eastAsia="Calibri" w:hAnsi="Arial Narrow"/>
        </w:rPr>
        <w:t xml:space="preserve">n el programa Formación Integral de las personas técnicas judiciales se incluyó el curso "Acceso a la Justicia" para abordar este importante eje transversal de la institución y en el programa Formación Inicial para Aspirantes a la Judicatura. Para el 2020 </w:t>
      </w:r>
      <w:r>
        <w:rPr>
          <w:rFonts w:ascii="Arial Narrow" w:eastAsia="Calibri" w:hAnsi="Arial Narrow"/>
        </w:rPr>
        <w:t>se detalla que se trabajó en el rediseño de dos cursos: Taller Género y lenguaje inclusivo, en línea y el Modelo de Comunicación oral y escrita en la función judicial (FIAJ), a distancia, así como 3 actividades académicas de razonamiento jurídico y argumentación, Tutela de los Derechos Humanos y Función Jurisdiccional.</w:t>
      </w:r>
    </w:p>
    <w:p w14:paraId="0080E80D" w14:textId="77777777" w:rsidR="00803EF6" w:rsidRDefault="00803EF6" w:rsidP="00803EF6">
      <w:pPr>
        <w:spacing w:line="360" w:lineRule="auto"/>
        <w:jc w:val="both"/>
        <w:rPr>
          <w:rFonts w:ascii="Arial Narrow" w:eastAsia="Calibri" w:hAnsi="Arial Narrow"/>
        </w:rPr>
      </w:pPr>
    </w:p>
    <w:p w14:paraId="6C52DAF0" w14:textId="24990D46" w:rsidR="00803EF6" w:rsidRDefault="00803EF6" w:rsidP="00803EF6">
      <w:pPr>
        <w:spacing w:line="360" w:lineRule="auto"/>
        <w:jc w:val="both"/>
        <w:rPr>
          <w:rFonts w:ascii="Arial Narrow" w:eastAsia="Calibri" w:hAnsi="Arial Narrow"/>
        </w:rPr>
      </w:pPr>
      <w:r>
        <w:rPr>
          <w:rFonts w:ascii="Arial Narrow" w:eastAsia="Calibri" w:hAnsi="Arial Narrow"/>
        </w:rPr>
        <w:t>Por otra parte, l</w:t>
      </w:r>
      <w:r w:rsidRPr="007A4EFB">
        <w:rPr>
          <w:rFonts w:ascii="Arial Narrow" w:eastAsia="Calibri" w:hAnsi="Arial Narrow"/>
        </w:rPr>
        <w:t xml:space="preserve">a </w:t>
      </w:r>
      <w:r>
        <w:rPr>
          <w:rFonts w:ascii="Arial Narrow" w:eastAsia="Calibri" w:hAnsi="Arial Narrow"/>
        </w:rPr>
        <w:t>meta estratégica “</w:t>
      </w:r>
      <w:r w:rsidRPr="00FE2216">
        <w:rPr>
          <w:rFonts w:ascii="Arial Narrow" w:eastAsia="Calibri" w:hAnsi="Arial Narrow"/>
          <w:b/>
          <w:bCs/>
          <w:i/>
          <w:iCs/>
        </w:rPr>
        <w:t>Que al finalizar el 2024 se haya incorporado de manera integral los valores y ejes transversales institucionales, en al menos 10 actividades de capacitación de la Unidad de Capacitación del Ministerio Público</w:t>
      </w:r>
      <w:r>
        <w:rPr>
          <w:rFonts w:ascii="Arial Narrow" w:eastAsia="Calibri" w:hAnsi="Arial Narrow"/>
          <w:b/>
          <w:bCs/>
          <w:i/>
          <w:iCs/>
        </w:rPr>
        <w:t>”</w:t>
      </w:r>
      <w:r w:rsidR="006F4FB2">
        <w:rPr>
          <w:rFonts w:ascii="Arial Narrow" w:eastAsia="Calibri" w:hAnsi="Arial Narrow"/>
          <w:b/>
          <w:bCs/>
          <w:i/>
          <w:iCs/>
        </w:rPr>
        <w:t>,</w:t>
      </w:r>
      <w:r>
        <w:rPr>
          <w:rFonts w:ascii="Arial Narrow" w:eastAsia="Calibri" w:hAnsi="Arial Narrow"/>
        </w:rPr>
        <w:t xml:space="preserve"> la</w:t>
      </w:r>
      <w:r w:rsidRPr="00484CC1">
        <w:rPr>
          <w:rFonts w:ascii="Arial Narrow" w:eastAsia="Calibri" w:hAnsi="Arial Narrow"/>
        </w:rPr>
        <w:t xml:space="preserve"> cual de acuerdo con la revisión efectuada se logró determinar </w:t>
      </w:r>
      <w:r>
        <w:rPr>
          <w:rFonts w:ascii="Arial Narrow" w:eastAsia="Calibri" w:hAnsi="Arial Narrow"/>
        </w:rPr>
        <w:t xml:space="preserve">que para el 2019 no tenía meta operativa vinculada por lo que no se le registra cumplimiento para ese año. Para el 2020 registra un cumplimiento alto del 100% donde se indican los resultados obtenidos por parte de </w:t>
      </w:r>
      <w:r>
        <w:rPr>
          <w:rFonts w:ascii="Arial Narrow" w:eastAsia="Calibri" w:hAnsi="Arial Narrow"/>
        </w:rPr>
        <w:lastRenderedPageBreak/>
        <w:t>la Unidad de Capacitación del Ministerio Público quienes indican que para el 2020, s</w:t>
      </w:r>
      <w:r w:rsidRPr="002E0B96">
        <w:rPr>
          <w:rFonts w:ascii="Arial Narrow" w:eastAsia="Calibri" w:hAnsi="Arial Narrow"/>
        </w:rPr>
        <w:t>e realizaron las evaluaciones del taller ejecutado donde se incorporaron de manera integral los valores y ejes transversales institucionales. Durante el año 2020 se realizó un replanteamiento de la modalidad presencial debido al acatamiento de los lineamientos de orden sanitaria emitidos por el Ministerio de Salud y el Poder Judicial, situación que generó un ajuste en la implementación de los cursos en la modalidad virtual. Los cursos seleccionados inicialmente estaban diseñados en la modalidad presencial y fueron adaptados a la modalidad virtual</w:t>
      </w:r>
      <w:r>
        <w:rPr>
          <w:rFonts w:ascii="Arial Narrow" w:eastAsia="Calibri" w:hAnsi="Arial Narrow"/>
        </w:rPr>
        <w:t xml:space="preserve">, a su vez, </w:t>
      </w:r>
      <w:r w:rsidRPr="002E0B96">
        <w:rPr>
          <w:rFonts w:ascii="Arial Narrow" w:eastAsia="Calibri" w:hAnsi="Arial Narrow"/>
        </w:rPr>
        <w:t>se realizaron dos actividades de capacitación que integren los valores y ejes transversales</w:t>
      </w:r>
      <w:r>
        <w:rPr>
          <w:rFonts w:ascii="Arial Narrow" w:eastAsia="Calibri" w:hAnsi="Arial Narrow"/>
        </w:rPr>
        <w:t>.</w:t>
      </w:r>
    </w:p>
    <w:p w14:paraId="563FF3F7" w14:textId="77777777" w:rsidR="009D5823" w:rsidRDefault="009D5823" w:rsidP="00803EF6">
      <w:pPr>
        <w:spacing w:line="360" w:lineRule="auto"/>
        <w:jc w:val="both"/>
        <w:rPr>
          <w:rFonts w:ascii="Arial Narrow" w:eastAsia="Calibri" w:hAnsi="Arial Narrow"/>
        </w:rPr>
        <w:sectPr w:rsidR="009D5823" w:rsidSect="009D5823">
          <w:pgSz w:w="12242" w:h="15842" w:code="1"/>
          <w:pgMar w:top="1701" w:right="1417" w:bottom="1701" w:left="1417" w:header="709" w:footer="709" w:gutter="0"/>
          <w:cols w:space="708"/>
          <w:docGrid w:linePitch="360"/>
        </w:sectPr>
      </w:pPr>
    </w:p>
    <w:p w14:paraId="41A62D70" w14:textId="77777777" w:rsidR="00803EF6" w:rsidRDefault="00803EF6" w:rsidP="00803EF6">
      <w:pPr>
        <w:spacing w:line="360" w:lineRule="auto"/>
        <w:jc w:val="both"/>
        <w:rPr>
          <w:rFonts w:ascii="Arial Narrow" w:eastAsia="Calibri" w:hAnsi="Arial Narrow"/>
        </w:rPr>
      </w:pPr>
    </w:p>
    <w:p w14:paraId="1F29F7A2" w14:textId="583DBFE9" w:rsidR="00803EF6" w:rsidRPr="007A4EFB" w:rsidRDefault="00803EF6" w:rsidP="00803EF6">
      <w:pPr>
        <w:spacing w:line="360" w:lineRule="auto"/>
        <w:jc w:val="center"/>
        <w:rPr>
          <w:rFonts w:ascii="Arial Narrow" w:eastAsia="Calibri" w:hAnsi="Arial Narrow"/>
          <w:b/>
          <w:bCs/>
        </w:rPr>
      </w:pPr>
      <w:bookmarkStart w:id="121" w:name="_Toc76062294"/>
      <w:r w:rsidRPr="007A4EFB">
        <w:rPr>
          <w:rFonts w:ascii="Arial Narrow" w:hAnsi="Arial Narrow"/>
          <w:b/>
          <w:bCs/>
        </w:rPr>
        <w:t xml:space="preserve">Cuadro </w:t>
      </w:r>
      <w:r w:rsidRPr="007A4EFB">
        <w:rPr>
          <w:rFonts w:ascii="Arial Narrow" w:hAnsi="Arial Narrow"/>
          <w:b/>
          <w:bCs/>
        </w:rPr>
        <w:fldChar w:fldCharType="begin"/>
      </w:r>
      <w:r w:rsidRPr="007A4EFB">
        <w:rPr>
          <w:rFonts w:ascii="Arial Narrow" w:hAnsi="Arial Narrow"/>
          <w:b/>
          <w:bCs/>
        </w:rPr>
        <w:instrText xml:space="preserve"> SEQ Cuadro_No. \* ARABIC </w:instrText>
      </w:r>
      <w:r w:rsidRPr="007A4EFB">
        <w:rPr>
          <w:rFonts w:ascii="Arial Narrow" w:hAnsi="Arial Narrow"/>
          <w:b/>
          <w:bCs/>
        </w:rPr>
        <w:fldChar w:fldCharType="separate"/>
      </w:r>
      <w:r w:rsidR="009D5823">
        <w:rPr>
          <w:rFonts w:ascii="Arial Narrow" w:hAnsi="Arial Narrow"/>
          <w:b/>
          <w:bCs/>
          <w:noProof/>
        </w:rPr>
        <w:t>71</w:t>
      </w:r>
      <w:r w:rsidRPr="007A4EFB">
        <w:rPr>
          <w:rFonts w:ascii="Arial Narrow" w:hAnsi="Arial Narrow"/>
          <w:b/>
          <w:bCs/>
        </w:rPr>
        <w:fldChar w:fldCharType="end"/>
      </w:r>
      <w:r w:rsidRPr="007A4EFB">
        <w:rPr>
          <w:rFonts w:ascii="Arial Narrow" w:hAnsi="Arial Narrow"/>
          <w:b/>
          <w:bCs/>
        </w:rPr>
        <w:t xml:space="preserve"> </w:t>
      </w:r>
      <w:r w:rsidRPr="007A4EFB">
        <w:rPr>
          <w:rFonts w:ascii="Arial Narrow" w:eastAsia="Calibri" w:hAnsi="Arial Narrow"/>
          <w:b/>
          <w:bCs/>
        </w:rPr>
        <w:t>Metas estratégicas de Capacitación, y su cumplimiento para el 2019-2020</w:t>
      </w:r>
      <w:bookmarkEnd w:id="121"/>
    </w:p>
    <w:p w14:paraId="280DC271" w14:textId="77777777" w:rsidR="00803EF6" w:rsidRDefault="00803EF6" w:rsidP="00803EF6">
      <w:pPr>
        <w:spacing w:line="360" w:lineRule="auto"/>
        <w:jc w:val="both"/>
        <w:rPr>
          <w:rFonts w:ascii="Arial Narrow" w:eastAsia="Calibri" w:hAnsi="Arial Narrow"/>
        </w:rPr>
      </w:pPr>
      <w:r>
        <w:rPr>
          <w:noProof/>
          <w:lang w:val="es-CR" w:eastAsia="es-CR"/>
        </w:rPr>
        <w:drawing>
          <wp:inline distT="0" distB="0" distL="0" distR="0" wp14:anchorId="4305720C" wp14:editId="332FAB13">
            <wp:extent cx="7899400" cy="3123395"/>
            <wp:effectExtent l="19050" t="19050" r="25400" b="20320"/>
            <wp:docPr id="139" name="Imagen 139" descr="Tabl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agen 106" descr="Tabla&#10;&#10;Descripción generada automáticamente con confianza media"/>
                    <pic:cNvPicPr/>
                  </pic:nvPicPr>
                  <pic:blipFill>
                    <a:blip r:embed="rId133"/>
                    <a:stretch>
                      <a:fillRect/>
                    </a:stretch>
                  </pic:blipFill>
                  <pic:spPr>
                    <a:xfrm>
                      <a:off x="0" y="0"/>
                      <a:ext cx="7906379" cy="3126154"/>
                    </a:xfrm>
                    <a:prstGeom prst="rect">
                      <a:avLst/>
                    </a:prstGeom>
                    <a:ln w="19050">
                      <a:solidFill>
                        <a:schemeClr val="accent1"/>
                      </a:solidFill>
                    </a:ln>
                  </pic:spPr>
                </pic:pic>
              </a:graphicData>
            </a:graphic>
          </wp:inline>
        </w:drawing>
      </w:r>
    </w:p>
    <w:p w14:paraId="32E9328E" w14:textId="77777777" w:rsidR="00803EF6" w:rsidRDefault="00803EF6" w:rsidP="00803EF6">
      <w:pPr>
        <w:spacing w:line="360" w:lineRule="auto"/>
        <w:jc w:val="both"/>
        <w:rPr>
          <w:rFonts w:ascii="Arial Narrow" w:eastAsia="Calibri" w:hAnsi="Arial Narrow"/>
        </w:rPr>
      </w:pPr>
      <w:r w:rsidRPr="00EE2E13">
        <w:rPr>
          <w:rFonts w:ascii="Arial Narrow" w:hAnsi="Arial Narrow"/>
          <w:sz w:val="18"/>
          <w:szCs w:val="18"/>
          <w:lang w:val="es-CR" w:eastAsia="es-CR"/>
        </w:rPr>
        <w:t>Fuente: Sistema PEI al 24 de enero del 2020 (año 2019) y 04 de marzo del 2021 (año 2020).</w:t>
      </w:r>
    </w:p>
    <w:p w14:paraId="09CCFE4E" w14:textId="77777777" w:rsidR="009D5823" w:rsidRDefault="009D5823" w:rsidP="00803EF6">
      <w:pPr>
        <w:spacing w:line="360" w:lineRule="auto"/>
        <w:jc w:val="both"/>
        <w:rPr>
          <w:rFonts w:ascii="Arial Narrow" w:eastAsia="Calibri" w:hAnsi="Arial Narrow"/>
        </w:rPr>
        <w:sectPr w:rsidR="009D5823" w:rsidSect="009D5823">
          <w:pgSz w:w="15842" w:h="12242" w:orient="landscape" w:code="1"/>
          <w:pgMar w:top="1417" w:right="1701" w:bottom="1417" w:left="1701" w:header="709" w:footer="709" w:gutter="0"/>
          <w:cols w:space="708"/>
          <w:docGrid w:linePitch="360"/>
        </w:sectPr>
      </w:pPr>
    </w:p>
    <w:p w14:paraId="374552B2" w14:textId="2C27B163" w:rsidR="00803EF6" w:rsidRDefault="00803EF6" w:rsidP="00803EF6">
      <w:pPr>
        <w:spacing w:line="360" w:lineRule="auto"/>
        <w:jc w:val="both"/>
        <w:rPr>
          <w:rFonts w:ascii="Arial Narrow" w:eastAsia="Calibri" w:hAnsi="Arial Narrow"/>
        </w:rPr>
      </w:pPr>
    </w:p>
    <w:p w14:paraId="3FC6CA38" w14:textId="77777777" w:rsidR="006F4FB2" w:rsidRDefault="006F4FB2" w:rsidP="00803EF6">
      <w:pPr>
        <w:spacing w:line="360" w:lineRule="auto"/>
        <w:jc w:val="both"/>
        <w:rPr>
          <w:rFonts w:ascii="Arial Narrow" w:eastAsia="Calibri" w:hAnsi="Arial Narrow"/>
        </w:rPr>
      </w:pPr>
    </w:p>
    <w:p w14:paraId="2383F047" w14:textId="77777777" w:rsidR="006F4FB2" w:rsidRDefault="006F4FB2" w:rsidP="00803EF6">
      <w:pPr>
        <w:spacing w:line="360" w:lineRule="auto"/>
        <w:jc w:val="both"/>
        <w:rPr>
          <w:rFonts w:ascii="Arial Narrow" w:eastAsia="Calibri" w:hAnsi="Arial Narrow"/>
        </w:rPr>
      </w:pPr>
    </w:p>
    <w:p w14:paraId="798239B9" w14:textId="17A58F4A" w:rsidR="00803EF6" w:rsidRDefault="00803EF6" w:rsidP="00803EF6">
      <w:pPr>
        <w:spacing w:line="360" w:lineRule="auto"/>
        <w:jc w:val="both"/>
        <w:rPr>
          <w:rFonts w:ascii="Arial Narrow" w:eastAsia="Calibri" w:hAnsi="Arial Narrow"/>
        </w:rPr>
      </w:pPr>
      <w:r>
        <w:rPr>
          <w:rFonts w:ascii="Arial Narrow" w:eastAsia="Calibri" w:hAnsi="Arial Narrow"/>
        </w:rPr>
        <w:t>L</w:t>
      </w:r>
      <w:r w:rsidRPr="007A4EFB">
        <w:rPr>
          <w:rFonts w:ascii="Arial Narrow" w:eastAsia="Calibri" w:hAnsi="Arial Narrow"/>
        </w:rPr>
        <w:t xml:space="preserve">a </w:t>
      </w:r>
      <w:r>
        <w:rPr>
          <w:rFonts w:ascii="Arial Narrow" w:eastAsia="Calibri" w:hAnsi="Arial Narrow"/>
        </w:rPr>
        <w:t>meta estratégica “</w:t>
      </w:r>
      <w:r w:rsidRPr="00A40F39">
        <w:rPr>
          <w:rFonts w:ascii="Arial Narrow" w:eastAsia="Calibri" w:hAnsi="Arial Narrow"/>
          <w:b/>
          <w:bCs/>
          <w:i/>
          <w:iCs/>
        </w:rPr>
        <w:t>Que al finalizar el 2024 se haya incorporado de manera integral los valores y ejes transversales institucionales, en al menos 10 actividades de capacitación de la Unidad de Capacitación de la Defensa Pública</w:t>
      </w:r>
      <w:r>
        <w:rPr>
          <w:rFonts w:ascii="Arial Narrow" w:eastAsia="Calibri" w:hAnsi="Arial Narrow"/>
          <w:b/>
          <w:bCs/>
          <w:i/>
          <w:iCs/>
        </w:rPr>
        <w:t>”</w:t>
      </w:r>
      <w:r w:rsidR="006F4FB2">
        <w:rPr>
          <w:rFonts w:ascii="Arial Narrow" w:eastAsia="Calibri" w:hAnsi="Arial Narrow"/>
          <w:b/>
          <w:bCs/>
          <w:i/>
          <w:iCs/>
        </w:rPr>
        <w:t>,</w:t>
      </w:r>
      <w:r>
        <w:rPr>
          <w:rFonts w:ascii="Arial Narrow" w:eastAsia="Calibri" w:hAnsi="Arial Narrow"/>
        </w:rPr>
        <w:t xml:space="preserve"> la</w:t>
      </w:r>
      <w:r w:rsidRPr="00484CC1">
        <w:rPr>
          <w:rFonts w:ascii="Arial Narrow" w:eastAsia="Calibri" w:hAnsi="Arial Narrow"/>
        </w:rPr>
        <w:t xml:space="preserve"> cual de acuerdo con la revisión efectuada se logró determinar </w:t>
      </w:r>
      <w:r>
        <w:rPr>
          <w:rFonts w:ascii="Arial Narrow" w:eastAsia="Calibri" w:hAnsi="Arial Narrow"/>
        </w:rPr>
        <w:t>que para el 2019 no tenía meta operativa vinculada por lo que no se le registra cumplimiento para ese año. Para el 2020 registra un cumplimiento alto del 100% donde se indican los resultados obtenidos por parte de la Unidad de Capacitación de la Defensa Pública quienes indican que para el 2020 se realizaron a</w:t>
      </w:r>
      <w:r w:rsidRPr="002E0B96">
        <w:rPr>
          <w:rFonts w:ascii="Arial Narrow" w:eastAsia="Calibri" w:hAnsi="Arial Narrow"/>
        </w:rPr>
        <w:t>ctividades académicas ejecutadas</w:t>
      </w:r>
      <w:r>
        <w:rPr>
          <w:rFonts w:ascii="Arial Narrow" w:eastAsia="Calibri" w:hAnsi="Arial Narrow"/>
        </w:rPr>
        <w:t>, como la</w:t>
      </w:r>
      <w:r w:rsidRPr="002E0B96">
        <w:rPr>
          <w:rFonts w:ascii="Arial Narrow" w:eastAsia="Calibri" w:hAnsi="Arial Narrow"/>
        </w:rPr>
        <w:t xml:space="preserve"> Democracia y Defensa Púbica</w:t>
      </w:r>
      <w:r>
        <w:rPr>
          <w:rFonts w:ascii="Arial Narrow" w:eastAsia="Calibri" w:hAnsi="Arial Narrow"/>
        </w:rPr>
        <w:t xml:space="preserve"> el </w:t>
      </w:r>
      <w:r w:rsidRPr="002E0B96">
        <w:rPr>
          <w:rFonts w:ascii="Arial Narrow" w:eastAsia="Calibri" w:hAnsi="Arial Narrow"/>
        </w:rPr>
        <w:t>03 y 24 de febrero, 15 y 29 de junio de 2020</w:t>
      </w:r>
      <w:r>
        <w:rPr>
          <w:rFonts w:ascii="Arial Narrow" w:eastAsia="Calibri" w:hAnsi="Arial Narrow"/>
        </w:rPr>
        <w:t xml:space="preserve">, y la segunda actividad llamada </w:t>
      </w:r>
      <w:r w:rsidRPr="002E0B96">
        <w:rPr>
          <w:rFonts w:ascii="Arial Narrow" w:eastAsia="Calibri" w:hAnsi="Arial Narrow"/>
        </w:rPr>
        <w:t>Formación en ética y valores para la Defensa Pública</w:t>
      </w:r>
      <w:r>
        <w:rPr>
          <w:rFonts w:ascii="Arial Narrow" w:eastAsia="Calibri" w:hAnsi="Arial Narrow"/>
        </w:rPr>
        <w:t>, aplicada el</w:t>
      </w:r>
      <w:r w:rsidRPr="002E0B96">
        <w:rPr>
          <w:rFonts w:ascii="Arial Narrow" w:eastAsia="Calibri" w:hAnsi="Arial Narrow"/>
        </w:rPr>
        <w:t xml:space="preserve"> 10 de agosto de</w:t>
      </w:r>
      <w:r>
        <w:rPr>
          <w:rFonts w:ascii="Arial Narrow" w:eastAsia="Calibri" w:hAnsi="Arial Narrow"/>
        </w:rPr>
        <w:t xml:space="preserve">l 2020. Además, manifiestan que se </w:t>
      </w:r>
      <w:r w:rsidRPr="00BB205D">
        <w:rPr>
          <w:rFonts w:ascii="Arial Narrow" w:eastAsia="Calibri" w:hAnsi="Arial Narrow"/>
        </w:rPr>
        <w:t>rediseñaron</w:t>
      </w:r>
      <w:r w:rsidRPr="002E0B96">
        <w:rPr>
          <w:rFonts w:ascii="Arial Narrow" w:eastAsia="Calibri" w:hAnsi="Arial Narrow"/>
        </w:rPr>
        <w:t xml:space="preserve"> los cursos "Democracia y Defensa Pública" y "Formación en ética y valores para la Defensa Pública</w:t>
      </w:r>
      <w:r>
        <w:rPr>
          <w:rFonts w:ascii="Arial Narrow" w:eastAsia="Calibri" w:hAnsi="Arial Narrow"/>
        </w:rPr>
        <w:t>.</w:t>
      </w:r>
    </w:p>
    <w:p w14:paraId="13ED5DDA" w14:textId="77777777" w:rsidR="00803EF6" w:rsidRDefault="00803EF6" w:rsidP="00803EF6">
      <w:pPr>
        <w:spacing w:line="360" w:lineRule="auto"/>
        <w:jc w:val="both"/>
        <w:rPr>
          <w:rFonts w:ascii="Arial Narrow" w:eastAsia="Calibri" w:hAnsi="Arial Narrow"/>
        </w:rPr>
      </w:pPr>
    </w:p>
    <w:p w14:paraId="1436408D" w14:textId="52B0ED3E" w:rsidR="00803EF6" w:rsidRDefault="00803EF6" w:rsidP="00803EF6">
      <w:pPr>
        <w:spacing w:line="360" w:lineRule="auto"/>
        <w:jc w:val="both"/>
        <w:rPr>
          <w:rFonts w:ascii="Arial Narrow" w:eastAsia="Calibri" w:hAnsi="Arial Narrow"/>
        </w:rPr>
      </w:pPr>
      <w:r>
        <w:rPr>
          <w:rFonts w:ascii="Arial Narrow" w:eastAsia="Calibri" w:hAnsi="Arial Narrow"/>
        </w:rPr>
        <w:t>Por otra parte, l</w:t>
      </w:r>
      <w:r w:rsidRPr="007A4EFB">
        <w:rPr>
          <w:rFonts w:ascii="Arial Narrow" w:eastAsia="Calibri" w:hAnsi="Arial Narrow"/>
        </w:rPr>
        <w:t xml:space="preserve">a </w:t>
      </w:r>
      <w:r>
        <w:rPr>
          <w:rFonts w:ascii="Arial Narrow" w:eastAsia="Calibri" w:hAnsi="Arial Narrow"/>
        </w:rPr>
        <w:t>meta estratégica “</w:t>
      </w:r>
      <w:r w:rsidRPr="00A40F39">
        <w:rPr>
          <w:rFonts w:ascii="Arial Narrow" w:eastAsia="Calibri" w:hAnsi="Arial Narrow"/>
          <w:b/>
          <w:bCs/>
          <w:i/>
          <w:iCs/>
        </w:rPr>
        <w:t>Que al finalizar el 2024 se haya incorporado de manera integral los valores y ejes transversales institucionales, en al menos 10 actividades de capacitación de la Unidad de Capacitación del Organismo de Investigación Judicial</w:t>
      </w:r>
      <w:r>
        <w:rPr>
          <w:rFonts w:ascii="Arial Narrow" w:eastAsia="Calibri" w:hAnsi="Arial Narrow"/>
          <w:b/>
          <w:bCs/>
          <w:i/>
          <w:iCs/>
        </w:rPr>
        <w:t>”</w:t>
      </w:r>
      <w:r w:rsidR="006F4FB2">
        <w:rPr>
          <w:rFonts w:ascii="Arial Narrow" w:eastAsia="Calibri" w:hAnsi="Arial Narrow"/>
          <w:b/>
          <w:bCs/>
          <w:i/>
          <w:iCs/>
        </w:rPr>
        <w:t>,</w:t>
      </w:r>
      <w:r>
        <w:rPr>
          <w:rFonts w:ascii="Arial Narrow" w:eastAsia="Calibri" w:hAnsi="Arial Narrow"/>
        </w:rPr>
        <w:t xml:space="preserve"> la</w:t>
      </w:r>
      <w:r w:rsidRPr="00484CC1">
        <w:rPr>
          <w:rFonts w:ascii="Arial Narrow" w:eastAsia="Calibri" w:hAnsi="Arial Narrow"/>
        </w:rPr>
        <w:t xml:space="preserve"> cual de acuerdo con la revisión efectuada se logró determinar </w:t>
      </w:r>
      <w:r>
        <w:rPr>
          <w:rFonts w:ascii="Arial Narrow" w:eastAsia="Calibri" w:hAnsi="Arial Narrow"/>
        </w:rPr>
        <w:t>que para el 2019 no tenía meta operativa vinculada por lo que no se le registra cumplimiento para ese año. Para el 2020 registra un cumplimiento medio del 66% donde se indican los resultados obtenidos por parte de la Unidad de Adiestramiento quienes indican que para el 2020, s</w:t>
      </w:r>
      <w:r w:rsidRPr="007A4EFB">
        <w:rPr>
          <w:rFonts w:ascii="Arial Narrow" w:eastAsia="Calibri" w:hAnsi="Arial Narrow"/>
        </w:rPr>
        <w:t>e realizaron</w:t>
      </w:r>
      <w:r w:rsidRPr="002E0B96">
        <w:rPr>
          <w:rFonts w:ascii="Arial Narrow" w:eastAsia="Calibri" w:hAnsi="Arial Narrow"/>
        </w:rPr>
        <w:t xml:space="preserve"> la inclusión de los ejes transversales institucionales en todas las actividades de capacitación tanto presencial como de manera virtual, sin embargo, no se </w:t>
      </w:r>
      <w:r w:rsidRPr="00BB205D">
        <w:rPr>
          <w:rFonts w:ascii="Arial Narrow" w:eastAsia="Calibri" w:hAnsi="Arial Narrow"/>
        </w:rPr>
        <w:t>registró</w:t>
      </w:r>
      <w:r w:rsidRPr="002E0B96">
        <w:rPr>
          <w:rFonts w:ascii="Arial Narrow" w:eastAsia="Calibri" w:hAnsi="Arial Narrow"/>
        </w:rPr>
        <w:t xml:space="preserve"> </w:t>
      </w:r>
      <w:r w:rsidRPr="00BB205D">
        <w:rPr>
          <w:rFonts w:ascii="Arial Narrow" w:eastAsia="Calibri" w:hAnsi="Arial Narrow"/>
        </w:rPr>
        <w:t>ningún</w:t>
      </w:r>
      <w:r w:rsidRPr="002E0B96">
        <w:rPr>
          <w:rFonts w:ascii="Arial Narrow" w:eastAsia="Calibri" w:hAnsi="Arial Narrow"/>
        </w:rPr>
        <w:t xml:space="preserve"> avance para la meta</w:t>
      </w:r>
      <w:r>
        <w:rPr>
          <w:rFonts w:ascii="Arial Narrow" w:eastAsia="Calibri" w:hAnsi="Arial Narrow"/>
        </w:rPr>
        <w:t xml:space="preserve"> operativa</w:t>
      </w:r>
      <w:r w:rsidRPr="002E0B96">
        <w:rPr>
          <w:rFonts w:ascii="Arial Narrow" w:eastAsia="Calibri" w:hAnsi="Arial Narrow"/>
        </w:rPr>
        <w:t xml:space="preserve">: </w:t>
      </w:r>
      <w:r w:rsidRPr="002E0B96">
        <w:rPr>
          <w:rFonts w:ascii="Arial Narrow" w:eastAsia="Calibri" w:hAnsi="Arial Narrow"/>
          <w:i/>
          <w:iCs/>
        </w:rPr>
        <w:t>Que al 31 de diciembre de 2020 se hayan ejecutado dos actividades de capacitación que integren los valores y ejes transversales, de acuerdo con las medidas sanitarias que se vayan tomando en lo que resta de año</w:t>
      </w:r>
      <w:r w:rsidRPr="002E0B96">
        <w:rPr>
          <w:rFonts w:ascii="Arial Narrow" w:eastAsia="Calibri" w:hAnsi="Arial Narrow"/>
        </w:rPr>
        <w:t xml:space="preserve">. </w:t>
      </w:r>
      <w:r>
        <w:rPr>
          <w:rFonts w:ascii="Arial Narrow" w:eastAsia="Calibri" w:hAnsi="Arial Narrow"/>
        </w:rPr>
        <w:t>Esta meta</w:t>
      </w:r>
      <w:r w:rsidRPr="002E0B96">
        <w:rPr>
          <w:rFonts w:ascii="Arial Narrow" w:eastAsia="Calibri" w:hAnsi="Arial Narrow"/>
        </w:rPr>
        <w:t xml:space="preserve"> qued</w:t>
      </w:r>
      <w:r>
        <w:rPr>
          <w:rFonts w:ascii="Arial Narrow" w:eastAsia="Calibri" w:hAnsi="Arial Narrow"/>
        </w:rPr>
        <w:t>ó</w:t>
      </w:r>
      <w:r w:rsidRPr="002E0B96">
        <w:rPr>
          <w:rFonts w:ascii="Arial Narrow" w:eastAsia="Calibri" w:hAnsi="Arial Narrow"/>
        </w:rPr>
        <w:t xml:space="preserve"> con un valor de 0%</w:t>
      </w:r>
      <w:r>
        <w:rPr>
          <w:rFonts w:ascii="Arial Narrow" w:eastAsia="Calibri" w:hAnsi="Arial Narrow"/>
        </w:rPr>
        <w:t xml:space="preserve"> de cumplimiento, </w:t>
      </w:r>
      <w:r w:rsidRPr="002E0B96">
        <w:rPr>
          <w:rFonts w:ascii="Arial Narrow" w:eastAsia="Calibri" w:hAnsi="Arial Narrow"/>
        </w:rPr>
        <w:t>esto afecto el cumplimiento general de la meta.</w:t>
      </w:r>
    </w:p>
    <w:p w14:paraId="00571839" w14:textId="7892F559" w:rsidR="006F4FB2" w:rsidRDefault="006F4FB2">
      <w:pPr>
        <w:rPr>
          <w:rFonts w:ascii="Arial Narrow" w:eastAsia="Calibri" w:hAnsi="Arial Narrow"/>
        </w:rPr>
      </w:pPr>
      <w:r>
        <w:rPr>
          <w:rFonts w:ascii="Arial Narrow" w:eastAsia="Calibri" w:hAnsi="Arial Narrow"/>
        </w:rPr>
        <w:br w:type="page"/>
      </w:r>
    </w:p>
    <w:p w14:paraId="38DB4DA5" w14:textId="503E8596" w:rsidR="00803EF6" w:rsidRDefault="00803EF6" w:rsidP="00803EF6">
      <w:pPr>
        <w:spacing w:line="360" w:lineRule="auto"/>
        <w:jc w:val="both"/>
        <w:rPr>
          <w:rFonts w:ascii="Arial Narrow" w:eastAsia="Calibri" w:hAnsi="Arial Narrow"/>
        </w:rPr>
      </w:pPr>
    </w:p>
    <w:p w14:paraId="0997B2BF" w14:textId="77777777" w:rsidR="006F4FB2" w:rsidRDefault="006F4FB2" w:rsidP="00803EF6">
      <w:pPr>
        <w:spacing w:line="360" w:lineRule="auto"/>
        <w:jc w:val="both"/>
        <w:rPr>
          <w:rFonts w:ascii="Arial Narrow" w:eastAsia="Calibri" w:hAnsi="Arial Narrow"/>
        </w:rPr>
      </w:pPr>
    </w:p>
    <w:p w14:paraId="2849029F" w14:textId="688A5470" w:rsidR="00803EF6" w:rsidRDefault="00803EF6" w:rsidP="00803EF6">
      <w:pPr>
        <w:spacing w:line="360" w:lineRule="auto"/>
        <w:jc w:val="both"/>
      </w:pPr>
      <w:r>
        <w:rPr>
          <w:rFonts w:ascii="Arial Narrow" w:eastAsia="Calibri" w:hAnsi="Arial Narrow"/>
        </w:rPr>
        <w:t>L</w:t>
      </w:r>
      <w:r w:rsidRPr="007A4EFB">
        <w:rPr>
          <w:rFonts w:ascii="Arial Narrow" w:eastAsia="Calibri" w:hAnsi="Arial Narrow"/>
        </w:rPr>
        <w:t xml:space="preserve">a </w:t>
      </w:r>
      <w:r>
        <w:rPr>
          <w:rFonts w:ascii="Arial Narrow" w:eastAsia="Calibri" w:hAnsi="Arial Narrow"/>
        </w:rPr>
        <w:t>meta estratégica “</w:t>
      </w:r>
      <w:r w:rsidRPr="00BB205D">
        <w:rPr>
          <w:rFonts w:ascii="Arial Narrow" w:eastAsia="Calibri" w:hAnsi="Arial Narrow"/>
          <w:b/>
          <w:bCs/>
          <w:i/>
          <w:iCs/>
        </w:rPr>
        <w:t>Que al finalizar el 2024 se haya incorporado de manera integral los valores y ejes transversales institucionales, en al menos 10 actividades de capacitación de la Sección de Capacitación de la Dirección de Gestión Humana</w:t>
      </w:r>
      <w:r>
        <w:rPr>
          <w:rFonts w:ascii="Arial Narrow" w:eastAsia="Calibri" w:hAnsi="Arial Narrow"/>
          <w:b/>
          <w:bCs/>
          <w:i/>
          <w:iCs/>
        </w:rPr>
        <w:t>”</w:t>
      </w:r>
      <w:r w:rsidR="006F4FB2">
        <w:rPr>
          <w:rFonts w:ascii="Arial Narrow" w:eastAsia="Calibri" w:hAnsi="Arial Narrow"/>
          <w:b/>
          <w:bCs/>
          <w:i/>
          <w:iCs/>
        </w:rPr>
        <w:t>,</w:t>
      </w:r>
      <w:r>
        <w:rPr>
          <w:rFonts w:ascii="Arial Narrow" w:eastAsia="Calibri" w:hAnsi="Arial Narrow"/>
        </w:rPr>
        <w:t xml:space="preserve"> la</w:t>
      </w:r>
      <w:r w:rsidRPr="00484CC1">
        <w:rPr>
          <w:rFonts w:ascii="Arial Narrow" w:eastAsia="Calibri" w:hAnsi="Arial Narrow"/>
        </w:rPr>
        <w:t xml:space="preserve"> cual de acuerdo con la revisión efectuada se logró determinar </w:t>
      </w:r>
      <w:r>
        <w:rPr>
          <w:rFonts w:ascii="Arial Narrow" w:eastAsia="Calibri" w:hAnsi="Arial Narrow"/>
        </w:rPr>
        <w:t>que para el 2019 no tenía meta operativa vinculada por lo que no se le registra cumplimiento para ese año. Para el 2020 registra un cumplimiento alto del 100% donde se indican los resultados obtenidos por parte de la Seccion de la Gestión de la Capacitación quienes manifiestan que d</w:t>
      </w:r>
      <w:r w:rsidRPr="002E0B96">
        <w:rPr>
          <w:rFonts w:ascii="Arial Narrow" w:eastAsia="Calibri" w:hAnsi="Arial Narrow"/>
        </w:rPr>
        <w:t>entro de la labor cotidiana de la oficina se integran los valores y ejes transversales en todo el proceso de capacitación, desde el Diseño Curricular y planeamientos metodológicos, hasta el proceso de evaluación, esto se respalda con los productos que confeccionan como lo son: la Boleta de Solicitud de Actividades Formativas, Plantilla de diseño curricular, plantilla de informe, Especificaciones Técnicas y la plantilla de Evaluación de reacción.</w:t>
      </w:r>
    </w:p>
    <w:p w14:paraId="4E4E0824" w14:textId="77777777" w:rsidR="009D5823" w:rsidRDefault="009D5823" w:rsidP="00803EF6">
      <w:pPr>
        <w:spacing w:line="360" w:lineRule="auto"/>
        <w:jc w:val="both"/>
        <w:rPr>
          <w:rFonts w:ascii="Arial Narrow" w:eastAsia="Calibri" w:hAnsi="Arial Narrow"/>
        </w:rPr>
        <w:sectPr w:rsidR="009D5823" w:rsidSect="009D5823">
          <w:pgSz w:w="12242" w:h="15842" w:code="1"/>
          <w:pgMar w:top="1701" w:right="1417" w:bottom="1701" w:left="1417" w:header="709" w:footer="709" w:gutter="0"/>
          <w:cols w:space="708"/>
          <w:docGrid w:linePitch="360"/>
        </w:sectPr>
      </w:pPr>
    </w:p>
    <w:p w14:paraId="13F66548" w14:textId="387DD480" w:rsidR="00803EF6" w:rsidRDefault="00803EF6" w:rsidP="00803EF6">
      <w:pPr>
        <w:spacing w:line="360" w:lineRule="auto"/>
        <w:jc w:val="both"/>
        <w:rPr>
          <w:rFonts w:ascii="Arial Narrow" w:eastAsia="Calibri" w:hAnsi="Arial Narrow"/>
        </w:rPr>
      </w:pPr>
    </w:p>
    <w:p w14:paraId="6E984303" w14:textId="11EA3A63" w:rsidR="00803EF6" w:rsidRPr="007A4EFB" w:rsidRDefault="00803EF6" w:rsidP="00803EF6">
      <w:pPr>
        <w:spacing w:line="360" w:lineRule="auto"/>
        <w:jc w:val="center"/>
        <w:rPr>
          <w:rFonts w:ascii="Arial Narrow" w:eastAsia="Calibri" w:hAnsi="Arial Narrow"/>
          <w:b/>
          <w:bCs/>
        </w:rPr>
      </w:pPr>
      <w:bookmarkStart w:id="122" w:name="_Toc76062295"/>
      <w:r w:rsidRPr="007A4EFB">
        <w:rPr>
          <w:rFonts w:ascii="Arial Narrow" w:hAnsi="Arial Narrow"/>
          <w:b/>
          <w:bCs/>
        </w:rPr>
        <w:t xml:space="preserve">Cuadro </w:t>
      </w:r>
      <w:r w:rsidRPr="007A4EFB">
        <w:rPr>
          <w:rFonts w:ascii="Arial Narrow" w:hAnsi="Arial Narrow"/>
          <w:b/>
          <w:bCs/>
        </w:rPr>
        <w:fldChar w:fldCharType="begin"/>
      </w:r>
      <w:r w:rsidRPr="007A4EFB">
        <w:rPr>
          <w:rFonts w:ascii="Arial Narrow" w:hAnsi="Arial Narrow"/>
          <w:b/>
          <w:bCs/>
        </w:rPr>
        <w:instrText xml:space="preserve"> SEQ Cuadro_No. \* ARABIC </w:instrText>
      </w:r>
      <w:r w:rsidRPr="007A4EFB">
        <w:rPr>
          <w:rFonts w:ascii="Arial Narrow" w:hAnsi="Arial Narrow"/>
          <w:b/>
          <w:bCs/>
        </w:rPr>
        <w:fldChar w:fldCharType="separate"/>
      </w:r>
      <w:r w:rsidR="009D5823">
        <w:rPr>
          <w:rFonts w:ascii="Arial Narrow" w:hAnsi="Arial Narrow"/>
          <w:b/>
          <w:bCs/>
          <w:noProof/>
        </w:rPr>
        <w:t>72</w:t>
      </w:r>
      <w:r w:rsidRPr="007A4EFB">
        <w:rPr>
          <w:rFonts w:ascii="Arial Narrow" w:hAnsi="Arial Narrow"/>
          <w:b/>
          <w:bCs/>
        </w:rPr>
        <w:fldChar w:fldCharType="end"/>
      </w:r>
      <w:r w:rsidRPr="007A4EFB">
        <w:rPr>
          <w:rFonts w:ascii="Arial Narrow" w:hAnsi="Arial Narrow"/>
          <w:b/>
          <w:bCs/>
        </w:rPr>
        <w:t xml:space="preserve"> </w:t>
      </w:r>
      <w:r w:rsidRPr="007A4EFB">
        <w:rPr>
          <w:rFonts w:ascii="Arial Narrow" w:eastAsia="Calibri" w:hAnsi="Arial Narrow"/>
          <w:b/>
          <w:bCs/>
        </w:rPr>
        <w:t>Metas estratégicas de Capacitación, y su cumplimiento para el 2019-2020</w:t>
      </w:r>
      <w:bookmarkEnd w:id="122"/>
    </w:p>
    <w:p w14:paraId="624FAB58" w14:textId="77777777" w:rsidR="00803EF6" w:rsidRDefault="00803EF6" w:rsidP="00803EF6">
      <w:pPr>
        <w:spacing w:line="360" w:lineRule="auto"/>
        <w:jc w:val="both"/>
        <w:rPr>
          <w:rFonts w:ascii="Arial Narrow" w:eastAsia="Calibri" w:hAnsi="Arial Narrow"/>
        </w:rPr>
      </w:pPr>
      <w:r>
        <w:rPr>
          <w:noProof/>
          <w:lang w:val="es-CR" w:eastAsia="es-CR"/>
        </w:rPr>
        <w:drawing>
          <wp:inline distT="0" distB="0" distL="0" distR="0" wp14:anchorId="4D7E5194" wp14:editId="71A7EE82">
            <wp:extent cx="7899400" cy="3123395"/>
            <wp:effectExtent l="19050" t="19050" r="25400" b="20320"/>
            <wp:docPr id="141" name="Imagen 141" descr="Tabla, Calendari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Imagen 107" descr="Tabla, Calendario&#10;&#10;Descripción generada automáticamente"/>
                    <pic:cNvPicPr/>
                  </pic:nvPicPr>
                  <pic:blipFill>
                    <a:blip r:embed="rId134"/>
                    <a:stretch>
                      <a:fillRect/>
                    </a:stretch>
                  </pic:blipFill>
                  <pic:spPr>
                    <a:xfrm>
                      <a:off x="0" y="0"/>
                      <a:ext cx="7905380" cy="3125759"/>
                    </a:xfrm>
                    <a:prstGeom prst="rect">
                      <a:avLst/>
                    </a:prstGeom>
                    <a:ln w="19050">
                      <a:solidFill>
                        <a:schemeClr val="accent1"/>
                      </a:solidFill>
                    </a:ln>
                  </pic:spPr>
                </pic:pic>
              </a:graphicData>
            </a:graphic>
          </wp:inline>
        </w:drawing>
      </w:r>
    </w:p>
    <w:p w14:paraId="256D467B" w14:textId="77777777" w:rsidR="00803EF6" w:rsidRDefault="00803EF6" w:rsidP="00803EF6">
      <w:pPr>
        <w:spacing w:line="360" w:lineRule="auto"/>
        <w:jc w:val="both"/>
        <w:rPr>
          <w:rFonts w:ascii="Arial Narrow" w:eastAsia="Calibri" w:hAnsi="Arial Narrow"/>
        </w:rPr>
      </w:pPr>
      <w:r w:rsidRPr="00EE2E13">
        <w:rPr>
          <w:rFonts w:ascii="Arial Narrow" w:hAnsi="Arial Narrow"/>
          <w:sz w:val="18"/>
          <w:szCs w:val="18"/>
          <w:lang w:val="es-CR" w:eastAsia="es-CR"/>
        </w:rPr>
        <w:t>Fuente: Sistema PEI al 24 de enero del 2020 (año 2019) y 04 de marzo del 2021 (año 2020).</w:t>
      </w:r>
    </w:p>
    <w:p w14:paraId="7201BB65" w14:textId="77777777" w:rsidR="009D5823" w:rsidRDefault="009D5823" w:rsidP="00803EF6">
      <w:pPr>
        <w:spacing w:line="360" w:lineRule="auto"/>
        <w:jc w:val="both"/>
        <w:rPr>
          <w:rFonts w:ascii="Arial Narrow" w:eastAsia="Calibri" w:hAnsi="Arial Narrow"/>
        </w:rPr>
        <w:sectPr w:rsidR="009D5823" w:rsidSect="009D5823">
          <w:pgSz w:w="15842" w:h="12242" w:orient="landscape" w:code="1"/>
          <w:pgMar w:top="1417" w:right="1701" w:bottom="1417" w:left="1701" w:header="709" w:footer="709" w:gutter="0"/>
          <w:cols w:space="708"/>
          <w:docGrid w:linePitch="360"/>
        </w:sectPr>
      </w:pPr>
    </w:p>
    <w:p w14:paraId="307418D2" w14:textId="77777777" w:rsidR="006F4FB2" w:rsidRDefault="006F4FB2" w:rsidP="00803EF6">
      <w:pPr>
        <w:spacing w:line="360" w:lineRule="auto"/>
        <w:jc w:val="both"/>
        <w:rPr>
          <w:rFonts w:ascii="Arial Narrow" w:eastAsia="Calibri" w:hAnsi="Arial Narrow"/>
        </w:rPr>
      </w:pPr>
    </w:p>
    <w:p w14:paraId="362831D1" w14:textId="77777777" w:rsidR="006F4FB2" w:rsidRDefault="006F4FB2" w:rsidP="00803EF6">
      <w:pPr>
        <w:spacing w:line="360" w:lineRule="auto"/>
        <w:jc w:val="both"/>
        <w:rPr>
          <w:rFonts w:ascii="Arial Narrow" w:eastAsia="Calibri" w:hAnsi="Arial Narrow"/>
        </w:rPr>
      </w:pPr>
    </w:p>
    <w:p w14:paraId="49D9D003" w14:textId="70E90315" w:rsidR="00803EF6" w:rsidRDefault="00803EF6" w:rsidP="00803EF6">
      <w:pPr>
        <w:spacing w:line="360" w:lineRule="auto"/>
        <w:jc w:val="both"/>
        <w:rPr>
          <w:rFonts w:ascii="Arial Narrow" w:eastAsia="Calibri" w:hAnsi="Arial Narrow"/>
        </w:rPr>
      </w:pPr>
      <w:r>
        <w:rPr>
          <w:rFonts w:ascii="Arial Narrow" w:eastAsia="Calibri" w:hAnsi="Arial Narrow"/>
        </w:rPr>
        <w:t>L</w:t>
      </w:r>
      <w:r w:rsidRPr="007A4EFB">
        <w:rPr>
          <w:rFonts w:ascii="Arial Narrow" w:eastAsia="Calibri" w:hAnsi="Arial Narrow"/>
        </w:rPr>
        <w:t xml:space="preserve">a </w:t>
      </w:r>
      <w:r>
        <w:rPr>
          <w:rFonts w:ascii="Arial Narrow" w:eastAsia="Calibri" w:hAnsi="Arial Narrow"/>
        </w:rPr>
        <w:t>meta estratégica “</w:t>
      </w:r>
      <w:r w:rsidRPr="00BB205D">
        <w:rPr>
          <w:rFonts w:ascii="Arial Narrow" w:eastAsia="Calibri" w:hAnsi="Arial Narrow"/>
          <w:b/>
          <w:bCs/>
          <w:i/>
          <w:iCs/>
        </w:rPr>
        <w:t>Que al finalizar el 2024, se haya implementado una estrategia de regionalización de la capacitación que permita atender las necesidades regionales de personal judicial, de manera continua</w:t>
      </w:r>
      <w:r>
        <w:rPr>
          <w:rFonts w:ascii="Arial Narrow" w:eastAsia="Calibri" w:hAnsi="Arial Narrow"/>
          <w:b/>
          <w:bCs/>
          <w:i/>
          <w:iCs/>
        </w:rPr>
        <w:t>”</w:t>
      </w:r>
      <w:r w:rsidR="006F4FB2">
        <w:rPr>
          <w:rFonts w:ascii="Arial Narrow" w:eastAsia="Calibri" w:hAnsi="Arial Narrow"/>
          <w:b/>
          <w:bCs/>
          <w:i/>
          <w:iCs/>
        </w:rPr>
        <w:t>,</w:t>
      </w:r>
      <w:r>
        <w:rPr>
          <w:rFonts w:ascii="Arial Narrow" w:eastAsia="Calibri" w:hAnsi="Arial Narrow"/>
        </w:rPr>
        <w:t xml:space="preserve"> la</w:t>
      </w:r>
      <w:r w:rsidRPr="00484CC1">
        <w:rPr>
          <w:rFonts w:ascii="Arial Narrow" w:eastAsia="Calibri" w:hAnsi="Arial Narrow"/>
        </w:rPr>
        <w:t xml:space="preserve"> cual de acuerdo con la revisión efectuada se logró determinar </w:t>
      </w:r>
      <w:r>
        <w:rPr>
          <w:rFonts w:ascii="Arial Narrow" w:eastAsia="Calibri" w:hAnsi="Arial Narrow"/>
        </w:rPr>
        <w:t>que para el 2019 tiene un cumplimiento alto del 100%, sin embargo, para el 2020 se registra un 50% de cumplimiento medio. Se destaca que la Escuela Judicial manifiesta que para el 2019 avanzaron en la atención de las sedes regionales de acuerdo con las giras de trabajo que realizaron en ese año. Para el 2020, se manifiesta que, po</w:t>
      </w:r>
      <w:r w:rsidRPr="002E0B96">
        <w:rPr>
          <w:rFonts w:ascii="Arial Narrow" w:eastAsia="Calibri" w:hAnsi="Arial Narrow"/>
        </w:rPr>
        <w:t xml:space="preserve">r el tema de la Pandemia, hubo afectación para lograr la meta por lo que estaban en proceso de definición de </w:t>
      </w:r>
      <w:r>
        <w:rPr>
          <w:rFonts w:ascii="Arial Narrow" w:eastAsia="Calibri" w:hAnsi="Arial Narrow"/>
        </w:rPr>
        <w:t>s</w:t>
      </w:r>
      <w:r w:rsidRPr="002E0B96">
        <w:rPr>
          <w:rFonts w:ascii="Arial Narrow" w:eastAsia="Calibri" w:hAnsi="Arial Narrow"/>
        </w:rPr>
        <w:t xml:space="preserve">edes a </w:t>
      </w:r>
      <w:r>
        <w:rPr>
          <w:rFonts w:ascii="Arial Narrow" w:eastAsia="Calibri" w:hAnsi="Arial Narrow"/>
        </w:rPr>
        <w:t>d</w:t>
      </w:r>
      <w:r w:rsidRPr="002E0B96">
        <w:rPr>
          <w:rFonts w:ascii="Arial Narrow" w:eastAsia="Calibri" w:hAnsi="Arial Narrow"/>
        </w:rPr>
        <w:t>iagnosticar, sin embargo, no se realizó ningún diagnóstico de zonas regionales, pues hacia el final del año 2020, se centró la actividad en el diseño de varias actividades de capacitación para ejecutar en 2021</w:t>
      </w:r>
      <w:r>
        <w:rPr>
          <w:rFonts w:ascii="Arial Narrow" w:eastAsia="Calibri" w:hAnsi="Arial Narrow"/>
        </w:rPr>
        <w:t>.</w:t>
      </w:r>
    </w:p>
    <w:p w14:paraId="440DEEB0" w14:textId="77777777" w:rsidR="00803EF6" w:rsidRDefault="00803EF6" w:rsidP="00803EF6">
      <w:pPr>
        <w:spacing w:line="360" w:lineRule="auto"/>
        <w:jc w:val="both"/>
        <w:rPr>
          <w:rFonts w:ascii="Arial Narrow" w:eastAsia="Calibri" w:hAnsi="Arial Narrow"/>
        </w:rPr>
      </w:pPr>
    </w:p>
    <w:p w14:paraId="658AA97B" w14:textId="719C280A" w:rsidR="00803EF6" w:rsidRDefault="00803EF6" w:rsidP="00803EF6">
      <w:pPr>
        <w:spacing w:line="360" w:lineRule="auto"/>
        <w:jc w:val="both"/>
        <w:rPr>
          <w:rFonts w:ascii="Arial Narrow" w:eastAsia="Calibri" w:hAnsi="Arial Narrow"/>
        </w:rPr>
      </w:pPr>
      <w:r>
        <w:rPr>
          <w:rFonts w:ascii="Arial Narrow" w:eastAsia="Calibri" w:hAnsi="Arial Narrow"/>
        </w:rPr>
        <w:t>Por otra parte, l</w:t>
      </w:r>
      <w:r w:rsidRPr="007A4EFB">
        <w:rPr>
          <w:rFonts w:ascii="Arial Narrow" w:eastAsia="Calibri" w:hAnsi="Arial Narrow"/>
        </w:rPr>
        <w:t xml:space="preserve">a </w:t>
      </w:r>
      <w:r>
        <w:rPr>
          <w:rFonts w:ascii="Arial Narrow" w:eastAsia="Calibri" w:hAnsi="Arial Narrow"/>
        </w:rPr>
        <w:t>meta estratégica “</w:t>
      </w:r>
      <w:r w:rsidRPr="00AA1269">
        <w:rPr>
          <w:rFonts w:ascii="Arial Narrow" w:eastAsia="Calibri" w:hAnsi="Arial Narrow"/>
          <w:b/>
          <w:bCs/>
          <w:i/>
          <w:iCs/>
        </w:rPr>
        <w:t>Que al finalizar el 2024, se hayan diseñado e implementado, al menos 5 actividades de capacitación anuales por parte de la Escuela Judicial, acorde a los perfiles competenciales de la población meta que se desea capacitar, con el fin de alcanzar el desempeño deseado en la función</w:t>
      </w:r>
      <w:r>
        <w:rPr>
          <w:rFonts w:ascii="Arial Narrow" w:eastAsia="Calibri" w:hAnsi="Arial Narrow"/>
          <w:b/>
          <w:bCs/>
          <w:i/>
          <w:iCs/>
        </w:rPr>
        <w:t>”</w:t>
      </w:r>
      <w:r w:rsidR="006F4FB2">
        <w:rPr>
          <w:rFonts w:ascii="Arial Narrow" w:eastAsia="Calibri" w:hAnsi="Arial Narrow"/>
          <w:b/>
          <w:bCs/>
          <w:i/>
          <w:iCs/>
        </w:rPr>
        <w:t>,</w:t>
      </w:r>
      <w:r>
        <w:rPr>
          <w:rFonts w:ascii="Arial Narrow" w:eastAsia="Calibri" w:hAnsi="Arial Narrow"/>
        </w:rPr>
        <w:t xml:space="preserve"> la</w:t>
      </w:r>
      <w:r w:rsidRPr="00484CC1">
        <w:rPr>
          <w:rFonts w:ascii="Arial Narrow" w:eastAsia="Calibri" w:hAnsi="Arial Narrow"/>
        </w:rPr>
        <w:t xml:space="preserve"> cual de acuerdo con la revisión efectuada se logró determinar </w:t>
      </w:r>
      <w:r>
        <w:rPr>
          <w:rFonts w:ascii="Arial Narrow" w:eastAsia="Calibri" w:hAnsi="Arial Narrow"/>
        </w:rPr>
        <w:t>que para el 2019 y 2020 se tiene un cumplimiento alto del 100%. Se destaca que la Escuela Judicial manifiesta que para el 2019 se trabajaron en</w:t>
      </w:r>
      <w:r w:rsidRPr="002E0B96">
        <w:rPr>
          <w:rFonts w:ascii="Arial Narrow" w:eastAsia="Calibri" w:hAnsi="Arial Narrow"/>
        </w:rPr>
        <w:t xml:space="preserve"> los siguientes mapas funcionales: </w:t>
      </w:r>
      <w:r w:rsidRPr="002E0B96">
        <w:rPr>
          <w:rFonts w:ascii="Arial Narrow" w:eastAsia="Calibri" w:hAnsi="Arial Narrow"/>
          <w:i/>
          <w:iCs/>
        </w:rPr>
        <w:t>1. Persona juzgadora Penal 4 2. Personas juzgadoras con roles de disponibilidad en las materias a. Penal b. Penal Juvenil c. Contencioso-administrativo d. Violencia Doméstica 3. Personas juzgadoras 3 Contencioso-administrativo</w:t>
      </w:r>
      <w:r>
        <w:rPr>
          <w:rFonts w:ascii="Arial Narrow" w:eastAsia="Calibri" w:hAnsi="Arial Narrow"/>
        </w:rPr>
        <w:t>, a su vez s</w:t>
      </w:r>
      <w:r w:rsidRPr="002E0B96">
        <w:rPr>
          <w:rFonts w:ascii="Arial Narrow" w:eastAsia="Calibri" w:hAnsi="Arial Narrow"/>
        </w:rPr>
        <w:t>e brind</w:t>
      </w:r>
      <w:r>
        <w:rPr>
          <w:rFonts w:ascii="Arial Narrow" w:eastAsia="Calibri" w:hAnsi="Arial Narrow"/>
        </w:rPr>
        <w:t>ó</w:t>
      </w:r>
      <w:r w:rsidRPr="002E0B96">
        <w:rPr>
          <w:rFonts w:ascii="Arial Narrow" w:eastAsia="Calibri" w:hAnsi="Arial Narrow"/>
        </w:rPr>
        <w:t xml:space="preserve"> asesoramiento sobre la elaboración e importancia del mapa funcional a </w:t>
      </w:r>
      <w:r>
        <w:rPr>
          <w:rFonts w:ascii="Arial Narrow" w:eastAsia="Calibri" w:hAnsi="Arial Narrow"/>
        </w:rPr>
        <w:t>la Dirección de</w:t>
      </w:r>
      <w:r w:rsidRPr="002E0B96">
        <w:rPr>
          <w:rFonts w:ascii="Arial Narrow" w:eastAsia="Calibri" w:hAnsi="Arial Narrow"/>
        </w:rPr>
        <w:t xml:space="preserve"> Gestión Humana</w:t>
      </w:r>
      <w:r>
        <w:rPr>
          <w:rFonts w:ascii="Arial Narrow" w:eastAsia="Calibri" w:hAnsi="Arial Narrow"/>
        </w:rPr>
        <w:t xml:space="preserve">. Para el 2020, se ejecutan las </w:t>
      </w:r>
      <w:r w:rsidRPr="002E0B96">
        <w:rPr>
          <w:rFonts w:ascii="Arial Narrow" w:eastAsia="Calibri" w:hAnsi="Arial Narrow"/>
        </w:rPr>
        <w:t>siguientes actividades: a- Justicia Restaurativa en ejecución de la pena b- Dirección del proceso (FIAJ) c- Función jurisdiccional (FIAJ) e- Valoración de la prueba (FIAJ)</w:t>
      </w:r>
      <w:r>
        <w:rPr>
          <w:rFonts w:ascii="Arial Narrow" w:eastAsia="Calibri" w:hAnsi="Arial Narrow"/>
        </w:rPr>
        <w:t>.</w:t>
      </w:r>
    </w:p>
    <w:p w14:paraId="1394C1D5" w14:textId="3F0BFC10" w:rsidR="006F4FB2" w:rsidRDefault="006F4FB2">
      <w:pPr>
        <w:rPr>
          <w:rFonts w:ascii="Arial Narrow" w:eastAsia="Calibri" w:hAnsi="Arial Narrow"/>
        </w:rPr>
      </w:pPr>
      <w:r>
        <w:rPr>
          <w:rFonts w:ascii="Arial Narrow" w:eastAsia="Calibri" w:hAnsi="Arial Narrow"/>
        </w:rPr>
        <w:br w:type="page"/>
      </w:r>
    </w:p>
    <w:p w14:paraId="49D1C32F" w14:textId="77777777" w:rsidR="00803EF6" w:rsidRDefault="00803EF6" w:rsidP="00803EF6">
      <w:pPr>
        <w:spacing w:line="360" w:lineRule="auto"/>
        <w:jc w:val="both"/>
        <w:rPr>
          <w:rFonts w:ascii="Arial Narrow" w:eastAsia="Calibri" w:hAnsi="Arial Narrow"/>
        </w:rPr>
      </w:pPr>
    </w:p>
    <w:p w14:paraId="4CDCBC4E" w14:textId="0EB8F28F" w:rsidR="00803EF6" w:rsidRDefault="00803EF6" w:rsidP="00803EF6">
      <w:pPr>
        <w:spacing w:line="360" w:lineRule="auto"/>
        <w:jc w:val="both"/>
        <w:rPr>
          <w:rFonts w:ascii="Arial Narrow" w:eastAsia="Calibri" w:hAnsi="Arial Narrow"/>
        </w:rPr>
      </w:pPr>
      <w:r>
        <w:rPr>
          <w:rFonts w:ascii="Arial Narrow" w:eastAsia="Calibri" w:hAnsi="Arial Narrow"/>
        </w:rPr>
        <w:t>A su vez, l</w:t>
      </w:r>
      <w:r w:rsidRPr="007A4EFB">
        <w:rPr>
          <w:rFonts w:ascii="Arial Narrow" w:eastAsia="Calibri" w:hAnsi="Arial Narrow"/>
        </w:rPr>
        <w:t xml:space="preserve">a </w:t>
      </w:r>
      <w:r>
        <w:rPr>
          <w:rFonts w:ascii="Arial Narrow" w:eastAsia="Calibri" w:hAnsi="Arial Narrow"/>
        </w:rPr>
        <w:t>meta estratégica “</w:t>
      </w:r>
      <w:r w:rsidRPr="00AA1269">
        <w:rPr>
          <w:rFonts w:ascii="Arial Narrow" w:eastAsia="Calibri" w:hAnsi="Arial Narrow"/>
          <w:b/>
          <w:bCs/>
          <w:i/>
          <w:iCs/>
        </w:rPr>
        <w:t>Que al finalizar el 2024, se hayan diseñado e implementado, al menos 5 actividades de capacitación anuales por parte de la Unidad de Capacitación del Ministerio Público, acorde a los perfiles competenciales de la población meta que se desea capacitar, con el fin de alcanzar el desempeño deseado en la función</w:t>
      </w:r>
      <w:r>
        <w:rPr>
          <w:rFonts w:ascii="Arial Narrow" w:eastAsia="Calibri" w:hAnsi="Arial Narrow"/>
          <w:b/>
          <w:bCs/>
          <w:i/>
          <w:iCs/>
        </w:rPr>
        <w:t>”</w:t>
      </w:r>
      <w:r w:rsidR="006F4FB2">
        <w:rPr>
          <w:rFonts w:ascii="Arial Narrow" w:eastAsia="Calibri" w:hAnsi="Arial Narrow"/>
          <w:b/>
          <w:bCs/>
          <w:i/>
          <w:iCs/>
        </w:rPr>
        <w:t>,</w:t>
      </w:r>
      <w:r>
        <w:rPr>
          <w:rFonts w:ascii="Arial Narrow" w:eastAsia="Calibri" w:hAnsi="Arial Narrow"/>
        </w:rPr>
        <w:t xml:space="preserve"> la</w:t>
      </w:r>
      <w:r w:rsidRPr="00484CC1">
        <w:rPr>
          <w:rFonts w:ascii="Arial Narrow" w:eastAsia="Calibri" w:hAnsi="Arial Narrow"/>
        </w:rPr>
        <w:t xml:space="preserve"> cual de acuerdo con la revisión efectuada se logró determinar </w:t>
      </w:r>
      <w:r>
        <w:rPr>
          <w:rFonts w:ascii="Arial Narrow" w:eastAsia="Calibri" w:hAnsi="Arial Narrow"/>
        </w:rPr>
        <w:t>que para el 2019 y 2020 se tiene un cumplimiento alto del 100%. Se menciona que la Unidad de Capacitación del Ministerio Público manifiesta que para el 2019 s</w:t>
      </w:r>
      <w:r w:rsidRPr="002E0B96">
        <w:rPr>
          <w:rFonts w:ascii="Arial Narrow" w:eastAsia="Calibri" w:hAnsi="Arial Narrow"/>
        </w:rPr>
        <w:t>e ejecutaron las cinco acciones seleccionadas, a saber: - Taller Cadena de custodia - Taller de atención a personas usuarias - Fundamentos de la prueba penal - Entrevista forense en DS - Argumentación Jurídica. Los dos primeros son del programa de Técnicos Judiciales y los tres últimos del Programa de Fiscales</w:t>
      </w:r>
      <w:r>
        <w:rPr>
          <w:rFonts w:ascii="Arial Narrow" w:eastAsia="Calibri" w:hAnsi="Arial Narrow"/>
        </w:rPr>
        <w:t xml:space="preserve">. </w:t>
      </w:r>
      <w:r w:rsidRPr="002E0B96">
        <w:rPr>
          <w:rFonts w:ascii="Arial Narrow" w:eastAsia="Calibri" w:hAnsi="Arial Narrow"/>
        </w:rPr>
        <w:t xml:space="preserve"> Los </w:t>
      </w:r>
      <w:r>
        <w:rPr>
          <w:rFonts w:ascii="Arial Narrow" w:eastAsia="Calibri" w:hAnsi="Arial Narrow"/>
        </w:rPr>
        <w:t>m</w:t>
      </w:r>
      <w:r w:rsidRPr="002E0B96">
        <w:rPr>
          <w:rFonts w:ascii="Arial Narrow" w:eastAsia="Calibri" w:hAnsi="Arial Narrow"/>
        </w:rPr>
        <w:t>apas fueron utilizados y validados</w:t>
      </w:r>
      <w:r>
        <w:rPr>
          <w:rFonts w:ascii="Arial Narrow" w:eastAsia="Calibri" w:hAnsi="Arial Narrow"/>
        </w:rPr>
        <w:t xml:space="preserve"> y están en</w:t>
      </w:r>
      <w:r w:rsidRPr="002E0B96">
        <w:rPr>
          <w:rFonts w:ascii="Arial Narrow" w:eastAsia="Calibri" w:hAnsi="Arial Narrow"/>
        </w:rPr>
        <w:t xml:space="preserve"> proceso de mejoramiento continuo. Estos mapas deberán ser actualizados constantemente</w:t>
      </w:r>
      <w:r>
        <w:rPr>
          <w:rFonts w:ascii="Arial Narrow" w:eastAsia="Calibri" w:hAnsi="Arial Narrow"/>
        </w:rPr>
        <w:t xml:space="preserve">. Para el 2020, informa por parte de la Unidad que se </w:t>
      </w:r>
      <w:r w:rsidRPr="002E0B96">
        <w:rPr>
          <w:rFonts w:ascii="Arial Narrow" w:eastAsia="Calibri" w:hAnsi="Arial Narrow"/>
        </w:rPr>
        <w:t>consideran los mapas funcionales en la realización de Diseños Curriculares de cursos dirigidos a personal de apoyo por ejemplo gestión del despacho, tramitación de expedientes y cadena de custodia, sin embargo,</w:t>
      </w:r>
      <w:r>
        <w:rPr>
          <w:rFonts w:ascii="Arial Narrow" w:eastAsia="Calibri" w:hAnsi="Arial Narrow"/>
        </w:rPr>
        <w:t xml:space="preserve"> </w:t>
      </w:r>
      <w:r w:rsidRPr="002E0B96">
        <w:rPr>
          <w:rFonts w:ascii="Arial Narrow" w:eastAsia="Calibri" w:hAnsi="Arial Narrow"/>
        </w:rPr>
        <w:t>ya existen los mapas funcionales la adaptabilidad del diseño de los cursos aún no se encuentran realizados en su totalidad. Se cuenta con un mapa funcional del puesto de Fiscal Auxiliar y para personal Técnico Judicial</w:t>
      </w:r>
      <w:r>
        <w:rPr>
          <w:rFonts w:ascii="Arial Narrow" w:eastAsia="Calibri" w:hAnsi="Arial Narrow"/>
        </w:rPr>
        <w:t>.</w:t>
      </w:r>
    </w:p>
    <w:p w14:paraId="3ADC978B" w14:textId="77777777" w:rsidR="009D5823" w:rsidRDefault="009D5823" w:rsidP="00803EF6">
      <w:pPr>
        <w:spacing w:line="360" w:lineRule="auto"/>
        <w:jc w:val="both"/>
        <w:rPr>
          <w:rFonts w:ascii="Arial Narrow" w:eastAsia="Calibri" w:hAnsi="Arial Narrow"/>
        </w:rPr>
        <w:sectPr w:rsidR="009D5823" w:rsidSect="009D5823">
          <w:pgSz w:w="12242" w:h="15842" w:code="1"/>
          <w:pgMar w:top="1701" w:right="1417" w:bottom="1701" w:left="1417" w:header="709" w:footer="709" w:gutter="0"/>
          <w:cols w:space="708"/>
          <w:docGrid w:linePitch="360"/>
        </w:sectPr>
      </w:pPr>
    </w:p>
    <w:p w14:paraId="768AE017" w14:textId="2CE4C076" w:rsidR="00803EF6" w:rsidRPr="007A4EFB" w:rsidRDefault="00803EF6" w:rsidP="00803EF6">
      <w:pPr>
        <w:spacing w:line="360" w:lineRule="auto"/>
        <w:jc w:val="center"/>
        <w:rPr>
          <w:rFonts w:ascii="Arial Narrow" w:eastAsia="Calibri" w:hAnsi="Arial Narrow"/>
          <w:b/>
          <w:bCs/>
        </w:rPr>
      </w:pPr>
      <w:bookmarkStart w:id="123" w:name="_Toc76062296"/>
      <w:r w:rsidRPr="007A4EFB">
        <w:rPr>
          <w:rFonts w:ascii="Arial Narrow" w:hAnsi="Arial Narrow"/>
          <w:b/>
          <w:bCs/>
        </w:rPr>
        <w:lastRenderedPageBreak/>
        <w:t xml:space="preserve">Cuadro </w:t>
      </w:r>
      <w:r w:rsidRPr="007A4EFB">
        <w:rPr>
          <w:rFonts w:ascii="Arial Narrow" w:hAnsi="Arial Narrow"/>
          <w:b/>
          <w:bCs/>
        </w:rPr>
        <w:fldChar w:fldCharType="begin"/>
      </w:r>
      <w:r w:rsidRPr="007A4EFB">
        <w:rPr>
          <w:rFonts w:ascii="Arial Narrow" w:hAnsi="Arial Narrow"/>
          <w:b/>
          <w:bCs/>
        </w:rPr>
        <w:instrText xml:space="preserve"> SEQ Cuadro_No. \* ARABIC </w:instrText>
      </w:r>
      <w:r w:rsidRPr="007A4EFB">
        <w:rPr>
          <w:rFonts w:ascii="Arial Narrow" w:hAnsi="Arial Narrow"/>
          <w:b/>
          <w:bCs/>
        </w:rPr>
        <w:fldChar w:fldCharType="separate"/>
      </w:r>
      <w:r w:rsidR="009D5823">
        <w:rPr>
          <w:rFonts w:ascii="Arial Narrow" w:hAnsi="Arial Narrow"/>
          <w:b/>
          <w:bCs/>
          <w:noProof/>
        </w:rPr>
        <w:t>73</w:t>
      </w:r>
      <w:r w:rsidRPr="007A4EFB">
        <w:rPr>
          <w:rFonts w:ascii="Arial Narrow" w:hAnsi="Arial Narrow"/>
          <w:b/>
          <w:bCs/>
        </w:rPr>
        <w:fldChar w:fldCharType="end"/>
      </w:r>
      <w:r w:rsidRPr="007A4EFB">
        <w:rPr>
          <w:rFonts w:ascii="Arial Narrow" w:hAnsi="Arial Narrow"/>
          <w:b/>
          <w:bCs/>
        </w:rPr>
        <w:t xml:space="preserve"> </w:t>
      </w:r>
      <w:r w:rsidRPr="007A4EFB">
        <w:rPr>
          <w:rFonts w:ascii="Arial Narrow" w:eastAsia="Calibri" w:hAnsi="Arial Narrow"/>
          <w:b/>
          <w:bCs/>
        </w:rPr>
        <w:t>Metas estratégicas de Capacitación, y su cumplimiento para el 2019-2020</w:t>
      </w:r>
      <w:bookmarkEnd w:id="123"/>
    </w:p>
    <w:p w14:paraId="48C3D5B4" w14:textId="77777777" w:rsidR="00803EF6" w:rsidRDefault="00803EF6" w:rsidP="00803EF6">
      <w:pPr>
        <w:spacing w:line="360" w:lineRule="auto"/>
        <w:jc w:val="both"/>
        <w:rPr>
          <w:rFonts w:ascii="Arial Narrow" w:eastAsia="Calibri" w:hAnsi="Arial Narrow"/>
        </w:rPr>
      </w:pPr>
      <w:r>
        <w:rPr>
          <w:noProof/>
          <w:lang w:val="es-CR" w:eastAsia="es-CR"/>
        </w:rPr>
        <w:drawing>
          <wp:inline distT="0" distB="0" distL="0" distR="0" wp14:anchorId="356BD2C1" wp14:editId="17C3DAC3">
            <wp:extent cx="7899400" cy="3239305"/>
            <wp:effectExtent l="19050" t="19050" r="25400" b="18415"/>
            <wp:docPr id="144" name="Imagen 144"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Imagen 108" descr="Tabla&#10;&#10;Descripción generada automáticamente"/>
                    <pic:cNvPicPr/>
                  </pic:nvPicPr>
                  <pic:blipFill>
                    <a:blip r:embed="rId135"/>
                    <a:stretch>
                      <a:fillRect/>
                    </a:stretch>
                  </pic:blipFill>
                  <pic:spPr>
                    <a:xfrm>
                      <a:off x="0" y="0"/>
                      <a:ext cx="7901439" cy="3240141"/>
                    </a:xfrm>
                    <a:prstGeom prst="rect">
                      <a:avLst/>
                    </a:prstGeom>
                    <a:ln w="12700">
                      <a:solidFill>
                        <a:schemeClr val="accent1"/>
                      </a:solidFill>
                    </a:ln>
                  </pic:spPr>
                </pic:pic>
              </a:graphicData>
            </a:graphic>
          </wp:inline>
        </w:drawing>
      </w:r>
    </w:p>
    <w:p w14:paraId="1BEA4444" w14:textId="77777777" w:rsidR="00803EF6" w:rsidRDefault="00803EF6" w:rsidP="00803EF6">
      <w:pPr>
        <w:spacing w:line="360" w:lineRule="auto"/>
        <w:jc w:val="both"/>
        <w:rPr>
          <w:rFonts w:ascii="Arial Narrow" w:eastAsia="Calibri" w:hAnsi="Arial Narrow"/>
        </w:rPr>
      </w:pPr>
      <w:r w:rsidRPr="00EE2E13">
        <w:rPr>
          <w:rFonts w:ascii="Arial Narrow" w:hAnsi="Arial Narrow"/>
          <w:sz w:val="18"/>
          <w:szCs w:val="18"/>
          <w:lang w:val="es-CR" w:eastAsia="es-CR"/>
        </w:rPr>
        <w:t>Fuente: Sistema PEI al 24 de enero del 2020 (año 2019) y 04 de marzo del 2021 (año 2020).</w:t>
      </w:r>
    </w:p>
    <w:p w14:paraId="0549B16F" w14:textId="77777777" w:rsidR="00803EF6" w:rsidRDefault="00803EF6" w:rsidP="00803EF6">
      <w:pPr>
        <w:spacing w:line="360" w:lineRule="auto"/>
        <w:jc w:val="both"/>
        <w:rPr>
          <w:rFonts w:ascii="Arial Narrow" w:eastAsia="Calibri" w:hAnsi="Arial Narrow"/>
        </w:rPr>
      </w:pPr>
    </w:p>
    <w:p w14:paraId="07FCDD74" w14:textId="77777777" w:rsidR="009D5823" w:rsidRDefault="009D5823" w:rsidP="00803EF6">
      <w:pPr>
        <w:spacing w:line="360" w:lineRule="auto"/>
        <w:jc w:val="both"/>
        <w:rPr>
          <w:rFonts w:ascii="Arial Narrow" w:eastAsia="Calibri" w:hAnsi="Arial Narrow"/>
        </w:rPr>
        <w:sectPr w:rsidR="009D5823" w:rsidSect="009D5823">
          <w:pgSz w:w="15842" w:h="12242" w:orient="landscape" w:code="1"/>
          <w:pgMar w:top="1417" w:right="1701" w:bottom="1417" w:left="1701" w:header="709" w:footer="709" w:gutter="0"/>
          <w:cols w:space="708"/>
          <w:docGrid w:linePitch="360"/>
        </w:sectPr>
      </w:pPr>
    </w:p>
    <w:p w14:paraId="366C005A" w14:textId="77777777" w:rsidR="006F4FB2" w:rsidRDefault="006F4FB2" w:rsidP="00803EF6">
      <w:pPr>
        <w:spacing w:line="360" w:lineRule="auto"/>
        <w:jc w:val="both"/>
        <w:rPr>
          <w:rFonts w:ascii="Arial Narrow" w:eastAsia="Calibri" w:hAnsi="Arial Narrow"/>
        </w:rPr>
      </w:pPr>
    </w:p>
    <w:p w14:paraId="5CE0B8FB" w14:textId="685646F2" w:rsidR="00803EF6" w:rsidRDefault="00803EF6" w:rsidP="00803EF6">
      <w:pPr>
        <w:spacing w:line="360" w:lineRule="auto"/>
        <w:jc w:val="both"/>
        <w:rPr>
          <w:rFonts w:ascii="Arial Narrow" w:eastAsia="Calibri" w:hAnsi="Arial Narrow"/>
        </w:rPr>
      </w:pPr>
      <w:r>
        <w:rPr>
          <w:rFonts w:ascii="Arial Narrow" w:eastAsia="Calibri" w:hAnsi="Arial Narrow"/>
        </w:rPr>
        <w:t>L</w:t>
      </w:r>
      <w:r w:rsidRPr="007A4EFB">
        <w:rPr>
          <w:rFonts w:ascii="Arial Narrow" w:eastAsia="Calibri" w:hAnsi="Arial Narrow"/>
        </w:rPr>
        <w:t xml:space="preserve">a </w:t>
      </w:r>
      <w:r>
        <w:rPr>
          <w:rFonts w:ascii="Arial Narrow" w:eastAsia="Calibri" w:hAnsi="Arial Narrow"/>
        </w:rPr>
        <w:t>meta estratégica “</w:t>
      </w:r>
      <w:r w:rsidRPr="0077648D">
        <w:rPr>
          <w:rFonts w:ascii="Arial Narrow" w:eastAsia="Calibri" w:hAnsi="Arial Narrow"/>
          <w:b/>
          <w:bCs/>
          <w:i/>
          <w:iCs/>
        </w:rPr>
        <w:t>Que al finalizar el 2024, se hayan diseñado e implementado, al menos  5 actividades de capacitación anuales por parte de la Unidad de Capacitación de la Defensa Pública, acorde a  los perfiles competenciales de la población meta que se desea capacitar, con el fin de alcanzar  el desempeño deseado en la función</w:t>
      </w:r>
      <w:r>
        <w:rPr>
          <w:rFonts w:ascii="Arial Narrow" w:eastAsia="Calibri" w:hAnsi="Arial Narrow"/>
          <w:b/>
          <w:bCs/>
          <w:i/>
          <w:iCs/>
        </w:rPr>
        <w:t>”</w:t>
      </w:r>
      <w:r w:rsidR="006F4FB2">
        <w:rPr>
          <w:rFonts w:ascii="Arial Narrow" w:eastAsia="Calibri" w:hAnsi="Arial Narrow"/>
          <w:b/>
          <w:bCs/>
          <w:i/>
          <w:iCs/>
        </w:rPr>
        <w:t>,</w:t>
      </w:r>
      <w:r>
        <w:rPr>
          <w:rFonts w:ascii="Arial Narrow" w:eastAsia="Calibri" w:hAnsi="Arial Narrow"/>
        </w:rPr>
        <w:t xml:space="preserve"> la</w:t>
      </w:r>
      <w:r w:rsidRPr="00484CC1">
        <w:rPr>
          <w:rFonts w:ascii="Arial Narrow" w:eastAsia="Calibri" w:hAnsi="Arial Narrow"/>
        </w:rPr>
        <w:t xml:space="preserve"> cual de acuerdo con la revisión efectuada se logró determinar </w:t>
      </w:r>
      <w:r>
        <w:rPr>
          <w:rFonts w:ascii="Arial Narrow" w:eastAsia="Calibri" w:hAnsi="Arial Narrow"/>
        </w:rPr>
        <w:t xml:space="preserve">que para el 2019 y 2020 se tiene un cumplimiento alto del 100%, donde se destaca lo consignado por la oficina con respecto a los resultados, en el 2019 </w:t>
      </w:r>
      <w:r w:rsidRPr="002E0B96">
        <w:rPr>
          <w:rFonts w:ascii="Arial Narrow" w:eastAsia="Calibri" w:hAnsi="Arial Narrow"/>
        </w:rPr>
        <w:t>se completó el mapa funcional y se impartieron los cinco cursos. Lo anterior en materia laboral, pues es la que tiene los perfiles competenciales.</w:t>
      </w:r>
      <w:r>
        <w:rPr>
          <w:rFonts w:ascii="Arial Narrow" w:eastAsia="Calibri" w:hAnsi="Arial Narrow"/>
        </w:rPr>
        <w:t xml:space="preserve"> En el 2020, se adjunta el mapa funcional del puesto de Abogado y Abogada de asistencia Social con el propósito de representar a la persona usuaria en la ejecución de todas las acciones necesarias para la protección de los derechos laborales.</w:t>
      </w:r>
    </w:p>
    <w:p w14:paraId="3425516C" w14:textId="77777777" w:rsidR="00803EF6" w:rsidRDefault="00803EF6" w:rsidP="00803EF6">
      <w:pPr>
        <w:spacing w:line="360" w:lineRule="auto"/>
        <w:jc w:val="both"/>
        <w:rPr>
          <w:rFonts w:ascii="Arial Narrow" w:eastAsia="Calibri" w:hAnsi="Arial Narrow"/>
        </w:rPr>
      </w:pPr>
    </w:p>
    <w:p w14:paraId="2EBE4316" w14:textId="23829A2F" w:rsidR="00803EF6" w:rsidRPr="002E0B96" w:rsidRDefault="00803EF6" w:rsidP="00803EF6">
      <w:pPr>
        <w:spacing w:line="360" w:lineRule="auto"/>
        <w:jc w:val="both"/>
        <w:rPr>
          <w:rFonts w:ascii="Arial Narrow" w:eastAsia="Calibri" w:hAnsi="Arial Narrow"/>
        </w:rPr>
      </w:pPr>
      <w:r>
        <w:rPr>
          <w:rFonts w:ascii="Arial Narrow" w:eastAsia="Calibri" w:hAnsi="Arial Narrow"/>
        </w:rPr>
        <w:t>Por otra parte, l</w:t>
      </w:r>
      <w:r w:rsidRPr="007A4EFB">
        <w:rPr>
          <w:rFonts w:ascii="Arial Narrow" w:eastAsia="Calibri" w:hAnsi="Arial Narrow"/>
        </w:rPr>
        <w:t xml:space="preserve">a </w:t>
      </w:r>
      <w:r>
        <w:rPr>
          <w:rFonts w:ascii="Arial Narrow" w:eastAsia="Calibri" w:hAnsi="Arial Narrow"/>
        </w:rPr>
        <w:t>meta estratégica “</w:t>
      </w:r>
      <w:r w:rsidRPr="0077648D">
        <w:rPr>
          <w:rFonts w:ascii="Arial Narrow" w:eastAsia="Calibri" w:hAnsi="Arial Narrow"/>
          <w:b/>
          <w:bCs/>
          <w:i/>
          <w:iCs/>
        </w:rPr>
        <w:t>Que al finalizar el 2024, se hayan diseñado e implementado, al menos  5 actividades de capacitación anuales por parte de la Unidad de Capacitación del Organismo de Investigación Judicial, acorde a  los perfiles competenciales de la población meta que se desea capacitar, con el fin de alcanzar  el desempeño deseado en la función</w:t>
      </w:r>
      <w:r>
        <w:rPr>
          <w:rFonts w:ascii="Arial Narrow" w:eastAsia="Calibri" w:hAnsi="Arial Narrow"/>
          <w:b/>
          <w:bCs/>
          <w:i/>
          <w:iCs/>
        </w:rPr>
        <w:t>”</w:t>
      </w:r>
      <w:r w:rsidR="006F4FB2">
        <w:rPr>
          <w:rFonts w:ascii="Arial Narrow" w:eastAsia="Calibri" w:hAnsi="Arial Narrow"/>
          <w:b/>
          <w:bCs/>
          <w:i/>
          <w:iCs/>
        </w:rPr>
        <w:t xml:space="preserve">, </w:t>
      </w:r>
      <w:r>
        <w:rPr>
          <w:rFonts w:ascii="Arial Narrow" w:eastAsia="Calibri" w:hAnsi="Arial Narrow"/>
        </w:rPr>
        <w:t xml:space="preserve"> la</w:t>
      </w:r>
      <w:r w:rsidRPr="00484CC1">
        <w:rPr>
          <w:rFonts w:ascii="Arial Narrow" w:eastAsia="Calibri" w:hAnsi="Arial Narrow"/>
        </w:rPr>
        <w:t xml:space="preserve"> cual de acuerdo con la revisión efectuada se logró determinar </w:t>
      </w:r>
      <w:r>
        <w:rPr>
          <w:rFonts w:ascii="Arial Narrow" w:eastAsia="Calibri" w:hAnsi="Arial Narrow"/>
        </w:rPr>
        <w:t>que para el 2019 tiene un cumplimiento alto del 100% y para el 2020, se registra un 60% de cumplimiento. Se destaca que la Unidad de Adiestramiento manifiesta que para el 2019 se trabajaron en</w:t>
      </w:r>
      <w:r w:rsidRPr="007A4EFB">
        <w:rPr>
          <w:rFonts w:ascii="Arial Narrow" w:eastAsia="Calibri" w:hAnsi="Arial Narrow"/>
        </w:rPr>
        <w:t xml:space="preserve"> </w:t>
      </w:r>
      <w:r>
        <w:rPr>
          <w:rFonts w:ascii="Arial Narrow" w:eastAsia="Calibri" w:hAnsi="Arial Narrow"/>
        </w:rPr>
        <w:t>la confección de los diferentes</w:t>
      </w:r>
      <w:r w:rsidRPr="007A4EFB">
        <w:rPr>
          <w:rFonts w:ascii="Arial Narrow" w:eastAsia="Calibri" w:hAnsi="Arial Narrow"/>
        </w:rPr>
        <w:t xml:space="preserve"> mapas funcionales</w:t>
      </w:r>
      <w:r>
        <w:rPr>
          <w:rFonts w:ascii="Arial Narrow" w:eastAsia="Calibri" w:hAnsi="Arial Narrow"/>
        </w:rPr>
        <w:t xml:space="preserve">, se trabajaba </w:t>
      </w:r>
      <w:r w:rsidRPr="002E0B96">
        <w:rPr>
          <w:rFonts w:ascii="Arial Narrow" w:eastAsia="Calibri" w:hAnsi="Arial Narrow"/>
        </w:rPr>
        <w:t>con el personal gestor de la Unidad de Capacitación en el diseño y formulación de los mapas funcionales para los diseños académicos que ahora se deben acompañar de su respectivo mapa funcional y para ese año se logró el mapa de Defensa Personal para cárceles, manipulación segura de arma de fuego en Biología forense, Operaciones en zonas rurales y ambiente acuático, traslado de detenidos de alto riesgo, actualización de defensa y acondicionamiento físico.</w:t>
      </w:r>
      <w:r w:rsidR="008317B1">
        <w:rPr>
          <w:rFonts w:ascii="Arial Narrow" w:eastAsia="Calibri" w:hAnsi="Arial Narrow"/>
        </w:rPr>
        <w:t xml:space="preserve"> </w:t>
      </w:r>
      <w:r w:rsidRPr="002E0B96">
        <w:rPr>
          <w:rFonts w:ascii="Arial Narrow" w:eastAsia="Calibri" w:hAnsi="Arial Narrow"/>
        </w:rPr>
        <w:t>Para el 2020</w:t>
      </w:r>
      <w:r>
        <w:rPr>
          <w:rFonts w:ascii="Arial Narrow" w:eastAsia="Calibri" w:hAnsi="Arial Narrow"/>
        </w:rPr>
        <w:t xml:space="preserve">, </w:t>
      </w:r>
      <w:r w:rsidRPr="002E0B96">
        <w:rPr>
          <w:rFonts w:ascii="Arial Narrow" w:eastAsia="Calibri" w:hAnsi="Arial Narrow"/>
        </w:rPr>
        <w:t xml:space="preserve">las actividades académicas se </w:t>
      </w:r>
      <w:r w:rsidRPr="008B0B41">
        <w:rPr>
          <w:rFonts w:ascii="Arial Narrow" w:eastAsia="Calibri" w:hAnsi="Arial Narrow"/>
        </w:rPr>
        <w:t>ejecutarán</w:t>
      </w:r>
      <w:r w:rsidRPr="002E0B96">
        <w:rPr>
          <w:rFonts w:ascii="Arial Narrow" w:eastAsia="Calibri" w:hAnsi="Arial Narrow"/>
        </w:rPr>
        <w:t xml:space="preserve"> con base en el mapa funcional que emite Gestión Humana con el Programa de Formación Básica en Investigación Criminal</w:t>
      </w:r>
      <w:r>
        <w:rPr>
          <w:rFonts w:ascii="Arial Narrow" w:eastAsia="Calibri" w:hAnsi="Arial Narrow"/>
        </w:rPr>
        <w:t>.</w:t>
      </w:r>
    </w:p>
    <w:p w14:paraId="54207D34" w14:textId="6461CA19" w:rsidR="006F4FB2" w:rsidRDefault="006F4FB2">
      <w:pPr>
        <w:rPr>
          <w:rFonts w:ascii="Arial Narrow" w:eastAsia="Calibri" w:hAnsi="Arial Narrow"/>
        </w:rPr>
      </w:pPr>
      <w:r>
        <w:rPr>
          <w:rFonts w:ascii="Arial Narrow" w:eastAsia="Calibri" w:hAnsi="Arial Narrow"/>
        </w:rPr>
        <w:br w:type="page"/>
      </w:r>
    </w:p>
    <w:p w14:paraId="169316CC" w14:textId="77777777" w:rsidR="00803EF6" w:rsidRPr="002E0B96" w:rsidRDefault="00803EF6" w:rsidP="00803EF6">
      <w:pPr>
        <w:spacing w:line="360" w:lineRule="auto"/>
        <w:jc w:val="both"/>
        <w:rPr>
          <w:rFonts w:ascii="Arial Narrow" w:eastAsia="Calibri" w:hAnsi="Arial Narrow"/>
        </w:rPr>
      </w:pPr>
    </w:p>
    <w:p w14:paraId="7D702867" w14:textId="77777777" w:rsidR="00803EF6" w:rsidRDefault="00803EF6" w:rsidP="00803EF6">
      <w:pPr>
        <w:spacing w:line="360" w:lineRule="auto"/>
        <w:jc w:val="both"/>
        <w:rPr>
          <w:rFonts w:ascii="Arial Narrow" w:eastAsia="Calibri" w:hAnsi="Arial Narrow"/>
          <w:i/>
          <w:iCs/>
        </w:rPr>
      </w:pPr>
    </w:p>
    <w:p w14:paraId="52CAE291" w14:textId="23DE514D" w:rsidR="00803EF6" w:rsidRPr="002E0B96" w:rsidRDefault="00803EF6" w:rsidP="00803EF6">
      <w:pPr>
        <w:pStyle w:val="Standard"/>
        <w:spacing w:line="360" w:lineRule="auto"/>
        <w:jc w:val="both"/>
        <w:rPr>
          <w:rFonts w:ascii="Arial Narrow" w:eastAsia="Calibri" w:hAnsi="Arial Narrow"/>
        </w:rPr>
      </w:pPr>
      <w:r>
        <w:rPr>
          <w:rFonts w:ascii="Arial Narrow" w:eastAsia="Calibri" w:hAnsi="Arial Narrow"/>
        </w:rPr>
        <w:t>A su vez, l</w:t>
      </w:r>
      <w:r w:rsidRPr="007A4EFB">
        <w:rPr>
          <w:rFonts w:ascii="Arial Narrow" w:eastAsia="Calibri" w:hAnsi="Arial Narrow"/>
        </w:rPr>
        <w:t xml:space="preserve">a </w:t>
      </w:r>
      <w:r>
        <w:rPr>
          <w:rFonts w:ascii="Arial Narrow" w:eastAsia="Calibri" w:hAnsi="Arial Narrow"/>
        </w:rPr>
        <w:t>meta estratégica “</w:t>
      </w:r>
      <w:r w:rsidRPr="0077648D">
        <w:rPr>
          <w:rFonts w:ascii="Arial Narrow" w:eastAsia="Calibri" w:hAnsi="Arial Narrow"/>
          <w:b/>
          <w:bCs/>
          <w:i/>
          <w:iCs/>
        </w:rPr>
        <w:t>Que al finalizar el 2024, se hayan realizado al menos 10 estudios de la efectividad de la capacitación en la Escuela Judicial y Unidades de Capacitación</w:t>
      </w:r>
      <w:r>
        <w:rPr>
          <w:rFonts w:ascii="Arial Narrow" w:eastAsia="Calibri" w:hAnsi="Arial Narrow"/>
          <w:b/>
          <w:bCs/>
          <w:i/>
          <w:iCs/>
        </w:rPr>
        <w:t>”</w:t>
      </w:r>
      <w:r w:rsidR="006F4FB2">
        <w:rPr>
          <w:rFonts w:ascii="Arial Narrow" w:eastAsia="Calibri" w:hAnsi="Arial Narrow"/>
          <w:b/>
          <w:bCs/>
          <w:i/>
          <w:iCs/>
        </w:rPr>
        <w:t>,</w:t>
      </w:r>
      <w:r>
        <w:rPr>
          <w:rFonts w:ascii="Arial Narrow" w:eastAsia="Calibri" w:hAnsi="Arial Narrow"/>
        </w:rPr>
        <w:t xml:space="preserve"> la</w:t>
      </w:r>
      <w:r w:rsidRPr="00484CC1">
        <w:rPr>
          <w:rFonts w:ascii="Arial Narrow" w:eastAsia="Calibri" w:hAnsi="Arial Narrow"/>
        </w:rPr>
        <w:t xml:space="preserve"> cual de acuerdo con la revisión efectuada se logró determinar </w:t>
      </w:r>
      <w:r>
        <w:rPr>
          <w:rFonts w:ascii="Arial Narrow" w:eastAsia="Calibri" w:hAnsi="Arial Narrow"/>
        </w:rPr>
        <w:t xml:space="preserve">que registra un cumplimiento alto para los años 2019 y 2020.  Para el primero año del PEI se indica por parte de las oficinas operativas responsables diferentes esfuerzos logrados, como lo son: </w:t>
      </w:r>
      <w:r w:rsidRPr="002E0B96">
        <w:rPr>
          <w:rFonts w:ascii="Arial Narrow" w:eastAsia="Calibri" w:hAnsi="Arial Narrow"/>
        </w:rPr>
        <w:t xml:space="preserve">por parte de la Escuela Judicial se </w:t>
      </w:r>
      <w:r w:rsidRPr="008B0B41">
        <w:rPr>
          <w:rFonts w:ascii="Arial Narrow" w:eastAsia="Calibri" w:hAnsi="Arial Narrow"/>
        </w:rPr>
        <w:t>llevó</w:t>
      </w:r>
      <w:r w:rsidRPr="002E0B96">
        <w:rPr>
          <w:rFonts w:ascii="Arial Narrow" w:eastAsia="Calibri" w:hAnsi="Arial Narrow"/>
        </w:rPr>
        <w:t xml:space="preserve"> a cabo un proceso de evaluación de diversas actividades con la aplicación de esa metodología, habiendo finalizado algunas fases de ciertas actividades evaluadas. Se cumplió la meta, por medio de la Evaluación de los Procesos de Reforma procesal en Materia de Familia y Civil. Así como la evaluación aplicada al Curso de Conflicto de intereses. Por parte de la Defensa P</w:t>
      </w:r>
      <w:r>
        <w:rPr>
          <w:rFonts w:ascii="Arial Narrow" w:eastAsia="Calibri" w:hAnsi="Arial Narrow"/>
        </w:rPr>
        <w:t>ú</w:t>
      </w:r>
      <w:r w:rsidRPr="002E0B96">
        <w:rPr>
          <w:rFonts w:ascii="Arial Narrow" w:eastAsia="Calibri" w:hAnsi="Arial Narrow"/>
        </w:rPr>
        <w:t>blica, se ha aplicado el nuevo modelo de evaluación en las etapas correspondientes</w:t>
      </w:r>
      <w:r>
        <w:rPr>
          <w:rFonts w:ascii="Arial Narrow" w:eastAsia="Calibri" w:hAnsi="Arial Narrow"/>
        </w:rPr>
        <w:t xml:space="preserve">. </w:t>
      </w:r>
      <w:r w:rsidRPr="002E0B96">
        <w:rPr>
          <w:rFonts w:ascii="Arial Narrow" w:eastAsia="Calibri" w:hAnsi="Arial Narrow"/>
        </w:rPr>
        <w:t>El Proceso de Gestión del Conocimiento aplicó el modelo para evaluar el curso “Interrogatorio y contrainterrogatorio” en la fecha: 25 de setiembre de 2020.</w:t>
      </w:r>
      <w:r>
        <w:rPr>
          <w:rFonts w:ascii="Arial Narrow" w:eastAsia="Calibri" w:hAnsi="Arial Narrow"/>
        </w:rPr>
        <w:t xml:space="preserve"> </w:t>
      </w:r>
      <w:r w:rsidRPr="002E0B96">
        <w:rPr>
          <w:rFonts w:ascii="Arial Narrow" w:eastAsia="Calibri" w:hAnsi="Arial Narrow"/>
        </w:rPr>
        <w:t>Se aplicó el nivel 1: Reacción y Satisfacción (inmediata) y el nivel 2: aprendizaje, se encuentra pendiente realizar el nivel 3: aplicación y el nivel 4: impacto en la organización.</w:t>
      </w:r>
      <w:r>
        <w:rPr>
          <w:rFonts w:ascii="Arial Narrow" w:eastAsia="Calibri" w:hAnsi="Arial Narrow"/>
        </w:rPr>
        <w:t xml:space="preserve"> Con respecto al Ministerio Público, se proponen actividades a evaluar como lo son </w:t>
      </w:r>
      <w:r w:rsidRPr="002E0B96">
        <w:rPr>
          <w:rFonts w:ascii="Arial Narrow" w:eastAsia="Calibri" w:hAnsi="Arial Narrow"/>
        </w:rPr>
        <w:t>Curso especializado en delitos ambientales y Programa de Habilidades Blandas (un módulo</w:t>
      </w:r>
      <w:r>
        <w:rPr>
          <w:rFonts w:ascii="Arial Narrow" w:eastAsia="Calibri" w:hAnsi="Arial Narrow"/>
        </w:rPr>
        <w:t>).</w:t>
      </w:r>
    </w:p>
    <w:p w14:paraId="4C62A4EC" w14:textId="77777777" w:rsidR="00803EF6" w:rsidRDefault="00803EF6" w:rsidP="00803EF6">
      <w:pPr>
        <w:spacing w:line="360" w:lineRule="auto"/>
        <w:jc w:val="both"/>
        <w:rPr>
          <w:rFonts w:ascii="Arial Narrow" w:eastAsia="Calibri" w:hAnsi="Arial Narrow"/>
          <w:i/>
          <w:iCs/>
        </w:rPr>
      </w:pPr>
    </w:p>
    <w:p w14:paraId="11047E3F" w14:textId="77777777" w:rsidR="009D5823" w:rsidRDefault="009D5823" w:rsidP="00803EF6">
      <w:pPr>
        <w:spacing w:line="360" w:lineRule="auto"/>
        <w:jc w:val="both"/>
        <w:rPr>
          <w:rFonts w:ascii="Arial Narrow" w:eastAsia="Calibri" w:hAnsi="Arial Narrow"/>
          <w:i/>
          <w:iCs/>
        </w:rPr>
        <w:sectPr w:rsidR="009D5823" w:rsidSect="009D5823">
          <w:pgSz w:w="12242" w:h="15842" w:code="1"/>
          <w:pgMar w:top="1701" w:right="1417" w:bottom="1701" w:left="1417" w:header="709" w:footer="709" w:gutter="0"/>
          <w:cols w:space="708"/>
          <w:docGrid w:linePitch="360"/>
        </w:sectPr>
      </w:pPr>
    </w:p>
    <w:p w14:paraId="22C18F92" w14:textId="77777777" w:rsidR="00803EF6" w:rsidRDefault="00803EF6" w:rsidP="00803EF6">
      <w:pPr>
        <w:spacing w:line="360" w:lineRule="auto"/>
        <w:jc w:val="both"/>
        <w:rPr>
          <w:rFonts w:ascii="Arial Narrow" w:eastAsia="Calibri" w:hAnsi="Arial Narrow"/>
        </w:rPr>
      </w:pPr>
    </w:p>
    <w:p w14:paraId="76AD9B71" w14:textId="4BAA2488" w:rsidR="00803EF6" w:rsidRPr="007A4EFB" w:rsidRDefault="00803EF6" w:rsidP="00803EF6">
      <w:pPr>
        <w:spacing w:line="360" w:lineRule="auto"/>
        <w:jc w:val="center"/>
        <w:rPr>
          <w:rFonts w:ascii="Arial Narrow" w:eastAsia="Calibri" w:hAnsi="Arial Narrow"/>
          <w:b/>
          <w:bCs/>
        </w:rPr>
      </w:pPr>
      <w:bookmarkStart w:id="124" w:name="_Toc76062297"/>
      <w:r w:rsidRPr="007A4EFB">
        <w:rPr>
          <w:rFonts w:ascii="Arial Narrow" w:hAnsi="Arial Narrow"/>
          <w:b/>
          <w:bCs/>
        </w:rPr>
        <w:t xml:space="preserve">Cuadro </w:t>
      </w:r>
      <w:r w:rsidRPr="007A4EFB">
        <w:rPr>
          <w:rFonts w:ascii="Arial Narrow" w:hAnsi="Arial Narrow"/>
          <w:b/>
          <w:bCs/>
        </w:rPr>
        <w:fldChar w:fldCharType="begin"/>
      </w:r>
      <w:r w:rsidRPr="007A4EFB">
        <w:rPr>
          <w:rFonts w:ascii="Arial Narrow" w:hAnsi="Arial Narrow"/>
          <w:b/>
          <w:bCs/>
        </w:rPr>
        <w:instrText xml:space="preserve"> SEQ Cuadro_No. \* ARABIC </w:instrText>
      </w:r>
      <w:r w:rsidRPr="007A4EFB">
        <w:rPr>
          <w:rFonts w:ascii="Arial Narrow" w:hAnsi="Arial Narrow"/>
          <w:b/>
          <w:bCs/>
        </w:rPr>
        <w:fldChar w:fldCharType="separate"/>
      </w:r>
      <w:r w:rsidR="009D5823">
        <w:rPr>
          <w:rFonts w:ascii="Arial Narrow" w:hAnsi="Arial Narrow"/>
          <w:b/>
          <w:bCs/>
          <w:noProof/>
        </w:rPr>
        <w:t>74</w:t>
      </w:r>
      <w:r w:rsidRPr="007A4EFB">
        <w:rPr>
          <w:rFonts w:ascii="Arial Narrow" w:hAnsi="Arial Narrow"/>
          <w:b/>
          <w:bCs/>
        </w:rPr>
        <w:fldChar w:fldCharType="end"/>
      </w:r>
      <w:r w:rsidRPr="007A4EFB">
        <w:rPr>
          <w:rFonts w:ascii="Arial Narrow" w:hAnsi="Arial Narrow"/>
          <w:b/>
          <w:bCs/>
        </w:rPr>
        <w:t xml:space="preserve"> </w:t>
      </w:r>
      <w:r w:rsidRPr="007A4EFB">
        <w:rPr>
          <w:rFonts w:ascii="Arial Narrow" w:eastAsia="Calibri" w:hAnsi="Arial Narrow"/>
          <w:b/>
          <w:bCs/>
        </w:rPr>
        <w:t>Metas estratégicas de Capacitación, y su cumplimiento para el 2019-2020</w:t>
      </w:r>
      <w:bookmarkEnd w:id="124"/>
    </w:p>
    <w:p w14:paraId="7D314239" w14:textId="77777777" w:rsidR="00803EF6" w:rsidRDefault="00803EF6" w:rsidP="00803EF6">
      <w:pPr>
        <w:spacing w:line="360" w:lineRule="auto"/>
        <w:jc w:val="both"/>
        <w:rPr>
          <w:rFonts w:ascii="Arial Narrow" w:eastAsia="Calibri" w:hAnsi="Arial Narrow"/>
        </w:rPr>
      </w:pPr>
    </w:p>
    <w:p w14:paraId="65C66E6E" w14:textId="77777777" w:rsidR="00803EF6" w:rsidRDefault="00803EF6" w:rsidP="00803EF6">
      <w:pPr>
        <w:spacing w:line="360" w:lineRule="auto"/>
        <w:jc w:val="both"/>
        <w:rPr>
          <w:rFonts w:ascii="Arial Narrow" w:eastAsia="Calibri" w:hAnsi="Arial Narrow"/>
        </w:rPr>
      </w:pPr>
      <w:r>
        <w:rPr>
          <w:noProof/>
          <w:lang w:val="es-CR" w:eastAsia="es-CR"/>
        </w:rPr>
        <w:drawing>
          <wp:inline distT="0" distB="0" distL="0" distR="0" wp14:anchorId="64A47F74" wp14:editId="637B5F49">
            <wp:extent cx="7899400" cy="3226426"/>
            <wp:effectExtent l="19050" t="19050" r="25400" b="12700"/>
            <wp:docPr id="147" name="Imagen 147" descr="Imagen que contiene gabinete&#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Imagen 109" descr="Imagen que contiene gabinete&#10;&#10;Descripción generada automáticamente"/>
                    <pic:cNvPicPr/>
                  </pic:nvPicPr>
                  <pic:blipFill>
                    <a:blip r:embed="rId136"/>
                    <a:stretch>
                      <a:fillRect/>
                    </a:stretch>
                  </pic:blipFill>
                  <pic:spPr>
                    <a:xfrm>
                      <a:off x="0" y="0"/>
                      <a:ext cx="7907364" cy="3229679"/>
                    </a:xfrm>
                    <a:prstGeom prst="rect">
                      <a:avLst/>
                    </a:prstGeom>
                    <a:ln w="12700">
                      <a:solidFill>
                        <a:schemeClr val="accent1"/>
                      </a:solidFill>
                    </a:ln>
                  </pic:spPr>
                </pic:pic>
              </a:graphicData>
            </a:graphic>
          </wp:inline>
        </w:drawing>
      </w:r>
    </w:p>
    <w:p w14:paraId="08875731" w14:textId="77777777" w:rsidR="00803EF6" w:rsidRDefault="00803EF6" w:rsidP="00803EF6">
      <w:pPr>
        <w:spacing w:line="360" w:lineRule="auto"/>
        <w:jc w:val="both"/>
        <w:rPr>
          <w:rFonts w:ascii="Arial Narrow" w:eastAsia="Calibri" w:hAnsi="Arial Narrow"/>
        </w:rPr>
      </w:pPr>
      <w:r w:rsidRPr="00EE2E13">
        <w:rPr>
          <w:rFonts w:ascii="Arial Narrow" w:hAnsi="Arial Narrow"/>
          <w:sz w:val="18"/>
          <w:szCs w:val="18"/>
          <w:lang w:val="es-CR" w:eastAsia="es-CR"/>
        </w:rPr>
        <w:t>Fuente: Sistema PEI al 24 de enero del 2020 (año 2019) y 04 de marzo del 2021 (año 2020).</w:t>
      </w:r>
    </w:p>
    <w:p w14:paraId="28CE0D6E" w14:textId="77777777" w:rsidR="009D5823" w:rsidRDefault="009D5823" w:rsidP="00803EF6">
      <w:pPr>
        <w:spacing w:line="360" w:lineRule="auto"/>
        <w:jc w:val="both"/>
        <w:rPr>
          <w:rFonts w:ascii="Arial Narrow" w:eastAsia="Calibri" w:hAnsi="Arial Narrow"/>
        </w:rPr>
        <w:sectPr w:rsidR="009D5823" w:rsidSect="009D5823">
          <w:pgSz w:w="15842" w:h="12242" w:orient="landscape" w:code="1"/>
          <w:pgMar w:top="1417" w:right="1701" w:bottom="1417" w:left="1701" w:header="709" w:footer="709" w:gutter="0"/>
          <w:cols w:space="708"/>
          <w:docGrid w:linePitch="360"/>
        </w:sectPr>
      </w:pPr>
    </w:p>
    <w:p w14:paraId="4B28B57D" w14:textId="02699D8E" w:rsidR="00803EF6" w:rsidRDefault="00803EF6" w:rsidP="00803EF6">
      <w:pPr>
        <w:spacing w:line="360" w:lineRule="auto"/>
        <w:jc w:val="both"/>
        <w:rPr>
          <w:rFonts w:ascii="Arial Narrow" w:eastAsia="Calibri" w:hAnsi="Arial Narrow"/>
        </w:rPr>
      </w:pPr>
    </w:p>
    <w:p w14:paraId="73C74935" w14:textId="22E1AB80" w:rsidR="00803EF6" w:rsidRDefault="00803EF6" w:rsidP="00803EF6">
      <w:pPr>
        <w:spacing w:line="360" w:lineRule="auto"/>
        <w:jc w:val="both"/>
        <w:rPr>
          <w:rFonts w:ascii="Arial Narrow" w:eastAsia="Calibri" w:hAnsi="Arial Narrow"/>
        </w:rPr>
      </w:pPr>
      <w:r>
        <w:rPr>
          <w:rFonts w:ascii="Arial Narrow" w:eastAsia="Calibri" w:hAnsi="Arial Narrow"/>
        </w:rPr>
        <w:t>L</w:t>
      </w:r>
      <w:r w:rsidRPr="007A4EFB">
        <w:rPr>
          <w:rFonts w:ascii="Arial Narrow" w:eastAsia="Calibri" w:hAnsi="Arial Narrow"/>
        </w:rPr>
        <w:t xml:space="preserve">a </w:t>
      </w:r>
      <w:r>
        <w:rPr>
          <w:rFonts w:ascii="Arial Narrow" w:eastAsia="Calibri" w:hAnsi="Arial Narrow"/>
        </w:rPr>
        <w:t>meta estratégica “</w:t>
      </w:r>
      <w:r w:rsidRPr="008B0B41">
        <w:rPr>
          <w:rFonts w:ascii="Arial Narrow" w:eastAsia="Calibri" w:hAnsi="Arial Narrow"/>
          <w:b/>
          <w:bCs/>
          <w:i/>
          <w:iCs/>
        </w:rPr>
        <w:t>Que al finalizar el 2024, se hayan realizado, desarrollado y divulgado, al menos seis investigaciones de interés institucional en todos los ámbitos, permitiendo la ampliación del conocimiento y la mejora continua en todos los servicios que brinda el Poder Judicial</w:t>
      </w:r>
      <w:r>
        <w:rPr>
          <w:rFonts w:ascii="Arial Narrow" w:eastAsia="Calibri" w:hAnsi="Arial Narrow"/>
          <w:b/>
          <w:bCs/>
          <w:i/>
          <w:iCs/>
        </w:rPr>
        <w:t>”</w:t>
      </w:r>
      <w:r w:rsidR="006F4FB2">
        <w:rPr>
          <w:rFonts w:ascii="Arial Narrow" w:eastAsia="Calibri" w:hAnsi="Arial Narrow"/>
          <w:b/>
          <w:bCs/>
          <w:i/>
          <w:iCs/>
        </w:rPr>
        <w:t>,</w:t>
      </w:r>
      <w:r>
        <w:rPr>
          <w:rFonts w:ascii="Arial Narrow" w:eastAsia="Calibri" w:hAnsi="Arial Narrow"/>
        </w:rPr>
        <w:t xml:space="preserve"> la</w:t>
      </w:r>
      <w:r w:rsidRPr="00484CC1">
        <w:rPr>
          <w:rFonts w:ascii="Arial Narrow" w:eastAsia="Calibri" w:hAnsi="Arial Narrow"/>
        </w:rPr>
        <w:t xml:space="preserve"> cual de acuerdo con la revisión efectuada se logró determinar </w:t>
      </w:r>
      <w:r>
        <w:rPr>
          <w:rFonts w:ascii="Arial Narrow" w:eastAsia="Calibri" w:hAnsi="Arial Narrow"/>
        </w:rPr>
        <w:t xml:space="preserve">que para el 2019 y 2020 se tiene un cumplimiento alto del 100%, donde se destaca lo consignado por la Escuela Judicial y la Seccion de Gestión de la Capacitación con respecto a los resultados, en el 2019 </w:t>
      </w:r>
      <w:r w:rsidRPr="007A4EFB">
        <w:rPr>
          <w:rFonts w:ascii="Arial Narrow" w:eastAsia="Calibri" w:hAnsi="Arial Narrow"/>
        </w:rPr>
        <w:t xml:space="preserve">se completó </w:t>
      </w:r>
      <w:r>
        <w:rPr>
          <w:rFonts w:ascii="Arial Narrow" w:eastAsia="Calibri" w:hAnsi="Arial Narrow"/>
        </w:rPr>
        <w:t xml:space="preserve">por medio de la emisión de </w:t>
      </w:r>
      <w:r w:rsidRPr="002E0B96">
        <w:rPr>
          <w:rFonts w:ascii="Arial Narrow" w:eastAsia="Calibri" w:hAnsi="Arial Narrow"/>
        </w:rPr>
        <w:t xml:space="preserve">la versión digital de la Revista Judicial Número 125  con artículos de diversas áreas. En enero y febrero del 2019 se inició la difusión por medios virtuales y posteriormente la distribución de ejemplares en físico, sobre todo a los lugares que por ley hay compromiso de enviarla, autores y diversas oficinas del Poder Judicial, </w:t>
      </w:r>
      <w:r>
        <w:rPr>
          <w:rFonts w:ascii="Arial Narrow" w:eastAsia="Calibri" w:hAnsi="Arial Narrow"/>
        </w:rPr>
        <w:t>j</w:t>
      </w:r>
      <w:r w:rsidRPr="002E0B96">
        <w:rPr>
          <w:rFonts w:ascii="Arial Narrow" w:eastAsia="Calibri" w:hAnsi="Arial Narrow"/>
        </w:rPr>
        <w:t xml:space="preserve">untamente con ese trabajo se inició el proceso de revisión de artículos, revisión filológica de la Revista 126. Para este número con la colaboración del Departamento de Servicios Técnicos de la Escuela Judicial, se </w:t>
      </w:r>
      <w:r>
        <w:rPr>
          <w:rFonts w:ascii="Arial Narrow" w:eastAsia="Calibri" w:hAnsi="Arial Narrow"/>
        </w:rPr>
        <w:t>inició una</w:t>
      </w:r>
      <w:r w:rsidRPr="002E0B96">
        <w:rPr>
          <w:rFonts w:ascii="Arial Narrow" w:eastAsia="Calibri" w:hAnsi="Arial Narrow"/>
        </w:rPr>
        <w:t xml:space="preserve"> biblioteca digital con las entrevistas que se hacen en la revista a diferentes funcionarios de la Corte, con la idea de dar a conocer los planes y trabajos que realizan desde sus diferentes puestos</w:t>
      </w:r>
      <w:r>
        <w:rPr>
          <w:rFonts w:ascii="Arial Narrow" w:eastAsia="Calibri" w:hAnsi="Arial Narrow"/>
        </w:rPr>
        <w:t xml:space="preserve">. En el 2020, se indica por parte de la Escuela que se realizó </w:t>
      </w:r>
      <w:r w:rsidRPr="002E0B96">
        <w:rPr>
          <w:rFonts w:ascii="Arial Narrow" w:eastAsia="Calibri" w:hAnsi="Arial Narrow"/>
        </w:rPr>
        <w:t>un diagnóstico que se hizo para la Presidencia sobre el tema de la orientación de la capacitación por medio de becas. </w:t>
      </w:r>
      <w:r>
        <w:rPr>
          <w:rFonts w:ascii="Arial Narrow" w:eastAsia="Calibri" w:hAnsi="Arial Narrow"/>
        </w:rPr>
        <w:t xml:space="preserve"> Por parte de la Seccion de Gestión de la Capacitación se menciona </w:t>
      </w:r>
      <w:r w:rsidRPr="002E0B96">
        <w:rPr>
          <w:rFonts w:ascii="Arial Narrow" w:eastAsia="Calibri" w:hAnsi="Arial Narrow"/>
        </w:rPr>
        <w:t>una investigación realizada a las jefaturas del Ámbito Administrativo, para recolectar información sobre posibles cambios o prioridades de capacitación generadas a partir de la Pandemia por el COVID-19</w:t>
      </w:r>
      <w:r>
        <w:rPr>
          <w:rFonts w:ascii="Arial Narrow" w:eastAsia="Calibri" w:hAnsi="Arial Narrow"/>
        </w:rPr>
        <w:t>.</w:t>
      </w:r>
    </w:p>
    <w:p w14:paraId="3F507D6D" w14:textId="77777777" w:rsidR="00803EF6" w:rsidRDefault="00803EF6" w:rsidP="00803EF6">
      <w:pPr>
        <w:spacing w:line="360" w:lineRule="auto"/>
        <w:jc w:val="both"/>
        <w:rPr>
          <w:rFonts w:ascii="Arial Narrow" w:eastAsia="Calibri" w:hAnsi="Arial Narrow"/>
        </w:rPr>
      </w:pPr>
    </w:p>
    <w:p w14:paraId="0DE88C27" w14:textId="467D0DA3" w:rsidR="00803EF6" w:rsidRPr="007A4EFB" w:rsidRDefault="00803EF6" w:rsidP="00803EF6">
      <w:pPr>
        <w:spacing w:line="360" w:lineRule="auto"/>
        <w:jc w:val="both"/>
        <w:rPr>
          <w:rFonts w:ascii="Arial Narrow" w:eastAsia="Calibri" w:hAnsi="Arial Narrow"/>
        </w:rPr>
      </w:pPr>
      <w:r>
        <w:rPr>
          <w:rFonts w:ascii="Arial Narrow" w:eastAsia="Calibri" w:hAnsi="Arial Narrow"/>
        </w:rPr>
        <w:t>Por otra parte, l</w:t>
      </w:r>
      <w:r w:rsidRPr="007A4EFB">
        <w:rPr>
          <w:rFonts w:ascii="Arial Narrow" w:eastAsia="Calibri" w:hAnsi="Arial Narrow"/>
        </w:rPr>
        <w:t xml:space="preserve">a </w:t>
      </w:r>
      <w:r>
        <w:rPr>
          <w:rFonts w:ascii="Arial Narrow" w:eastAsia="Calibri" w:hAnsi="Arial Narrow"/>
        </w:rPr>
        <w:t>meta estratégica “</w:t>
      </w:r>
      <w:r w:rsidRPr="00BF0D27">
        <w:rPr>
          <w:rFonts w:ascii="Arial Narrow" w:eastAsia="Calibri" w:hAnsi="Arial Narrow"/>
          <w:b/>
          <w:bCs/>
          <w:i/>
          <w:iCs/>
        </w:rPr>
        <w:t>Que al finalizar el 2024, se hayan implementado programas de cooperación con universidades que imparten la carrera de Derecho y otras carreras de interés, para el desarrollo de enfoques o especialidades acordes con las competencias requeridas por el Poder Judicial</w:t>
      </w:r>
      <w:r>
        <w:rPr>
          <w:rFonts w:ascii="Arial Narrow" w:eastAsia="Calibri" w:hAnsi="Arial Narrow"/>
          <w:b/>
          <w:bCs/>
          <w:i/>
          <w:iCs/>
        </w:rPr>
        <w:t>”</w:t>
      </w:r>
      <w:r w:rsidR="006F4FB2">
        <w:rPr>
          <w:rFonts w:ascii="Arial Narrow" w:eastAsia="Calibri" w:hAnsi="Arial Narrow"/>
          <w:b/>
          <w:bCs/>
          <w:i/>
          <w:iCs/>
        </w:rPr>
        <w:t>,</w:t>
      </w:r>
      <w:r>
        <w:rPr>
          <w:rFonts w:ascii="Arial Narrow" w:eastAsia="Calibri" w:hAnsi="Arial Narrow"/>
        </w:rPr>
        <w:t xml:space="preserve"> la</w:t>
      </w:r>
      <w:r w:rsidRPr="00484CC1">
        <w:rPr>
          <w:rFonts w:ascii="Arial Narrow" w:eastAsia="Calibri" w:hAnsi="Arial Narrow"/>
        </w:rPr>
        <w:t xml:space="preserve"> cual de acuerdo con la revisión efectuada se logró determinar </w:t>
      </w:r>
      <w:r>
        <w:rPr>
          <w:rFonts w:ascii="Arial Narrow" w:eastAsia="Calibri" w:hAnsi="Arial Narrow"/>
        </w:rPr>
        <w:t>que para el 2019 tiene un cumplimiento bajo de 0% y para el 2020, se registra un 100% como cumplimiento alto. Se destaca que la Escuela Judicial para el primero año del PEI, no registro ningún avance en el cumplimiento de esa tarea encomendada, para</w:t>
      </w:r>
      <w:r w:rsidRPr="007A4EFB">
        <w:rPr>
          <w:rFonts w:ascii="Arial Narrow" w:eastAsia="Calibri" w:hAnsi="Arial Narrow"/>
        </w:rPr>
        <w:t xml:space="preserve"> el 2020</w:t>
      </w:r>
      <w:r>
        <w:rPr>
          <w:rFonts w:ascii="Arial Narrow" w:eastAsia="Calibri" w:hAnsi="Arial Narrow"/>
        </w:rPr>
        <w:t xml:space="preserve">, se indica que se ha </w:t>
      </w:r>
      <w:r w:rsidRPr="002E0B96">
        <w:rPr>
          <w:rFonts w:ascii="Arial Narrow" w:eastAsia="Calibri" w:hAnsi="Arial Narrow"/>
        </w:rPr>
        <w:t>desarrollado e implementado actividades de cooperación con centros educativos que imparten la carrera de derecho u otras carreras de interés, para el desarrollo de enfoques o especialidades acordes con las competencias requeridas por el Poder Judicial</w:t>
      </w:r>
      <w:r>
        <w:rPr>
          <w:rFonts w:ascii="Arial Narrow" w:eastAsia="Calibri" w:hAnsi="Arial Narrow"/>
        </w:rPr>
        <w:t>.</w:t>
      </w:r>
    </w:p>
    <w:p w14:paraId="2D556792" w14:textId="77777777" w:rsidR="00803EF6" w:rsidRDefault="00803EF6" w:rsidP="00803EF6">
      <w:pPr>
        <w:spacing w:line="360" w:lineRule="auto"/>
        <w:jc w:val="both"/>
        <w:rPr>
          <w:rFonts w:ascii="Arial Narrow" w:eastAsia="Calibri" w:hAnsi="Arial Narrow"/>
          <w:i/>
          <w:iCs/>
        </w:rPr>
      </w:pPr>
    </w:p>
    <w:p w14:paraId="6DB9057B" w14:textId="77777777" w:rsidR="003A1967" w:rsidRDefault="003A1967" w:rsidP="00803EF6">
      <w:pPr>
        <w:spacing w:line="360" w:lineRule="auto"/>
        <w:jc w:val="both"/>
        <w:rPr>
          <w:rFonts w:ascii="Arial Narrow" w:eastAsia="Calibri" w:hAnsi="Arial Narrow"/>
        </w:rPr>
      </w:pPr>
    </w:p>
    <w:p w14:paraId="407316BE" w14:textId="24AC3BB8" w:rsidR="00803EF6" w:rsidRDefault="00803EF6" w:rsidP="00803EF6">
      <w:pPr>
        <w:spacing w:line="360" w:lineRule="auto"/>
        <w:jc w:val="both"/>
        <w:rPr>
          <w:rFonts w:ascii="Arial Narrow" w:eastAsia="Calibri" w:hAnsi="Arial Narrow"/>
        </w:rPr>
      </w:pPr>
      <w:r>
        <w:rPr>
          <w:rFonts w:ascii="Arial Narrow" w:eastAsia="Calibri" w:hAnsi="Arial Narrow"/>
        </w:rPr>
        <w:t>A su vez, l</w:t>
      </w:r>
      <w:r w:rsidRPr="007A4EFB">
        <w:rPr>
          <w:rFonts w:ascii="Arial Narrow" w:eastAsia="Calibri" w:hAnsi="Arial Narrow"/>
        </w:rPr>
        <w:t xml:space="preserve">a </w:t>
      </w:r>
      <w:r>
        <w:rPr>
          <w:rFonts w:ascii="Arial Narrow" w:eastAsia="Calibri" w:hAnsi="Arial Narrow"/>
        </w:rPr>
        <w:t>meta estratégica “</w:t>
      </w:r>
      <w:r w:rsidRPr="00BF0D27">
        <w:rPr>
          <w:rFonts w:ascii="Arial Narrow" w:eastAsia="Calibri" w:hAnsi="Arial Narrow"/>
          <w:b/>
          <w:bCs/>
          <w:i/>
          <w:iCs/>
        </w:rPr>
        <w:t>Que al finalizar el 2024, se haya implementado una estrategia de regionalización de la capacitación que permita atender las necesidades regionales de personal judicial, de manera continua</w:t>
      </w:r>
      <w:r>
        <w:rPr>
          <w:rFonts w:ascii="Arial Narrow" w:eastAsia="Calibri" w:hAnsi="Arial Narrow"/>
          <w:b/>
          <w:bCs/>
          <w:i/>
          <w:iCs/>
        </w:rPr>
        <w:t>”</w:t>
      </w:r>
      <w:r w:rsidR="003A1967">
        <w:rPr>
          <w:rFonts w:ascii="Arial Narrow" w:eastAsia="Calibri" w:hAnsi="Arial Narrow"/>
          <w:b/>
          <w:bCs/>
          <w:i/>
          <w:iCs/>
        </w:rPr>
        <w:t xml:space="preserve">, </w:t>
      </w:r>
      <w:r>
        <w:rPr>
          <w:rFonts w:ascii="Arial Narrow" w:eastAsia="Calibri" w:hAnsi="Arial Narrow"/>
        </w:rPr>
        <w:t xml:space="preserve"> la</w:t>
      </w:r>
      <w:r w:rsidRPr="00484CC1">
        <w:rPr>
          <w:rFonts w:ascii="Arial Narrow" w:eastAsia="Calibri" w:hAnsi="Arial Narrow"/>
        </w:rPr>
        <w:t xml:space="preserve"> cual de acuerdo con la revisión efectuada se logró determinar </w:t>
      </w:r>
      <w:r>
        <w:rPr>
          <w:rFonts w:ascii="Arial Narrow" w:eastAsia="Calibri" w:hAnsi="Arial Narrow"/>
        </w:rPr>
        <w:t xml:space="preserve">que registra un cumplimiento alto para los años 2019 y 2020.  Se indica por parte de la oficina de Unidad de Capacitación y Supervisión del Ministerio Público que se desarrolló </w:t>
      </w:r>
      <w:r w:rsidRPr="002E0B96">
        <w:rPr>
          <w:rFonts w:ascii="Arial Narrow" w:eastAsia="Calibri" w:hAnsi="Arial Narrow"/>
        </w:rPr>
        <w:t xml:space="preserve">un Diagnóstico de Necesidades de Capacitación a nivel regional incluía actividades para los años 2019 y 2020, y debía realizarse en el 50% de las </w:t>
      </w:r>
      <w:r w:rsidR="003A1967">
        <w:rPr>
          <w:rFonts w:ascii="Arial Narrow" w:eastAsia="Calibri" w:hAnsi="Arial Narrow"/>
        </w:rPr>
        <w:t>s</w:t>
      </w:r>
      <w:r w:rsidRPr="002E0B96">
        <w:rPr>
          <w:rFonts w:ascii="Arial Narrow" w:eastAsia="Calibri" w:hAnsi="Arial Narrow"/>
        </w:rPr>
        <w:t xml:space="preserve">edes </w:t>
      </w:r>
      <w:r w:rsidR="003A1967">
        <w:rPr>
          <w:rFonts w:ascii="Arial Narrow" w:eastAsia="Calibri" w:hAnsi="Arial Narrow"/>
        </w:rPr>
        <w:t>r</w:t>
      </w:r>
      <w:r w:rsidRPr="002E0B96">
        <w:rPr>
          <w:rFonts w:ascii="Arial Narrow" w:eastAsia="Calibri" w:hAnsi="Arial Narrow"/>
        </w:rPr>
        <w:t>egionales cada año. Sin embargo, en el 2019 se realizó en la totalidad de las sedes previstas.</w:t>
      </w:r>
    </w:p>
    <w:p w14:paraId="6D3A3298" w14:textId="77777777" w:rsidR="009D5823" w:rsidRDefault="009D5823" w:rsidP="00803EF6">
      <w:pPr>
        <w:spacing w:line="360" w:lineRule="auto"/>
        <w:jc w:val="both"/>
        <w:rPr>
          <w:rFonts w:ascii="Arial Narrow" w:eastAsia="Calibri" w:hAnsi="Arial Narrow"/>
        </w:rPr>
        <w:sectPr w:rsidR="009D5823" w:rsidSect="009D5823">
          <w:pgSz w:w="12242" w:h="15842" w:code="1"/>
          <w:pgMar w:top="1701" w:right="1417" w:bottom="1701" w:left="1417" w:header="709" w:footer="709" w:gutter="0"/>
          <w:cols w:space="708"/>
          <w:docGrid w:linePitch="360"/>
        </w:sectPr>
      </w:pPr>
    </w:p>
    <w:p w14:paraId="1A3C5489" w14:textId="5F482181" w:rsidR="00803EF6" w:rsidRDefault="00803EF6" w:rsidP="00803EF6">
      <w:pPr>
        <w:spacing w:line="360" w:lineRule="auto"/>
        <w:jc w:val="both"/>
        <w:rPr>
          <w:rFonts w:ascii="Arial Narrow" w:eastAsia="Calibri" w:hAnsi="Arial Narrow"/>
        </w:rPr>
      </w:pPr>
    </w:p>
    <w:p w14:paraId="1783D99F" w14:textId="0F00DB71" w:rsidR="00803EF6" w:rsidRPr="007A4EFB" w:rsidRDefault="00803EF6" w:rsidP="00803EF6">
      <w:pPr>
        <w:spacing w:line="360" w:lineRule="auto"/>
        <w:jc w:val="center"/>
        <w:rPr>
          <w:rFonts w:ascii="Arial Narrow" w:eastAsia="Calibri" w:hAnsi="Arial Narrow"/>
          <w:b/>
          <w:bCs/>
        </w:rPr>
      </w:pPr>
      <w:bookmarkStart w:id="125" w:name="_Toc76062298"/>
      <w:r w:rsidRPr="007A4EFB">
        <w:rPr>
          <w:rFonts w:ascii="Arial Narrow" w:hAnsi="Arial Narrow"/>
          <w:b/>
          <w:bCs/>
        </w:rPr>
        <w:t xml:space="preserve">Cuadro </w:t>
      </w:r>
      <w:r w:rsidRPr="007A4EFB">
        <w:rPr>
          <w:rFonts w:ascii="Arial Narrow" w:hAnsi="Arial Narrow"/>
          <w:b/>
          <w:bCs/>
        </w:rPr>
        <w:fldChar w:fldCharType="begin"/>
      </w:r>
      <w:r w:rsidRPr="007A4EFB">
        <w:rPr>
          <w:rFonts w:ascii="Arial Narrow" w:hAnsi="Arial Narrow"/>
          <w:b/>
          <w:bCs/>
        </w:rPr>
        <w:instrText xml:space="preserve"> SEQ Cuadro_No. \* ARABIC </w:instrText>
      </w:r>
      <w:r w:rsidRPr="007A4EFB">
        <w:rPr>
          <w:rFonts w:ascii="Arial Narrow" w:hAnsi="Arial Narrow"/>
          <w:b/>
          <w:bCs/>
        </w:rPr>
        <w:fldChar w:fldCharType="separate"/>
      </w:r>
      <w:r w:rsidR="009D5823">
        <w:rPr>
          <w:rFonts w:ascii="Arial Narrow" w:hAnsi="Arial Narrow"/>
          <w:b/>
          <w:bCs/>
          <w:noProof/>
        </w:rPr>
        <w:t>75</w:t>
      </w:r>
      <w:r w:rsidRPr="007A4EFB">
        <w:rPr>
          <w:rFonts w:ascii="Arial Narrow" w:hAnsi="Arial Narrow"/>
          <w:b/>
          <w:bCs/>
        </w:rPr>
        <w:fldChar w:fldCharType="end"/>
      </w:r>
      <w:r w:rsidRPr="007A4EFB">
        <w:rPr>
          <w:rFonts w:ascii="Arial Narrow" w:hAnsi="Arial Narrow"/>
          <w:b/>
          <w:bCs/>
        </w:rPr>
        <w:t xml:space="preserve"> </w:t>
      </w:r>
      <w:r w:rsidRPr="007A4EFB">
        <w:rPr>
          <w:rFonts w:ascii="Arial Narrow" w:eastAsia="Calibri" w:hAnsi="Arial Narrow"/>
          <w:b/>
          <w:bCs/>
        </w:rPr>
        <w:t>Metas estratégicas de Capacitación, y su cumplimiento para el 2019-2020</w:t>
      </w:r>
      <w:bookmarkEnd w:id="125"/>
    </w:p>
    <w:p w14:paraId="38407809" w14:textId="77777777" w:rsidR="00803EF6" w:rsidRDefault="00803EF6" w:rsidP="00803EF6">
      <w:pPr>
        <w:spacing w:line="360" w:lineRule="auto"/>
        <w:jc w:val="both"/>
        <w:rPr>
          <w:rFonts w:ascii="Arial Narrow" w:eastAsia="Calibri" w:hAnsi="Arial Narrow"/>
        </w:rPr>
      </w:pPr>
      <w:r>
        <w:rPr>
          <w:noProof/>
          <w:lang w:val="es-CR" w:eastAsia="es-CR"/>
        </w:rPr>
        <w:drawing>
          <wp:inline distT="0" distB="0" distL="0" distR="0" wp14:anchorId="2D97C9CB" wp14:editId="29D369AC">
            <wp:extent cx="7899400" cy="3303699"/>
            <wp:effectExtent l="19050" t="19050" r="25400" b="11430"/>
            <wp:docPr id="148" name="Imagen 148"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Imagen 110" descr="Tabla&#10;&#10;Descripción generada automáticamente"/>
                    <pic:cNvPicPr/>
                  </pic:nvPicPr>
                  <pic:blipFill>
                    <a:blip r:embed="rId137"/>
                    <a:stretch>
                      <a:fillRect/>
                    </a:stretch>
                  </pic:blipFill>
                  <pic:spPr>
                    <a:xfrm>
                      <a:off x="0" y="0"/>
                      <a:ext cx="7903501" cy="3305414"/>
                    </a:xfrm>
                    <a:prstGeom prst="rect">
                      <a:avLst/>
                    </a:prstGeom>
                    <a:ln w="19050">
                      <a:solidFill>
                        <a:schemeClr val="accent1"/>
                      </a:solidFill>
                    </a:ln>
                  </pic:spPr>
                </pic:pic>
              </a:graphicData>
            </a:graphic>
          </wp:inline>
        </w:drawing>
      </w:r>
    </w:p>
    <w:p w14:paraId="1C49D1DB" w14:textId="77777777" w:rsidR="00803EF6" w:rsidRDefault="00803EF6" w:rsidP="00803EF6">
      <w:pPr>
        <w:spacing w:line="360" w:lineRule="auto"/>
        <w:jc w:val="both"/>
        <w:rPr>
          <w:rFonts w:ascii="Arial Narrow" w:eastAsia="Calibri" w:hAnsi="Arial Narrow"/>
        </w:rPr>
      </w:pPr>
      <w:r w:rsidRPr="00EE2E13">
        <w:rPr>
          <w:rFonts w:ascii="Arial Narrow" w:hAnsi="Arial Narrow"/>
          <w:sz w:val="18"/>
          <w:szCs w:val="18"/>
          <w:lang w:val="es-CR" w:eastAsia="es-CR"/>
        </w:rPr>
        <w:t>Fuente: Sistema PEI al 24 de enero del 2020 (año 2019) y 04 de marzo del 2021 (año 2020).</w:t>
      </w:r>
    </w:p>
    <w:p w14:paraId="57047734" w14:textId="77777777" w:rsidR="00803EF6" w:rsidRDefault="00803EF6" w:rsidP="00803EF6">
      <w:pPr>
        <w:pStyle w:val="Descripcin"/>
        <w:jc w:val="center"/>
        <w:rPr>
          <w:rFonts w:ascii="Arial Narrow" w:hAnsi="Arial Narrow"/>
          <w:sz w:val="24"/>
          <w:szCs w:val="24"/>
        </w:rPr>
      </w:pPr>
    </w:p>
    <w:p w14:paraId="615DEC04" w14:textId="77777777" w:rsidR="00803EF6" w:rsidRDefault="00803EF6" w:rsidP="00803EF6">
      <w:pPr>
        <w:spacing w:line="360" w:lineRule="auto"/>
        <w:jc w:val="both"/>
        <w:rPr>
          <w:rFonts w:ascii="Arial Narrow" w:eastAsia="Calibri" w:hAnsi="Arial Narrow"/>
        </w:rPr>
      </w:pPr>
    </w:p>
    <w:p w14:paraId="40191F33" w14:textId="77777777" w:rsidR="009D5823" w:rsidRDefault="009D5823" w:rsidP="00803EF6">
      <w:pPr>
        <w:rPr>
          <w:rFonts w:eastAsia="Calibri"/>
        </w:rPr>
        <w:sectPr w:rsidR="009D5823" w:rsidSect="009D5823">
          <w:pgSz w:w="15842" w:h="12242" w:orient="landscape" w:code="1"/>
          <w:pgMar w:top="1417" w:right="1701" w:bottom="1417" w:left="1701" w:header="709" w:footer="709" w:gutter="0"/>
          <w:cols w:space="708"/>
          <w:docGrid w:linePitch="360"/>
        </w:sectPr>
      </w:pPr>
    </w:p>
    <w:p w14:paraId="10843B1F" w14:textId="00BC3BD0" w:rsidR="00803EF6" w:rsidRDefault="00803EF6" w:rsidP="00803EF6">
      <w:pPr>
        <w:rPr>
          <w:rFonts w:eastAsia="Calibri"/>
        </w:rPr>
      </w:pPr>
    </w:p>
    <w:p w14:paraId="504F402D" w14:textId="0B5DDF3C" w:rsidR="003A1967" w:rsidRDefault="003A1967" w:rsidP="00803EF6">
      <w:pPr>
        <w:rPr>
          <w:rFonts w:eastAsia="Calibri"/>
        </w:rPr>
      </w:pPr>
    </w:p>
    <w:p w14:paraId="2B49BA6B" w14:textId="77777777" w:rsidR="003A1967" w:rsidRDefault="003A1967" w:rsidP="00803EF6">
      <w:pPr>
        <w:rPr>
          <w:rFonts w:eastAsia="Calibri"/>
        </w:rPr>
      </w:pPr>
    </w:p>
    <w:p w14:paraId="3BDCBB60" w14:textId="77777777" w:rsidR="00803EF6" w:rsidRDefault="00803EF6" w:rsidP="00803EF6">
      <w:pPr>
        <w:rPr>
          <w:rFonts w:eastAsia="Calibri"/>
        </w:rPr>
      </w:pPr>
    </w:p>
    <w:p w14:paraId="1E0D24AC" w14:textId="147082A1" w:rsidR="00803EF6" w:rsidRDefault="00803EF6" w:rsidP="00803EF6">
      <w:pPr>
        <w:spacing w:line="360" w:lineRule="auto"/>
        <w:jc w:val="both"/>
        <w:rPr>
          <w:rFonts w:ascii="Arial Narrow" w:eastAsia="Calibri" w:hAnsi="Arial Narrow"/>
        </w:rPr>
      </w:pPr>
      <w:r>
        <w:rPr>
          <w:rFonts w:ascii="Arial Narrow" w:eastAsia="Calibri" w:hAnsi="Arial Narrow"/>
        </w:rPr>
        <w:t>L</w:t>
      </w:r>
      <w:r w:rsidRPr="007A4EFB">
        <w:rPr>
          <w:rFonts w:ascii="Arial Narrow" w:eastAsia="Calibri" w:hAnsi="Arial Narrow"/>
        </w:rPr>
        <w:t xml:space="preserve">a </w:t>
      </w:r>
      <w:r>
        <w:rPr>
          <w:rFonts w:ascii="Arial Narrow" w:eastAsia="Calibri" w:hAnsi="Arial Narrow"/>
        </w:rPr>
        <w:t>meta estratégica del cuadro anterior “</w:t>
      </w:r>
      <w:r w:rsidRPr="00AB2ACD">
        <w:rPr>
          <w:rFonts w:ascii="Arial Narrow" w:eastAsia="Calibri" w:hAnsi="Arial Narrow"/>
          <w:b/>
          <w:bCs/>
          <w:i/>
          <w:iCs/>
        </w:rPr>
        <w:t>Que al finalizar el 2024, se haya implementado una estrategia de regionalización de la capacitación que permita atender las necesidades regionales de personal judicial, de manera continua</w:t>
      </w:r>
      <w:r>
        <w:rPr>
          <w:rFonts w:ascii="Arial Narrow" w:eastAsia="Calibri" w:hAnsi="Arial Narrow"/>
          <w:b/>
          <w:bCs/>
          <w:i/>
          <w:iCs/>
        </w:rPr>
        <w:t>”</w:t>
      </w:r>
      <w:r w:rsidR="003A1967">
        <w:rPr>
          <w:rFonts w:ascii="Arial Narrow" w:eastAsia="Calibri" w:hAnsi="Arial Narrow"/>
          <w:b/>
          <w:bCs/>
          <w:i/>
          <w:iCs/>
        </w:rPr>
        <w:t xml:space="preserve">, </w:t>
      </w:r>
      <w:r>
        <w:rPr>
          <w:rFonts w:ascii="Arial Narrow" w:eastAsia="Calibri" w:hAnsi="Arial Narrow"/>
        </w:rPr>
        <w:t xml:space="preserve"> la</w:t>
      </w:r>
      <w:r w:rsidRPr="00484CC1">
        <w:rPr>
          <w:rFonts w:ascii="Arial Narrow" w:eastAsia="Calibri" w:hAnsi="Arial Narrow"/>
        </w:rPr>
        <w:t xml:space="preserve"> cual de acuerdo con la revisión efectuada se logró determinar </w:t>
      </w:r>
      <w:r>
        <w:rPr>
          <w:rFonts w:ascii="Arial Narrow" w:eastAsia="Calibri" w:hAnsi="Arial Narrow"/>
        </w:rPr>
        <w:t>que para el 2019 y 2020 se tiene un cumplimiento alto del 100%, donde se destaca lo consignado por la Unidad de Capacitaci</w:t>
      </w:r>
      <w:r w:rsidR="003A1967">
        <w:rPr>
          <w:rFonts w:ascii="Arial Narrow" w:eastAsia="Calibri" w:hAnsi="Arial Narrow"/>
        </w:rPr>
        <w:t>ó</w:t>
      </w:r>
      <w:r>
        <w:rPr>
          <w:rFonts w:ascii="Arial Narrow" w:eastAsia="Calibri" w:hAnsi="Arial Narrow"/>
        </w:rPr>
        <w:t xml:space="preserve">n de la Defensa Pública con respecto a los resultados, en el 2019 </w:t>
      </w:r>
      <w:r w:rsidRPr="007A4EFB">
        <w:rPr>
          <w:rFonts w:ascii="Arial Narrow" w:eastAsia="Calibri" w:hAnsi="Arial Narrow"/>
        </w:rPr>
        <w:t xml:space="preserve">se completó </w:t>
      </w:r>
      <w:r>
        <w:rPr>
          <w:rFonts w:ascii="Arial Narrow" w:eastAsia="Calibri" w:hAnsi="Arial Narrow"/>
        </w:rPr>
        <w:t>por medio de un documento que muestra los resultados de un diagnóstico y encuesta aplicada, se obtuvo 411 respuestas de todo el país.  En el 2020 mediante oficio PGC-DP-29-2020 se informa sobre las personas defensoras que completaron los formularios de criterios para las actividades formativas del 2020 del Proceso de Gestión de Conocimiento de la Defensa Pública.</w:t>
      </w:r>
    </w:p>
    <w:p w14:paraId="7944A94E" w14:textId="77777777" w:rsidR="00803EF6" w:rsidRDefault="00803EF6" w:rsidP="00803EF6">
      <w:pPr>
        <w:spacing w:line="360" w:lineRule="auto"/>
        <w:jc w:val="both"/>
        <w:rPr>
          <w:rFonts w:ascii="Arial Narrow" w:eastAsia="Calibri" w:hAnsi="Arial Narrow"/>
        </w:rPr>
      </w:pPr>
    </w:p>
    <w:p w14:paraId="5A2018D5" w14:textId="6B377E2C" w:rsidR="00803EF6" w:rsidRPr="007A4EFB" w:rsidRDefault="00803EF6" w:rsidP="00803EF6">
      <w:pPr>
        <w:spacing w:line="360" w:lineRule="auto"/>
        <w:jc w:val="both"/>
        <w:rPr>
          <w:rFonts w:ascii="Arial Narrow" w:eastAsia="Calibri" w:hAnsi="Arial Narrow"/>
        </w:rPr>
      </w:pPr>
      <w:r>
        <w:rPr>
          <w:rFonts w:ascii="Arial Narrow" w:eastAsia="Calibri" w:hAnsi="Arial Narrow"/>
        </w:rPr>
        <w:t>Por otra parte, l</w:t>
      </w:r>
      <w:r w:rsidRPr="007A4EFB">
        <w:rPr>
          <w:rFonts w:ascii="Arial Narrow" w:eastAsia="Calibri" w:hAnsi="Arial Narrow"/>
        </w:rPr>
        <w:t xml:space="preserve">a </w:t>
      </w:r>
      <w:r>
        <w:rPr>
          <w:rFonts w:ascii="Arial Narrow" w:eastAsia="Calibri" w:hAnsi="Arial Narrow"/>
        </w:rPr>
        <w:t>meta estratégica “</w:t>
      </w:r>
      <w:r w:rsidRPr="00ED7D53">
        <w:rPr>
          <w:rFonts w:ascii="Arial Narrow" w:eastAsia="Calibri" w:hAnsi="Arial Narrow"/>
          <w:b/>
          <w:bCs/>
          <w:i/>
          <w:iCs/>
        </w:rPr>
        <w:t>Que al finalizar el 2024, se haya implementado una estrategia de regionalización de la capacitación que permita atender las necesidades regionales de personal judicial, de manera continua</w:t>
      </w:r>
      <w:r>
        <w:rPr>
          <w:rFonts w:ascii="Arial Narrow" w:eastAsia="Calibri" w:hAnsi="Arial Narrow"/>
          <w:b/>
          <w:bCs/>
          <w:i/>
          <w:iCs/>
        </w:rPr>
        <w:t>”</w:t>
      </w:r>
      <w:r w:rsidR="003A1967">
        <w:rPr>
          <w:rFonts w:ascii="Arial Narrow" w:eastAsia="Calibri" w:hAnsi="Arial Narrow"/>
          <w:b/>
          <w:bCs/>
          <w:i/>
          <w:iCs/>
        </w:rPr>
        <w:t xml:space="preserve">. </w:t>
      </w:r>
      <w:r>
        <w:rPr>
          <w:rFonts w:ascii="Arial Narrow" w:eastAsia="Calibri" w:hAnsi="Arial Narrow"/>
          <w:b/>
          <w:bCs/>
          <w:i/>
          <w:iCs/>
        </w:rPr>
        <w:t xml:space="preserve"> </w:t>
      </w:r>
      <w:r w:rsidRPr="002E0B96">
        <w:rPr>
          <w:rFonts w:ascii="Arial Narrow" w:eastAsia="Calibri" w:hAnsi="Arial Narrow"/>
        </w:rPr>
        <w:t xml:space="preserve">Donde figura como responsable el Organismo de </w:t>
      </w:r>
      <w:r w:rsidRPr="00ED7D53">
        <w:rPr>
          <w:rFonts w:ascii="Arial Narrow" w:eastAsia="Calibri" w:hAnsi="Arial Narrow"/>
        </w:rPr>
        <w:t>Investigación</w:t>
      </w:r>
      <w:r w:rsidRPr="002E0B96">
        <w:rPr>
          <w:rFonts w:ascii="Arial Narrow" w:eastAsia="Calibri" w:hAnsi="Arial Narrow"/>
        </w:rPr>
        <w:t xml:space="preserve"> Judicial,</w:t>
      </w:r>
      <w:r>
        <w:rPr>
          <w:rFonts w:ascii="Arial Narrow" w:eastAsia="Calibri" w:hAnsi="Arial Narrow"/>
        </w:rPr>
        <w:t xml:space="preserve"> la</w:t>
      </w:r>
      <w:r w:rsidRPr="00484CC1">
        <w:rPr>
          <w:rFonts w:ascii="Arial Narrow" w:eastAsia="Calibri" w:hAnsi="Arial Narrow"/>
        </w:rPr>
        <w:t xml:space="preserve"> cual de acuerdo con la revisión efectuada se logró determinar </w:t>
      </w:r>
      <w:r>
        <w:rPr>
          <w:rFonts w:ascii="Arial Narrow" w:eastAsia="Calibri" w:hAnsi="Arial Narrow"/>
        </w:rPr>
        <w:t>que para el 2019 y 2020 tiene un cumplimiento alto de 100%. Se destaca que la Unidad de Adiestramiento para el primero año del PEI, se presenta un informe de diagnóstico de las necesidades de capacitación en el OIJ, documento robusto de 52 páginas que detalla toda la investigación realizada por la Unidad. Para</w:t>
      </w:r>
      <w:r w:rsidRPr="007A4EFB">
        <w:rPr>
          <w:rFonts w:ascii="Arial Narrow" w:eastAsia="Calibri" w:hAnsi="Arial Narrow"/>
        </w:rPr>
        <w:t xml:space="preserve"> el 2020</w:t>
      </w:r>
      <w:r>
        <w:rPr>
          <w:rFonts w:ascii="Arial Narrow" w:eastAsia="Calibri" w:hAnsi="Arial Narrow"/>
        </w:rPr>
        <w:t xml:space="preserve">, se indica que se ha </w:t>
      </w:r>
      <w:r w:rsidRPr="007A4EFB">
        <w:rPr>
          <w:rFonts w:ascii="Arial Narrow" w:eastAsia="Calibri" w:hAnsi="Arial Narrow"/>
        </w:rPr>
        <w:t xml:space="preserve">desarrollado </w:t>
      </w:r>
      <w:r>
        <w:rPr>
          <w:rFonts w:ascii="Arial Narrow" w:eastAsia="Calibri" w:hAnsi="Arial Narrow"/>
        </w:rPr>
        <w:t>e</w:t>
      </w:r>
      <w:r w:rsidRPr="002E0B96">
        <w:rPr>
          <w:rFonts w:ascii="Arial Narrow" w:eastAsia="Calibri" w:hAnsi="Arial Narrow"/>
        </w:rPr>
        <w:t>l diagn</w:t>
      </w:r>
      <w:r>
        <w:rPr>
          <w:rFonts w:ascii="Arial Narrow" w:eastAsia="Calibri" w:hAnsi="Arial Narrow"/>
        </w:rPr>
        <w:t>ó</w:t>
      </w:r>
      <w:r w:rsidRPr="002E0B96">
        <w:rPr>
          <w:rFonts w:ascii="Arial Narrow" w:eastAsia="Calibri" w:hAnsi="Arial Narrow"/>
        </w:rPr>
        <w:t xml:space="preserve">stico de necesidades de capacitación 2019 pero que será aplicado durante el año 2021 ajustado a las necesidades reales esto en virtud de las condiciones pandémicas que sufrió el país. </w:t>
      </w:r>
      <w:r>
        <w:rPr>
          <w:rFonts w:ascii="Arial Narrow" w:eastAsia="Calibri" w:hAnsi="Arial Narrow"/>
        </w:rPr>
        <w:t>Se llevó a cabo una</w:t>
      </w:r>
      <w:r w:rsidRPr="002E0B96">
        <w:rPr>
          <w:rFonts w:ascii="Arial Narrow" w:eastAsia="Calibri" w:hAnsi="Arial Narrow"/>
        </w:rPr>
        <w:t xml:space="preserve"> reunión efectuada el 25 de septiembre 2020 con las jefaturas de OIJ en la O</w:t>
      </w:r>
      <w:r>
        <w:rPr>
          <w:rFonts w:ascii="Arial Narrow" w:eastAsia="Calibri" w:hAnsi="Arial Narrow"/>
        </w:rPr>
        <w:t xml:space="preserve">ficina de </w:t>
      </w:r>
      <w:r w:rsidRPr="002E0B96">
        <w:rPr>
          <w:rFonts w:ascii="Arial Narrow" w:eastAsia="Calibri" w:hAnsi="Arial Narrow"/>
        </w:rPr>
        <w:t>P</w:t>
      </w:r>
      <w:r>
        <w:rPr>
          <w:rFonts w:ascii="Arial Narrow" w:eastAsia="Calibri" w:hAnsi="Arial Narrow"/>
        </w:rPr>
        <w:t xml:space="preserve">lanes y </w:t>
      </w:r>
      <w:r w:rsidRPr="002E0B96">
        <w:rPr>
          <w:rFonts w:ascii="Arial Narrow" w:eastAsia="Calibri" w:hAnsi="Arial Narrow"/>
        </w:rPr>
        <w:t>O</w:t>
      </w:r>
      <w:r>
        <w:rPr>
          <w:rFonts w:ascii="Arial Narrow" w:eastAsia="Calibri" w:hAnsi="Arial Narrow"/>
        </w:rPr>
        <w:t>peraciones</w:t>
      </w:r>
      <w:r w:rsidRPr="002E0B96">
        <w:rPr>
          <w:rFonts w:ascii="Arial Narrow" w:eastAsia="Calibri" w:hAnsi="Arial Narrow"/>
        </w:rPr>
        <w:t>.</w:t>
      </w:r>
    </w:p>
    <w:p w14:paraId="1C659B31" w14:textId="4681687F" w:rsidR="003A1967" w:rsidRDefault="003A1967">
      <w:pPr>
        <w:rPr>
          <w:rFonts w:ascii="Arial Narrow" w:eastAsia="Calibri" w:hAnsi="Arial Narrow"/>
          <w:i/>
          <w:iCs/>
        </w:rPr>
      </w:pPr>
      <w:r>
        <w:rPr>
          <w:rFonts w:ascii="Arial Narrow" w:eastAsia="Calibri" w:hAnsi="Arial Narrow"/>
          <w:i/>
          <w:iCs/>
        </w:rPr>
        <w:br w:type="page"/>
      </w:r>
    </w:p>
    <w:p w14:paraId="6D92B0DE" w14:textId="77777777" w:rsidR="00803EF6" w:rsidRDefault="00803EF6" w:rsidP="00803EF6">
      <w:pPr>
        <w:spacing w:line="360" w:lineRule="auto"/>
        <w:jc w:val="both"/>
        <w:rPr>
          <w:rFonts w:ascii="Arial Narrow" w:eastAsia="Calibri" w:hAnsi="Arial Narrow"/>
          <w:i/>
          <w:iCs/>
        </w:rPr>
      </w:pPr>
    </w:p>
    <w:p w14:paraId="2A61BECE" w14:textId="7A4DA240" w:rsidR="00803EF6" w:rsidRPr="002E0B96" w:rsidRDefault="00803EF6" w:rsidP="00803EF6">
      <w:pPr>
        <w:spacing w:line="360" w:lineRule="auto"/>
        <w:jc w:val="both"/>
        <w:rPr>
          <w:rFonts w:ascii="Arial Narrow" w:eastAsia="Calibri" w:hAnsi="Arial Narrow"/>
        </w:rPr>
      </w:pPr>
      <w:r>
        <w:rPr>
          <w:rFonts w:ascii="Arial Narrow" w:eastAsia="Calibri" w:hAnsi="Arial Narrow"/>
        </w:rPr>
        <w:t>A su vez, l</w:t>
      </w:r>
      <w:r w:rsidRPr="007A4EFB">
        <w:rPr>
          <w:rFonts w:ascii="Arial Narrow" w:eastAsia="Calibri" w:hAnsi="Arial Narrow"/>
        </w:rPr>
        <w:t xml:space="preserve">a </w:t>
      </w:r>
      <w:r>
        <w:rPr>
          <w:rFonts w:ascii="Arial Narrow" w:eastAsia="Calibri" w:hAnsi="Arial Narrow"/>
        </w:rPr>
        <w:t>meta estratégica “</w:t>
      </w:r>
      <w:r w:rsidRPr="00ED7D53">
        <w:rPr>
          <w:rFonts w:ascii="Arial Narrow" w:eastAsia="Calibri" w:hAnsi="Arial Narrow"/>
          <w:b/>
          <w:bCs/>
          <w:i/>
          <w:iCs/>
        </w:rPr>
        <w:t>Que al finalizar el 2024, se haya implementado una estrategia de regionalización de la capacitación que permita atender las necesidades regionales de personal judicial, de manera continua</w:t>
      </w:r>
      <w:r>
        <w:rPr>
          <w:rFonts w:ascii="Arial Narrow" w:eastAsia="Calibri" w:hAnsi="Arial Narrow"/>
          <w:b/>
          <w:bCs/>
          <w:i/>
          <w:iCs/>
        </w:rPr>
        <w:t>”</w:t>
      </w:r>
      <w:r w:rsidR="003A1967">
        <w:rPr>
          <w:rFonts w:ascii="Arial Narrow" w:eastAsia="Calibri" w:hAnsi="Arial Narrow"/>
          <w:b/>
          <w:bCs/>
          <w:i/>
          <w:iCs/>
        </w:rPr>
        <w:t>.</w:t>
      </w:r>
      <w:r>
        <w:rPr>
          <w:rFonts w:ascii="Arial Narrow" w:eastAsia="Calibri" w:hAnsi="Arial Narrow"/>
        </w:rPr>
        <w:t xml:space="preserve"> </w:t>
      </w:r>
      <w:r w:rsidRPr="007A4EFB">
        <w:rPr>
          <w:rFonts w:ascii="Arial Narrow" w:eastAsia="Calibri" w:hAnsi="Arial Narrow"/>
        </w:rPr>
        <w:t xml:space="preserve">Donde figura como responsable </w:t>
      </w:r>
      <w:r>
        <w:rPr>
          <w:rFonts w:ascii="Arial Narrow" w:eastAsia="Calibri" w:hAnsi="Arial Narrow"/>
        </w:rPr>
        <w:t>la Dirección de Gestión Humana s</w:t>
      </w:r>
      <w:r w:rsidRPr="00484CC1">
        <w:rPr>
          <w:rFonts w:ascii="Arial Narrow" w:eastAsia="Calibri" w:hAnsi="Arial Narrow"/>
        </w:rPr>
        <w:t xml:space="preserve">e logró </w:t>
      </w:r>
      <w:r>
        <w:rPr>
          <w:rFonts w:ascii="Arial Narrow" w:eastAsia="Calibri" w:hAnsi="Arial Narrow"/>
        </w:rPr>
        <w:t xml:space="preserve">evidenciar un registro de cumplimiento alto para los años 2019 y 2020.  Se indica por parte de la oficina de la Secc9ion de Gestión de la Capacitación para el 2019, se </w:t>
      </w:r>
      <w:r w:rsidRPr="002E0B96">
        <w:rPr>
          <w:rFonts w:ascii="Arial Narrow" w:eastAsia="Calibri" w:hAnsi="Arial Narrow"/>
        </w:rPr>
        <w:t xml:space="preserve">realizaron dos Diagnósticos de Necesidades de Capacitación, 1) Diagnóstico de necesidades en lengua de señas costarricense y 2) Diagnóstico de Necesidades de Capacitación de Técnicos Especializados 5 y 6 en Mantenimiento de todo el país. </w:t>
      </w:r>
      <w:r>
        <w:rPr>
          <w:rFonts w:ascii="Arial Narrow" w:eastAsia="Calibri" w:hAnsi="Arial Narrow"/>
        </w:rPr>
        <w:t xml:space="preserve">Para el 2020, se indican los </w:t>
      </w:r>
      <w:r w:rsidRPr="002E0B96">
        <w:rPr>
          <w:rFonts w:ascii="Arial Narrow" w:eastAsia="Calibri" w:hAnsi="Arial Narrow"/>
        </w:rPr>
        <w:t>resultados obtenidos en la consulta diagnóstica de necesidades de capacitación aplicada a todas las oficinas del Ámbito Administrativo per</w:t>
      </w:r>
      <w:r w:rsidR="003A1967">
        <w:rPr>
          <w:rFonts w:ascii="Arial Narrow" w:eastAsia="Calibri" w:hAnsi="Arial Narrow"/>
        </w:rPr>
        <w:t>í</w:t>
      </w:r>
      <w:r w:rsidRPr="002E0B96">
        <w:rPr>
          <w:rFonts w:ascii="Arial Narrow" w:eastAsia="Calibri" w:hAnsi="Arial Narrow"/>
        </w:rPr>
        <w:t>odo 2020-2021 para el cumplimiento de esta met</w:t>
      </w:r>
      <w:r>
        <w:rPr>
          <w:rFonts w:ascii="Arial Narrow" w:eastAsia="Calibri" w:hAnsi="Arial Narrow"/>
        </w:rPr>
        <w:t>a (se aplica por medio de un formulario en línea con la participación de 491 personas).</w:t>
      </w:r>
    </w:p>
    <w:p w14:paraId="5B253F75" w14:textId="77777777" w:rsidR="009D5823" w:rsidRDefault="009D5823" w:rsidP="00803EF6">
      <w:pPr>
        <w:rPr>
          <w:rFonts w:eastAsia="Calibri"/>
          <w:lang w:eastAsia="en-US"/>
        </w:rPr>
        <w:sectPr w:rsidR="009D5823" w:rsidSect="009D5823">
          <w:pgSz w:w="12242" w:h="15842" w:code="1"/>
          <w:pgMar w:top="1701" w:right="1417" w:bottom="1701" w:left="1417" w:header="709" w:footer="709" w:gutter="0"/>
          <w:cols w:space="708"/>
          <w:docGrid w:linePitch="360"/>
        </w:sectPr>
      </w:pPr>
    </w:p>
    <w:p w14:paraId="4E1349C5" w14:textId="77777777" w:rsidR="00803EF6" w:rsidRDefault="00803EF6" w:rsidP="00803EF6">
      <w:pPr>
        <w:rPr>
          <w:rFonts w:eastAsia="Calibri"/>
          <w:lang w:eastAsia="en-US"/>
        </w:rPr>
      </w:pPr>
    </w:p>
    <w:p w14:paraId="5501F244" w14:textId="5642A241" w:rsidR="00803EF6" w:rsidRPr="007A4EFB" w:rsidRDefault="00803EF6" w:rsidP="00803EF6">
      <w:pPr>
        <w:spacing w:line="360" w:lineRule="auto"/>
        <w:jc w:val="center"/>
        <w:rPr>
          <w:rFonts w:ascii="Arial Narrow" w:eastAsia="Calibri" w:hAnsi="Arial Narrow"/>
          <w:b/>
          <w:bCs/>
        </w:rPr>
      </w:pPr>
      <w:bookmarkStart w:id="126" w:name="_Toc76062299"/>
      <w:r w:rsidRPr="007A4EFB">
        <w:rPr>
          <w:rFonts w:ascii="Arial Narrow" w:hAnsi="Arial Narrow"/>
          <w:b/>
          <w:bCs/>
        </w:rPr>
        <w:t xml:space="preserve">Cuadro </w:t>
      </w:r>
      <w:r w:rsidRPr="007A4EFB">
        <w:rPr>
          <w:rFonts w:ascii="Arial Narrow" w:hAnsi="Arial Narrow"/>
          <w:b/>
          <w:bCs/>
        </w:rPr>
        <w:fldChar w:fldCharType="begin"/>
      </w:r>
      <w:r w:rsidRPr="007A4EFB">
        <w:rPr>
          <w:rFonts w:ascii="Arial Narrow" w:hAnsi="Arial Narrow"/>
          <w:b/>
          <w:bCs/>
        </w:rPr>
        <w:instrText xml:space="preserve"> SEQ Cuadro_No. \* ARABIC </w:instrText>
      </w:r>
      <w:r w:rsidRPr="007A4EFB">
        <w:rPr>
          <w:rFonts w:ascii="Arial Narrow" w:hAnsi="Arial Narrow"/>
          <w:b/>
          <w:bCs/>
        </w:rPr>
        <w:fldChar w:fldCharType="separate"/>
      </w:r>
      <w:r w:rsidR="009D5823">
        <w:rPr>
          <w:rFonts w:ascii="Arial Narrow" w:hAnsi="Arial Narrow"/>
          <w:b/>
          <w:bCs/>
          <w:noProof/>
        </w:rPr>
        <w:t>76</w:t>
      </w:r>
      <w:r w:rsidRPr="007A4EFB">
        <w:rPr>
          <w:rFonts w:ascii="Arial Narrow" w:hAnsi="Arial Narrow"/>
          <w:b/>
          <w:bCs/>
        </w:rPr>
        <w:fldChar w:fldCharType="end"/>
      </w:r>
      <w:r w:rsidRPr="007A4EFB">
        <w:rPr>
          <w:rFonts w:ascii="Arial Narrow" w:hAnsi="Arial Narrow"/>
          <w:b/>
          <w:bCs/>
        </w:rPr>
        <w:t xml:space="preserve"> </w:t>
      </w:r>
      <w:r w:rsidRPr="007A4EFB">
        <w:rPr>
          <w:rFonts w:ascii="Arial Narrow" w:eastAsia="Calibri" w:hAnsi="Arial Narrow"/>
          <w:b/>
          <w:bCs/>
        </w:rPr>
        <w:t>Metas estratégicas de Capacitación, y su cumplimiento para el 2019-2020</w:t>
      </w:r>
      <w:bookmarkEnd w:id="126"/>
    </w:p>
    <w:p w14:paraId="46B80387" w14:textId="77777777" w:rsidR="00803EF6" w:rsidRDefault="00803EF6" w:rsidP="00803EF6">
      <w:pPr>
        <w:rPr>
          <w:rFonts w:eastAsia="Calibri"/>
          <w:lang w:eastAsia="en-US"/>
        </w:rPr>
      </w:pPr>
      <w:r>
        <w:rPr>
          <w:noProof/>
          <w:lang w:val="es-CR" w:eastAsia="es-CR"/>
        </w:rPr>
        <w:drawing>
          <wp:inline distT="0" distB="0" distL="0" distR="0" wp14:anchorId="342A8206" wp14:editId="27E4C100">
            <wp:extent cx="7897877" cy="3677187"/>
            <wp:effectExtent l="19050" t="19050" r="27305" b="19050"/>
            <wp:docPr id="111" name="Imagen 11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Imagen 111" descr="Tabla&#10;&#10;Descripción generada automáticamente"/>
                    <pic:cNvPicPr/>
                  </pic:nvPicPr>
                  <pic:blipFill rotWithShape="1">
                    <a:blip r:embed="rId138"/>
                    <a:srcRect t="-1" b="2772"/>
                    <a:stretch/>
                  </pic:blipFill>
                  <pic:spPr bwMode="auto">
                    <a:xfrm>
                      <a:off x="0" y="0"/>
                      <a:ext cx="7901290" cy="3678776"/>
                    </a:xfrm>
                    <a:prstGeom prst="rect">
                      <a:avLst/>
                    </a:prstGeom>
                    <a:ln w="19050" cap="flat" cmpd="sng" algn="ctr">
                      <a:solidFill>
                        <a:srgbClr val="4472C4"/>
                      </a:solidFill>
                      <a:prstDash val="solid"/>
                      <a:round/>
                      <a:headEnd type="none" w="med" len="med"/>
                      <a:tailEnd type="none" w="med" len="med"/>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1C6C304E" w14:textId="77777777" w:rsidR="00803EF6" w:rsidRDefault="00803EF6" w:rsidP="00803EF6">
      <w:pPr>
        <w:rPr>
          <w:rFonts w:eastAsia="Calibri"/>
          <w:lang w:eastAsia="en-US"/>
        </w:rPr>
      </w:pPr>
    </w:p>
    <w:p w14:paraId="7D85E724" w14:textId="77777777" w:rsidR="00803EF6" w:rsidRDefault="00803EF6" w:rsidP="00803EF6">
      <w:pPr>
        <w:spacing w:line="360" w:lineRule="auto"/>
        <w:jc w:val="both"/>
        <w:rPr>
          <w:rFonts w:ascii="Arial Narrow" w:eastAsia="Calibri" w:hAnsi="Arial Narrow"/>
        </w:rPr>
      </w:pPr>
      <w:r w:rsidRPr="00EE2E13">
        <w:rPr>
          <w:rFonts w:ascii="Arial Narrow" w:hAnsi="Arial Narrow"/>
          <w:sz w:val="18"/>
          <w:szCs w:val="18"/>
          <w:lang w:val="es-CR" w:eastAsia="es-CR"/>
        </w:rPr>
        <w:t>Fuente: Sistema PEI al 24 de enero del 2020 (año 2019) y 04 de marzo del 2021 (año 2020).</w:t>
      </w:r>
    </w:p>
    <w:p w14:paraId="735A0FBF" w14:textId="77777777" w:rsidR="009D5823" w:rsidRDefault="009D5823" w:rsidP="00803EF6">
      <w:pPr>
        <w:rPr>
          <w:rFonts w:eastAsia="Calibri"/>
          <w:lang w:eastAsia="en-US"/>
        </w:rPr>
        <w:sectPr w:rsidR="009D5823" w:rsidSect="009D5823">
          <w:pgSz w:w="15842" w:h="12242" w:orient="landscape" w:code="1"/>
          <w:pgMar w:top="1417" w:right="1701" w:bottom="1417" w:left="1701" w:header="709" w:footer="709" w:gutter="0"/>
          <w:cols w:space="708"/>
          <w:docGrid w:linePitch="360"/>
        </w:sectPr>
      </w:pPr>
    </w:p>
    <w:p w14:paraId="150142DF" w14:textId="329AAFE1" w:rsidR="00803EF6" w:rsidRDefault="00803EF6" w:rsidP="00803EF6">
      <w:pPr>
        <w:rPr>
          <w:rFonts w:eastAsia="Calibri"/>
          <w:lang w:eastAsia="en-US"/>
        </w:rPr>
      </w:pPr>
    </w:p>
    <w:p w14:paraId="6C6F22FA" w14:textId="77777777" w:rsidR="00803EF6" w:rsidRDefault="00803EF6" w:rsidP="00803EF6">
      <w:pPr>
        <w:rPr>
          <w:rFonts w:eastAsia="Calibri"/>
          <w:lang w:eastAsia="en-US"/>
        </w:rPr>
      </w:pPr>
    </w:p>
    <w:p w14:paraId="7E9DB2F9" w14:textId="0F566FE2" w:rsidR="00803EF6" w:rsidRDefault="00803EF6" w:rsidP="00803EF6">
      <w:pPr>
        <w:spacing w:line="360" w:lineRule="auto"/>
        <w:jc w:val="both"/>
        <w:rPr>
          <w:rFonts w:ascii="Arial Narrow" w:eastAsia="Calibri" w:hAnsi="Arial Narrow"/>
        </w:rPr>
      </w:pPr>
      <w:r>
        <w:rPr>
          <w:rFonts w:ascii="Arial Narrow" w:eastAsia="Calibri" w:hAnsi="Arial Narrow"/>
        </w:rPr>
        <w:t>L</w:t>
      </w:r>
      <w:r w:rsidRPr="007A4EFB">
        <w:rPr>
          <w:rFonts w:ascii="Arial Narrow" w:eastAsia="Calibri" w:hAnsi="Arial Narrow"/>
        </w:rPr>
        <w:t xml:space="preserve">a </w:t>
      </w:r>
      <w:r>
        <w:rPr>
          <w:rFonts w:ascii="Arial Narrow" w:eastAsia="Calibri" w:hAnsi="Arial Narrow"/>
        </w:rPr>
        <w:t>meta estratégica del cuadro anterior “</w:t>
      </w:r>
      <w:r w:rsidRPr="0052096A">
        <w:rPr>
          <w:rFonts w:ascii="Arial Narrow" w:eastAsia="Calibri" w:hAnsi="Arial Narrow"/>
          <w:b/>
          <w:bCs/>
          <w:i/>
          <w:iCs/>
        </w:rPr>
        <w:t>Que al finalizar el 2024, se hayan atendido de manera integral en los distintos ámbitos judiciales, aquellas actividades de capacitación que respondan a los temas de interés institucionales, que hayan sido identificados por las entidades superiores de la institución</w:t>
      </w:r>
      <w:r>
        <w:rPr>
          <w:rFonts w:ascii="Arial Narrow" w:eastAsia="Calibri" w:hAnsi="Arial Narrow"/>
          <w:b/>
          <w:bCs/>
          <w:i/>
          <w:iCs/>
        </w:rPr>
        <w:t>”</w:t>
      </w:r>
      <w:r w:rsidR="003A1967">
        <w:rPr>
          <w:rFonts w:ascii="Arial Narrow" w:eastAsia="Calibri" w:hAnsi="Arial Narrow"/>
          <w:b/>
          <w:bCs/>
          <w:i/>
          <w:iCs/>
        </w:rPr>
        <w:t>,</w:t>
      </w:r>
      <w:r>
        <w:rPr>
          <w:rFonts w:ascii="Arial Narrow" w:eastAsia="Calibri" w:hAnsi="Arial Narrow"/>
          <w:b/>
          <w:bCs/>
          <w:i/>
          <w:iCs/>
        </w:rPr>
        <w:t xml:space="preserve"> </w:t>
      </w:r>
      <w:r w:rsidRPr="002E0B96">
        <w:rPr>
          <w:rFonts w:ascii="Arial Narrow" w:eastAsia="Calibri" w:hAnsi="Arial Narrow"/>
        </w:rPr>
        <w:t xml:space="preserve">asignada como responsable operativo la Escuela Judicial y la Dirección Ejecutiva </w:t>
      </w:r>
      <w:r w:rsidRPr="00731978">
        <w:rPr>
          <w:rFonts w:ascii="Arial Narrow" w:eastAsia="Calibri" w:hAnsi="Arial Narrow"/>
        </w:rPr>
        <w:t xml:space="preserve"> la</w:t>
      </w:r>
      <w:r w:rsidRPr="00484CC1">
        <w:rPr>
          <w:rFonts w:ascii="Arial Narrow" w:eastAsia="Calibri" w:hAnsi="Arial Narrow"/>
        </w:rPr>
        <w:t xml:space="preserve"> cual de acuerdo con la revisión efectuada se logró determinar </w:t>
      </w:r>
      <w:r>
        <w:rPr>
          <w:rFonts w:ascii="Arial Narrow" w:eastAsia="Calibri" w:hAnsi="Arial Narrow"/>
        </w:rPr>
        <w:t xml:space="preserve">que para el 2019 y 2020 se tiene un cumplimiento alto del 100%, donde se destaca lo consignado por la Escuela Judicial con respecto a los resultados, en el 2019 </w:t>
      </w:r>
      <w:r w:rsidRPr="007A4EFB">
        <w:rPr>
          <w:rFonts w:ascii="Arial Narrow" w:eastAsia="Calibri" w:hAnsi="Arial Narrow"/>
        </w:rPr>
        <w:t xml:space="preserve">se </w:t>
      </w:r>
      <w:r w:rsidRPr="002E0B96">
        <w:rPr>
          <w:rFonts w:ascii="Arial Narrow" w:eastAsia="Calibri" w:hAnsi="Arial Narrow"/>
        </w:rPr>
        <w:t xml:space="preserve">brindó formación en tres reformas y nuevas leyes, materia de Familia, personas con discapacidad y adultas mayores, levantamiento de velo social y medidas cautelares de derechos patrimoniales, estas acciones formativas son completamente nuevas en la oferta de capacitación de la Escuela Judicial, su ejecución demuestra la capacidad de la Escuela para responder a nuevas necesidades de capacitación. </w:t>
      </w:r>
      <w:r>
        <w:rPr>
          <w:rFonts w:ascii="Arial Narrow" w:eastAsia="Calibri" w:hAnsi="Arial Narrow"/>
        </w:rPr>
        <w:t>En el 2020 la Dirección Ejecutiva informa que a</w:t>
      </w:r>
      <w:r w:rsidRPr="002E0B96">
        <w:rPr>
          <w:rFonts w:ascii="Arial Narrow" w:eastAsia="Calibri" w:hAnsi="Arial Narrow"/>
        </w:rPr>
        <w:t xml:space="preserve"> </w:t>
      </w:r>
      <w:r w:rsidRPr="00731978">
        <w:rPr>
          <w:rFonts w:ascii="Arial Narrow" w:eastAsia="Calibri" w:hAnsi="Arial Narrow"/>
        </w:rPr>
        <w:t>diciembre</w:t>
      </w:r>
      <w:r w:rsidRPr="002E0B96">
        <w:rPr>
          <w:rFonts w:ascii="Arial Narrow" w:eastAsia="Calibri" w:hAnsi="Arial Narrow"/>
        </w:rPr>
        <w:t xml:space="preserve"> de 2020 se han realizado todas las capacitaciones a las Administraciones Regionales para implementar el Sistema de Control de Vehículos Decomisados y el Sistema de Control Vehicular (SICOVE).</w:t>
      </w:r>
      <w:r>
        <w:rPr>
          <w:rFonts w:ascii="Arial Narrow" w:eastAsia="Calibri" w:hAnsi="Arial Narrow"/>
        </w:rPr>
        <w:t xml:space="preserve"> La Escuela Judicial informa que para el 2020, </w:t>
      </w:r>
      <w:r w:rsidRPr="002E0B96">
        <w:rPr>
          <w:rFonts w:ascii="Arial Narrow" w:eastAsia="Calibri" w:hAnsi="Arial Narrow"/>
        </w:rPr>
        <w:t>se cumplió al 100%, con los siguientes cursos: 1. Derechos Humanos y justicia penal. (Dirigido al Centro de Capacitación Judicial.) 2. Ciber delincuencia en el mundo globalizado. Retos para la administración de la justicia penal</w:t>
      </w:r>
      <w:r>
        <w:rPr>
          <w:rFonts w:ascii="Arial Narrow" w:eastAsia="Calibri" w:hAnsi="Arial Narrow"/>
        </w:rPr>
        <w:t>.</w:t>
      </w:r>
    </w:p>
    <w:p w14:paraId="02E7F8DD" w14:textId="77777777" w:rsidR="00803EF6" w:rsidRDefault="00803EF6" w:rsidP="00803EF6">
      <w:pPr>
        <w:spacing w:line="360" w:lineRule="auto"/>
        <w:jc w:val="both"/>
        <w:rPr>
          <w:rFonts w:ascii="Arial Narrow" w:eastAsia="Calibri" w:hAnsi="Arial Narrow"/>
        </w:rPr>
      </w:pPr>
    </w:p>
    <w:p w14:paraId="1842FA3F" w14:textId="7F401B93" w:rsidR="00803EF6" w:rsidRDefault="00803EF6" w:rsidP="00803EF6">
      <w:pPr>
        <w:spacing w:line="360" w:lineRule="auto"/>
        <w:jc w:val="both"/>
        <w:rPr>
          <w:rFonts w:ascii="Arial Narrow" w:eastAsia="Calibri" w:hAnsi="Arial Narrow"/>
        </w:rPr>
      </w:pPr>
      <w:r>
        <w:rPr>
          <w:rFonts w:ascii="Arial Narrow" w:eastAsia="Calibri" w:hAnsi="Arial Narrow"/>
        </w:rPr>
        <w:t>Por otra parte, l</w:t>
      </w:r>
      <w:r w:rsidRPr="007A4EFB">
        <w:rPr>
          <w:rFonts w:ascii="Arial Narrow" w:eastAsia="Calibri" w:hAnsi="Arial Narrow"/>
        </w:rPr>
        <w:t xml:space="preserve">a </w:t>
      </w:r>
      <w:r>
        <w:rPr>
          <w:rFonts w:ascii="Arial Narrow" w:eastAsia="Calibri" w:hAnsi="Arial Narrow"/>
        </w:rPr>
        <w:t>meta estratégica “</w:t>
      </w:r>
      <w:r w:rsidRPr="0052096A">
        <w:rPr>
          <w:rFonts w:ascii="Arial Narrow" w:eastAsia="Calibri" w:hAnsi="Arial Narrow"/>
          <w:b/>
          <w:bCs/>
          <w:i/>
          <w:iCs/>
        </w:rPr>
        <w:t>Que al finalizar el 2024, se haya cumplido la estrategia de capacitación diseñada para el ámbito jurisdiccional</w:t>
      </w:r>
      <w:r>
        <w:rPr>
          <w:rFonts w:ascii="Arial Narrow" w:eastAsia="Calibri" w:hAnsi="Arial Narrow"/>
          <w:b/>
          <w:bCs/>
          <w:i/>
          <w:iCs/>
        </w:rPr>
        <w:t>”</w:t>
      </w:r>
      <w:r w:rsidR="00653173">
        <w:rPr>
          <w:rFonts w:ascii="Arial Narrow" w:eastAsia="Calibri" w:hAnsi="Arial Narrow"/>
          <w:b/>
          <w:bCs/>
          <w:i/>
          <w:iCs/>
        </w:rPr>
        <w:t>.</w:t>
      </w:r>
      <w:r>
        <w:rPr>
          <w:rFonts w:ascii="Arial Narrow" w:eastAsia="Calibri" w:hAnsi="Arial Narrow"/>
          <w:b/>
          <w:bCs/>
          <w:i/>
          <w:iCs/>
        </w:rPr>
        <w:t xml:space="preserve"> </w:t>
      </w:r>
      <w:r w:rsidRPr="007A4EFB">
        <w:rPr>
          <w:rFonts w:ascii="Arial Narrow" w:eastAsia="Calibri" w:hAnsi="Arial Narrow"/>
        </w:rPr>
        <w:t xml:space="preserve">Donde figura como responsable </w:t>
      </w:r>
      <w:r>
        <w:rPr>
          <w:rFonts w:ascii="Arial Narrow" w:eastAsia="Calibri" w:hAnsi="Arial Narrow"/>
        </w:rPr>
        <w:t>la oficina de Capacitación Jurisdiccional</w:t>
      </w:r>
      <w:r w:rsidRPr="007A4EFB">
        <w:rPr>
          <w:rFonts w:ascii="Arial Narrow" w:eastAsia="Calibri" w:hAnsi="Arial Narrow"/>
        </w:rPr>
        <w:t>,</w:t>
      </w:r>
      <w:r>
        <w:rPr>
          <w:rFonts w:ascii="Arial Narrow" w:eastAsia="Calibri" w:hAnsi="Arial Narrow"/>
        </w:rPr>
        <w:t xml:space="preserve"> la</w:t>
      </w:r>
      <w:r w:rsidRPr="00484CC1">
        <w:rPr>
          <w:rFonts w:ascii="Arial Narrow" w:eastAsia="Calibri" w:hAnsi="Arial Narrow"/>
        </w:rPr>
        <w:t xml:space="preserve"> cual de acuerdo con la revisión efectuada se logró determinar </w:t>
      </w:r>
      <w:r>
        <w:rPr>
          <w:rFonts w:ascii="Arial Narrow" w:eastAsia="Calibri" w:hAnsi="Arial Narrow"/>
        </w:rPr>
        <w:t xml:space="preserve">que para el 2019 y 2020 tiene un cumplimiento alto de 100%. Se destaca que la oficina consigna que en el 2019 se logra la ejecución de las </w:t>
      </w:r>
      <w:r w:rsidRPr="002E0B96">
        <w:rPr>
          <w:rFonts w:ascii="Arial Narrow" w:eastAsia="Calibri" w:hAnsi="Arial Narrow"/>
        </w:rPr>
        <w:t xml:space="preserve">Actividades de Capacitación según el Sistema de Gestión de Actividades Académicas de la Escuela Judicial y se </w:t>
      </w:r>
      <w:r>
        <w:rPr>
          <w:rFonts w:ascii="Arial Narrow" w:eastAsia="Calibri" w:hAnsi="Arial Narrow"/>
        </w:rPr>
        <w:t>evidencia mediante</w:t>
      </w:r>
      <w:r w:rsidRPr="002E0B96">
        <w:rPr>
          <w:rFonts w:ascii="Arial Narrow" w:eastAsia="Calibri" w:hAnsi="Arial Narrow"/>
        </w:rPr>
        <w:t xml:space="preserve"> el Plan de Capacitación de la Escuela Judicial actualizado</w:t>
      </w:r>
      <w:r>
        <w:rPr>
          <w:rFonts w:ascii="Arial Narrow" w:eastAsia="Calibri" w:hAnsi="Arial Narrow"/>
        </w:rPr>
        <w:t xml:space="preserve">. Para el 2020, se informa que por medio del </w:t>
      </w:r>
      <w:r w:rsidRPr="002E0B96">
        <w:rPr>
          <w:rFonts w:ascii="Arial Narrow" w:eastAsia="Calibri" w:hAnsi="Arial Narrow"/>
        </w:rPr>
        <w:t>Informe de Labores de la Escuela Judicial donde se puede visibilizar el cumplimiento de la Estrategia de Capacitación Establecida para el año 2020.</w:t>
      </w:r>
    </w:p>
    <w:p w14:paraId="5C871310" w14:textId="77777777" w:rsidR="00803EF6" w:rsidRDefault="00803EF6" w:rsidP="00803EF6">
      <w:pPr>
        <w:spacing w:line="360" w:lineRule="auto"/>
        <w:jc w:val="both"/>
        <w:rPr>
          <w:rFonts w:ascii="Arial Narrow" w:eastAsia="Calibri" w:hAnsi="Arial Narrow"/>
        </w:rPr>
      </w:pPr>
    </w:p>
    <w:p w14:paraId="44F324EE" w14:textId="09D8C4C1" w:rsidR="00803EF6" w:rsidRDefault="00803EF6" w:rsidP="00803EF6">
      <w:pPr>
        <w:spacing w:line="360" w:lineRule="auto"/>
        <w:jc w:val="both"/>
        <w:rPr>
          <w:rFonts w:ascii="Arial Narrow" w:eastAsia="Calibri" w:hAnsi="Arial Narrow"/>
        </w:rPr>
      </w:pPr>
      <w:r>
        <w:rPr>
          <w:rFonts w:ascii="Arial Narrow" w:eastAsia="Calibri" w:hAnsi="Arial Narrow"/>
        </w:rPr>
        <w:t>L</w:t>
      </w:r>
      <w:r w:rsidRPr="007A4EFB">
        <w:rPr>
          <w:rFonts w:ascii="Arial Narrow" w:eastAsia="Calibri" w:hAnsi="Arial Narrow"/>
        </w:rPr>
        <w:t xml:space="preserve">a </w:t>
      </w:r>
      <w:r>
        <w:rPr>
          <w:rFonts w:ascii="Arial Narrow" w:eastAsia="Calibri" w:hAnsi="Arial Narrow"/>
        </w:rPr>
        <w:t>meta estratégica “</w:t>
      </w:r>
      <w:r w:rsidRPr="00731978">
        <w:rPr>
          <w:rFonts w:ascii="Arial Narrow" w:eastAsia="Calibri" w:hAnsi="Arial Narrow"/>
          <w:b/>
          <w:bCs/>
          <w:i/>
          <w:iCs/>
        </w:rPr>
        <w:t xml:space="preserve">Que al finalizar el 2024, se hayan diseñado e implementado, al menos  5 actividades de capacitación anuales por parte de la Sección de Capacitación de la Dirección de Gestión Humana, acorde a  los perfiles competenciales de la población meta que se desea capacitar, </w:t>
      </w:r>
      <w:r w:rsidRPr="00731978">
        <w:rPr>
          <w:rFonts w:ascii="Arial Narrow" w:eastAsia="Calibri" w:hAnsi="Arial Narrow"/>
          <w:b/>
          <w:bCs/>
          <w:i/>
          <w:iCs/>
        </w:rPr>
        <w:lastRenderedPageBreak/>
        <w:t>con el fin de alcanzar  el desempeño deseado en la función</w:t>
      </w:r>
      <w:r>
        <w:rPr>
          <w:rFonts w:ascii="Arial Narrow" w:eastAsia="Calibri" w:hAnsi="Arial Narrow"/>
          <w:b/>
          <w:bCs/>
          <w:i/>
          <w:iCs/>
        </w:rPr>
        <w:t>”</w:t>
      </w:r>
      <w:r w:rsidR="00653173">
        <w:rPr>
          <w:rFonts w:ascii="Arial Narrow" w:eastAsia="Calibri" w:hAnsi="Arial Narrow"/>
          <w:b/>
          <w:bCs/>
          <w:i/>
          <w:iCs/>
        </w:rPr>
        <w:t xml:space="preserve">. </w:t>
      </w:r>
      <w:r>
        <w:rPr>
          <w:rFonts w:ascii="Arial Narrow" w:eastAsia="Calibri" w:hAnsi="Arial Narrow"/>
          <w:b/>
          <w:bCs/>
          <w:i/>
          <w:iCs/>
        </w:rPr>
        <w:t xml:space="preserve"> </w:t>
      </w:r>
      <w:r w:rsidRPr="007A4EFB">
        <w:rPr>
          <w:rFonts w:ascii="Arial Narrow" w:eastAsia="Calibri" w:hAnsi="Arial Narrow"/>
        </w:rPr>
        <w:t xml:space="preserve">Donde figura como responsable </w:t>
      </w:r>
      <w:r>
        <w:rPr>
          <w:rFonts w:ascii="Arial Narrow" w:eastAsia="Calibri" w:hAnsi="Arial Narrow"/>
        </w:rPr>
        <w:t>la oficina de Sección Gestión de la Capacitación</w:t>
      </w:r>
      <w:r w:rsidRPr="007A4EFB">
        <w:rPr>
          <w:rFonts w:ascii="Arial Narrow" w:eastAsia="Calibri" w:hAnsi="Arial Narrow"/>
        </w:rPr>
        <w:t>,</w:t>
      </w:r>
      <w:r>
        <w:rPr>
          <w:rFonts w:ascii="Arial Narrow" w:eastAsia="Calibri" w:hAnsi="Arial Narrow"/>
        </w:rPr>
        <w:t xml:space="preserve"> la</w:t>
      </w:r>
      <w:r w:rsidRPr="00484CC1">
        <w:rPr>
          <w:rFonts w:ascii="Arial Narrow" w:eastAsia="Calibri" w:hAnsi="Arial Narrow"/>
        </w:rPr>
        <w:t xml:space="preserve"> cual de acuerdo con la revisión efectuada se logró determinar </w:t>
      </w:r>
      <w:r>
        <w:rPr>
          <w:rFonts w:ascii="Arial Narrow" w:eastAsia="Calibri" w:hAnsi="Arial Narrow"/>
        </w:rPr>
        <w:t xml:space="preserve">que para el 2019 y 2020 registra un cumplimiento total de la meta. En el 2019, se indica por parte de la Sección que </w:t>
      </w:r>
      <w:r w:rsidRPr="002E0B96">
        <w:rPr>
          <w:rFonts w:ascii="Arial Narrow" w:eastAsia="Calibri" w:hAnsi="Arial Narrow"/>
        </w:rPr>
        <w:t>se realizó una reunión con la Metodóloga de la Escuela Judicial, con el fin de definir y alinear este objetivo según la Metodología de Gestión por Competencias que se realiza desde Gestión Humana y lo propuesto por la Escuela relacionado a los mapas funcionales. Para el 2020, la oficina cumple con lo que se desglosa como labor cotidiana, ya que se utiliza como insumo los perfiles competenciales creados por la Dirección de Gestión Humana para generar actividades de capacitación y así cerrar las brechas encontradas en las oficinas intervenidas, según manifiesta la oficina.</w:t>
      </w:r>
    </w:p>
    <w:p w14:paraId="267C34AA" w14:textId="77777777" w:rsidR="009D5823" w:rsidRDefault="009D5823" w:rsidP="00803EF6">
      <w:pPr>
        <w:spacing w:line="360" w:lineRule="auto"/>
        <w:jc w:val="both"/>
        <w:rPr>
          <w:rFonts w:ascii="Arial Narrow" w:eastAsia="Calibri" w:hAnsi="Arial Narrow"/>
        </w:rPr>
        <w:sectPr w:rsidR="009D5823" w:rsidSect="009D5823">
          <w:pgSz w:w="12242" w:h="15842" w:code="1"/>
          <w:pgMar w:top="1701" w:right="1417" w:bottom="1701" w:left="1417" w:header="709" w:footer="709" w:gutter="0"/>
          <w:cols w:space="708"/>
          <w:docGrid w:linePitch="360"/>
        </w:sectPr>
      </w:pPr>
    </w:p>
    <w:p w14:paraId="3EDC8951" w14:textId="674A3FBD" w:rsidR="00803EF6" w:rsidRDefault="00803EF6" w:rsidP="00803EF6">
      <w:pPr>
        <w:spacing w:line="360" w:lineRule="auto"/>
        <w:jc w:val="both"/>
        <w:rPr>
          <w:rFonts w:ascii="Arial Narrow" w:eastAsia="Calibri" w:hAnsi="Arial Narrow"/>
        </w:rPr>
      </w:pPr>
    </w:p>
    <w:p w14:paraId="2D8CAD83" w14:textId="77777777" w:rsidR="00803EF6" w:rsidRDefault="00803EF6" w:rsidP="00803EF6">
      <w:pPr>
        <w:rPr>
          <w:rFonts w:eastAsia="Calibri"/>
          <w:lang w:eastAsia="en-US"/>
        </w:rPr>
      </w:pPr>
    </w:p>
    <w:p w14:paraId="08E94034" w14:textId="656C4A1B" w:rsidR="00803EF6" w:rsidRPr="007A4EFB" w:rsidRDefault="00803EF6" w:rsidP="00803EF6">
      <w:pPr>
        <w:spacing w:line="360" w:lineRule="auto"/>
        <w:jc w:val="center"/>
        <w:rPr>
          <w:rFonts w:ascii="Arial Narrow" w:eastAsia="Calibri" w:hAnsi="Arial Narrow"/>
          <w:b/>
          <w:bCs/>
        </w:rPr>
      </w:pPr>
      <w:bookmarkStart w:id="127" w:name="_Toc76062300"/>
      <w:r w:rsidRPr="007A4EFB">
        <w:rPr>
          <w:rFonts w:ascii="Arial Narrow" w:hAnsi="Arial Narrow"/>
          <w:b/>
          <w:bCs/>
        </w:rPr>
        <w:t xml:space="preserve">Cuadro </w:t>
      </w:r>
      <w:r w:rsidRPr="007A4EFB">
        <w:rPr>
          <w:rFonts w:ascii="Arial Narrow" w:hAnsi="Arial Narrow"/>
          <w:b/>
          <w:bCs/>
        </w:rPr>
        <w:fldChar w:fldCharType="begin"/>
      </w:r>
      <w:r w:rsidRPr="007A4EFB">
        <w:rPr>
          <w:rFonts w:ascii="Arial Narrow" w:hAnsi="Arial Narrow"/>
          <w:b/>
          <w:bCs/>
        </w:rPr>
        <w:instrText xml:space="preserve"> SEQ Cuadro_No. \* ARABIC </w:instrText>
      </w:r>
      <w:r w:rsidRPr="007A4EFB">
        <w:rPr>
          <w:rFonts w:ascii="Arial Narrow" w:hAnsi="Arial Narrow"/>
          <w:b/>
          <w:bCs/>
        </w:rPr>
        <w:fldChar w:fldCharType="separate"/>
      </w:r>
      <w:r w:rsidR="009D5823">
        <w:rPr>
          <w:rFonts w:ascii="Arial Narrow" w:hAnsi="Arial Narrow"/>
          <w:b/>
          <w:bCs/>
          <w:noProof/>
        </w:rPr>
        <w:t>77</w:t>
      </w:r>
      <w:r w:rsidRPr="007A4EFB">
        <w:rPr>
          <w:rFonts w:ascii="Arial Narrow" w:hAnsi="Arial Narrow"/>
          <w:b/>
          <w:bCs/>
        </w:rPr>
        <w:fldChar w:fldCharType="end"/>
      </w:r>
      <w:r w:rsidRPr="007A4EFB">
        <w:rPr>
          <w:rFonts w:ascii="Arial Narrow" w:hAnsi="Arial Narrow"/>
          <w:b/>
          <w:bCs/>
        </w:rPr>
        <w:t xml:space="preserve"> </w:t>
      </w:r>
      <w:r w:rsidRPr="007A4EFB">
        <w:rPr>
          <w:rFonts w:ascii="Arial Narrow" w:eastAsia="Calibri" w:hAnsi="Arial Narrow"/>
          <w:b/>
          <w:bCs/>
        </w:rPr>
        <w:t>Metas estratégicas de Capacitación, y su cumplimiento para el 2019-2020</w:t>
      </w:r>
      <w:bookmarkEnd w:id="127"/>
    </w:p>
    <w:p w14:paraId="7750B48C" w14:textId="77777777" w:rsidR="00803EF6" w:rsidRDefault="00803EF6" w:rsidP="00803EF6">
      <w:pPr>
        <w:spacing w:line="360" w:lineRule="auto"/>
        <w:jc w:val="both"/>
        <w:rPr>
          <w:rFonts w:ascii="Arial Narrow" w:eastAsia="Calibri" w:hAnsi="Arial Narrow"/>
        </w:rPr>
      </w:pPr>
      <w:r>
        <w:rPr>
          <w:noProof/>
          <w:lang w:val="es-CR" w:eastAsia="es-CR"/>
        </w:rPr>
        <w:drawing>
          <wp:inline distT="0" distB="0" distL="0" distR="0" wp14:anchorId="4F453F38" wp14:editId="1D4C2BB5">
            <wp:extent cx="7899400" cy="3187789"/>
            <wp:effectExtent l="19050" t="19050" r="25400" b="12700"/>
            <wp:docPr id="112" name="Imagen 112"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agen 112" descr="Tabla&#10;&#10;Descripción generada automáticamente"/>
                    <pic:cNvPicPr/>
                  </pic:nvPicPr>
                  <pic:blipFill>
                    <a:blip r:embed="rId139"/>
                    <a:stretch>
                      <a:fillRect/>
                    </a:stretch>
                  </pic:blipFill>
                  <pic:spPr>
                    <a:xfrm>
                      <a:off x="0" y="0"/>
                      <a:ext cx="7902151" cy="3188899"/>
                    </a:xfrm>
                    <a:prstGeom prst="rect">
                      <a:avLst/>
                    </a:prstGeom>
                    <a:ln w="19050">
                      <a:solidFill>
                        <a:schemeClr val="accent1"/>
                      </a:solidFill>
                    </a:ln>
                  </pic:spPr>
                </pic:pic>
              </a:graphicData>
            </a:graphic>
          </wp:inline>
        </w:drawing>
      </w:r>
    </w:p>
    <w:p w14:paraId="6E2B5EC2" w14:textId="77777777" w:rsidR="00803EF6" w:rsidRDefault="00803EF6" w:rsidP="00803EF6">
      <w:pPr>
        <w:spacing w:line="360" w:lineRule="auto"/>
        <w:jc w:val="both"/>
        <w:rPr>
          <w:rFonts w:ascii="Arial Narrow" w:eastAsia="Calibri" w:hAnsi="Arial Narrow"/>
        </w:rPr>
      </w:pPr>
    </w:p>
    <w:p w14:paraId="10DF3B14" w14:textId="77777777" w:rsidR="00803EF6" w:rsidRDefault="00803EF6" w:rsidP="00803EF6">
      <w:pPr>
        <w:spacing w:line="360" w:lineRule="auto"/>
        <w:jc w:val="both"/>
        <w:rPr>
          <w:rFonts w:ascii="Arial Narrow" w:eastAsia="Calibri" w:hAnsi="Arial Narrow"/>
        </w:rPr>
      </w:pPr>
      <w:r w:rsidRPr="00EE2E13">
        <w:rPr>
          <w:rFonts w:ascii="Arial Narrow" w:hAnsi="Arial Narrow"/>
          <w:sz w:val="18"/>
          <w:szCs w:val="18"/>
          <w:lang w:val="es-CR" w:eastAsia="es-CR"/>
        </w:rPr>
        <w:t>Fuente: Sistema PEI al 24 de enero del 2020 (año 2019) y 04 de marzo del 2021 (año 2020).</w:t>
      </w:r>
    </w:p>
    <w:p w14:paraId="5EEA38D1" w14:textId="77777777" w:rsidR="00803EF6" w:rsidRDefault="00803EF6" w:rsidP="00803EF6">
      <w:pPr>
        <w:spacing w:line="360" w:lineRule="auto"/>
        <w:jc w:val="both"/>
        <w:rPr>
          <w:rFonts w:ascii="Arial Narrow" w:eastAsia="Calibri" w:hAnsi="Arial Narrow"/>
        </w:rPr>
      </w:pPr>
    </w:p>
    <w:p w14:paraId="56C58500" w14:textId="77777777" w:rsidR="009D5823" w:rsidRDefault="009D5823" w:rsidP="00803EF6">
      <w:pPr>
        <w:spacing w:line="360" w:lineRule="auto"/>
        <w:jc w:val="both"/>
        <w:rPr>
          <w:rFonts w:ascii="Arial Narrow" w:eastAsia="Calibri" w:hAnsi="Arial Narrow"/>
        </w:rPr>
        <w:sectPr w:rsidR="009D5823" w:rsidSect="009D5823">
          <w:pgSz w:w="15842" w:h="12242" w:orient="landscape" w:code="1"/>
          <w:pgMar w:top="1417" w:right="1701" w:bottom="1417" w:left="1701" w:header="709" w:footer="709" w:gutter="0"/>
          <w:cols w:space="708"/>
          <w:docGrid w:linePitch="360"/>
        </w:sectPr>
      </w:pPr>
    </w:p>
    <w:p w14:paraId="5A929FDD" w14:textId="054C2F76" w:rsidR="00803EF6" w:rsidRDefault="00803EF6" w:rsidP="00803EF6">
      <w:pPr>
        <w:spacing w:line="360" w:lineRule="auto"/>
        <w:jc w:val="both"/>
        <w:rPr>
          <w:rFonts w:ascii="Arial Narrow" w:eastAsia="Calibri" w:hAnsi="Arial Narrow"/>
        </w:rPr>
      </w:pPr>
    </w:p>
    <w:p w14:paraId="460BB761" w14:textId="08FBBADD" w:rsidR="00803EF6" w:rsidRDefault="00803EF6" w:rsidP="00803EF6">
      <w:pPr>
        <w:spacing w:line="360" w:lineRule="auto"/>
        <w:jc w:val="both"/>
        <w:rPr>
          <w:rFonts w:ascii="Arial Narrow" w:eastAsia="Calibri" w:hAnsi="Arial Narrow"/>
        </w:rPr>
      </w:pPr>
      <w:r>
        <w:rPr>
          <w:rFonts w:ascii="Arial Narrow" w:eastAsia="Calibri" w:hAnsi="Arial Narrow"/>
        </w:rPr>
        <w:t>L</w:t>
      </w:r>
      <w:r w:rsidRPr="007A4EFB">
        <w:rPr>
          <w:rFonts w:ascii="Arial Narrow" w:eastAsia="Calibri" w:hAnsi="Arial Narrow"/>
        </w:rPr>
        <w:t xml:space="preserve">a </w:t>
      </w:r>
      <w:r>
        <w:rPr>
          <w:rFonts w:ascii="Arial Narrow" w:eastAsia="Calibri" w:hAnsi="Arial Narrow"/>
        </w:rPr>
        <w:t>meta estratégica del cuadro anterior “</w:t>
      </w:r>
      <w:r w:rsidRPr="009A5708">
        <w:rPr>
          <w:rFonts w:ascii="Arial Narrow" w:eastAsia="Calibri" w:hAnsi="Arial Narrow"/>
          <w:b/>
          <w:bCs/>
          <w:i/>
          <w:iCs/>
        </w:rPr>
        <w:t>Que al finalizar el 2024, la Escuela Judicial y Unidades de Capacitación hayan incorporado dentro de sus actividades formativas al menos 100 productos multimedia de apoyo a la capacitación que desarrolla el Área del Servicio Técnico de la Escuela Judicial</w:t>
      </w:r>
      <w:r>
        <w:rPr>
          <w:rFonts w:ascii="Arial Narrow" w:eastAsia="Calibri" w:hAnsi="Arial Narrow"/>
          <w:b/>
          <w:bCs/>
          <w:i/>
          <w:iCs/>
        </w:rPr>
        <w:t>”</w:t>
      </w:r>
      <w:r w:rsidR="00653173">
        <w:rPr>
          <w:rFonts w:ascii="Arial Narrow" w:eastAsia="Calibri" w:hAnsi="Arial Narrow"/>
          <w:b/>
          <w:bCs/>
          <w:i/>
          <w:iCs/>
        </w:rPr>
        <w:t xml:space="preserve">, </w:t>
      </w:r>
      <w:r w:rsidRPr="007A4EFB">
        <w:rPr>
          <w:rFonts w:ascii="Arial Narrow" w:eastAsia="Calibri" w:hAnsi="Arial Narrow"/>
        </w:rPr>
        <w:t xml:space="preserve">asignada como responsable </w:t>
      </w:r>
      <w:r>
        <w:rPr>
          <w:rFonts w:ascii="Arial Narrow" w:eastAsia="Calibri" w:hAnsi="Arial Narrow"/>
        </w:rPr>
        <w:t>estratégico</w:t>
      </w:r>
      <w:r w:rsidRPr="007A4EFB">
        <w:rPr>
          <w:rFonts w:ascii="Arial Narrow" w:eastAsia="Calibri" w:hAnsi="Arial Narrow"/>
        </w:rPr>
        <w:t xml:space="preserve"> la Escuela Judicial</w:t>
      </w:r>
      <w:r>
        <w:rPr>
          <w:rFonts w:ascii="Arial Narrow" w:eastAsia="Calibri" w:hAnsi="Arial Narrow"/>
        </w:rPr>
        <w:t>, con diversos responsables operativos. D</w:t>
      </w:r>
      <w:r w:rsidRPr="00484CC1">
        <w:rPr>
          <w:rFonts w:ascii="Arial Narrow" w:eastAsia="Calibri" w:hAnsi="Arial Narrow"/>
        </w:rPr>
        <w:t xml:space="preserve">e acuerdo con la revisión efectuada se logró determinar </w:t>
      </w:r>
      <w:r>
        <w:rPr>
          <w:rFonts w:ascii="Arial Narrow" w:eastAsia="Calibri" w:hAnsi="Arial Narrow"/>
        </w:rPr>
        <w:t xml:space="preserve">que para el 2019 y 2020 se tiene un cumplimiento alto del 100%, donde se destaca lo consignado por la Escuela Judicial para el 2019, donde se realizaron esfuerzos para </w:t>
      </w:r>
      <w:r w:rsidRPr="007A4EFB">
        <w:rPr>
          <w:rFonts w:ascii="Arial Narrow" w:eastAsia="Calibri" w:hAnsi="Arial Narrow"/>
        </w:rPr>
        <w:t xml:space="preserve">desarrollar una serie de materiales para ejemplificar los productos y servicios que brinda el Sistema Automatizado, sin embargo, luego de realizar dos convocatorias no </w:t>
      </w:r>
      <w:r>
        <w:rPr>
          <w:rFonts w:ascii="Arial Narrow" w:eastAsia="Calibri" w:hAnsi="Arial Narrow"/>
        </w:rPr>
        <w:t>se contó</w:t>
      </w:r>
      <w:r w:rsidRPr="007A4EFB">
        <w:rPr>
          <w:rFonts w:ascii="Arial Narrow" w:eastAsia="Calibri" w:hAnsi="Arial Narrow"/>
        </w:rPr>
        <w:t xml:space="preserve"> con participación para realizar la actividad</w:t>
      </w:r>
      <w:r>
        <w:rPr>
          <w:rFonts w:ascii="Arial Narrow" w:eastAsia="Calibri" w:hAnsi="Arial Narrow"/>
        </w:rPr>
        <w:t xml:space="preserve">, aunque se remitió </w:t>
      </w:r>
      <w:r w:rsidRPr="007A4EFB">
        <w:rPr>
          <w:rFonts w:ascii="Arial Narrow" w:eastAsia="Calibri" w:hAnsi="Arial Narrow"/>
        </w:rPr>
        <w:t xml:space="preserve">correo </w:t>
      </w:r>
      <w:r>
        <w:rPr>
          <w:rFonts w:ascii="Arial Narrow" w:eastAsia="Calibri" w:hAnsi="Arial Narrow"/>
        </w:rPr>
        <w:t>a las jefaturas</w:t>
      </w:r>
      <w:r w:rsidRPr="007A4EFB">
        <w:rPr>
          <w:rFonts w:ascii="Arial Narrow" w:eastAsia="Calibri" w:hAnsi="Arial Narrow"/>
        </w:rPr>
        <w:t xml:space="preserve"> de las unidades de capacitación, presentaciones realizadas, entre otros. Se desarrollaron también algunos videos que explican lo que hace </w:t>
      </w:r>
      <w:r>
        <w:rPr>
          <w:rFonts w:ascii="Arial Narrow" w:eastAsia="Calibri" w:hAnsi="Arial Narrow"/>
        </w:rPr>
        <w:t>el Sistema. Para el 2020, la Unidad de Capacitaci</w:t>
      </w:r>
      <w:r w:rsidR="00D13224">
        <w:rPr>
          <w:rFonts w:ascii="Arial Narrow" w:eastAsia="Calibri" w:hAnsi="Arial Narrow"/>
        </w:rPr>
        <w:t>ó</w:t>
      </w:r>
      <w:r>
        <w:rPr>
          <w:rFonts w:ascii="Arial Narrow" w:eastAsia="Calibri" w:hAnsi="Arial Narrow"/>
        </w:rPr>
        <w:t xml:space="preserve">n del Ministerio Público informa que </w:t>
      </w:r>
      <w:r w:rsidRPr="002E0B96">
        <w:rPr>
          <w:rFonts w:ascii="Arial Narrow" w:eastAsia="Calibri" w:hAnsi="Arial Narrow"/>
        </w:rPr>
        <w:t>ha definido solicitar la realización de 3 productos multimedia de la siguiente manera: 1. Curso de especialización en asuntos indígenas 2. Vídeo de apertura para las capacitaciones desarrolladas en la UCS con información general 3. Curso especializad</w:t>
      </w:r>
      <w:r>
        <w:rPr>
          <w:rFonts w:ascii="Arial Narrow" w:eastAsia="Calibri" w:hAnsi="Arial Narrow"/>
        </w:rPr>
        <w:t>o</w:t>
      </w:r>
      <w:r w:rsidRPr="002E0B96">
        <w:rPr>
          <w:rFonts w:ascii="Arial Narrow" w:eastAsia="Calibri" w:hAnsi="Arial Narrow"/>
        </w:rPr>
        <w:t xml:space="preserve"> en trata y tráfico de personas</w:t>
      </w:r>
      <w:r>
        <w:rPr>
          <w:rFonts w:ascii="Arial Narrow" w:eastAsia="Calibri" w:hAnsi="Arial Narrow"/>
        </w:rPr>
        <w:t>. Por su parte, la Unidad de Capacitaci</w:t>
      </w:r>
      <w:r w:rsidR="00D13224">
        <w:rPr>
          <w:rFonts w:ascii="Arial Narrow" w:eastAsia="Calibri" w:hAnsi="Arial Narrow"/>
        </w:rPr>
        <w:t>ó</w:t>
      </w:r>
      <w:r>
        <w:rPr>
          <w:rFonts w:ascii="Arial Narrow" w:eastAsia="Calibri" w:hAnsi="Arial Narrow"/>
        </w:rPr>
        <w:t xml:space="preserve">n de la Defensa Publica </w:t>
      </w:r>
      <w:r w:rsidRPr="002E0B96">
        <w:rPr>
          <w:rFonts w:ascii="Arial Narrow" w:eastAsia="Calibri" w:hAnsi="Arial Narrow"/>
        </w:rPr>
        <w:t>detalla la incorporación de dos tutoriales 1.</w:t>
      </w:r>
      <w:r>
        <w:rPr>
          <w:rFonts w:ascii="Arial Narrow" w:eastAsia="Calibri" w:hAnsi="Arial Narrow"/>
        </w:rPr>
        <w:t xml:space="preserve"> </w:t>
      </w:r>
      <w:r w:rsidRPr="002E0B96">
        <w:rPr>
          <w:rFonts w:ascii="Arial Narrow" w:eastAsia="Calibri" w:hAnsi="Arial Narrow"/>
        </w:rPr>
        <w:t>Teoría de Caso. 2. Argumentación Jurídica, ya utilizados en el curso respectivo.</w:t>
      </w:r>
      <w:r>
        <w:rPr>
          <w:rFonts w:ascii="Arial Narrow" w:eastAsia="Calibri" w:hAnsi="Arial Narrow"/>
        </w:rPr>
        <w:t xml:space="preserve"> La </w:t>
      </w:r>
      <w:r w:rsidR="004A08CF">
        <w:rPr>
          <w:rFonts w:ascii="Arial Narrow" w:eastAsia="Calibri" w:hAnsi="Arial Narrow"/>
        </w:rPr>
        <w:t>U</w:t>
      </w:r>
      <w:r>
        <w:rPr>
          <w:rFonts w:ascii="Arial Narrow" w:eastAsia="Calibri" w:hAnsi="Arial Narrow"/>
        </w:rPr>
        <w:t xml:space="preserve">nidad de Adiestramiento informa que </w:t>
      </w:r>
      <w:r w:rsidRPr="002E0B96">
        <w:rPr>
          <w:rFonts w:ascii="Arial Narrow" w:eastAsia="Calibri" w:hAnsi="Arial Narrow"/>
        </w:rPr>
        <w:t>el 30 de junio del 2020, la Unidad de capacitación realizó la actividad académica sobre el uso de la herramienta Microsoft Teams dirigida al personal facilitador del Programa Formación Básica 2020.</w:t>
      </w:r>
    </w:p>
    <w:p w14:paraId="4A86D2C3" w14:textId="77777777" w:rsidR="00803EF6" w:rsidRDefault="00803EF6" w:rsidP="00803EF6">
      <w:pPr>
        <w:spacing w:line="360" w:lineRule="auto"/>
        <w:jc w:val="both"/>
        <w:rPr>
          <w:rFonts w:ascii="Arial Narrow" w:eastAsia="Calibri" w:hAnsi="Arial Narrow"/>
        </w:rPr>
      </w:pPr>
    </w:p>
    <w:p w14:paraId="31506A78" w14:textId="397DFF2D" w:rsidR="00803EF6" w:rsidRDefault="00803EF6" w:rsidP="00803EF6">
      <w:pPr>
        <w:spacing w:line="360" w:lineRule="auto"/>
        <w:jc w:val="both"/>
        <w:rPr>
          <w:rFonts w:ascii="Arial Narrow" w:eastAsia="Calibri" w:hAnsi="Arial Narrow"/>
        </w:rPr>
      </w:pPr>
      <w:r>
        <w:rPr>
          <w:rFonts w:ascii="Arial Narrow" w:eastAsia="Calibri" w:hAnsi="Arial Narrow"/>
        </w:rPr>
        <w:t>Por otra parte, l</w:t>
      </w:r>
      <w:r w:rsidRPr="007A4EFB">
        <w:rPr>
          <w:rFonts w:ascii="Arial Narrow" w:eastAsia="Calibri" w:hAnsi="Arial Narrow"/>
        </w:rPr>
        <w:t xml:space="preserve">a </w:t>
      </w:r>
      <w:r>
        <w:rPr>
          <w:rFonts w:ascii="Arial Narrow" w:eastAsia="Calibri" w:hAnsi="Arial Narrow"/>
        </w:rPr>
        <w:t>meta estratégica “</w:t>
      </w:r>
      <w:r w:rsidRPr="009A5708">
        <w:rPr>
          <w:rFonts w:ascii="Arial Narrow" w:eastAsia="Calibri" w:hAnsi="Arial Narrow"/>
          <w:b/>
          <w:bCs/>
          <w:i/>
          <w:iCs/>
        </w:rPr>
        <w:t>Que al finalizar el 2024, las unidades de capacitación hayan implementado un Sistema Automatizado de Gestión de Actividades de Capacitación que permita el registro de las personas participantes y personas facilitadoras, el proceso de matrícula, el archivo de la información de cada actividad académica y la certificación de las mismas</w:t>
      </w:r>
      <w:r>
        <w:rPr>
          <w:rFonts w:ascii="Arial Narrow" w:eastAsia="Calibri" w:hAnsi="Arial Narrow"/>
          <w:b/>
          <w:bCs/>
          <w:i/>
          <w:iCs/>
        </w:rPr>
        <w:t>”</w:t>
      </w:r>
      <w:r w:rsidR="00653173">
        <w:rPr>
          <w:rFonts w:ascii="Arial Narrow" w:eastAsia="Calibri" w:hAnsi="Arial Narrow"/>
          <w:b/>
          <w:bCs/>
          <w:i/>
          <w:iCs/>
        </w:rPr>
        <w:t>,</w:t>
      </w:r>
      <w:r>
        <w:rPr>
          <w:rFonts w:ascii="Arial Narrow" w:eastAsia="Calibri" w:hAnsi="Arial Narrow"/>
          <w:b/>
          <w:bCs/>
          <w:i/>
          <w:iCs/>
        </w:rPr>
        <w:t xml:space="preserve"> </w:t>
      </w:r>
      <w:r w:rsidRPr="007A4EFB">
        <w:rPr>
          <w:rFonts w:ascii="Arial Narrow" w:eastAsia="Calibri" w:hAnsi="Arial Narrow"/>
        </w:rPr>
        <w:t xml:space="preserve">asignada como responsable </w:t>
      </w:r>
      <w:r>
        <w:rPr>
          <w:rFonts w:ascii="Arial Narrow" w:eastAsia="Calibri" w:hAnsi="Arial Narrow"/>
        </w:rPr>
        <w:t>estratégico</w:t>
      </w:r>
      <w:r w:rsidRPr="007A4EFB">
        <w:rPr>
          <w:rFonts w:ascii="Arial Narrow" w:eastAsia="Calibri" w:hAnsi="Arial Narrow"/>
        </w:rPr>
        <w:t xml:space="preserve"> la Escuela Judicial</w:t>
      </w:r>
      <w:r>
        <w:rPr>
          <w:rFonts w:ascii="Arial Narrow" w:eastAsia="Calibri" w:hAnsi="Arial Narrow"/>
        </w:rPr>
        <w:t>, con diversos responsables operativos. D</w:t>
      </w:r>
      <w:r w:rsidRPr="00484CC1">
        <w:rPr>
          <w:rFonts w:ascii="Arial Narrow" w:eastAsia="Calibri" w:hAnsi="Arial Narrow"/>
        </w:rPr>
        <w:t xml:space="preserve">e acuerdo con la revisión efectuada se logró determinar </w:t>
      </w:r>
      <w:r>
        <w:rPr>
          <w:rFonts w:ascii="Arial Narrow" w:eastAsia="Calibri" w:hAnsi="Arial Narrow"/>
        </w:rPr>
        <w:t>que para el 2019 y 2020 se tiene un cumplimiento alto del 100%, donde se destaca lo consignado por Unidad de Capacitaci</w:t>
      </w:r>
      <w:r w:rsidR="00653173">
        <w:rPr>
          <w:rFonts w:ascii="Arial Narrow" w:eastAsia="Calibri" w:hAnsi="Arial Narrow"/>
        </w:rPr>
        <w:t>ó</w:t>
      </w:r>
      <w:r>
        <w:rPr>
          <w:rFonts w:ascii="Arial Narrow" w:eastAsia="Calibri" w:hAnsi="Arial Narrow"/>
        </w:rPr>
        <w:t xml:space="preserve">n del Ministerio Público dado que para el año 2019 se </w:t>
      </w:r>
      <w:r w:rsidRPr="00CD411B">
        <w:rPr>
          <w:rFonts w:ascii="Arial Narrow" w:eastAsia="Calibri" w:hAnsi="Arial Narrow"/>
        </w:rPr>
        <w:t xml:space="preserve">gestionó con el AST de la Escuela Judicial para brindar los requerimientos del SAGA. </w:t>
      </w:r>
      <w:r>
        <w:rPr>
          <w:rFonts w:ascii="Arial Narrow" w:eastAsia="Calibri" w:hAnsi="Arial Narrow"/>
        </w:rPr>
        <w:t xml:space="preserve">Por parte de la </w:t>
      </w:r>
      <w:r w:rsidR="004A08CF">
        <w:rPr>
          <w:rFonts w:ascii="Arial Narrow" w:eastAsia="Calibri" w:hAnsi="Arial Narrow"/>
        </w:rPr>
        <w:t>U</w:t>
      </w:r>
      <w:r>
        <w:rPr>
          <w:rFonts w:ascii="Arial Narrow" w:eastAsia="Calibri" w:hAnsi="Arial Narrow"/>
        </w:rPr>
        <w:t xml:space="preserve">nidad de Adiestramiento, se </w:t>
      </w:r>
      <w:r w:rsidRPr="00CD411B">
        <w:rPr>
          <w:rFonts w:ascii="Arial Narrow" w:eastAsia="Calibri" w:hAnsi="Arial Narrow"/>
        </w:rPr>
        <w:t xml:space="preserve">implementó el uso de la </w:t>
      </w:r>
      <w:r w:rsidR="00653173">
        <w:rPr>
          <w:rFonts w:ascii="Arial Narrow" w:eastAsia="Calibri" w:hAnsi="Arial Narrow"/>
        </w:rPr>
        <w:t>b</w:t>
      </w:r>
      <w:r w:rsidRPr="00CD411B">
        <w:rPr>
          <w:rFonts w:ascii="Arial Narrow" w:eastAsia="Calibri" w:hAnsi="Arial Narrow"/>
        </w:rPr>
        <w:t xml:space="preserve">ase de datos para las actividades académicas </w:t>
      </w:r>
      <w:r w:rsidRPr="00CD411B">
        <w:rPr>
          <w:rFonts w:ascii="Arial Narrow" w:eastAsia="Calibri" w:hAnsi="Arial Narrow"/>
        </w:rPr>
        <w:lastRenderedPageBreak/>
        <w:t>programadas por esta Unidad de Capacitación</w:t>
      </w:r>
      <w:r>
        <w:rPr>
          <w:rFonts w:ascii="Arial Narrow" w:eastAsia="Calibri" w:hAnsi="Arial Narrow"/>
        </w:rPr>
        <w:t xml:space="preserve">. Y por parte de la Unidad de la Defensa Pública </w:t>
      </w:r>
      <w:r w:rsidRPr="00CD411B">
        <w:rPr>
          <w:rFonts w:ascii="Arial Narrow" w:eastAsia="Calibri" w:hAnsi="Arial Narrow"/>
        </w:rPr>
        <w:t xml:space="preserve">se cuenta con los requerimientos técnicos para la implementación del sistema, que </w:t>
      </w:r>
      <w:r>
        <w:rPr>
          <w:rFonts w:ascii="Arial Narrow" w:eastAsia="Calibri" w:hAnsi="Arial Narrow"/>
        </w:rPr>
        <w:t>se</w:t>
      </w:r>
      <w:r w:rsidRPr="00CD411B">
        <w:rPr>
          <w:rFonts w:ascii="Arial Narrow" w:eastAsia="Calibri" w:hAnsi="Arial Narrow"/>
        </w:rPr>
        <w:t xml:space="preserve">rá llamado PRAD. </w:t>
      </w:r>
      <w:r>
        <w:rPr>
          <w:rFonts w:ascii="Arial Narrow" w:eastAsia="Calibri" w:hAnsi="Arial Narrow"/>
        </w:rPr>
        <w:t xml:space="preserve"> La Sección de Gestión para Capacitación </w:t>
      </w:r>
      <w:r w:rsidRPr="002E0B96">
        <w:rPr>
          <w:rFonts w:ascii="Arial Narrow" w:eastAsia="Calibri" w:hAnsi="Arial Narrow"/>
        </w:rPr>
        <w:t xml:space="preserve">adjunta el diseño final de los requerimientos técnicos para la implementación del sistema Automatizado de Gestión de Actividades de Capacitación. </w:t>
      </w:r>
      <w:r>
        <w:rPr>
          <w:rFonts w:ascii="Arial Narrow" w:eastAsia="Calibri" w:hAnsi="Arial Narrow"/>
        </w:rPr>
        <w:t>Para el 2020 la Unidad de Capacitaci</w:t>
      </w:r>
      <w:r w:rsidR="00D13224">
        <w:rPr>
          <w:rFonts w:ascii="Arial Narrow" w:eastAsia="Calibri" w:hAnsi="Arial Narrow"/>
        </w:rPr>
        <w:t>ó</w:t>
      </w:r>
      <w:r>
        <w:rPr>
          <w:rFonts w:ascii="Arial Narrow" w:eastAsia="Calibri" w:hAnsi="Arial Narrow"/>
        </w:rPr>
        <w:t xml:space="preserve">n del Ministerio Público </w:t>
      </w:r>
      <w:r w:rsidRPr="00CD411B">
        <w:rPr>
          <w:rFonts w:ascii="Arial Narrow" w:eastAsia="Calibri" w:hAnsi="Arial Narrow"/>
        </w:rPr>
        <w:t>está a la espera de la implementación del SAGA en la UCS. El Área de Servicios Técnicos de la Escuela Judicial está en las últimas pruebas para ello.</w:t>
      </w:r>
      <w:r>
        <w:rPr>
          <w:rFonts w:ascii="Arial Narrow" w:eastAsia="Calibri" w:hAnsi="Arial Narrow"/>
        </w:rPr>
        <w:t xml:space="preserve"> La Unidad de Adiestramiento informa que s</w:t>
      </w:r>
      <w:r w:rsidRPr="00CD411B">
        <w:rPr>
          <w:rFonts w:ascii="Arial Narrow" w:eastAsia="Calibri" w:hAnsi="Arial Narrow"/>
        </w:rPr>
        <w:t>e ha trabajado en la matrícula del personal que ha realizado Programa básico</w:t>
      </w:r>
      <w:r>
        <w:rPr>
          <w:rFonts w:ascii="Arial Narrow" w:eastAsia="Calibri" w:hAnsi="Arial Narrow"/>
        </w:rPr>
        <w:t xml:space="preserve">. </w:t>
      </w:r>
      <w:r w:rsidRPr="00CD411B">
        <w:rPr>
          <w:rFonts w:ascii="Arial Narrow" w:eastAsia="Calibri" w:hAnsi="Arial Narrow"/>
        </w:rPr>
        <w:t xml:space="preserve">Se han habilitado a los participantes matriculados en la base de datos de la Unidad de Capacitación </w:t>
      </w:r>
      <w:r>
        <w:rPr>
          <w:rFonts w:ascii="Arial Narrow" w:eastAsia="Calibri" w:hAnsi="Arial Narrow"/>
        </w:rPr>
        <w:t>y se</w:t>
      </w:r>
      <w:r w:rsidRPr="00CD411B">
        <w:rPr>
          <w:rFonts w:ascii="Arial Narrow" w:eastAsia="Calibri" w:hAnsi="Arial Narrow"/>
        </w:rPr>
        <w:t xml:space="preserve"> </w:t>
      </w:r>
      <w:r>
        <w:rPr>
          <w:rFonts w:ascii="Arial Narrow" w:eastAsia="Calibri" w:hAnsi="Arial Narrow"/>
        </w:rPr>
        <w:t>trabajó</w:t>
      </w:r>
      <w:r w:rsidRPr="00CD411B">
        <w:rPr>
          <w:rFonts w:ascii="Arial Narrow" w:eastAsia="Calibri" w:hAnsi="Arial Narrow"/>
        </w:rPr>
        <w:t xml:space="preserve"> en recabar la información de calificaciones, oficios, acuerdos del Consejo Superior y oficios de VB de los Programas Básicos</w:t>
      </w:r>
      <w:r>
        <w:rPr>
          <w:rFonts w:ascii="Arial Narrow" w:eastAsia="Calibri" w:hAnsi="Arial Narrow"/>
        </w:rPr>
        <w:t>, por su parte la Unidad de la Defensa Pública detalla que la</w:t>
      </w:r>
      <w:r w:rsidRPr="00CD411B">
        <w:rPr>
          <w:rFonts w:ascii="Arial Narrow" w:eastAsia="Calibri" w:hAnsi="Arial Narrow"/>
        </w:rPr>
        <w:t xml:space="preserve"> Gestión del Conocimiento realizaron las gestiones para dar cumplimiento a la meta mediante la implementación del sistema SAGA en la Defensa Pública. </w:t>
      </w:r>
      <w:r>
        <w:rPr>
          <w:rFonts w:ascii="Arial Narrow" w:eastAsia="Calibri" w:hAnsi="Arial Narrow"/>
        </w:rPr>
        <w:t>Sin embargo, en acuerdo</w:t>
      </w:r>
      <w:r w:rsidRPr="00CD411B">
        <w:rPr>
          <w:rFonts w:ascii="Arial Narrow" w:eastAsia="Calibri" w:hAnsi="Arial Narrow"/>
        </w:rPr>
        <w:t xml:space="preserve"> de Consejo Superior tomado en </w:t>
      </w:r>
      <w:r w:rsidR="002C1700">
        <w:rPr>
          <w:rFonts w:ascii="Arial Narrow" w:eastAsia="Calibri" w:hAnsi="Arial Narrow"/>
        </w:rPr>
        <w:t>s</w:t>
      </w:r>
      <w:r w:rsidRPr="00CD411B">
        <w:rPr>
          <w:rFonts w:ascii="Arial Narrow" w:eastAsia="Calibri" w:hAnsi="Arial Narrow"/>
        </w:rPr>
        <w:t xml:space="preserve">esión 66-2020 se indica que de momento no se pueden realizar más réplicas de SAGA. </w:t>
      </w:r>
      <w:r>
        <w:rPr>
          <w:rFonts w:ascii="Arial Narrow" w:eastAsia="Calibri" w:hAnsi="Arial Narrow"/>
        </w:rPr>
        <w:t xml:space="preserve"> Por parte de la Sección de Gestión para Capacitación coordinó con la </w:t>
      </w:r>
      <w:r w:rsidRPr="002E0B96">
        <w:rPr>
          <w:rFonts w:ascii="Arial Narrow" w:eastAsia="Calibri" w:hAnsi="Arial Narrow"/>
        </w:rPr>
        <w:t xml:space="preserve">Dirección de Tecnología de la información para brindarle prioridad al </w:t>
      </w:r>
      <w:r w:rsidRPr="00CD411B">
        <w:rPr>
          <w:rFonts w:ascii="Arial Narrow" w:eastAsia="Calibri" w:hAnsi="Arial Narrow"/>
        </w:rPr>
        <w:t>Proyecto,</w:t>
      </w:r>
      <w:r w:rsidRPr="002E0B96">
        <w:rPr>
          <w:rFonts w:ascii="Arial Narrow" w:eastAsia="Calibri" w:hAnsi="Arial Narrow"/>
        </w:rPr>
        <w:t xml:space="preserve"> así como el correo remitido a la Unidad de Presupuesto para la separación de recursos que corresponde, además se adjunta</w:t>
      </w:r>
      <w:r>
        <w:rPr>
          <w:rFonts w:ascii="Arial Narrow" w:eastAsia="Calibri" w:hAnsi="Arial Narrow"/>
        </w:rPr>
        <w:t>ron</w:t>
      </w:r>
      <w:r w:rsidRPr="002E0B96">
        <w:rPr>
          <w:rFonts w:ascii="Arial Narrow" w:eastAsia="Calibri" w:hAnsi="Arial Narrow"/>
        </w:rPr>
        <w:t xml:space="preserve"> minutas donde consta las coordinaciones realizadas a la fecha para su implementación</w:t>
      </w:r>
      <w:r>
        <w:rPr>
          <w:rFonts w:ascii="Arial Narrow" w:eastAsia="Calibri" w:hAnsi="Arial Narrow"/>
        </w:rPr>
        <w:t>.</w:t>
      </w:r>
    </w:p>
    <w:p w14:paraId="75113915" w14:textId="77777777" w:rsidR="00803EF6" w:rsidRPr="002E0B96" w:rsidRDefault="00803EF6" w:rsidP="00803EF6">
      <w:pPr>
        <w:spacing w:line="360" w:lineRule="auto"/>
        <w:jc w:val="both"/>
        <w:rPr>
          <w:rFonts w:ascii="Arial Narrow" w:eastAsia="Calibri" w:hAnsi="Arial Narrow"/>
        </w:rPr>
      </w:pPr>
    </w:p>
    <w:p w14:paraId="30C7E360" w14:textId="30DB70AD" w:rsidR="00803EF6" w:rsidRPr="00704B08" w:rsidRDefault="009547D6" w:rsidP="00803EF6">
      <w:pPr>
        <w:pStyle w:val="Ttulo4"/>
        <w:numPr>
          <w:ilvl w:val="0"/>
          <w:numId w:val="64"/>
        </w:numPr>
        <w:rPr>
          <w:rFonts w:ascii="Arial Narrow" w:eastAsia="Calibri" w:hAnsi="Arial Narrow"/>
        </w:rPr>
      </w:pPr>
      <w:r>
        <w:rPr>
          <w:rFonts w:ascii="Arial Narrow" w:eastAsia="Calibri" w:hAnsi="Arial Narrow"/>
        </w:rPr>
        <w:t xml:space="preserve">5.4.4. </w:t>
      </w:r>
      <w:r w:rsidR="00803EF6" w:rsidRPr="00704B08">
        <w:rPr>
          <w:rFonts w:ascii="Arial Narrow" w:eastAsia="Calibri" w:hAnsi="Arial Narrow"/>
        </w:rPr>
        <w:t>Carrera</w:t>
      </w:r>
    </w:p>
    <w:p w14:paraId="7F6AA061" w14:textId="77777777" w:rsidR="00803EF6" w:rsidRPr="00901E05" w:rsidRDefault="00803EF6" w:rsidP="00803EF6">
      <w:pPr>
        <w:rPr>
          <w:rFonts w:ascii="Arial Narrow" w:eastAsia="Calibri" w:hAnsi="Arial Narrow"/>
        </w:rPr>
      </w:pPr>
    </w:p>
    <w:p w14:paraId="3F7AE7A0" w14:textId="77777777" w:rsidR="009D5823" w:rsidRDefault="00803EF6" w:rsidP="00803EF6">
      <w:pPr>
        <w:spacing w:line="360" w:lineRule="auto"/>
        <w:jc w:val="both"/>
        <w:rPr>
          <w:rFonts w:ascii="Arial Narrow" w:eastAsia="Calibri" w:hAnsi="Arial Narrow"/>
        </w:rPr>
        <w:sectPr w:rsidR="009D5823" w:rsidSect="009D5823">
          <w:pgSz w:w="12242" w:h="15842" w:code="1"/>
          <w:pgMar w:top="1701" w:right="1417" w:bottom="1701" w:left="1417" w:header="709" w:footer="709" w:gutter="0"/>
          <w:cols w:space="708"/>
          <w:docGrid w:linePitch="360"/>
        </w:sectPr>
      </w:pPr>
      <w:r w:rsidRPr="00901E05">
        <w:rPr>
          <w:rFonts w:ascii="Arial Narrow" w:eastAsia="Calibri" w:hAnsi="Arial Narrow"/>
        </w:rPr>
        <w:t>Se muestran las metas estratégicas y su cumplimiento para el 2019-2020. Sobre la acción de Carrera y sus 4 metas vinculadas, las cuales fueron</w:t>
      </w:r>
      <w:r w:rsidRPr="007C7DC1">
        <w:rPr>
          <w:rFonts w:ascii="Arial Narrow" w:eastAsia="Calibri" w:hAnsi="Arial Narrow"/>
        </w:rPr>
        <w:t xml:space="preserve"> cumplidas a un 100% para ambos años.</w:t>
      </w:r>
    </w:p>
    <w:p w14:paraId="2CDC0AC5" w14:textId="77777777" w:rsidR="00803EF6" w:rsidRDefault="00803EF6" w:rsidP="00803EF6">
      <w:pPr>
        <w:rPr>
          <w:rFonts w:ascii="Arial Narrow" w:eastAsia="Calibri" w:hAnsi="Arial Narrow"/>
        </w:rPr>
      </w:pPr>
    </w:p>
    <w:p w14:paraId="1095E1DD" w14:textId="605E9C48" w:rsidR="00803EF6" w:rsidRDefault="00803EF6" w:rsidP="00803EF6">
      <w:pPr>
        <w:pStyle w:val="Descripcin"/>
        <w:jc w:val="center"/>
        <w:rPr>
          <w:rFonts w:ascii="Arial Narrow" w:eastAsia="Calibri" w:hAnsi="Arial Narrow"/>
          <w:sz w:val="24"/>
          <w:szCs w:val="24"/>
        </w:rPr>
      </w:pPr>
      <w:bookmarkStart w:id="128" w:name="_Toc76062301"/>
      <w:r w:rsidRPr="00484CC1">
        <w:rPr>
          <w:rFonts w:ascii="Arial Narrow" w:hAnsi="Arial Narrow"/>
          <w:sz w:val="24"/>
          <w:szCs w:val="24"/>
        </w:rPr>
        <w:t>Cuadro</w:t>
      </w:r>
      <w:r>
        <w:rPr>
          <w:rFonts w:ascii="Arial Narrow" w:hAnsi="Arial Narrow"/>
          <w:sz w:val="24"/>
          <w:szCs w:val="24"/>
        </w:rPr>
        <w:t xml:space="preserve"> </w:t>
      </w:r>
      <w:r w:rsidRPr="00484CC1">
        <w:rPr>
          <w:rFonts w:ascii="Arial Narrow" w:hAnsi="Arial Narrow"/>
          <w:sz w:val="24"/>
          <w:szCs w:val="24"/>
        </w:rPr>
        <w:fldChar w:fldCharType="begin"/>
      </w:r>
      <w:r w:rsidRPr="00484CC1">
        <w:rPr>
          <w:rFonts w:ascii="Arial Narrow" w:hAnsi="Arial Narrow"/>
          <w:sz w:val="24"/>
          <w:szCs w:val="24"/>
        </w:rPr>
        <w:instrText xml:space="preserve"> SEQ Cuadro_No. \* ARABIC </w:instrText>
      </w:r>
      <w:r w:rsidRPr="00484CC1">
        <w:rPr>
          <w:rFonts w:ascii="Arial Narrow" w:hAnsi="Arial Narrow"/>
          <w:sz w:val="24"/>
          <w:szCs w:val="24"/>
        </w:rPr>
        <w:fldChar w:fldCharType="separate"/>
      </w:r>
      <w:r w:rsidR="009D5823">
        <w:rPr>
          <w:rFonts w:ascii="Arial Narrow" w:hAnsi="Arial Narrow"/>
          <w:noProof/>
          <w:sz w:val="24"/>
          <w:szCs w:val="24"/>
        </w:rPr>
        <w:t>78</w:t>
      </w:r>
      <w:r w:rsidRPr="00484CC1">
        <w:rPr>
          <w:rFonts w:ascii="Arial Narrow" w:hAnsi="Arial Narrow"/>
          <w:sz w:val="24"/>
          <w:szCs w:val="24"/>
        </w:rPr>
        <w:fldChar w:fldCharType="end"/>
      </w:r>
      <w:r w:rsidRPr="00484CC1">
        <w:rPr>
          <w:rFonts w:ascii="Arial Narrow" w:hAnsi="Arial Narrow"/>
          <w:sz w:val="24"/>
          <w:szCs w:val="24"/>
        </w:rPr>
        <w:t xml:space="preserve"> </w:t>
      </w:r>
      <w:r w:rsidRPr="00211B03">
        <w:rPr>
          <w:rFonts w:ascii="Arial Narrow" w:eastAsia="Calibri" w:hAnsi="Arial Narrow"/>
          <w:sz w:val="24"/>
          <w:szCs w:val="24"/>
        </w:rPr>
        <w:t>Metas estratégicas de Carrera, y su cumplimiento para el 2019</w:t>
      </w:r>
      <w:r>
        <w:rPr>
          <w:rFonts w:ascii="Arial Narrow" w:eastAsia="Calibri" w:hAnsi="Arial Narrow"/>
          <w:sz w:val="24"/>
          <w:szCs w:val="24"/>
        </w:rPr>
        <w:t>-2020</w:t>
      </w:r>
      <w:bookmarkEnd w:id="128"/>
    </w:p>
    <w:p w14:paraId="4B73C96D" w14:textId="77777777" w:rsidR="009D5823" w:rsidRPr="00704B08" w:rsidRDefault="009D5823" w:rsidP="00704B08">
      <w:pPr>
        <w:rPr>
          <w:rFonts w:eastAsia="Calibri"/>
        </w:rPr>
      </w:pPr>
    </w:p>
    <w:p w14:paraId="61069AE6" w14:textId="77777777" w:rsidR="00803EF6" w:rsidRPr="002E0B96" w:rsidRDefault="00803EF6" w:rsidP="00803EF6">
      <w:pPr>
        <w:rPr>
          <w:rFonts w:eastAsia="Calibri"/>
        </w:rPr>
      </w:pPr>
      <w:r>
        <w:rPr>
          <w:noProof/>
          <w:lang w:val="es-CR" w:eastAsia="es-CR"/>
        </w:rPr>
        <w:drawing>
          <wp:inline distT="0" distB="0" distL="0" distR="0" wp14:anchorId="796D5C63" wp14:editId="0A9238BC">
            <wp:extent cx="7899400" cy="3445367"/>
            <wp:effectExtent l="19050" t="19050" r="25400" b="22225"/>
            <wp:docPr id="155" name="Imagen 155"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agen 100" descr="Tabla&#10;&#10;Descripción generada automáticamente"/>
                    <pic:cNvPicPr/>
                  </pic:nvPicPr>
                  <pic:blipFill>
                    <a:blip r:embed="rId140"/>
                    <a:stretch>
                      <a:fillRect/>
                    </a:stretch>
                  </pic:blipFill>
                  <pic:spPr>
                    <a:xfrm>
                      <a:off x="0" y="0"/>
                      <a:ext cx="7903365" cy="3447096"/>
                    </a:xfrm>
                    <a:prstGeom prst="rect">
                      <a:avLst/>
                    </a:prstGeom>
                    <a:ln w="19050">
                      <a:solidFill>
                        <a:schemeClr val="accent1"/>
                      </a:solidFill>
                    </a:ln>
                  </pic:spPr>
                </pic:pic>
              </a:graphicData>
            </a:graphic>
          </wp:inline>
        </w:drawing>
      </w:r>
    </w:p>
    <w:p w14:paraId="55714B8F" w14:textId="77777777" w:rsidR="00803EF6" w:rsidRPr="000B4845" w:rsidRDefault="00803EF6" w:rsidP="00803EF6">
      <w:pPr>
        <w:rPr>
          <w:rFonts w:ascii="Arial Narrow" w:eastAsia="Calibri" w:hAnsi="Arial Narrow"/>
        </w:rPr>
      </w:pPr>
    </w:p>
    <w:p w14:paraId="766C9D44" w14:textId="77777777" w:rsidR="00803EF6" w:rsidRDefault="00803EF6" w:rsidP="00803EF6">
      <w:pPr>
        <w:ind w:firstLine="708"/>
        <w:rPr>
          <w:rFonts w:ascii="Arial Narrow" w:hAnsi="Arial Narrow"/>
          <w:sz w:val="18"/>
          <w:szCs w:val="18"/>
          <w:lang w:val="es-CR" w:eastAsia="es-CR"/>
        </w:rPr>
      </w:pPr>
      <w:r w:rsidRPr="00EE2E13">
        <w:rPr>
          <w:rFonts w:ascii="Arial Narrow" w:hAnsi="Arial Narrow"/>
          <w:sz w:val="18"/>
          <w:szCs w:val="18"/>
          <w:lang w:val="es-CR" w:eastAsia="es-CR"/>
        </w:rPr>
        <w:t>Fuente: Sistema PEI al 24 de enero del 2020 (año 2019) y 04 de marzo del 2021 (año 2020).</w:t>
      </w:r>
    </w:p>
    <w:p w14:paraId="3FDA1E42" w14:textId="77777777" w:rsidR="00803EF6" w:rsidRDefault="00803EF6" w:rsidP="00803EF6">
      <w:pPr>
        <w:ind w:firstLine="708"/>
        <w:rPr>
          <w:rFonts w:eastAsia="Calibri"/>
        </w:rPr>
      </w:pPr>
    </w:p>
    <w:p w14:paraId="4E7E68D5" w14:textId="77777777" w:rsidR="009D5823" w:rsidRDefault="009D5823" w:rsidP="00803EF6">
      <w:pPr>
        <w:rPr>
          <w:rFonts w:ascii="Arial Narrow" w:eastAsia="Calibri" w:hAnsi="Arial Narrow"/>
        </w:rPr>
        <w:sectPr w:rsidR="009D5823" w:rsidSect="009D5823">
          <w:pgSz w:w="15842" w:h="12242" w:orient="landscape" w:code="1"/>
          <w:pgMar w:top="1417" w:right="1701" w:bottom="1417" w:left="1701" w:header="709" w:footer="709" w:gutter="0"/>
          <w:cols w:space="708"/>
          <w:docGrid w:linePitch="360"/>
        </w:sectPr>
      </w:pPr>
    </w:p>
    <w:p w14:paraId="2DC79AD3" w14:textId="7F287787" w:rsidR="00803EF6" w:rsidRDefault="00803EF6" w:rsidP="00803EF6">
      <w:pPr>
        <w:rPr>
          <w:rFonts w:ascii="Arial Narrow" w:eastAsia="Calibri" w:hAnsi="Arial Narrow"/>
        </w:rPr>
      </w:pPr>
    </w:p>
    <w:p w14:paraId="5D8B6A1E" w14:textId="77777777" w:rsidR="00803EF6" w:rsidRDefault="00803EF6" w:rsidP="00803EF6">
      <w:pPr>
        <w:spacing w:line="360" w:lineRule="auto"/>
        <w:jc w:val="both"/>
        <w:rPr>
          <w:rFonts w:ascii="Arial Narrow" w:eastAsia="Calibri" w:hAnsi="Arial Narrow"/>
        </w:rPr>
      </w:pPr>
    </w:p>
    <w:p w14:paraId="4872D617" w14:textId="2775707B" w:rsidR="00803EF6" w:rsidRPr="002E0B96" w:rsidRDefault="00803EF6" w:rsidP="00803EF6">
      <w:pPr>
        <w:spacing w:line="360" w:lineRule="auto"/>
        <w:jc w:val="both"/>
        <w:rPr>
          <w:rFonts w:ascii="Arial Narrow" w:eastAsia="Calibri" w:hAnsi="Arial Narrow"/>
        </w:rPr>
      </w:pPr>
      <w:r>
        <w:rPr>
          <w:rFonts w:ascii="Arial Narrow" w:eastAsia="Calibri" w:hAnsi="Arial Narrow"/>
        </w:rPr>
        <w:t>La meta estratégica “</w:t>
      </w:r>
      <w:r w:rsidRPr="002E0B96">
        <w:rPr>
          <w:rFonts w:ascii="Arial Narrow" w:eastAsia="Calibri" w:hAnsi="Arial Narrow"/>
          <w:b/>
          <w:bCs/>
          <w:i/>
          <w:iCs/>
        </w:rPr>
        <w:t>Que al finalizar el 2024, se haya gestionado la aprobación la reforma legal sobre la carrera judicial</w:t>
      </w:r>
      <w:r>
        <w:rPr>
          <w:rFonts w:ascii="Arial Narrow" w:eastAsia="Calibri" w:hAnsi="Arial Narrow"/>
        </w:rPr>
        <w:t>”</w:t>
      </w:r>
      <w:r w:rsidR="002C1700">
        <w:rPr>
          <w:rFonts w:ascii="Arial Narrow" w:eastAsia="Calibri" w:hAnsi="Arial Narrow"/>
        </w:rPr>
        <w:t>,</w:t>
      </w:r>
      <w:r>
        <w:rPr>
          <w:rFonts w:ascii="Arial Narrow" w:eastAsia="Calibri" w:hAnsi="Arial Narrow"/>
        </w:rPr>
        <w:t xml:space="preserve"> y la meta: “</w:t>
      </w:r>
      <w:r w:rsidRPr="002E0B96">
        <w:rPr>
          <w:rFonts w:ascii="Arial Narrow" w:eastAsia="Calibri" w:hAnsi="Arial Narrow"/>
          <w:b/>
          <w:bCs/>
          <w:i/>
          <w:iCs/>
        </w:rPr>
        <w:t>Que al finalizar el 2024, se haya trasladado el Proyecto del Reglamento de Carrera la Defensa Pública al órgano aprobador</w:t>
      </w:r>
      <w:r>
        <w:rPr>
          <w:rFonts w:ascii="Arial Narrow" w:eastAsia="Calibri" w:hAnsi="Arial Narrow"/>
          <w:b/>
          <w:bCs/>
          <w:i/>
          <w:iCs/>
        </w:rPr>
        <w:t>”</w:t>
      </w:r>
      <w:r w:rsidR="002C1700">
        <w:rPr>
          <w:rFonts w:ascii="Arial Narrow" w:eastAsia="Calibri" w:hAnsi="Arial Narrow"/>
          <w:b/>
          <w:bCs/>
          <w:i/>
          <w:iCs/>
        </w:rPr>
        <w:t>,</w:t>
      </w:r>
      <w:r>
        <w:rPr>
          <w:rFonts w:ascii="Arial Narrow" w:eastAsia="Calibri" w:hAnsi="Arial Narrow"/>
        </w:rPr>
        <w:t xml:space="preserve"> </w:t>
      </w:r>
      <w:r w:rsidRPr="002E0B96">
        <w:rPr>
          <w:rFonts w:ascii="Arial Narrow" w:eastAsia="Calibri" w:hAnsi="Arial Narrow"/>
        </w:rPr>
        <w:t xml:space="preserve">figura como responsable el  Despacho de la Presidencia informa que se tiene un cumplimiento alto de 100%, para los años 2019 y 2020 por medio de acciones ejecutadas como lo son el seguimiento de la elaboración de la propuesta sobre la reforma legal sobre la carrera judicial y la presentación de propuesta al órgano aprobador, los monitoreos en los avances del Proyecto de Ley de Carrera Fiscal y la incorporación de las recomendaciones de Corte Plena al Proyecto de Ley de Carrera de la Defensa Pública. Para el 2020 se indica que </w:t>
      </w:r>
      <w:r>
        <w:rPr>
          <w:rFonts w:ascii="Arial Narrow" w:eastAsia="Calibri" w:hAnsi="Arial Narrow"/>
        </w:rPr>
        <w:t>se re</w:t>
      </w:r>
      <w:r w:rsidRPr="002E0B96">
        <w:rPr>
          <w:rFonts w:ascii="Arial Narrow" w:eastAsia="Calibri" w:hAnsi="Arial Narrow"/>
        </w:rPr>
        <w:t>ciben observaciones de los gremios sobre el producto remitido y se adapta la propuesta a las observaciones</w:t>
      </w:r>
      <w:r>
        <w:rPr>
          <w:rFonts w:ascii="Arial Narrow" w:eastAsia="Calibri" w:hAnsi="Arial Narrow"/>
        </w:rPr>
        <w:t xml:space="preserve"> con respecto a la Carrera Fiscal, para el proyecto de </w:t>
      </w:r>
      <w:r w:rsidRPr="007A4EFB">
        <w:rPr>
          <w:rFonts w:ascii="Arial Narrow" w:eastAsia="Calibri" w:hAnsi="Arial Narrow"/>
        </w:rPr>
        <w:t>Ley de Carrera de la Defensa Pública</w:t>
      </w:r>
      <w:r>
        <w:rPr>
          <w:rFonts w:ascii="Arial Narrow" w:eastAsia="Calibri" w:hAnsi="Arial Narrow"/>
        </w:rPr>
        <w:t xml:space="preserve"> se tiene rendido el oficio DP-469-2020 del 8 de setiembre del 2020 donde se informa que el producto se encuentra pendiente para la discusión y aprobación de Corte Plena según lo estipulado en el Reglamento de Conocimiento, Discusión y Aprobación del programa PR1-PC.17</w:t>
      </w:r>
      <w:r w:rsidRPr="002E0B96">
        <w:rPr>
          <w:rFonts w:ascii="Arial Narrow" w:eastAsia="Calibri" w:hAnsi="Arial Narrow"/>
        </w:rPr>
        <w:t xml:space="preserve">. </w:t>
      </w:r>
    </w:p>
    <w:p w14:paraId="788C1E59" w14:textId="77777777" w:rsidR="00803EF6" w:rsidRDefault="00803EF6" w:rsidP="00803EF6">
      <w:pPr>
        <w:spacing w:line="360" w:lineRule="auto"/>
        <w:jc w:val="both"/>
        <w:rPr>
          <w:rFonts w:ascii="Arial Narrow" w:eastAsia="Calibri" w:hAnsi="Arial Narrow"/>
        </w:rPr>
      </w:pPr>
    </w:p>
    <w:p w14:paraId="32752F0C" w14:textId="54D46F3C" w:rsidR="00803EF6" w:rsidRDefault="00803EF6" w:rsidP="00803EF6">
      <w:pPr>
        <w:spacing w:line="360" w:lineRule="auto"/>
        <w:jc w:val="both"/>
        <w:rPr>
          <w:rFonts w:ascii="Arial Narrow" w:eastAsia="Calibri" w:hAnsi="Arial Narrow"/>
        </w:rPr>
      </w:pPr>
      <w:r w:rsidRPr="00484CC1">
        <w:rPr>
          <w:rFonts w:ascii="Arial Narrow" w:eastAsia="Calibri" w:hAnsi="Arial Narrow"/>
        </w:rPr>
        <w:t>Es importante señalar que en la Matriz del PEI 2019-2024 adicionalmente se incluye la meta estratégica “</w:t>
      </w:r>
      <w:r w:rsidRPr="00484CC1">
        <w:rPr>
          <w:rFonts w:ascii="Arial Narrow" w:eastAsia="Calibri" w:hAnsi="Arial Narrow"/>
          <w:b/>
          <w:bCs/>
          <w:i/>
          <w:iCs/>
          <w:lang w:eastAsia="en-US"/>
        </w:rPr>
        <w:t xml:space="preserve">Que al finalizar el 2024, se haya aprobado una política de carrera policial, científica y técnica-administrativa, que permita el fortalecimiento y sostenibilidad de la calidad del servicio que se brinda a las personas usuarias y sociedad, en el Organismo de Investigación Judicial. </w:t>
      </w:r>
      <w:r w:rsidRPr="00484CC1">
        <w:rPr>
          <w:rFonts w:ascii="Arial Narrow" w:eastAsia="Calibri" w:hAnsi="Arial Narrow"/>
          <w:b/>
          <w:bCs/>
          <w:i/>
          <w:iCs/>
        </w:rPr>
        <w:t>Indicador: % de avance del proyecto sobre la política de carrera policial, científica y técnica-administrativa aprobada</w:t>
      </w:r>
      <w:r w:rsidR="002C1700">
        <w:rPr>
          <w:rFonts w:ascii="Arial Narrow" w:eastAsia="Calibri" w:hAnsi="Arial Narrow"/>
          <w:i/>
          <w:iCs/>
        </w:rPr>
        <w:t>,</w:t>
      </w:r>
      <w:r w:rsidRPr="00484CC1">
        <w:rPr>
          <w:rFonts w:ascii="Arial Narrow" w:eastAsia="Calibri" w:hAnsi="Arial Narrow"/>
        </w:rPr>
        <w:t xml:space="preserve"> la cual de acuerdo con la revisión efectuada se logró determinar que no se asoció a ningún PAO de oficina para el 2019, sin embargo, se retomó para cumplirse en el 2020 por medio de la ejecución operativa.</w:t>
      </w:r>
      <w:r w:rsidRPr="00835648">
        <w:rPr>
          <w:rFonts w:ascii="Arial Narrow" w:eastAsia="Calibri" w:hAnsi="Arial Narrow"/>
        </w:rPr>
        <w:t xml:space="preserve"> </w:t>
      </w:r>
      <w:r>
        <w:rPr>
          <w:rFonts w:ascii="Arial Narrow" w:eastAsia="Calibri" w:hAnsi="Arial Narrow"/>
        </w:rPr>
        <w:t xml:space="preserve">Cabe destacar que la vinculación de las metas operativas a las diferentes metas estratégicas se realiza de manera paulatina en el periodo del PEI, en diversos casos dependerá de proyectos gestionados de previo, por solicitud de los responsables estratégicos de aplazar la ejecución, entre otras razones.  Para el 2020 se establecen los esfuerzos de confeccionar un modelo de escalafón de puestos del Organismo de Investigación Judicial, rendido el 24 de setiembre de ese año, el cual se detalla según área de investigación, medico </w:t>
      </w:r>
      <w:r>
        <w:rPr>
          <w:rFonts w:ascii="Arial Narrow" w:eastAsia="Calibri" w:hAnsi="Arial Narrow"/>
        </w:rPr>
        <w:lastRenderedPageBreak/>
        <w:t>científico y sector administrativo, así como un apartado de carrera Policial, parte de los avances en lograr la política al finalizar el 2024.</w:t>
      </w:r>
    </w:p>
    <w:p w14:paraId="549ABCCB" w14:textId="77777777" w:rsidR="00803EF6" w:rsidRDefault="00803EF6" w:rsidP="00803EF6">
      <w:pPr>
        <w:spacing w:line="360" w:lineRule="auto"/>
        <w:jc w:val="both"/>
        <w:rPr>
          <w:rFonts w:ascii="Arial Narrow" w:eastAsia="Calibri" w:hAnsi="Arial Narrow"/>
        </w:rPr>
      </w:pPr>
    </w:p>
    <w:p w14:paraId="4F49A4FE" w14:textId="74BC4169" w:rsidR="00803EF6" w:rsidRDefault="00803EF6" w:rsidP="00803EF6">
      <w:pPr>
        <w:spacing w:line="360" w:lineRule="auto"/>
        <w:jc w:val="both"/>
        <w:rPr>
          <w:rFonts w:ascii="Arial Narrow" w:eastAsia="Calibri" w:hAnsi="Arial Narrow"/>
        </w:rPr>
      </w:pPr>
      <w:r>
        <w:rPr>
          <w:rFonts w:ascii="Arial Narrow" w:eastAsia="Calibri" w:hAnsi="Arial Narrow"/>
        </w:rPr>
        <w:t>La meta estratégica “</w:t>
      </w:r>
      <w:r w:rsidRPr="00174CDD">
        <w:rPr>
          <w:rFonts w:ascii="Arial Narrow" w:eastAsia="Calibri" w:hAnsi="Arial Narrow"/>
          <w:b/>
          <w:bCs/>
          <w:i/>
          <w:iCs/>
        </w:rPr>
        <w:t>Que al finalizar el 2024, se haya presentado para  aprobación el reglamento sobre la carrera administrativa, al órgano aprobador</w:t>
      </w:r>
      <w:r>
        <w:rPr>
          <w:rFonts w:ascii="Arial Narrow" w:eastAsia="Calibri" w:hAnsi="Arial Narrow"/>
          <w:b/>
          <w:bCs/>
          <w:i/>
          <w:iCs/>
        </w:rPr>
        <w:t>”</w:t>
      </w:r>
      <w:r w:rsidR="002C1700">
        <w:rPr>
          <w:rFonts w:ascii="Arial Narrow" w:eastAsia="Calibri" w:hAnsi="Arial Narrow"/>
          <w:b/>
          <w:bCs/>
          <w:i/>
          <w:iCs/>
        </w:rPr>
        <w:t>,</w:t>
      </w:r>
      <w:r>
        <w:rPr>
          <w:rFonts w:ascii="Arial Narrow" w:eastAsia="Calibri" w:hAnsi="Arial Narrow"/>
        </w:rPr>
        <w:t xml:space="preserve"> </w:t>
      </w:r>
      <w:r w:rsidRPr="007A4EFB">
        <w:rPr>
          <w:rFonts w:ascii="Arial Narrow" w:eastAsia="Calibri" w:hAnsi="Arial Narrow"/>
        </w:rPr>
        <w:t xml:space="preserve">figura como responsable </w:t>
      </w:r>
      <w:r>
        <w:rPr>
          <w:rFonts w:ascii="Arial Narrow" w:eastAsia="Calibri" w:hAnsi="Arial Narrow"/>
        </w:rPr>
        <w:t xml:space="preserve">la Seccion de Reclutamiento y Selección, informa que se ha obtenido un cumplimiento alto de100% para el año 2019 </w:t>
      </w:r>
      <w:r w:rsidRPr="002E0B96">
        <w:rPr>
          <w:rFonts w:ascii="Arial Narrow" w:eastAsia="Calibri" w:hAnsi="Arial Narrow"/>
        </w:rPr>
        <w:t xml:space="preserve">realiza su labor al llevar a cabo una investigación de los sistemas de carrera judicial que compila los modelos de carrera administrativa </w:t>
      </w:r>
      <w:r>
        <w:rPr>
          <w:rFonts w:ascii="Arial Narrow" w:eastAsia="Calibri" w:hAnsi="Arial Narrow"/>
        </w:rPr>
        <w:t>y para el 2020 detallan que los esfuerzos debían ir encaminados en identificar</w:t>
      </w:r>
      <w:r w:rsidRPr="007C7DC1">
        <w:rPr>
          <w:rFonts w:ascii="Arial Narrow" w:eastAsia="Calibri" w:hAnsi="Arial Narrow"/>
        </w:rPr>
        <w:t xml:space="preserve"> los requerimientos necesarios para determinar la factibilidad de la aplicación de un plan de carrera administrativa</w:t>
      </w:r>
      <w:r>
        <w:rPr>
          <w:rFonts w:ascii="Arial Narrow" w:eastAsia="Calibri" w:hAnsi="Arial Narrow"/>
        </w:rPr>
        <w:t xml:space="preserve">, por lo tanto se </w:t>
      </w:r>
      <w:r w:rsidRPr="002E0B96">
        <w:rPr>
          <w:rFonts w:ascii="Arial Narrow" w:eastAsia="Calibri" w:hAnsi="Arial Narrow"/>
        </w:rPr>
        <w:t>ejecutó la aplicación de la encuesta en las oficinas internas del Poder Judicial, así como a las instancias externas, mediante la herramienta colocada en la plataforma Google Forms. Paralelamente, realizaron un proceso de recolección de datos para la tabulación, una vez tabulados, los datos resultantes de la encuesta realizada a los entes internos y externos del Poder Judicial, compilados en tablas son los factores o insumos para determinar la factibilidad de la aplicación de una Carrera Administrativa en la Institución.</w:t>
      </w:r>
    </w:p>
    <w:p w14:paraId="574B77AB" w14:textId="77777777" w:rsidR="00803EF6" w:rsidRDefault="00803EF6" w:rsidP="00803EF6">
      <w:pPr>
        <w:spacing w:line="360" w:lineRule="auto"/>
        <w:jc w:val="both"/>
        <w:rPr>
          <w:rFonts w:ascii="Arial Narrow" w:eastAsia="Calibri" w:hAnsi="Arial Narrow"/>
        </w:rPr>
      </w:pPr>
    </w:p>
    <w:p w14:paraId="4B486166" w14:textId="77777777" w:rsidR="00803EF6" w:rsidRDefault="00803EF6" w:rsidP="00803EF6">
      <w:pPr>
        <w:spacing w:line="360" w:lineRule="auto"/>
        <w:jc w:val="both"/>
        <w:rPr>
          <w:rFonts w:ascii="Arial Narrow" w:eastAsia="Calibri" w:hAnsi="Arial Narrow"/>
        </w:rPr>
      </w:pPr>
    </w:p>
    <w:p w14:paraId="32CD5A0D" w14:textId="77777777" w:rsidR="00803EF6" w:rsidRPr="000B4845" w:rsidRDefault="00803EF6" w:rsidP="00803EF6">
      <w:pPr>
        <w:spacing w:line="360" w:lineRule="auto"/>
        <w:jc w:val="both"/>
        <w:rPr>
          <w:rFonts w:ascii="Arial Narrow" w:eastAsia="Calibri" w:hAnsi="Arial Narrow"/>
        </w:rPr>
      </w:pPr>
    </w:p>
    <w:p w14:paraId="0B046FF4" w14:textId="67CFE01B" w:rsidR="00803EF6" w:rsidRPr="000B4845" w:rsidRDefault="009547D6" w:rsidP="00803EF6">
      <w:pPr>
        <w:pStyle w:val="Ttulo4"/>
        <w:numPr>
          <w:ilvl w:val="0"/>
          <w:numId w:val="64"/>
        </w:numPr>
        <w:rPr>
          <w:rFonts w:eastAsia="Calibri"/>
        </w:rPr>
      </w:pPr>
      <w:r>
        <w:rPr>
          <w:rFonts w:eastAsia="Calibri"/>
        </w:rPr>
        <w:t xml:space="preserve">5.4.5. </w:t>
      </w:r>
      <w:r w:rsidR="00803EF6" w:rsidRPr="000B4845">
        <w:rPr>
          <w:rFonts w:eastAsia="Calibri"/>
        </w:rPr>
        <w:t>Bienestar y Salud</w:t>
      </w:r>
    </w:p>
    <w:p w14:paraId="4447A534" w14:textId="77777777" w:rsidR="00803EF6" w:rsidRPr="000B4845" w:rsidRDefault="00803EF6" w:rsidP="00803EF6">
      <w:pPr>
        <w:rPr>
          <w:rFonts w:ascii="Arial Narrow" w:eastAsia="Calibri" w:hAnsi="Arial Narrow"/>
        </w:rPr>
      </w:pPr>
    </w:p>
    <w:p w14:paraId="17C3DFDA" w14:textId="5BAA9192" w:rsidR="00F0386C" w:rsidRPr="00704B08" w:rsidRDefault="00F0386C" w:rsidP="00704B08">
      <w:pPr>
        <w:spacing w:line="360" w:lineRule="auto"/>
        <w:jc w:val="both"/>
        <w:rPr>
          <w:rFonts w:ascii="Arial Narrow" w:hAnsi="Arial Narrow" w:cs="Segoe UI"/>
          <w:sz w:val="21"/>
          <w:szCs w:val="21"/>
          <w:lang w:val="es-CR" w:eastAsia="es-CR"/>
        </w:rPr>
      </w:pPr>
      <w:r w:rsidRPr="00704B08">
        <w:rPr>
          <w:rFonts w:ascii="Arial Narrow" w:hAnsi="Arial Narrow" w:cs="Segoe UI"/>
          <w:lang w:eastAsia="es-CR"/>
        </w:rPr>
        <w:t xml:space="preserve">Se observan 4 metas estratégicas de las cuales </w:t>
      </w:r>
      <w:r>
        <w:rPr>
          <w:rFonts w:ascii="Arial Narrow" w:hAnsi="Arial Narrow" w:cs="Segoe UI"/>
          <w:lang w:eastAsia="es-CR"/>
        </w:rPr>
        <w:t>todas</w:t>
      </w:r>
      <w:r w:rsidRPr="00704B08">
        <w:rPr>
          <w:rFonts w:ascii="Arial Narrow" w:hAnsi="Arial Narrow" w:cs="Segoe UI"/>
          <w:lang w:eastAsia="es-CR"/>
        </w:rPr>
        <w:t xml:space="preserve"> muestran una ejecución alta en su cumplimiento. Se detalla a continuación las metas estratégicas y su cumplimiento para el 2019 y 2020:</w:t>
      </w:r>
    </w:p>
    <w:p w14:paraId="7E2F306D" w14:textId="77777777" w:rsidR="009D5823" w:rsidRDefault="009D5823" w:rsidP="00803EF6">
      <w:pPr>
        <w:rPr>
          <w:rFonts w:ascii="Arial Narrow" w:eastAsia="Calibri" w:hAnsi="Arial Narrow"/>
        </w:rPr>
        <w:sectPr w:rsidR="009D5823" w:rsidSect="009D5823">
          <w:pgSz w:w="12242" w:h="15842" w:code="1"/>
          <w:pgMar w:top="1701" w:right="1417" w:bottom="1701" w:left="1417" w:header="709" w:footer="709" w:gutter="0"/>
          <w:cols w:space="708"/>
          <w:docGrid w:linePitch="360"/>
        </w:sectPr>
      </w:pPr>
    </w:p>
    <w:p w14:paraId="1DB31CE0" w14:textId="0D472A51" w:rsidR="00803EF6" w:rsidRPr="000B4845" w:rsidRDefault="00803EF6" w:rsidP="00803EF6">
      <w:pPr>
        <w:rPr>
          <w:rFonts w:ascii="Arial Narrow" w:eastAsia="Calibri" w:hAnsi="Arial Narrow"/>
        </w:rPr>
      </w:pPr>
    </w:p>
    <w:p w14:paraId="7B67854E" w14:textId="77777777" w:rsidR="00803EF6" w:rsidRDefault="00803EF6" w:rsidP="00803EF6">
      <w:pPr>
        <w:rPr>
          <w:rFonts w:ascii="Arial Narrow" w:eastAsia="Calibri" w:hAnsi="Arial Narrow"/>
        </w:rPr>
      </w:pPr>
    </w:p>
    <w:p w14:paraId="4D71E990" w14:textId="61BDF7DC" w:rsidR="00803EF6" w:rsidRDefault="00803EF6" w:rsidP="00803EF6">
      <w:pPr>
        <w:pStyle w:val="Descripcin"/>
        <w:jc w:val="center"/>
        <w:rPr>
          <w:rFonts w:ascii="Arial Narrow" w:eastAsia="Calibri" w:hAnsi="Arial Narrow"/>
          <w:sz w:val="24"/>
          <w:szCs w:val="24"/>
        </w:rPr>
      </w:pPr>
      <w:bookmarkStart w:id="129" w:name="_Toc76062302"/>
      <w:r w:rsidRPr="00484CC1">
        <w:rPr>
          <w:rFonts w:ascii="Arial Narrow" w:hAnsi="Arial Narrow"/>
          <w:sz w:val="24"/>
          <w:szCs w:val="24"/>
        </w:rPr>
        <w:t xml:space="preserve">Cuadro </w:t>
      </w:r>
      <w:r w:rsidRPr="00484CC1">
        <w:rPr>
          <w:rFonts w:ascii="Arial Narrow" w:hAnsi="Arial Narrow"/>
          <w:sz w:val="24"/>
          <w:szCs w:val="24"/>
        </w:rPr>
        <w:fldChar w:fldCharType="begin"/>
      </w:r>
      <w:r w:rsidRPr="00484CC1">
        <w:rPr>
          <w:rFonts w:ascii="Arial Narrow" w:hAnsi="Arial Narrow"/>
          <w:sz w:val="24"/>
          <w:szCs w:val="24"/>
        </w:rPr>
        <w:instrText xml:space="preserve"> SEQ Cuadro_No. \* ARABIC </w:instrText>
      </w:r>
      <w:r w:rsidRPr="00484CC1">
        <w:rPr>
          <w:rFonts w:ascii="Arial Narrow" w:hAnsi="Arial Narrow"/>
          <w:sz w:val="24"/>
          <w:szCs w:val="24"/>
        </w:rPr>
        <w:fldChar w:fldCharType="separate"/>
      </w:r>
      <w:r w:rsidR="009D5823">
        <w:rPr>
          <w:rFonts w:ascii="Arial Narrow" w:hAnsi="Arial Narrow"/>
          <w:noProof/>
          <w:sz w:val="24"/>
          <w:szCs w:val="24"/>
        </w:rPr>
        <w:t>79</w:t>
      </w:r>
      <w:r w:rsidRPr="00484CC1">
        <w:rPr>
          <w:rFonts w:ascii="Arial Narrow" w:hAnsi="Arial Narrow"/>
          <w:sz w:val="24"/>
          <w:szCs w:val="24"/>
        </w:rPr>
        <w:fldChar w:fldCharType="end"/>
      </w:r>
      <w:r w:rsidRPr="00484CC1">
        <w:rPr>
          <w:rFonts w:ascii="Arial Narrow" w:hAnsi="Arial Narrow"/>
          <w:sz w:val="24"/>
          <w:szCs w:val="24"/>
        </w:rPr>
        <w:t xml:space="preserve"> </w:t>
      </w:r>
      <w:r w:rsidRPr="00211B03">
        <w:rPr>
          <w:rFonts w:ascii="Arial Narrow" w:eastAsia="Calibri" w:hAnsi="Arial Narrow"/>
          <w:sz w:val="24"/>
          <w:szCs w:val="24"/>
        </w:rPr>
        <w:t>Metas estratégicas de Bienestar y salud, y su cumplimiento para el 2019</w:t>
      </w:r>
      <w:r>
        <w:rPr>
          <w:rFonts w:ascii="Arial Narrow" w:eastAsia="Calibri" w:hAnsi="Arial Narrow"/>
          <w:sz w:val="24"/>
          <w:szCs w:val="24"/>
        </w:rPr>
        <w:t>-2020</w:t>
      </w:r>
      <w:bookmarkEnd w:id="129"/>
    </w:p>
    <w:p w14:paraId="261A0644" w14:textId="77777777" w:rsidR="00803EF6" w:rsidRDefault="00803EF6" w:rsidP="00803EF6">
      <w:pPr>
        <w:rPr>
          <w:rFonts w:eastAsia="Calibri"/>
        </w:rPr>
      </w:pPr>
    </w:p>
    <w:p w14:paraId="4F6F2715" w14:textId="77777777" w:rsidR="00803EF6" w:rsidRPr="008E6926" w:rsidRDefault="00803EF6" w:rsidP="00803EF6">
      <w:pPr>
        <w:rPr>
          <w:rFonts w:eastAsia="Calibri"/>
        </w:rPr>
      </w:pPr>
      <w:r>
        <w:rPr>
          <w:noProof/>
          <w:lang w:val="es-CR" w:eastAsia="es-CR"/>
        </w:rPr>
        <w:drawing>
          <wp:inline distT="0" distB="0" distL="0" distR="0" wp14:anchorId="4B75B78C" wp14:editId="0F19A371">
            <wp:extent cx="7899400" cy="3445367"/>
            <wp:effectExtent l="19050" t="19050" r="25400" b="22225"/>
            <wp:docPr id="157" name="Imagen 157"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Imagen 95" descr="Tabla&#10;&#10;Descripción generada automáticamente"/>
                    <pic:cNvPicPr/>
                  </pic:nvPicPr>
                  <pic:blipFill>
                    <a:blip r:embed="rId141"/>
                    <a:stretch>
                      <a:fillRect/>
                    </a:stretch>
                  </pic:blipFill>
                  <pic:spPr>
                    <a:xfrm>
                      <a:off x="0" y="0"/>
                      <a:ext cx="7905816" cy="3448165"/>
                    </a:xfrm>
                    <a:prstGeom prst="rect">
                      <a:avLst/>
                    </a:prstGeom>
                    <a:ln w="19050">
                      <a:solidFill>
                        <a:schemeClr val="accent1"/>
                      </a:solidFill>
                    </a:ln>
                  </pic:spPr>
                </pic:pic>
              </a:graphicData>
            </a:graphic>
          </wp:inline>
        </w:drawing>
      </w:r>
    </w:p>
    <w:p w14:paraId="763B3C4C" w14:textId="77777777" w:rsidR="00803EF6" w:rsidRPr="000B4845" w:rsidRDefault="00803EF6" w:rsidP="00803EF6">
      <w:pPr>
        <w:rPr>
          <w:rFonts w:ascii="Arial Narrow" w:eastAsia="Calibri" w:hAnsi="Arial Narrow"/>
        </w:rPr>
      </w:pPr>
    </w:p>
    <w:p w14:paraId="5985307C" w14:textId="77777777" w:rsidR="00803EF6" w:rsidRDefault="00803EF6" w:rsidP="00803EF6">
      <w:pPr>
        <w:ind w:left="708" w:firstLine="708"/>
        <w:rPr>
          <w:rFonts w:eastAsia="Calibri"/>
          <w:lang w:eastAsia="en-US"/>
        </w:rPr>
      </w:pPr>
      <w:r w:rsidRPr="00EE2E13">
        <w:rPr>
          <w:rFonts w:ascii="Arial Narrow" w:hAnsi="Arial Narrow"/>
          <w:sz w:val="18"/>
          <w:szCs w:val="18"/>
          <w:lang w:val="es-CR" w:eastAsia="es-CR"/>
        </w:rPr>
        <w:t>Fuente: Sistema PEI al 24 de enero del 2020 (año 2019) y 04 de marzo del 2021 (año 2020).</w:t>
      </w:r>
    </w:p>
    <w:p w14:paraId="65A1EF12" w14:textId="77777777" w:rsidR="00803EF6" w:rsidRDefault="00803EF6" w:rsidP="00803EF6">
      <w:pPr>
        <w:rPr>
          <w:rFonts w:ascii="Arial Narrow" w:eastAsia="Calibri" w:hAnsi="Arial Narrow"/>
          <w:lang w:eastAsia="en-US"/>
        </w:rPr>
      </w:pPr>
    </w:p>
    <w:p w14:paraId="09A47B95" w14:textId="77777777" w:rsidR="009D5823" w:rsidRDefault="009D5823" w:rsidP="00803EF6">
      <w:pPr>
        <w:rPr>
          <w:rFonts w:ascii="Arial Narrow" w:eastAsia="Calibri" w:hAnsi="Arial Narrow"/>
          <w:lang w:eastAsia="en-US"/>
        </w:rPr>
        <w:sectPr w:rsidR="009D5823" w:rsidSect="009D5823">
          <w:pgSz w:w="15842" w:h="12242" w:orient="landscape" w:code="1"/>
          <w:pgMar w:top="1417" w:right="1701" w:bottom="1417" w:left="1701" w:header="709" w:footer="709" w:gutter="0"/>
          <w:cols w:space="708"/>
          <w:docGrid w:linePitch="360"/>
        </w:sectPr>
      </w:pPr>
    </w:p>
    <w:p w14:paraId="105D6035" w14:textId="493B792C" w:rsidR="00803EF6" w:rsidRDefault="00803EF6" w:rsidP="00803EF6">
      <w:pPr>
        <w:rPr>
          <w:rFonts w:ascii="Arial Narrow" w:eastAsia="Calibri" w:hAnsi="Arial Narrow"/>
          <w:lang w:eastAsia="en-US"/>
        </w:rPr>
      </w:pPr>
    </w:p>
    <w:p w14:paraId="69407C7C" w14:textId="5B471CC4" w:rsidR="00803EF6" w:rsidRDefault="00803EF6" w:rsidP="00803EF6">
      <w:pPr>
        <w:spacing w:line="360" w:lineRule="auto"/>
        <w:jc w:val="both"/>
        <w:rPr>
          <w:rFonts w:ascii="Arial Narrow" w:eastAsia="Calibri" w:hAnsi="Arial Narrow"/>
        </w:rPr>
      </w:pPr>
      <w:r w:rsidRPr="00484CC1">
        <w:rPr>
          <w:rFonts w:ascii="Arial Narrow" w:eastAsia="Calibri" w:hAnsi="Arial Narrow"/>
        </w:rPr>
        <w:t>Es importante señalar que en la Matriz del PEI 2019-2024 adicionalmente se incluye la meta estratégica “</w:t>
      </w:r>
      <w:r w:rsidRPr="00484CC1">
        <w:rPr>
          <w:rFonts w:ascii="Arial Narrow" w:eastAsia="Calibri" w:hAnsi="Arial Narrow"/>
          <w:b/>
          <w:bCs/>
          <w:i/>
          <w:iCs/>
          <w:lang w:eastAsia="en-US"/>
        </w:rPr>
        <w:t xml:space="preserve">Que al finalizar el 2024, se haya implementado las estrategias para manejo de personal, que permitan mantener las competencias físicas y salud óptimas para el desempeño de sus funciones del personal del Organismo de Investigación Judicial”. </w:t>
      </w:r>
      <w:r w:rsidRPr="00484CC1">
        <w:rPr>
          <w:rFonts w:ascii="Arial Narrow" w:eastAsia="Calibri" w:hAnsi="Arial Narrow"/>
          <w:b/>
          <w:bCs/>
          <w:i/>
          <w:iCs/>
        </w:rPr>
        <w:t>Indicador: % de avance de implementación de las estrategias para el manejo de personal, que permitan mantener las competencias físicas y salud óptimas para el desempeño del Organismo de Investigación Judicial,</w:t>
      </w:r>
      <w:r w:rsidRPr="00484CC1">
        <w:rPr>
          <w:rFonts w:ascii="Arial Narrow" w:eastAsia="Calibri" w:hAnsi="Arial Narrow"/>
          <w:i/>
          <w:iCs/>
        </w:rPr>
        <w:t xml:space="preserve"> </w:t>
      </w:r>
      <w:r w:rsidRPr="00484CC1">
        <w:rPr>
          <w:rFonts w:ascii="Arial Narrow" w:eastAsia="Calibri" w:hAnsi="Arial Narrow"/>
        </w:rPr>
        <w:t xml:space="preserve">la cual de acuerdo con la revisión efectuada se logró determinar que no se asoció a ningún PAO de oficina para el 2019, ni para el 2020.  </w:t>
      </w:r>
      <w:r w:rsidRPr="00484CC1">
        <w:rPr>
          <w:color w:val="000000"/>
        </w:rPr>
        <w:t>Se</w:t>
      </w:r>
      <w:r w:rsidRPr="00484CC1">
        <w:rPr>
          <w:rFonts w:ascii="Arial Narrow" w:eastAsia="Calibri" w:hAnsi="Arial Narrow"/>
        </w:rPr>
        <w:t xml:space="preserve"> está en proceso de revisión de esta meta estratégica con la Dirección de Gestión Humana para ver si la misma puede ser atendida por medio de la meta siguiente: OE.1.5.1.1 - Que al finalizar el 2024, se haya desarrollado e implementado la política integral de bienestar y salud laboral para las personas trabajadoras del Poder Judicial</w:t>
      </w:r>
      <w:r>
        <w:rPr>
          <w:rFonts w:ascii="Arial Narrow" w:eastAsia="Calibri" w:hAnsi="Arial Narrow"/>
        </w:rPr>
        <w:t xml:space="preserve">. </w:t>
      </w:r>
    </w:p>
    <w:p w14:paraId="69F499D4" w14:textId="77777777" w:rsidR="00803EF6" w:rsidRPr="00484CC1" w:rsidRDefault="00803EF6" w:rsidP="00803EF6">
      <w:pPr>
        <w:spacing w:line="360" w:lineRule="auto"/>
        <w:jc w:val="both"/>
        <w:rPr>
          <w:rFonts w:ascii="Arial Narrow" w:eastAsia="Calibri" w:hAnsi="Arial Narrow"/>
        </w:rPr>
      </w:pPr>
    </w:p>
    <w:p w14:paraId="67BE52B9" w14:textId="4272BD72" w:rsidR="00803EF6" w:rsidRDefault="00803EF6" w:rsidP="00803EF6">
      <w:pPr>
        <w:spacing w:line="360" w:lineRule="auto"/>
        <w:jc w:val="both"/>
        <w:rPr>
          <w:rFonts w:ascii="Arial Narrow" w:eastAsia="Calibri" w:hAnsi="Arial Narrow"/>
        </w:rPr>
      </w:pPr>
      <w:r>
        <w:rPr>
          <w:rFonts w:ascii="Arial Narrow" w:eastAsia="Calibri" w:hAnsi="Arial Narrow"/>
        </w:rPr>
        <w:t>L</w:t>
      </w:r>
      <w:r w:rsidRPr="00484CC1">
        <w:rPr>
          <w:rFonts w:ascii="Arial Narrow" w:eastAsia="Calibri" w:hAnsi="Arial Narrow"/>
        </w:rPr>
        <w:t xml:space="preserve">a meta estratégica </w:t>
      </w:r>
      <w:r w:rsidRPr="00484CC1">
        <w:rPr>
          <w:rFonts w:ascii="Arial Narrow" w:eastAsia="Calibri" w:hAnsi="Arial Narrow"/>
          <w:b/>
          <w:bCs/>
        </w:rPr>
        <w:t>“</w:t>
      </w:r>
      <w:r w:rsidRPr="00B111A0">
        <w:rPr>
          <w:rFonts w:ascii="Arial Narrow" w:eastAsia="Calibri" w:hAnsi="Arial Narrow"/>
          <w:b/>
          <w:bCs/>
          <w:i/>
          <w:iCs/>
          <w:lang w:eastAsia="en-US"/>
        </w:rPr>
        <w:t>Que al finalizar el 2024, se haya desarrollado e implementado la política integral de bienestar y salud laboral para las personas trabajadoras del Poder Judicial</w:t>
      </w:r>
      <w:r>
        <w:rPr>
          <w:rFonts w:ascii="Arial Narrow" w:eastAsia="Calibri" w:hAnsi="Arial Narrow"/>
          <w:b/>
          <w:bCs/>
          <w:i/>
          <w:iCs/>
          <w:lang w:eastAsia="en-US"/>
        </w:rPr>
        <w:t>”</w:t>
      </w:r>
      <w:r w:rsidR="002C1700">
        <w:rPr>
          <w:rFonts w:ascii="Arial Narrow" w:eastAsia="Calibri" w:hAnsi="Arial Narrow"/>
          <w:b/>
          <w:bCs/>
          <w:i/>
          <w:iCs/>
          <w:lang w:eastAsia="en-US"/>
        </w:rPr>
        <w:t>,</w:t>
      </w:r>
      <w:r>
        <w:rPr>
          <w:rFonts w:ascii="Arial Narrow" w:eastAsia="Calibri" w:hAnsi="Arial Narrow"/>
          <w:b/>
          <w:bCs/>
          <w:i/>
          <w:iCs/>
          <w:lang w:eastAsia="en-US"/>
        </w:rPr>
        <w:t xml:space="preserve"> </w:t>
      </w:r>
      <w:r w:rsidRPr="002E0B96">
        <w:rPr>
          <w:rFonts w:ascii="Arial Narrow" w:eastAsia="Calibri" w:hAnsi="Arial Narrow"/>
          <w:lang w:eastAsia="en-US"/>
        </w:rPr>
        <w:t>registra para 2019 y 2020 un cumplimiento alto de 100%, según lo indicado por la Oficina de Unidad de Salud Ocupacional, Desarrollo Humano y Ambiente Laboral, donde</w:t>
      </w:r>
      <w:r>
        <w:rPr>
          <w:rFonts w:ascii="Arial Narrow" w:eastAsia="Calibri" w:hAnsi="Arial Narrow"/>
          <w:lang w:eastAsia="en-US"/>
        </w:rPr>
        <w:t xml:space="preserve"> los documentos consignados indican los esfuerzos por definir los </w:t>
      </w:r>
      <w:r w:rsidRPr="002E0B96">
        <w:rPr>
          <w:rFonts w:ascii="Arial Narrow" w:eastAsia="Calibri" w:hAnsi="Arial Narrow"/>
          <w:lang w:eastAsia="en-US"/>
        </w:rPr>
        <w:t xml:space="preserve">requerimientos de desarrollo del sistema, a modo de evidencia se incorporan los requerimientos del expediente del Servicios de Salud.  A su vez, se presenta el oficio número PJ-DGH-768-2020 del 8 de setiembre de 2020, por la </w:t>
      </w:r>
      <w:r w:rsidR="002C1700">
        <w:rPr>
          <w:rFonts w:ascii="Arial Narrow" w:eastAsia="Calibri" w:hAnsi="Arial Narrow"/>
          <w:lang w:eastAsia="en-US"/>
        </w:rPr>
        <w:t>M</w:t>
      </w:r>
      <w:r w:rsidRPr="002E0B96">
        <w:rPr>
          <w:rFonts w:ascii="Arial Narrow" w:eastAsia="Calibri" w:hAnsi="Arial Narrow"/>
          <w:lang w:eastAsia="en-US"/>
        </w:rPr>
        <w:t xml:space="preserve">áster Roxana Arrieta Meléndez y la </w:t>
      </w:r>
      <w:r w:rsidR="002C1700">
        <w:rPr>
          <w:rFonts w:ascii="Arial Narrow" w:eastAsia="Calibri" w:hAnsi="Arial Narrow"/>
          <w:lang w:eastAsia="en-US"/>
        </w:rPr>
        <w:t>L</w:t>
      </w:r>
      <w:r w:rsidRPr="002E0B96">
        <w:rPr>
          <w:rFonts w:ascii="Arial Narrow" w:eastAsia="Calibri" w:hAnsi="Arial Narrow"/>
          <w:lang w:eastAsia="en-US"/>
        </w:rPr>
        <w:t>icda</w:t>
      </w:r>
      <w:r w:rsidR="002C1700">
        <w:rPr>
          <w:rFonts w:ascii="Arial Narrow" w:eastAsia="Calibri" w:hAnsi="Arial Narrow"/>
          <w:lang w:eastAsia="en-US"/>
        </w:rPr>
        <w:t>.</w:t>
      </w:r>
      <w:r w:rsidRPr="002E0B96">
        <w:rPr>
          <w:rFonts w:ascii="Arial Narrow" w:eastAsia="Calibri" w:hAnsi="Arial Narrow"/>
          <w:lang w:eastAsia="en-US"/>
        </w:rPr>
        <w:t xml:space="preserve"> Waiman Hin Herrera, y el Consejo Superior autoriza a las personas servidoras judiciales y jefaturas, que la Dirección de Gestión Humana seleccione para disponer del tiempo requerido para participar de la investigación sobre las condiciones de trabajo en el Poder Judicial con el fin de cumplir con la política integral de bienestar y salud laboral para las personas trabajadoras del Poder Judicial</w:t>
      </w:r>
    </w:p>
    <w:p w14:paraId="0B7874F4" w14:textId="77777777" w:rsidR="00803EF6" w:rsidRDefault="00803EF6" w:rsidP="00803EF6">
      <w:pPr>
        <w:spacing w:line="360" w:lineRule="auto"/>
        <w:jc w:val="both"/>
        <w:rPr>
          <w:rFonts w:ascii="Arial Narrow" w:eastAsia="Calibri" w:hAnsi="Arial Narrow"/>
        </w:rPr>
      </w:pPr>
    </w:p>
    <w:p w14:paraId="272B5DC7" w14:textId="77777777" w:rsidR="00803EF6" w:rsidRDefault="00803EF6" w:rsidP="00803EF6">
      <w:pPr>
        <w:spacing w:line="360" w:lineRule="auto"/>
        <w:jc w:val="both"/>
        <w:rPr>
          <w:rFonts w:ascii="Arial Narrow" w:eastAsia="Calibri" w:hAnsi="Arial Narrow"/>
        </w:rPr>
      </w:pPr>
    </w:p>
    <w:p w14:paraId="45B96A6B" w14:textId="46D26FA2" w:rsidR="00803EF6" w:rsidRDefault="00803EF6" w:rsidP="00803EF6">
      <w:pPr>
        <w:spacing w:line="360" w:lineRule="auto"/>
        <w:jc w:val="both"/>
        <w:rPr>
          <w:rFonts w:ascii="Arial Narrow" w:eastAsia="Calibri" w:hAnsi="Arial Narrow"/>
          <w:lang w:eastAsia="en-US"/>
        </w:rPr>
      </w:pPr>
      <w:r>
        <w:rPr>
          <w:rFonts w:ascii="Arial Narrow" w:eastAsia="Calibri" w:hAnsi="Arial Narrow"/>
        </w:rPr>
        <w:t>Por otra parte, l</w:t>
      </w:r>
      <w:r w:rsidRPr="00484CC1">
        <w:rPr>
          <w:rFonts w:ascii="Arial Narrow" w:eastAsia="Calibri" w:hAnsi="Arial Narrow"/>
        </w:rPr>
        <w:t xml:space="preserve">a meta estratégica </w:t>
      </w:r>
      <w:r w:rsidRPr="00484CC1">
        <w:rPr>
          <w:rFonts w:ascii="Arial Narrow" w:eastAsia="Calibri" w:hAnsi="Arial Narrow"/>
          <w:b/>
          <w:bCs/>
        </w:rPr>
        <w:t>“</w:t>
      </w:r>
      <w:r w:rsidRPr="00F64653">
        <w:rPr>
          <w:rFonts w:ascii="Arial Narrow" w:eastAsia="Calibri" w:hAnsi="Arial Narrow"/>
          <w:b/>
          <w:bCs/>
          <w:i/>
          <w:iCs/>
          <w:lang w:eastAsia="en-US"/>
        </w:rPr>
        <w:t>Que al finalizar el 2024, se haya cumplido el cronograma definido para la implementación de acciones orientadas a promover el autocuidado en la salud del personal de la Oficina de Atención a la Víctima de Delitos y Unidad de Protección de Víctimas y Testigos</w:t>
      </w:r>
      <w:r>
        <w:rPr>
          <w:rFonts w:ascii="Arial Narrow" w:eastAsia="Calibri" w:hAnsi="Arial Narrow"/>
          <w:b/>
          <w:bCs/>
          <w:i/>
          <w:iCs/>
          <w:lang w:eastAsia="en-US"/>
        </w:rPr>
        <w:t>”</w:t>
      </w:r>
      <w:r w:rsidR="002C1700">
        <w:rPr>
          <w:rFonts w:ascii="Arial Narrow" w:eastAsia="Calibri" w:hAnsi="Arial Narrow"/>
          <w:b/>
          <w:bCs/>
          <w:i/>
          <w:iCs/>
          <w:lang w:eastAsia="en-US"/>
        </w:rPr>
        <w:t>,</w:t>
      </w:r>
      <w:r>
        <w:rPr>
          <w:rFonts w:ascii="Arial Narrow" w:eastAsia="Calibri" w:hAnsi="Arial Narrow"/>
          <w:b/>
          <w:bCs/>
          <w:i/>
          <w:iCs/>
          <w:lang w:eastAsia="en-US"/>
        </w:rPr>
        <w:t xml:space="preserve"> </w:t>
      </w:r>
      <w:r w:rsidRPr="007A4EFB">
        <w:rPr>
          <w:rFonts w:ascii="Arial Narrow" w:eastAsia="Calibri" w:hAnsi="Arial Narrow"/>
          <w:lang w:eastAsia="en-US"/>
        </w:rPr>
        <w:lastRenderedPageBreak/>
        <w:t xml:space="preserve">registra para 2019 y 2020 un cumplimiento alto de 100%, según lo indicado por la Oficina de </w:t>
      </w:r>
      <w:r>
        <w:rPr>
          <w:rFonts w:ascii="Arial Narrow" w:eastAsia="Calibri" w:hAnsi="Arial Narrow"/>
          <w:lang w:eastAsia="en-US"/>
        </w:rPr>
        <w:t xml:space="preserve">Atención y Protección de Víctimas y </w:t>
      </w:r>
      <w:r w:rsidR="002C1700">
        <w:rPr>
          <w:rFonts w:ascii="Arial Narrow" w:eastAsia="Calibri" w:hAnsi="Arial Narrow"/>
          <w:lang w:eastAsia="en-US"/>
        </w:rPr>
        <w:t>T</w:t>
      </w:r>
      <w:r>
        <w:rPr>
          <w:rFonts w:ascii="Arial Narrow" w:eastAsia="Calibri" w:hAnsi="Arial Narrow"/>
          <w:lang w:eastAsia="en-US"/>
        </w:rPr>
        <w:t>estigos, donde se informa que para el 2019 se elaboró una encuesta entre los servidores de la Oficina de Atención (</w:t>
      </w:r>
      <w:r w:rsidRPr="007A4EFB">
        <w:rPr>
          <w:rFonts w:ascii="Arial Narrow" w:eastAsia="Calibri" w:hAnsi="Arial Narrow"/>
          <w:lang w:eastAsia="en-US"/>
        </w:rPr>
        <w:t>OAPVD</w:t>
      </w:r>
      <w:r>
        <w:rPr>
          <w:rFonts w:ascii="Arial Narrow" w:eastAsia="Calibri" w:hAnsi="Arial Narrow"/>
          <w:lang w:eastAsia="en-US"/>
        </w:rPr>
        <w:t>) y para el 2020</w:t>
      </w:r>
      <w:r w:rsidRPr="002E0B96">
        <w:rPr>
          <w:rFonts w:ascii="Arial Narrow" w:eastAsia="Calibri" w:hAnsi="Arial Narrow"/>
          <w:lang w:eastAsia="en-US"/>
        </w:rPr>
        <w:t>, por medio de un Comité de autocuidado trabajó un plan de autocuidado para el personal de la OAPVD, como parte del plan se establecieron varias acciones tales como capacitaciones, remisión de cápsulas de autocuidado, aunque se esperaba contar con actividades lúdicas se trasladaron para 2021 por tema Covid. Sin embargo, se tuvo oportunidad de trabajar temas de autocuidado de forma virtual.</w:t>
      </w:r>
    </w:p>
    <w:p w14:paraId="75345D84" w14:textId="77777777" w:rsidR="00803EF6" w:rsidRDefault="00803EF6" w:rsidP="00803EF6">
      <w:pPr>
        <w:spacing w:line="360" w:lineRule="auto"/>
        <w:jc w:val="both"/>
        <w:rPr>
          <w:rFonts w:ascii="Arial Narrow" w:eastAsia="Calibri" w:hAnsi="Arial Narrow"/>
          <w:lang w:eastAsia="en-US"/>
        </w:rPr>
      </w:pPr>
    </w:p>
    <w:p w14:paraId="74F47834" w14:textId="419778DB" w:rsidR="00803EF6" w:rsidRDefault="00803EF6" w:rsidP="00803EF6">
      <w:pPr>
        <w:spacing w:line="360" w:lineRule="auto"/>
        <w:jc w:val="both"/>
        <w:rPr>
          <w:rFonts w:ascii="Arial Narrow" w:eastAsia="Calibri" w:hAnsi="Arial Narrow"/>
          <w:lang w:eastAsia="en-US"/>
        </w:rPr>
      </w:pPr>
      <w:r>
        <w:rPr>
          <w:rFonts w:ascii="Arial Narrow" w:eastAsia="Calibri" w:hAnsi="Arial Narrow"/>
        </w:rPr>
        <w:t>Por otro lado, l</w:t>
      </w:r>
      <w:r w:rsidRPr="00484CC1">
        <w:rPr>
          <w:rFonts w:ascii="Arial Narrow" w:eastAsia="Calibri" w:hAnsi="Arial Narrow"/>
        </w:rPr>
        <w:t xml:space="preserve">a meta estratégica </w:t>
      </w:r>
      <w:r w:rsidRPr="00484CC1">
        <w:rPr>
          <w:rFonts w:ascii="Arial Narrow" w:eastAsia="Calibri" w:hAnsi="Arial Narrow"/>
          <w:b/>
          <w:bCs/>
        </w:rPr>
        <w:t>“</w:t>
      </w:r>
      <w:r w:rsidRPr="00F64653">
        <w:rPr>
          <w:rFonts w:ascii="Arial Narrow" w:eastAsia="Calibri" w:hAnsi="Arial Narrow"/>
          <w:b/>
          <w:bCs/>
          <w:i/>
          <w:iCs/>
          <w:lang w:eastAsia="en-US"/>
        </w:rPr>
        <w:t>Que al finalizar el 2024, se hayan definido procesos de colaboración regionales, con el fin de ampliar los programas preventivos de salud y la cobertura de servicios médicos en todo el país, para los empleados judiciales</w:t>
      </w:r>
      <w:r>
        <w:rPr>
          <w:rFonts w:ascii="Arial Narrow" w:eastAsia="Calibri" w:hAnsi="Arial Narrow"/>
          <w:b/>
          <w:bCs/>
          <w:i/>
          <w:iCs/>
          <w:lang w:eastAsia="en-US"/>
        </w:rPr>
        <w:t>”</w:t>
      </w:r>
      <w:r w:rsidR="002C1700">
        <w:rPr>
          <w:rFonts w:ascii="Arial Narrow" w:eastAsia="Calibri" w:hAnsi="Arial Narrow"/>
          <w:b/>
          <w:bCs/>
          <w:i/>
          <w:iCs/>
          <w:lang w:eastAsia="en-US"/>
        </w:rPr>
        <w:t>,</w:t>
      </w:r>
      <w:r>
        <w:rPr>
          <w:rFonts w:ascii="Arial Narrow" w:eastAsia="Calibri" w:hAnsi="Arial Narrow"/>
          <w:b/>
          <w:bCs/>
          <w:i/>
          <w:iCs/>
          <w:lang w:eastAsia="en-US"/>
        </w:rPr>
        <w:t xml:space="preserve"> </w:t>
      </w:r>
      <w:r w:rsidRPr="007A4EFB">
        <w:rPr>
          <w:rFonts w:ascii="Arial Narrow" w:eastAsia="Calibri" w:hAnsi="Arial Narrow"/>
          <w:lang w:eastAsia="en-US"/>
        </w:rPr>
        <w:t xml:space="preserve">registra para 2019 y 2020 un cumplimiento alto de 100%, según lo indicado por </w:t>
      </w:r>
      <w:r>
        <w:rPr>
          <w:rFonts w:ascii="Arial Narrow" w:eastAsia="Calibri" w:hAnsi="Arial Narrow"/>
          <w:lang w:eastAsia="en-US"/>
        </w:rPr>
        <w:t>parte de las 10 oficinas operativas que registraron diferentes resultados, entre ellos, la oficina del OIJ estableció para el 2020  el c</w:t>
      </w:r>
      <w:r w:rsidRPr="002E0B96">
        <w:rPr>
          <w:rFonts w:ascii="Arial Narrow" w:eastAsia="Calibri" w:hAnsi="Arial Narrow"/>
          <w:lang w:eastAsia="en-US"/>
        </w:rPr>
        <w:t>omunicado</w:t>
      </w:r>
      <w:r w:rsidR="002C1700">
        <w:rPr>
          <w:rFonts w:ascii="Arial Narrow" w:eastAsia="Calibri" w:hAnsi="Arial Narrow"/>
          <w:lang w:eastAsia="en-US"/>
        </w:rPr>
        <w:t xml:space="preserve"> </w:t>
      </w:r>
      <w:r w:rsidRPr="002E0B96">
        <w:rPr>
          <w:rFonts w:ascii="Arial Narrow" w:eastAsia="Calibri" w:hAnsi="Arial Narrow"/>
          <w:lang w:eastAsia="en-US"/>
        </w:rPr>
        <w:t>71-DG-2020 con respecto a la aprobación del  Protoc</w:t>
      </w:r>
      <w:r w:rsidR="002C1700">
        <w:rPr>
          <w:rFonts w:ascii="Arial Narrow" w:eastAsia="Calibri" w:hAnsi="Arial Narrow"/>
          <w:lang w:eastAsia="en-US"/>
        </w:rPr>
        <w:t>o</w:t>
      </w:r>
      <w:r w:rsidRPr="002E0B96">
        <w:rPr>
          <w:rFonts w:ascii="Arial Narrow" w:eastAsia="Calibri" w:hAnsi="Arial Narrow"/>
          <w:lang w:eastAsia="en-US"/>
        </w:rPr>
        <w:t>lo para el personal que realiza sus labores fuera de las instalaciones del Poder Judicial, a su vez, se estableció un protocolo donde la  Dirección General lo remitió a todo el país, se realizó como Comunicado 56-DG-2020, Lineamientos de bioseguridad para labores de investigación.</w:t>
      </w:r>
      <w:r>
        <w:rPr>
          <w:rFonts w:ascii="Arial Narrow" w:eastAsia="Calibri" w:hAnsi="Arial Narrow"/>
          <w:lang w:eastAsia="en-US"/>
        </w:rPr>
        <w:t xml:space="preserve"> Por parte de Salud Ocupacional, se gestionó </w:t>
      </w:r>
      <w:r w:rsidRPr="00C01EE0">
        <w:rPr>
          <w:rFonts w:ascii="Arial Narrow" w:eastAsia="Calibri" w:hAnsi="Arial Narrow"/>
          <w:lang w:eastAsia="en-US"/>
        </w:rPr>
        <w:t>la aprobación de protocolos nuevos institucionales para proteger la salud y la vida de las personas trabajadoras y usuarias, de acuerdo con los lineamientos emitidos por el Ministerio de Salud</w:t>
      </w:r>
      <w:r>
        <w:rPr>
          <w:rFonts w:ascii="Arial Narrow" w:eastAsia="Calibri" w:hAnsi="Arial Narrow"/>
          <w:lang w:eastAsia="en-US"/>
        </w:rPr>
        <w:t xml:space="preserve">, así como los esfuerzos por parte del Servicio de Salud para Empleados quienes también han </w:t>
      </w:r>
      <w:r w:rsidRPr="00C01EE0">
        <w:rPr>
          <w:rFonts w:ascii="Arial Narrow" w:eastAsia="Calibri" w:hAnsi="Arial Narrow"/>
          <w:lang w:eastAsia="en-US"/>
        </w:rPr>
        <w:t xml:space="preserve">presentado ante los órganos </w:t>
      </w:r>
      <w:r>
        <w:rPr>
          <w:rFonts w:ascii="Arial Narrow" w:eastAsia="Calibri" w:hAnsi="Arial Narrow"/>
          <w:lang w:eastAsia="en-US"/>
        </w:rPr>
        <w:t>s</w:t>
      </w:r>
      <w:r w:rsidRPr="00C01EE0">
        <w:rPr>
          <w:rFonts w:ascii="Arial Narrow" w:eastAsia="Calibri" w:hAnsi="Arial Narrow"/>
          <w:lang w:eastAsia="en-US"/>
        </w:rPr>
        <w:t>uperiores los informes necesarios para actualizar los lineamientos internos según las disposiciones del  Ministerio de Salud</w:t>
      </w:r>
      <w:r>
        <w:rPr>
          <w:rFonts w:ascii="Arial Narrow" w:eastAsia="Calibri" w:hAnsi="Arial Narrow"/>
          <w:lang w:eastAsia="en-US"/>
        </w:rPr>
        <w:t xml:space="preserve"> para la lucha contra el COVID-19.</w:t>
      </w:r>
    </w:p>
    <w:p w14:paraId="61B4486B" w14:textId="77777777" w:rsidR="00803EF6" w:rsidRDefault="00803EF6" w:rsidP="00803EF6">
      <w:pPr>
        <w:spacing w:line="360" w:lineRule="auto"/>
        <w:jc w:val="both"/>
        <w:rPr>
          <w:rFonts w:ascii="Arial Narrow" w:eastAsia="Calibri" w:hAnsi="Arial Narrow"/>
        </w:rPr>
      </w:pPr>
    </w:p>
    <w:p w14:paraId="5C4B0F81" w14:textId="7D474456" w:rsidR="00803EF6" w:rsidRPr="00C01EE0" w:rsidRDefault="00803EF6" w:rsidP="00803EF6">
      <w:pPr>
        <w:spacing w:line="360" w:lineRule="auto"/>
        <w:jc w:val="both"/>
        <w:rPr>
          <w:rFonts w:ascii="Arial Narrow" w:eastAsia="Calibri" w:hAnsi="Arial Narrow"/>
          <w:lang w:eastAsia="en-US"/>
        </w:rPr>
      </w:pPr>
      <w:r>
        <w:rPr>
          <w:rFonts w:ascii="Arial Narrow" w:eastAsia="Calibri" w:hAnsi="Arial Narrow"/>
        </w:rPr>
        <w:t>L</w:t>
      </w:r>
      <w:r w:rsidRPr="00484CC1">
        <w:rPr>
          <w:rFonts w:ascii="Arial Narrow" w:eastAsia="Calibri" w:hAnsi="Arial Narrow"/>
        </w:rPr>
        <w:t xml:space="preserve">a meta estratégica </w:t>
      </w:r>
      <w:r w:rsidRPr="00484CC1">
        <w:rPr>
          <w:rFonts w:ascii="Arial Narrow" w:eastAsia="Calibri" w:hAnsi="Arial Narrow"/>
          <w:b/>
          <w:bCs/>
        </w:rPr>
        <w:t>“</w:t>
      </w:r>
      <w:r w:rsidRPr="00484CC1">
        <w:rPr>
          <w:rFonts w:ascii="Arial Narrow" w:eastAsia="Calibri" w:hAnsi="Arial Narrow"/>
          <w:b/>
          <w:bCs/>
          <w:i/>
          <w:iCs/>
          <w:lang w:eastAsia="en-US"/>
        </w:rPr>
        <w:t xml:space="preserve">Que al finalizar el 2024, se haya revisado y actualizado el reglamento de vestimenta, acorde a la infraestructura física, condiciones ambientales y temperatura”. </w:t>
      </w:r>
      <w:r w:rsidRPr="00484CC1">
        <w:rPr>
          <w:rFonts w:ascii="Arial Narrow" w:eastAsia="Calibri" w:hAnsi="Arial Narrow"/>
          <w:b/>
          <w:bCs/>
          <w:i/>
          <w:iCs/>
        </w:rPr>
        <w:t>Indicador: % de avance del reglamento de vestimenta actualizado y presentado al órgano aprobador</w:t>
      </w:r>
      <w:r w:rsidR="002C1700">
        <w:rPr>
          <w:rFonts w:ascii="Arial Narrow" w:eastAsia="Calibri" w:hAnsi="Arial Narrow"/>
          <w:b/>
          <w:bCs/>
          <w:i/>
          <w:iCs/>
        </w:rPr>
        <w:t>”,</w:t>
      </w:r>
      <w:r w:rsidRPr="00484CC1">
        <w:rPr>
          <w:rFonts w:ascii="Arial Narrow" w:eastAsia="Calibri" w:hAnsi="Arial Narrow"/>
          <w:i/>
          <w:iCs/>
        </w:rPr>
        <w:t xml:space="preserve"> </w:t>
      </w:r>
      <w:r w:rsidRPr="00484CC1">
        <w:rPr>
          <w:rFonts w:ascii="Arial Narrow" w:eastAsia="Calibri" w:hAnsi="Arial Narrow"/>
        </w:rPr>
        <w:t xml:space="preserve">la cual de acuerdo con la revisión efectuada se logró determinar que no se asoció a ningún PAO de oficina para el 2019.  </w:t>
      </w:r>
      <w:r w:rsidRPr="002E0B96">
        <w:rPr>
          <w:rFonts w:ascii="Arial Narrow" w:eastAsia="Calibri" w:hAnsi="Arial Narrow"/>
        </w:rPr>
        <w:t xml:space="preserve">  Se observa que para el 2020, fue completada a un 100% desde el enfoque operativo de lo esperado para este año</w:t>
      </w:r>
      <w:r>
        <w:rPr>
          <w:rFonts w:ascii="Arial Narrow" w:eastAsia="Calibri" w:hAnsi="Arial Narrow"/>
        </w:rPr>
        <w:t xml:space="preserve">, donde se manifiesta en los documentos de evidencia que se realizan esfuerzos para avanzar en el </w:t>
      </w:r>
      <w:r w:rsidR="002C1700">
        <w:rPr>
          <w:rFonts w:ascii="Arial Narrow" w:eastAsia="Calibri" w:hAnsi="Arial Narrow"/>
        </w:rPr>
        <w:t>R</w:t>
      </w:r>
      <w:r>
        <w:rPr>
          <w:rFonts w:ascii="Arial Narrow" w:eastAsia="Calibri" w:hAnsi="Arial Narrow"/>
        </w:rPr>
        <w:t xml:space="preserve">eglamento de Vestimenta de acuerdo con las coordinaciones entre la Comision de Acceso a la </w:t>
      </w:r>
      <w:r>
        <w:rPr>
          <w:rFonts w:ascii="Arial Narrow" w:eastAsia="Calibri" w:hAnsi="Arial Narrow"/>
        </w:rPr>
        <w:lastRenderedPageBreak/>
        <w:t>Justicia, Comision de Salud Ocupacional y otros analizar el reglamento de Vestimenta actual (comunicado en Circular 102-19) para incorporar situaciones relacionadas a clima, infraestructura, cultura, entre otros.</w:t>
      </w:r>
    </w:p>
    <w:p w14:paraId="469EB183" w14:textId="77777777" w:rsidR="00803EF6" w:rsidRPr="00C01EE0" w:rsidRDefault="00803EF6" w:rsidP="00803EF6">
      <w:pPr>
        <w:rPr>
          <w:rFonts w:ascii="Arial Narrow" w:eastAsia="Calibri" w:hAnsi="Arial Narrow"/>
          <w:lang w:eastAsia="en-US"/>
        </w:rPr>
      </w:pPr>
    </w:p>
    <w:p w14:paraId="08C6DE06" w14:textId="77777777" w:rsidR="008E6926" w:rsidRDefault="008E6926" w:rsidP="008B6366">
      <w:pPr>
        <w:rPr>
          <w:rFonts w:ascii="Arial Narrow" w:eastAsia="Calibri" w:hAnsi="Arial Narrow"/>
          <w:lang w:eastAsia="en-US"/>
        </w:rPr>
      </w:pPr>
      <w:bookmarkStart w:id="130" w:name="_Toc52979249"/>
      <w:bookmarkStart w:id="131" w:name="_Hlk53475320"/>
      <w:bookmarkEnd w:id="130"/>
    </w:p>
    <w:p w14:paraId="6F0B2735" w14:textId="7744539D" w:rsidR="008B6366" w:rsidRPr="000B4845" w:rsidRDefault="00194BB6" w:rsidP="005E067A">
      <w:pPr>
        <w:pStyle w:val="Ttulo3"/>
        <w:numPr>
          <w:ilvl w:val="0"/>
          <w:numId w:val="64"/>
        </w:numPr>
        <w:rPr>
          <w:rFonts w:ascii="Arial Narrow" w:eastAsia="Calibri" w:hAnsi="Arial Narrow"/>
          <w:lang w:val="es-CR"/>
        </w:rPr>
      </w:pPr>
      <w:bookmarkStart w:id="132" w:name="_Toc84919356"/>
      <w:bookmarkEnd w:id="131"/>
      <w:r>
        <w:rPr>
          <w:rFonts w:ascii="Arial Narrow" w:eastAsia="Calibri" w:hAnsi="Arial Narrow"/>
          <w:lang w:val="es-CR"/>
        </w:rPr>
        <w:t xml:space="preserve">5.5 </w:t>
      </w:r>
      <w:r w:rsidR="008B6366" w:rsidRPr="000B4845">
        <w:rPr>
          <w:rFonts w:ascii="Arial Narrow" w:eastAsia="Calibri" w:hAnsi="Arial Narrow"/>
          <w:lang w:val="es-CR"/>
        </w:rPr>
        <w:t>Tema estratégico: Planificación Institucional</w:t>
      </w:r>
      <w:bookmarkEnd w:id="132"/>
    </w:p>
    <w:p w14:paraId="5E23D563" w14:textId="77777777" w:rsidR="00EA4FFC" w:rsidRPr="000B4845" w:rsidRDefault="00EA4FFC" w:rsidP="005305D8">
      <w:pPr>
        <w:rPr>
          <w:rFonts w:ascii="Arial Narrow" w:eastAsia="Calibri" w:hAnsi="Arial Narrow"/>
          <w:lang w:eastAsia="en-US"/>
        </w:rPr>
      </w:pPr>
    </w:p>
    <w:p w14:paraId="173AE051" w14:textId="7E0917F2" w:rsidR="00D306E7" w:rsidRDefault="00B97C38" w:rsidP="003C66DD">
      <w:pPr>
        <w:spacing w:line="360" w:lineRule="auto"/>
        <w:jc w:val="both"/>
        <w:rPr>
          <w:rFonts w:ascii="Arial Narrow" w:eastAsia="Calibri" w:hAnsi="Arial Narrow"/>
          <w:lang w:eastAsia="en-US"/>
        </w:rPr>
      </w:pPr>
      <w:r w:rsidRPr="000B4845">
        <w:rPr>
          <w:rFonts w:ascii="Arial Narrow" w:eastAsia="Calibri" w:hAnsi="Arial Narrow"/>
          <w:lang w:eastAsia="en-US"/>
        </w:rPr>
        <w:t xml:space="preserve">Finalmente, sobre la Planificación Institucional tiene como fin </w:t>
      </w:r>
      <w:r w:rsidR="003C66DD" w:rsidRPr="000B4845">
        <w:rPr>
          <w:rFonts w:ascii="Arial Narrow" w:eastAsia="Calibri" w:hAnsi="Arial Narrow"/>
          <w:lang w:eastAsia="en-US"/>
        </w:rPr>
        <w:t>d</w:t>
      </w:r>
      <w:r w:rsidRPr="000B4845">
        <w:rPr>
          <w:rFonts w:ascii="Arial Narrow" w:eastAsia="Calibri" w:hAnsi="Arial Narrow"/>
          <w:lang w:eastAsia="en-US"/>
        </w:rPr>
        <w:t>irigir la gestión judicial en función de las prioridades institucionales con el fin de maximizar el uso de los recursos.</w:t>
      </w:r>
      <w:r w:rsidR="00D306E7" w:rsidRPr="000B4845">
        <w:rPr>
          <w:rFonts w:ascii="Arial Narrow" w:eastAsia="Calibri" w:hAnsi="Arial Narrow"/>
          <w:lang w:eastAsia="en-US"/>
        </w:rPr>
        <w:t xml:space="preserve"> </w:t>
      </w:r>
      <w:r w:rsidR="003C66DD" w:rsidRPr="000B4845">
        <w:rPr>
          <w:rFonts w:ascii="Arial Narrow" w:eastAsia="Calibri" w:hAnsi="Arial Narrow"/>
          <w:lang w:eastAsia="en-US"/>
        </w:rPr>
        <w:t>Las acciones estratégicas que lo integran son</w:t>
      </w:r>
      <w:r w:rsidR="00D306E7" w:rsidRPr="000B4845">
        <w:rPr>
          <w:rFonts w:ascii="Arial Narrow" w:eastAsia="Calibri" w:hAnsi="Arial Narrow"/>
          <w:lang w:eastAsia="en-US"/>
        </w:rPr>
        <w:t>:</w:t>
      </w:r>
    </w:p>
    <w:p w14:paraId="3DE89706" w14:textId="77777777" w:rsidR="008E6926" w:rsidRPr="000B4845" w:rsidRDefault="008E6926" w:rsidP="003C66DD">
      <w:pPr>
        <w:spacing w:line="360" w:lineRule="auto"/>
        <w:jc w:val="both"/>
        <w:rPr>
          <w:rFonts w:ascii="Arial Narrow" w:eastAsia="Calibri" w:hAnsi="Arial Narrow"/>
          <w:lang w:eastAsia="en-US"/>
        </w:rPr>
      </w:pPr>
    </w:p>
    <w:p w14:paraId="79959670" w14:textId="77777777" w:rsidR="00D306E7" w:rsidRPr="000B4845" w:rsidRDefault="003C66DD" w:rsidP="00D306E7">
      <w:pPr>
        <w:pStyle w:val="Prrafodelista"/>
        <w:numPr>
          <w:ilvl w:val="0"/>
          <w:numId w:val="22"/>
        </w:numPr>
        <w:spacing w:line="360" w:lineRule="auto"/>
        <w:jc w:val="both"/>
        <w:rPr>
          <w:rFonts w:ascii="Arial Narrow" w:eastAsia="Calibri" w:hAnsi="Arial Narrow"/>
          <w:lang w:eastAsia="en-US"/>
        </w:rPr>
      </w:pPr>
      <w:r w:rsidRPr="000B4845">
        <w:rPr>
          <w:rFonts w:ascii="Arial Narrow" w:eastAsia="Calibri" w:hAnsi="Arial Narrow"/>
          <w:b/>
          <w:bCs/>
          <w:lang w:eastAsia="en-US"/>
        </w:rPr>
        <w:t>Gestión estratégica institucional:</w:t>
      </w:r>
      <w:r w:rsidRPr="000B4845">
        <w:rPr>
          <w:rFonts w:ascii="Arial Narrow" w:eastAsia="Calibri" w:hAnsi="Arial Narrow"/>
          <w:lang w:eastAsia="en-US"/>
        </w:rPr>
        <w:t xml:space="preserve"> Gestionar el proceso de toma de decisiones conforme al contenido del plan estratégico con el fin de administrar los recursos presupuestarios en función de las prioridades institucionales. </w:t>
      </w:r>
    </w:p>
    <w:p w14:paraId="2F7FDA69" w14:textId="3D4097C5" w:rsidR="00D306E7" w:rsidRPr="000B4845" w:rsidRDefault="003C66DD" w:rsidP="00D306E7">
      <w:pPr>
        <w:pStyle w:val="Prrafodelista"/>
        <w:numPr>
          <w:ilvl w:val="0"/>
          <w:numId w:val="22"/>
        </w:numPr>
        <w:spacing w:line="360" w:lineRule="auto"/>
        <w:jc w:val="both"/>
        <w:rPr>
          <w:rFonts w:ascii="Arial Narrow" w:eastAsia="Calibri" w:hAnsi="Arial Narrow"/>
          <w:lang w:eastAsia="en-US"/>
        </w:rPr>
      </w:pPr>
      <w:r w:rsidRPr="000B4845">
        <w:rPr>
          <w:rFonts w:ascii="Arial Narrow" w:eastAsia="Calibri" w:hAnsi="Arial Narrow"/>
          <w:b/>
          <w:bCs/>
          <w:lang w:eastAsia="en-US"/>
        </w:rPr>
        <w:t>Gestión de políticas institucionales:</w:t>
      </w:r>
      <w:r w:rsidRPr="000B4845">
        <w:rPr>
          <w:rFonts w:ascii="Arial Narrow" w:eastAsia="Calibri" w:hAnsi="Arial Narrow"/>
          <w:lang w:eastAsia="en-US"/>
        </w:rPr>
        <w:t xml:space="preserve"> Gestionar el desarrollo, implementación y seguimiento de las políticas institucionales para fortalecer la gestión judicial con el fin de mejorar los servicios de justicia. </w:t>
      </w:r>
    </w:p>
    <w:p w14:paraId="067F914E" w14:textId="5FD65B2D" w:rsidR="002615F3" w:rsidRDefault="003C66DD" w:rsidP="00D306E7">
      <w:pPr>
        <w:pStyle w:val="Prrafodelista"/>
        <w:numPr>
          <w:ilvl w:val="0"/>
          <w:numId w:val="22"/>
        </w:numPr>
        <w:spacing w:line="360" w:lineRule="auto"/>
        <w:jc w:val="both"/>
        <w:rPr>
          <w:rFonts w:ascii="Arial Narrow" w:eastAsia="Calibri" w:hAnsi="Arial Narrow"/>
          <w:lang w:eastAsia="en-US"/>
        </w:rPr>
      </w:pPr>
      <w:r w:rsidRPr="000B4845">
        <w:rPr>
          <w:rFonts w:ascii="Arial Narrow" w:eastAsia="Calibri" w:hAnsi="Arial Narrow"/>
          <w:b/>
          <w:bCs/>
          <w:lang w:eastAsia="en-US"/>
        </w:rPr>
        <w:t>Gestión administrativa por medio del portafolio de proyectos estratégicos:</w:t>
      </w:r>
      <w:r w:rsidRPr="000B4845">
        <w:rPr>
          <w:rFonts w:ascii="Arial Narrow" w:eastAsia="Calibri" w:hAnsi="Arial Narrow"/>
          <w:lang w:eastAsia="en-US"/>
        </w:rPr>
        <w:t xml:space="preserve"> Fortalecer la administración del portafolio de proyectos en la gestión del Poder Judicial, que contribuya en el cumplimiento de los compromisos establecidos en el plan estratégico institucional.</w:t>
      </w:r>
    </w:p>
    <w:p w14:paraId="3D74BC9E" w14:textId="77777777" w:rsidR="008E6926" w:rsidRDefault="008E6926" w:rsidP="008E6926">
      <w:pPr>
        <w:pStyle w:val="Prrafodelista"/>
        <w:spacing w:line="360" w:lineRule="auto"/>
        <w:ind w:left="720"/>
        <w:jc w:val="both"/>
        <w:rPr>
          <w:rFonts w:ascii="Arial Narrow" w:eastAsia="Calibri" w:hAnsi="Arial Narrow"/>
          <w:lang w:eastAsia="en-US"/>
        </w:rPr>
      </w:pPr>
    </w:p>
    <w:p w14:paraId="15548E4B" w14:textId="77777777" w:rsidR="008E6926" w:rsidRDefault="008E6926" w:rsidP="008254FA">
      <w:pPr>
        <w:spacing w:line="360" w:lineRule="auto"/>
        <w:jc w:val="both"/>
        <w:rPr>
          <w:rFonts w:ascii="Arial Narrow" w:eastAsia="Calibri" w:hAnsi="Arial Narrow"/>
          <w:lang w:eastAsia="en-US"/>
        </w:rPr>
      </w:pPr>
    </w:p>
    <w:p w14:paraId="7B3B5D6B" w14:textId="77777777" w:rsidR="008E6926" w:rsidRDefault="008E6926" w:rsidP="008254FA">
      <w:pPr>
        <w:spacing w:line="360" w:lineRule="auto"/>
        <w:jc w:val="both"/>
        <w:rPr>
          <w:rFonts w:ascii="Arial Narrow" w:eastAsia="Calibri" w:hAnsi="Arial Narrow"/>
          <w:lang w:eastAsia="en-US"/>
        </w:rPr>
      </w:pPr>
    </w:p>
    <w:p w14:paraId="070D5080" w14:textId="7D7E8EDB" w:rsidR="008254FA" w:rsidRPr="008254FA" w:rsidRDefault="008254FA" w:rsidP="008254FA">
      <w:pPr>
        <w:spacing w:line="360" w:lineRule="auto"/>
        <w:jc w:val="both"/>
        <w:rPr>
          <w:rFonts w:ascii="Arial Narrow" w:eastAsia="Calibri" w:hAnsi="Arial Narrow"/>
          <w:lang w:eastAsia="en-US"/>
        </w:rPr>
      </w:pPr>
      <w:r w:rsidRPr="008254FA">
        <w:rPr>
          <w:rFonts w:ascii="Arial Narrow" w:eastAsia="Calibri" w:hAnsi="Arial Narrow"/>
          <w:lang w:eastAsia="en-US"/>
        </w:rPr>
        <w:t>Se presenta el análisis de metas estratégicas agrupadas por la acción estratégica a la que pertenecen:</w:t>
      </w:r>
    </w:p>
    <w:p w14:paraId="4D81CD9A" w14:textId="2DFB354A" w:rsidR="00683968" w:rsidRPr="00704B08" w:rsidRDefault="009547D6" w:rsidP="005E067A">
      <w:pPr>
        <w:pStyle w:val="Ttulo4"/>
        <w:numPr>
          <w:ilvl w:val="0"/>
          <w:numId w:val="64"/>
        </w:numPr>
        <w:rPr>
          <w:rFonts w:ascii="Arial Narrow" w:eastAsia="Calibri" w:hAnsi="Arial Narrow"/>
        </w:rPr>
      </w:pPr>
      <w:r>
        <w:rPr>
          <w:rFonts w:ascii="Arial Narrow" w:eastAsia="Calibri" w:hAnsi="Arial Narrow"/>
        </w:rPr>
        <w:t xml:space="preserve">5.5.1. </w:t>
      </w:r>
      <w:r w:rsidR="00683968" w:rsidRPr="00704B08">
        <w:rPr>
          <w:rFonts w:ascii="Arial Narrow" w:eastAsia="Calibri" w:hAnsi="Arial Narrow"/>
        </w:rPr>
        <w:t xml:space="preserve">Gestión </w:t>
      </w:r>
      <w:r w:rsidR="00683968" w:rsidRPr="00704B08">
        <w:rPr>
          <w:rFonts w:ascii="Arial Narrow" w:eastAsia="Calibri" w:hAnsi="Arial Narrow"/>
          <w:lang w:val="es-CR"/>
        </w:rPr>
        <w:t>estratégica institucional</w:t>
      </w:r>
    </w:p>
    <w:p w14:paraId="5240A061" w14:textId="77777777" w:rsidR="007F2B44" w:rsidRDefault="007F2B44" w:rsidP="00683968">
      <w:pPr>
        <w:spacing w:line="360" w:lineRule="auto"/>
        <w:jc w:val="both"/>
        <w:rPr>
          <w:rFonts w:ascii="Arial Narrow" w:eastAsia="Calibri" w:hAnsi="Arial Narrow"/>
        </w:rPr>
      </w:pPr>
    </w:p>
    <w:p w14:paraId="7470C9A6" w14:textId="77777777" w:rsidR="009D5823" w:rsidRDefault="00E97B68" w:rsidP="00356026">
      <w:pPr>
        <w:spacing w:line="360" w:lineRule="auto"/>
        <w:jc w:val="both"/>
        <w:rPr>
          <w:rFonts w:ascii="Arial Narrow" w:eastAsia="Calibri" w:hAnsi="Arial Narrow"/>
        </w:rPr>
        <w:sectPr w:rsidR="009D5823" w:rsidSect="009D5823">
          <w:pgSz w:w="12242" w:h="15842" w:code="1"/>
          <w:pgMar w:top="1701" w:right="1417" w:bottom="1701" w:left="1417" w:header="709" w:footer="709" w:gutter="0"/>
          <w:cols w:space="708"/>
          <w:docGrid w:linePitch="360"/>
        </w:sectPr>
      </w:pPr>
      <w:r w:rsidRPr="00A618D8">
        <w:rPr>
          <w:rFonts w:ascii="Arial Narrow" w:eastAsia="Calibri" w:hAnsi="Arial Narrow"/>
          <w:lang w:val="es-CR" w:eastAsia="en-US"/>
        </w:rPr>
        <w:t xml:space="preserve">Se observan </w:t>
      </w:r>
      <w:r w:rsidR="008B4E6D">
        <w:rPr>
          <w:rFonts w:ascii="Arial Narrow" w:eastAsia="Calibri" w:hAnsi="Arial Narrow"/>
          <w:lang w:val="es-CR" w:eastAsia="en-US"/>
        </w:rPr>
        <w:t>7</w:t>
      </w:r>
      <w:r w:rsidRPr="00A618D8">
        <w:rPr>
          <w:rFonts w:ascii="Arial Narrow" w:eastAsia="Calibri" w:hAnsi="Arial Narrow"/>
          <w:lang w:val="es-CR" w:eastAsia="en-US"/>
        </w:rPr>
        <w:t xml:space="preserve"> metas estratégicas las cuales </w:t>
      </w:r>
      <w:r w:rsidR="008B4E6D">
        <w:rPr>
          <w:rFonts w:ascii="Arial Narrow" w:eastAsia="Calibri" w:hAnsi="Arial Narrow"/>
          <w:lang w:val="es-CR" w:eastAsia="en-US"/>
        </w:rPr>
        <w:t>6</w:t>
      </w:r>
      <w:r>
        <w:rPr>
          <w:rFonts w:ascii="Arial Narrow" w:eastAsia="Calibri" w:hAnsi="Arial Narrow"/>
          <w:lang w:val="es-CR" w:eastAsia="en-US"/>
        </w:rPr>
        <w:t xml:space="preserve"> </w:t>
      </w:r>
      <w:r w:rsidRPr="00A618D8">
        <w:rPr>
          <w:rFonts w:ascii="Arial Narrow" w:eastAsia="Calibri" w:hAnsi="Arial Narrow"/>
          <w:lang w:val="es-CR" w:eastAsia="en-US"/>
        </w:rPr>
        <w:t xml:space="preserve">reflejan una ejecución total en su </w:t>
      </w:r>
      <w:r w:rsidR="009922B8" w:rsidRPr="00A618D8">
        <w:rPr>
          <w:rFonts w:ascii="Arial Narrow" w:eastAsia="Calibri" w:hAnsi="Arial Narrow"/>
          <w:lang w:val="es-CR" w:eastAsia="en-US"/>
        </w:rPr>
        <w:t>cumplimiento</w:t>
      </w:r>
      <w:r w:rsidR="009922B8">
        <w:rPr>
          <w:rFonts w:ascii="Arial Narrow" w:eastAsia="Calibri" w:hAnsi="Arial Narrow"/>
          <w:lang w:val="es-CR" w:eastAsia="en-US"/>
        </w:rPr>
        <w:t xml:space="preserve"> y 1 meta estratégica con un cumplimiento parcial</w:t>
      </w:r>
      <w:r w:rsidR="009922B8" w:rsidRPr="00A618D8">
        <w:rPr>
          <w:rFonts w:ascii="Arial Narrow" w:eastAsia="Calibri" w:hAnsi="Arial Narrow"/>
          <w:lang w:val="es-CR" w:eastAsia="en-US"/>
        </w:rPr>
        <w:t>.</w:t>
      </w:r>
      <w:r w:rsidR="009922B8" w:rsidRPr="00A618D8">
        <w:rPr>
          <w:rFonts w:ascii="Arial Narrow" w:eastAsia="Calibri" w:hAnsi="Arial Narrow"/>
        </w:rPr>
        <w:t xml:space="preserve"> Se</w:t>
      </w:r>
      <w:r w:rsidRPr="00A618D8">
        <w:rPr>
          <w:rFonts w:ascii="Arial Narrow" w:eastAsia="Calibri" w:hAnsi="Arial Narrow"/>
        </w:rPr>
        <w:t xml:space="preserve"> muestran a continuación el detalle de las metas estratégicas y su cumplimiento para el 2019 y 2020</w:t>
      </w:r>
      <w:r>
        <w:rPr>
          <w:rFonts w:ascii="Arial Narrow" w:eastAsia="Calibri" w:hAnsi="Arial Narrow"/>
        </w:rPr>
        <w:t xml:space="preserve">: </w:t>
      </w:r>
    </w:p>
    <w:p w14:paraId="1DB9F9AA" w14:textId="316E6DA3" w:rsidR="00E97B68" w:rsidRDefault="00E97B68" w:rsidP="00E97B68">
      <w:pPr>
        <w:spacing w:line="360" w:lineRule="auto"/>
        <w:rPr>
          <w:rFonts w:ascii="Arial Narrow" w:eastAsia="Calibri" w:hAnsi="Arial Narrow"/>
        </w:rPr>
      </w:pPr>
    </w:p>
    <w:p w14:paraId="07B229A2" w14:textId="77777777" w:rsidR="00E97B68" w:rsidRDefault="00E97B68" w:rsidP="00E97B68">
      <w:pPr>
        <w:spacing w:line="360" w:lineRule="auto"/>
        <w:rPr>
          <w:rFonts w:ascii="Arial Narrow" w:eastAsia="Calibri" w:hAnsi="Arial Narrow"/>
        </w:rPr>
      </w:pPr>
    </w:p>
    <w:p w14:paraId="4F803B17" w14:textId="20CF33B1" w:rsidR="00211B03" w:rsidRDefault="00317FC1" w:rsidP="00484CC1">
      <w:pPr>
        <w:pStyle w:val="Descripcin"/>
        <w:jc w:val="center"/>
        <w:rPr>
          <w:rFonts w:ascii="Arial Narrow" w:eastAsia="Calibri" w:hAnsi="Arial Narrow"/>
          <w:sz w:val="24"/>
          <w:szCs w:val="24"/>
        </w:rPr>
      </w:pPr>
      <w:bookmarkStart w:id="133" w:name="_Toc76062303"/>
      <w:r w:rsidRPr="00484CC1">
        <w:rPr>
          <w:rFonts w:ascii="Arial Narrow" w:hAnsi="Arial Narrow"/>
          <w:sz w:val="24"/>
          <w:szCs w:val="24"/>
        </w:rPr>
        <w:t>Cuadro</w:t>
      </w:r>
      <w:r w:rsidR="008E6926">
        <w:rPr>
          <w:rFonts w:ascii="Arial Narrow" w:hAnsi="Arial Narrow"/>
          <w:sz w:val="24"/>
          <w:szCs w:val="24"/>
        </w:rPr>
        <w:t xml:space="preserve"> </w:t>
      </w:r>
      <w:r w:rsidRPr="00484CC1">
        <w:rPr>
          <w:rFonts w:ascii="Arial Narrow" w:hAnsi="Arial Narrow"/>
          <w:sz w:val="24"/>
          <w:szCs w:val="24"/>
        </w:rPr>
        <w:fldChar w:fldCharType="begin"/>
      </w:r>
      <w:r w:rsidRPr="00484CC1">
        <w:rPr>
          <w:rFonts w:ascii="Arial Narrow" w:hAnsi="Arial Narrow"/>
          <w:sz w:val="24"/>
          <w:szCs w:val="24"/>
        </w:rPr>
        <w:instrText xml:space="preserve"> SEQ Cuadro_No. \* ARABIC </w:instrText>
      </w:r>
      <w:r w:rsidRPr="00484CC1">
        <w:rPr>
          <w:rFonts w:ascii="Arial Narrow" w:hAnsi="Arial Narrow"/>
          <w:sz w:val="24"/>
          <w:szCs w:val="24"/>
        </w:rPr>
        <w:fldChar w:fldCharType="separate"/>
      </w:r>
      <w:r w:rsidR="009D5823">
        <w:rPr>
          <w:rFonts w:ascii="Arial Narrow" w:hAnsi="Arial Narrow"/>
          <w:noProof/>
          <w:sz w:val="24"/>
          <w:szCs w:val="24"/>
        </w:rPr>
        <w:t>80</w:t>
      </w:r>
      <w:r w:rsidRPr="00484CC1">
        <w:rPr>
          <w:rFonts w:ascii="Arial Narrow" w:hAnsi="Arial Narrow"/>
          <w:sz w:val="24"/>
          <w:szCs w:val="24"/>
        </w:rPr>
        <w:fldChar w:fldCharType="end"/>
      </w:r>
      <w:r w:rsidRPr="00484CC1">
        <w:rPr>
          <w:rFonts w:ascii="Arial Narrow" w:hAnsi="Arial Narrow"/>
          <w:sz w:val="24"/>
          <w:szCs w:val="24"/>
        </w:rPr>
        <w:t xml:space="preserve"> </w:t>
      </w:r>
      <w:r w:rsidR="00211B03" w:rsidRPr="00317FC1">
        <w:rPr>
          <w:rFonts w:ascii="Arial Narrow" w:eastAsia="Calibri" w:hAnsi="Arial Narrow"/>
          <w:sz w:val="24"/>
          <w:szCs w:val="24"/>
        </w:rPr>
        <w:t xml:space="preserve">Metas estratégicas de </w:t>
      </w:r>
      <w:r w:rsidRPr="00317FC1">
        <w:rPr>
          <w:rFonts w:ascii="Arial Narrow" w:eastAsia="Calibri" w:hAnsi="Arial Narrow"/>
          <w:sz w:val="24"/>
          <w:szCs w:val="24"/>
        </w:rPr>
        <w:t>Gestión estratégica institucional</w:t>
      </w:r>
      <w:r w:rsidR="00211B03" w:rsidRPr="00317FC1">
        <w:rPr>
          <w:rFonts w:ascii="Arial Narrow" w:eastAsia="Calibri" w:hAnsi="Arial Narrow"/>
          <w:sz w:val="24"/>
          <w:szCs w:val="24"/>
        </w:rPr>
        <w:t>, y su cumplimiento para el 2019</w:t>
      </w:r>
      <w:r w:rsidR="00711654">
        <w:rPr>
          <w:rFonts w:ascii="Arial Narrow" w:eastAsia="Calibri" w:hAnsi="Arial Narrow"/>
          <w:sz w:val="24"/>
          <w:szCs w:val="24"/>
        </w:rPr>
        <w:t xml:space="preserve"> y 2020.</w:t>
      </w:r>
      <w:bookmarkEnd w:id="133"/>
    </w:p>
    <w:p w14:paraId="7BAB8A69" w14:textId="771A44E2" w:rsidR="00110EB0" w:rsidRDefault="00A01AA6" w:rsidP="00704B08">
      <w:pPr>
        <w:tabs>
          <w:tab w:val="left" w:pos="3570"/>
        </w:tabs>
        <w:rPr>
          <w:rFonts w:eastAsia="Calibri"/>
        </w:rPr>
      </w:pPr>
      <w:r>
        <w:rPr>
          <w:rFonts w:eastAsia="Calibri"/>
        </w:rPr>
        <w:tab/>
      </w:r>
    </w:p>
    <w:p w14:paraId="3515A00A" w14:textId="063640AE" w:rsidR="00664484" w:rsidRDefault="009922B8" w:rsidP="00704B08">
      <w:pPr>
        <w:spacing w:line="360" w:lineRule="auto"/>
        <w:jc w:val="center"/>
        <w:rPr>
          <w:rFonts w:ascii="Arial Narrow" w:eastAsia="Calibri" w:hAnsi="Arial Narrow"/>
          <w:b/>
          <w:bCs/>
        </w:rPr>
      </w:pPr>
      <w:r>
        <w:rPr>
          <w:noProof/>
          <w:lang w:val="es-CR" w:eastAsia="es-CR"/>
        </w:rPr>
        <w:drawing>
          <wp:inline distT="0" distB="0" distL="0" distR="0" wp14:anchorId="6A5C0197" wp14:editId="38B2AAD1">
            <wp:extent cx="7160226" cy="2737029"/>
            <wp:effectExtent l="19050" t="19050" r="22225" b="25400"/>
            <wp:docPr id="184" name="Imagen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7173084" cy="2741944"/>
                    </a:xfrm>
                    <a:prstGeom prst="rect">
                      <a:avLst/>
                    </a:prstGeom>
                    <a:ln>
                      <a:solidFill>
                        <a:schemeClr val="accent1"/>
                      </a:solidFill>
                    </a:ln>
                  </pic:spPr>
                </pic:pic>
              </a:graphicData>
            </a:graphic>
          </wp:inline>
        </w:drawing>
      </w:r>
    </w:p>
    <w:p w14:paraId="3A69018A" w14:textId="4B8051AD" w:rsidR="006F4058" w:rsidRPr="00704B08" w:rsidRDefault="009922B8" w:rsidP="00704B08">
      <w:pPr>
        <w:spacing w:line="360" w:lineRule="auto"/>
        <w:ind w:firstLine="708"/>
        <w:jc w:val="both"/>
        <w:rPr>
          <w:rFonts w:ascii="Arial Narrow" w:eastAsia="Calibri" w:hAnsi="Arial Narrow"/>
          <w:b/>
          <w:bCs/>
        </w:rPr>
      </w:pPr>
      <w:r w:rsidRPr="000B4845">
        <w:rPr>
          <w:rFonts w:ascii="Arial Narrow" w:eastAsia="Calibri" w:hAnsi="Arial Narrow"/>
          <w:sz w:val="18"/>
          <w:szCs w:val="18"/>
          <w:lang w:eastAsia="en-US"/>
        </w:rPr>
        <w:t>Fuente: Sistema PEI al 24 de enero del 2020 (año 2019)</w:t>
      </w:r>
      <w:r>
        <w:rPr>
          <w:rFonts w:ascii="Arial Narrow" w:eastAsia="Calibri" w:hAnsi="Arial Narrow"/>
          <w:sz w:val="18"/>
          <w:szCs w:val="18"/>
          <w:lang w:eastAsia="en-US"/>
        </w:rPr>
        <w:t xml:space="preserve"> y 04 de marzo del 2021 (año 2020).</w:t>
      </w:r>
    </w:p>
    <w:p w14:paraId="2E1662A0" w14:textId="77777777" w:rsidR="009922B8" w:rsidRDefault="009922B8" w:rsidP="00664484">
      <w:pPr>
        <w:spacing w:line="360" w:lineRule="auto"/>
        <w:jc w:val="both"/>
        <w:rPr>
          <w:rFonts w:ascii="Arial Narrow" w:hAnsi="Arial Narrow" w:cs="Arial"/>
          <w:b/>
          <w:bCs/>
          <w:color w:val="000000"/>
          <w:lang w:val="es-CR" w:eastAsia="es-CR"/>
        </w:rPr>
      </w:pPr>
    </w:p>
    <w:p w14:paraId="2C19E8D0" w14:textId="77777777" w:rsidR="009D5823" w:rsidRDefault="009D5823" w:rsidP="00664484">
      <w:pPr>
        <w:spacing w:line="360" w:lineRule="auto"/>
        <w:jc w:val="both"/>
        <w:rPr>
          <w:rFonts w:ascii="Arial Narrow" w:hAnsi="Arial Narrow" w:cs="Arial"/>
          <w:b/>
          <w:bCs/>
          <w:color w:val="000000"/>
          <w:lang w:val="es-CR" w:eastAsia="es-CR"/>
        </w:rPr>
        <w:sectPr w:rsidR="009D5823" w:rsidSect="009D5823">
          <w:pgSz w:w="15842" w:h="12242" w:orient="landscape" w:code="1"/>
          <w:pgMar w:top="1417" w:right="1701" w:bottom="1417" w:left="1701" w:header="709" w:footer="709" w:gutter="0"/>
          <w:cols w:space="708"/>
          <w:docGrid w:linePitch="360"/>
        </w:sectPr>
      </w:pPr>
    </w:p>
    <w:p w14:paraId="000B7D0B" w14:textId="77777777" w:rsidR="009922B8" w:rsidRDefault="009922B8" w:rsidP="00664484">
      <w:pPr>
        <w:spacing w:line="360" w:lineRule="auto"/>
        <w:jc w:val="both"/>
        <w:rPr>
          <w:rFonts w:ascii="Arial Narrow" w:hAnsi="Arial Narrow" w:cs="Arial"/>
          <w:b/>
          <w:bCs/>
          <w:color w:val="000000"/>
          <w:lang w:val="es-CR" w:eastAsia="es-CR"/>
        </w:rPr>
      </w:pPr>
    </w:p>
    <w:p w14:paraId="302E458E" w14:textId="0CBF410E" w:rsidR="008310EB" w:rsidRPr="00704B08" w:rsidRDefault="000C0EC5" w:rsidP="008310EB">
      <w:pPr>
        <w:spacing w:line="360" w:lineRule="auto"/>
        <w:jc w:val="both"/>
        <w:rPr>
          <w:rFonts w:ascii="Arial Narrow" w:hAnsi="Arial Narrow" w:cs="Arial"/>
          <w:b/>
          <w:bCs/>
          <w:color w:val="000000"/>
          <w:lang w:val="es-CR" w:eastAsia="es-CR"/>
        </w:rPr>
      </w:pPr>
      <w:r>
        <w:rPr>
          <w:rFonts w:ascii="Arial Narrow" w:hAnsi="Arial Narrow" w:cs="Calibri"/>
          <w:color w:val="000000"/>
          <w:lang w:val="es-CR" w:eastAsia="es-CR"/>
        </w:rPr>
        <w:t>La</w:t>
      </w:r>
      <w:r w:rsidRPr="002E0B96">
        <w:rPr>
          <w:rFonts w:ascii="Arial Narrow" w:hAnsi="Arial Narrow" w:cs="Calibri"/>
          <w:color w:val="000000"/>
          <w:lang w:val="es-CR" w:eastAsia="es-CR"/>
        </w:rPr>
        <w:t xml:space="preserve"> meta estratégica</w:t>
      </w:r>
      <w:r>
        <w:rPr>
          <w:rFonts w:ascii="Arial Narrow" w:hAnsi="Arial Narrow" w:cs="Calibri"/>
          <w:color w:val="000000"/>
          <w:lang w:val="es-CR" w:eastAsia="es-CR"/>
        </w:rPr>
        <w:t xml:space="preserve"> “</w:t>
      </w:r>
      <w:r w:rsidR="00664484" w:rsidRPr="00704B08">
        <w:rPr>
          <w:rFonts w:ascii="Arial Narrow" w:hAnsi="Arial Narrow" w:cs="Arial"/>
          <w:b/>
          <w:bCs/>
          <w:i/>
          <w:iCs/>
          <w:color w:val="000000"/>
          <w:lang w:val="es-CR" w:eastAsia="es-CR"/>
        </w:rPr>
        <w:t>Que al finalizar el 2024, se haya implementado un modelo de gestión por procesos institucional, considerando la parte documental y normativa asociada al tema</w:t>
      </w:r>
      <w:r>
        <w:rPr>
          <w:rFonts w:ascii="Arial Narrow" w:hAnsi="Arial Narrow" w:cs="Arial"/>
          <w:b/>
          <w:bCs/>
          <w:color w:val="000000"/>
          <w:lang w:val="es-CR" w:eastAsia="es-CR"/>
        </w:rPr>
        <w:t>”</w:t>
      </w:r>
      <w:r w:rsidR="00356026">
        <w:rPr>
          <w:rFonts w:ascii="Arial Narrow" w:hAnsi="Arial Narrow" w:cs="Arial"/>
          <w:b/>
          <w:bCs/>
          <w:color w:val="000000"/>
          <w:lang w:val="es-CR" w:eastAsia="es-CR"/>
        </w:rPr>
        <w:t>,</w:t>
      </w:r>
      <w:r w:rsidR="009922B8">
        <w:rPr>
          <w:rFonts w:ascii="Arial Narrow" w:hAnsi="Arial Narrow" w:cs="Arial"/>
          <w:b/>
          <w:bCs/>
          <w:color w:val="000000"/>
          <w:lang w:val="es-CR" w:eastAsia="es-CR"/>
        </w:rPr>
        <w:t xml:space="preserve"> </w:t>
      </w:r>
      <w:r>
        <w:rPr>
          <w:rFonts w:ascii="Arial Narrow" w:hAnsi="Arial Narrow" w:cs="Arial"/>
          <w:color w:val="000000"/>
          <w:lang w:val="es-CR" w:eastAsia="es-CR"/>
        </w:rPr>
        <w:t>p</w:t>
      </w:r>
      <w:r w:rsidR="009922B8" w:rsidRPr="00704B08">
        <w:rPr>
          <w:rFonts w:ascii="Arial Narrow" w:hAnsi="Arial Narrow" w:cs="Arial"/>
          <w:color w:val="000000"/>
          <w:lang w:val="es-CR" w:eastAsia="es-CR"/>
        </w:rPr>
        <w:t>ara el año 2019 se tiene l</w:t>
      </w:r>
      <w:r w:rsidR="00C14B3D" w:rsidRPr="00704B08">
        <w:rPr>
          <w:rFonts w:ascii="Arial Narrow" w:hAnsi="Arial Narrow" w:cs="Calibri"/>
          <w:lang w:val="es-CR" w:eastAsia="es-CR"/>
        </w:rPr>
        <w:t>a propuesta del proyecto que es el indicador de cumplimiento de esta meta se atendió con el estudio de factibilidad que se elaboró para dicho proyecto de Normalización de Procesos.</w:t>
      </w:r>
      <w:r w:rsidR="00356026">
        <w:rPr>
          <w:rFonts w:ascii="Arial Narrow" w:hAnsi="Arial Narrow" w:cs="Calibri"/>
          <w:lang w:val="es-CR" w:eastAsia="es-CR"/>
        </w:rPr>
        <w:t xml:space="preserve"> </w:t>
      </w:r>
      <w:r w:rsidR="008310EB" w:rsidRPr="00704B08">
        <w:rPr>
          <w:rFonts w:ascii="Arial Narrow" w:hAnsi="Arial Narrow"/>
        </w:rPr>
        <w:t xml:space="preserve">Posteriormente, </w:t>
      </w:r>
      <w:r w:rsidR="008310EB">
        <w:rPr>
          <w:rFonts w:ascii="Arial Narrow" w:hAnsi="Arial Narrow"/>
        </w:rPr>
        <w:t xml:space="preserve">para el año 2020 </w:t>
      </w:r>
      <w:r w:rsidR="008310EB" w:rsidRPr="00704B08">
        <w:rPr>
          <w:rFonts w:ascii="Arial Narrow" w:hAnsi="Arial Narrow"/>
        </w:rPr>
        <w:t>s</w:t>
      </w:r>
      <w:r w:rsidR="00ED7602" w:rsidRPr="00704B08">
        <w:rPr>
          <w:rFonts w:ascii="Arial Narrow" w:hAnsi="Arial Narrow"/>
        </w:rPr>
        <w:t>e tuvo que ajustar la meta de acuerdo con los recursos disponibles, tomando en consideración las limitaciones respecto a tiempo, debido a la atención de temas prioritarios por el tema COVID-19, lo que incrementó la carga de trabajo. Asimismo, se trató de ajustar la meta a un producto que permita un cambio de impacto en la institución y en un menor tiempo.</w:t>
      </w:r>
      <w:r w:rsidR="008310EB" w:rsidRPr="00704B08">
        <w:rPr>
          <w:rFonts w:ascii="Arial Narrow" w:hAnsi="Arial Narrow"/>
        </w:rPr>
        <w:t xml:space="preserve"> </w:t>
      </w:r>
    </w:p>
    <w:p w14:paraId="63CF292F" w14:textId="77777777" w:rsidR="009922B8" w:rsidRDefault="009922B8">
      <w:pPr>
        <w:spacing w:line="360" w:lineRule="auto"/>
        <w:jc w:val="both"/>
        <w:rPr>
          <w:rFonts w:ascii="Arial Narrow" w:hAnsi="Arial Narrow"/>
        </w:rPr>
      </w:pPr>
    </w:p>
    <w:p w14:paraId="03EAE406" w14:textId="169B6DC7" w:rsidR="00ED7602" w:rsidRPr="00704B08" w:rsidRDefault="008310EB" w:rsidP="00704B08">
      <w:pPr>
        <w:spacing w:line="360" w:lineRule="auto"/>
        <w:jc w:val="both"/>
        <w:rPr>
          <w:rFonts w:ascii="Arial Narrow" w:hAnsi="Arial Narrow" w:cs="Calibri"/>
          <w:lang w:val="es-CR" w:eastAsia="es-CR"/>
        </w:rPr>
      </w:pPr>
      <w:r>
        <w:rPr>
          <w:rFonts w:ascii="Arial Narrow" w:hAnsi="Arial Narrow"/>
        </w:rPr>
        <w:t>Cabe resaltar que</w:t>
      </w:r>
      <w:r w:rsidR="00ED7602" w:rsidRPr="00704B08">
        <w:rPr>
          <w:rFonts w:ascii="Arial Narrow" w:hAnsi="Arial Narrow"/>
        </w:rPr>
        <w:t xml:space="preserve"> a diciembre de 2020 se cumple con la meta, ya que se confecciona el documento preliminar de la metodología de autogestión, no obstante, por las características del proyecto, las cuales </w:t>
      </w:r>
      <w:r>
        <w:rPr>
          <w:rFonts w:ascii="Arial Narrow" w:hAnsi="Arial Narrow"/>
        </w:rPr>
        <w:t>fueron</w:t>
      </w:r>
      <w:r w:rsidR="00ED7602" w:rsidRPr="00704B08">
        <w:rPr>
          <w:rFonts w:ascii="Arial Narrow" w:hAnsi="Arial Narrow"/>
        </w:rPr>
        <w:t xml:space="preserve"> variando en el transcurso del año, así como lo que se pretende plasmar en dicha metodología, se considera que el documento se seguirá afinando </w:t>
      </w:r>
      <w:r>
        <w:rPr>
          <w:rFonts w:ascii="Arial Narrow" w:hAnsi="Arial Narrow"/>
        </w:rPr>
        <w:t xml:space="preserve">en </w:t>
      </w:r>
      <w:r w:rsidR="00ED7602" w:rsidRPr="00704B08">
        <w:rPr>
          <w:rFonts w:ascii="Arial Narrow" w:hAnsi="Arial Narrow"/>
        </w:rPr>
        <w:t>el 2021 con las consultas que se realicen; lo anterior con la finalidad de obtener los resultados esperados.</w:t>
      </w:r>
    </w:p>
    <w:p w14:paraId="3D5B4334" w14:textId="40A0DF2A" w:rsidR="00ED7602" w:rsidRDefault="00ED7602" w:rsidP="00C14B3D">
      <w:pPr>
        <w:jc w:val="both"/>
        <w:rPr>
          <w:rFonts w:cs="Calibri"/>
          <w:sz w:val="18"/>
          <w:szCs w:val="18"/>
          <w:lang w:val="es-CR" w:eastAsia="es-CR"/>
        </w:rPr>
      </w:pPr>
    </w:p>
    <w:p w14:paraId="769E2CAA" w14:textId="77777777" w:rsidR="00ED7602" w:rsidRPr="00C14B3D" w:rsidRDefault="00ED7602" w:rsidP="00C14B3D">
      <w:pPr>
        <w:jc w:val="both"/>
        <w:rPr>
          <w:rFonts w:cs="Calibri"/>
          <w:sz w:val="18"/>
          <w:szCs w:val="18"/>
          <w:lang w:val="es-CR" w:eastAsia="es-CR"/>
        </w:rPr>
      </w:pPr>
    </w:p>
    <w:p w14:paraId="55FE562B" w14:textId="202F7F85" w:rsidR="00B14447" w:rsidRPr="005B6EF8" w:rsidRDefault="000C0EC5">
      <w:pPr>
        <w:spacing w:line="360" w:lineRule="auto"/>
        <w:jc w:val="both"/>
        <w:rPr>
          <w:rFonts w:ascii="Arial Narrow" w:eastAsia="Calibri" w:hAnsi="Arial Narrow"/>
        </w:rPr>
      </w:pPr>
      <w:r>
        <w:rPr>
          <w:rFonts w:ascii="Arial Narrow" w:hAnsi="Arial Narrow" w:cs="Calibri"/>
          <w:color w:val="000000"/>
          <w:lang w:val="es-CR" w:eastAsia="es-CR"/>
        </w:rPr>
        <w:t>Por su parte, la</w:t>
      </w:r>
      <w:r w:rsidRPr="002E0B96">
        <w:rPr>
          <w:rFonts w:ascii="Arial Narrow" w:hAnsi="Arial Narrow" w:cs="Calibri"/>
          <w:color w:val="000000"/>
          <w:lang w:val="es-CR" w:eastAsia="es-CR"/>
        </w:rPr>
        <w:t xml:space="preserve"> meta estratégica</w:t>
      </w:r>
      <w:r>
        <w:rPr>
          <w:rFonts w:ascii="Arial Narrow" w:hAnsi="Arial Narrow" w:cs="Calibri"/>
          <w:color w:val="000000"/>
          <w:lang w:val="es-CR" w:eastAsia="es-CR"/>
        </w:rPr>
        <w:t xml:space="preserve"> “</w:t>
      </w:r>
      <w:r w:rsidR="00E36969" w:rsidRPr="00704B08">
        <w:rPr>
          <w:rFonts w:ascii="Arial Narrow" w:hAnsi="Arial Narrow" w:cs="Arial"/>
          <w:b/>
          <w:bCs/>
          <w:i/>
          <w:iCs/>
          <w:color w:val="000000"/>
          <w:lang w:val="es-CR" w:eastAsia="es-CR"/>
        </w:rPr>
        <w:t>Que al finalizar el 2024, la Dirección de Planificación haya realizado los estudios de impacto de ley, que contienen datos presupuestarios y de estructura organizacional del Poder Judicial; que le hayan sido puestos en consulta</w:t>
      </w:r>
      <w:r>
        <w:rPr>
          <w:rFonts w:ascii="Arial Narrow" w:hAnsi="Arial Narrow" w:cs="Arial"/>
          <w:b/>
          <w:bCs/>
          <w:color w:val="000000"/>
          <w:lang w:val="es-CR" w:eastAsia="es-CR"/>
        </w:rPr>
        <w:t>”</w:t>
      </w:r>
      <w:r w:rsidR="00356026">
        <w:rPr>
          <w:rFonts w:ascii="Arial Narrow" w:hAnsi="Arial Narrow" w:cs="Arial"/>
          <w:b/>
          <w:bCs/>
          <w:color w:val="000000"/>
          <w:lang w:val="es-CR" w:eastAsia="es-CR"/>
        </w:rPr>
        <w:t>,</w:t>
      </w:r>
      <w:r w:rsidR="00FE74C7">
        <w:rPr>
          <w:rFonts w:ascii="Arial Narrow" w:hAnsi="Arial Narrow" w:cs="Arial"/>
          <w:b/>
          <w:bCs/>
          <w:color w:val="000000"/>
          <w:lang w:val="es-CR" w:eastAsia="es-CR"/>
        </w:rPr>
        <w:t xml:space="preserve"> </w:t>
      </w:r>
      <w:r>
        <w:rPr>
          <w:rFonts w:ascii="Arial Narrow" w:eastAsia="Calibri" w:hAnsi="Arial Narrow"/>
        </w:rPr>
        <w:t>a</w:t>
      </w:r>
      <w:r w:rsidR="005B6EF8">
        <w:rPr>
          <w:rFonts w:ascii="Arial Narrow" w:eastAsia="Calibri" w:hAnsi="Arial Narrow"/>
        </w:rPr>
        <w:t xml:space="preserve">cerca de esta meta estratégica se tiene que </w:t>
      </w:r>
      <w:r w:rsidR="00B14447" w:rsidRPr="00704B08">
        <w:rPr>
          <w:rFonts w:ascii="Arial Narrow" w:eastAsia="Calibri" w:hAnsi="Arial Narrow"/>
        </w:rPr>
        <w:t xml:space="preserve">cada año, como parte del proceso de formulación presupuestaria se efectúan los informes correspondientes y se ponen en conocimiento para su análisis y aprobación al Consejo Superior. </w:t>
      </w:r>
      <w:r w:rsidR="00B14447" w:rsidRPr="005B6EF8">
        <w:rPr>
          <w:rFonts w:ascii="Arial Narrow" w:eastAsia="Calibri" w:hAnsi="Arial Narrow"/>
        </w:rPr>
        <w:t>Luego Corte Plena, analiza su contenido y recomendaciones como parte del proceso de aprobación del proyecto de presupuesto que se remite al Ministerio de Hacienda.</w:t>
      </w:r>
    </w:p>
    <w:p w14:paraId="43835941" w14:textId="12786A4E" w:rsidR="00B14447" w:rsidRDefault="00B14447">
      <w:pPr>
        <w:spacing w:line="360" w:lineRule="auto"/>
        <w:jc w:val="both"/>
        <w:rPr>
          <w:rFonts w:ascii="Arial Narrow" w:eastAsia="Calibri" w:hAnsi="Arial Narrow"/>
        </w:rPr>
      </w:pPr>
      <w:r w:rsidRPr="005459D4">
        <w:rPr>
          <w:rFonts w:ascii="Arial Narrow" w:eastAsia="Calibri" w:hAnsi="Arial Narrow"/>
        </w:rPr>
        <w:t>.</w:t>
      </w:r>
    </w:p>
    <w:p w14:paraId="3BBA0824" w14:textId="77777777" w:rsidR="009D5823" w:rsidRDefault="009D5823" w:rsidP="00664484">
      <w:pPr>
        <w:spacing w:line="360" w:lineRule="auto"/>
        <w:jc w:val="both"/>
        <w:rPr>
          <w:rFonts w:ascii="Arial Narrow" w:hAnsi="Arial Narrow" w:cs="Arial"/>
          <w:b/>
          <w:bCs/>
          <w:color w:val="000000"/>
          <w:lang w:val="es-CR" w:eastAsia="es-CR"/>
        </w:rPr>
        <w:sectPr w:rsidR="009D5823" w:rsidSect="009D5823">
          <w:pgSz w:w="12242" w:h="15842" w:code="1"/>
          <w:pgMar w:top="1701" w:right="1417" w:bottom="1701" w:left="1417" w:header="709" w:footer="709" w:gutter="0"/>
          <w:cols w:space="708"/>
          <w:docGrid w:linePitch="360"/>
        </w:sectPr>
      </w:pPr>
    </w:p>
    <w:p w14:paraId="35F2EE30" w14:textId="77777777" w:rsidR="00FE74C7" w:rsidRDefault="00FE74C7" w:rsidP="00FE74C7">
      <w:pPr>
        <w:spacing w:line="360" w:lineRule="auto"/>
        <w:rPr>
          <w:rFonts w:ascii="Arial Narrow" w:eastAsia="Calibri" w:hAnsi="Arial Narrow"/>
        </w:rPr>
      </w:pPr>
    </w:p>
    <w:p w14:paraId="43A873F0" w14:textId="3092F28D" w:rsidR="00FE74C7" w:rsidRDefault="00FE74C7" w:rsidP="00FE74C7">
      <w:pPr>
        <w:pStyle w:val="Descripcin"/>
        <w:jc w:val="center"/>
        <w:rPr>
          <w:rFonts w:ascii="Arial Narrow" w:eastAsia="Calibri" w:hAnsi="Arial Narrow"/>
          <w:sz w:val="24"/>
          <w:szCs w:val="24"/>
        </w:rPr>
      </w:pPr>
      <w:bookmarkStart w:id="134" w:name="_Toc76062304"/>
      <w:r w:rsidRPr="00484CC1">
        <w:rPr>
          <w:rFonts w:ascii="Arial Narrow" w:hAnsi="Arial Narrow"/>
          <w:sz w:val="24"/>
          <w:szCs w:val="24"/>
        </w:rPr>
        <w:t>Cuadro</w:t>
      </w:r>
      <w:r>
        <w:rPr>
          <w:rFonts w:ascii="Arial Narrow" w:hAnsi="Arial Narrow"/>
          <w:sz w:val="24"/>
          <w:szCs w:val="24"/>
        </w:rPr>
        <w:t xml:space="preserve"> </w:t>
      </w:r>
      <w:r w:rsidRPr="00484CC1">
        <w:rPr>
          <w:rFonts w:ascii="Arial Narrow" w:hAnsi="Arial Narrow"/>
          <w:sz w:val="24"/>
          <w:szCs w:val="24"/>
        </w:rPr>
        <w:fldChar w:fldCharType="begin"/>
      </w:r>
      <w:r w:rsidRPr="00484CC1">
        <w:rPr>
          <w:rFonts w:ascii="Arial Narrow" w:hAnsi="Arial Narrow"/>
          <w:sz w:val="24"/>
          <w:szCs w:val="24"/>
        </w:rPr>
        <w:instrText xml:space="preserve"> SEQ Cuadro_No. \* ARABIC </w:instrText>
      </w:r>
      <w:r w:rsidRPr="00484CC1">
        <w:rPr>
          <w:rFonts w:ascii="Arial Narrow" w:hAnsi="Arial Narrow"/>
          <w:sz w:val="24"/>
          <w:szCs w:val="24"/>
        </w:rPr>
        <w:fldChar w:fldCharType="separate"/>
      </w:r>
      <w:r w:rsidR="009D5823">
        <w:rPr>
          <w:rFonts w:ascii="Arial Narrow" w:hAnsi="Arial Narrow"/>
          <w:noProof/>
          <w:sz w:val="24"/>
          <w:szCs w:val="24"/>
        </w:rPr>
        <w:t>81</w:t>
      </w:r>
      <w:r w:rsidRPr="00484CC1">
        <w:rPr>
          <w:rFonts w:ascii="Arial Narrow" w:hAnsi="Arial Narrow"/>
          <w:sz w:val="24"/>
          <w:szCs w:val="24"/>
        </w:rPr>
        <w:fldChar w:fldCharType="end"/>
      </w:r>
      <w:r w:rsidRPr="00484CC1">
        <w:rPr>
          <w:rFonts w:ascii="Arial Narrow" w:hAnsi="Arial Narrow"/>
          <w:sz w:val="24"/>
          <w:szCs w:val="24"/>
        </w:rPr>
        <w:t xml:space="preserve"> </w:t>
      </w:r>
      <w:r w:rsidRPr="00317FC1">
        <w:rPr>
          <w:rFonts w:ascii="Arial Narrow" w:eastAsia="Calibri" w:hAnsi="Arial Narrow"/>
          <w:sz w:val="24"/>
          <w:szCs w:val="24"/>
        </w:rPr>
        <w:t>Metas estratégicas de Gestión estratégica institucional, y su cumplimiento para el 2019</w:t>
      </w:r>
      <w:r>
        <w:rPr>
          <w:rFonts w:ascii="Arial Narrow" w:eastAsia="Calibri" w:hAnsi="Arial Narrow"/>
          <w:sz w:val="24"/>
          <w:szCs w:val="24"/>
        </w:rPr>
        <w:t xml:space="preserve"> y 2020.</w:t>
      </w:r>
      <w:bookmarkEnd w:id="134"/>
    </w:p>
    <w:p w14:paraId="3074A97C" w14:textId="77777777" w:rsidR="00FE74C7" w:rsidRDefault="00FE74C7" w:rsidP="00FE74C7">
      <w:pPr>
        <w:tabs>
          <w:tab w:val="left" w:pos="3570"/>
        </w:tabs>
        <w:rPr>
          <w:rFonts w:eastAsia="Calibri"/>
        </w:rPr>
      </w:pPr>
      <w:r>
        <w:rPr>
          <w:rFonts w:eastAsia="Calibri"/>
        </w:rPr>
        <w:tab/>
      </w:r>
    </w:p>
    <w:p w14:paraId="0696D816" w14:textId="106FD841" w:rsidR="00FE74C7" w:rsidRDefault="0062177F" w:rsidP="00FE74C7">
      <w:pPr>
        <w:spacing w:line="360" w:lineRule="auto"/>
        <w:jc w:val="center"/>
        <w:rPr>
          <w:rFonts w:ascii="Arial Narrow" w:eastAsia="Calibri" w:hAnsi="Arial Narrow"/>
          <w:b/>
          <w:bCs/>
        </w:rPr>
      </w:pPr>
      <w:r>
        <w:rPr>
          <w:noProof/>
          <w:lang w:val="es-CR" w:eastAsia="es-CR"/>
        </w:rPr>
        <w:drawing>
          <wp:inline distT="0" distB="0" distL="0" distR="0" wp14:anchorId="64E1173C" wp14:editId="44A6FA1D">
            <wp:extent cx="8062269" cy="3259455"/>
            <wp:effectExtent l="19050" t="19050" r="15240" b="17145"/>
            <wp:docPr id="75" name="Imagen 75" descr="Tabla, Calendari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Imagen 75" descr="Tabla, Calendario&#10;&#10;Descripción generada automáticamente con confianza media"/>
                    <pic:cNvPicPr>
                      <a:picLocks noChangeAspect="1" noChangeArrowheads="1"/>
                    </pic:cNvPicPr>
                  </pic:nvPicPr>
                  <pic:blipFill rotWithShape="1">
                    <a:blip r:embed="rId143" r:link="rId144">
                      <a:extLst>
                        <a:ext uri="{28A0092B-C50C-407E-A947-70E740481C1C}">
                          <a14:useLocalDpi xmlns:a14="http://schemas.microsoft.com/office/drawing/2010/main" val="0"/>
                        </a:ext>
                      </a:extLst>
                    </a:blip>
                    <a:srcRect r="827" b="2537"/>
                    <a:stretch/>
                  </pic:blipFill>
                  <pic:spPr bwMode="auto">
                    <a:xfrm>
                      <a:off x="0" y="0"/>
                      <a:ext cx="8088483" cy="3270053"/>
                    </a:xfrm>
                    <a:prstGeom prst="rect">
                      <a:avLst/>
                    </a:prstGeom>
                    <a:noFill/>
                    <a:ln w="19050" cap="flat" cmpd="sng" algn="ctr">
                      <a:solidFill>
                        <a:srgbClr val="4472C4"/>
                      </a:solidFill>
                      <a:prstDash val="solid"/>
                      <a:round/>
                      <a:headEnd type="none" w="med" len="med"/>
                      <a:tailEnd type="none" w="med" len="med"/>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Del="007C3722">
        <w:rPr>
          <w:noProof/>
        </w:rPr>
        <w:t xml:space="preserve"> </w:t>
      </w:r>
    </w:p>
    <w:p w14:paraId="63EC75E4" w14:textId="77777777" w:rsidR="00FE74C7" w:rsidRPr="00A618D8" w:rsidRDefault="00FE74C7" w:rsidP="00FE74C7">
      <w:pPr>
        <w:spacing w:line="360" w:lineRule="auto"/>
        <w:ind w:firstLine="708"/>
        <w:jc w:val="both"/>
        <w:rPr>
          <w:rFonts w:ascii="Arial Narrow" w:eastAsia="Calibri" w:hAnsi="Arial Narrow"/>
          <w:b/>
          <w:bCs/>
        </w:rPr>
      </w:pPr>
      <w:r w:rsidRPr="000B4845">
        <w:rPr>
          <w:rFonts w:ascii="Arial Narrow" w:eastAsia="Calibri" w:hAnsi="Arial Narrow"/>
          <w:sz w:val="18"/>
          <w:szCs w:val="18"/>
          <w:lang w:eastAsia="en-US"/>
        </w:rPr>
        <w:t>Fuente: Sistema PEI al 24 de enero del 2020 (año 2019)</w:t>
      </w:r>
      <w:r>
        <w:rPr>
          <w:rFonts w:ascii="Arial Narrow" w:eastAsia="Calibri" w:hAnsi="Arial Narrow"/>
          <w:sz w:val="18"/>
          <w:szCs w:val="18"/>
          <w:lang w:eastAsia="en-US"/>
        </w:rPr>
        <w:t xml:space="preserve"> y 04 de marzo del 2021 (año 2020).</w:t>
      </w:r>
    </w:p>
    <w:p w14:paraId="0103D3D4" w14:textId="77777777" w:rsidR="009D5823" w:rsidRDefault="009D5823">
      <w:pPr>
        <w:spacing w:line="360" w:lineRule="auto"/>
        <w:rPr>
          <w:rFonts w:ascii="Arial Narrow" w:hAnsi="Arial Narrow" w:cs="Arial"/>
          <w:b/>
          <w:bCs/>
          <w:color w:val="000000"/>
          <w:lang w:val="es-CR" w:eastAsia="es-CR"/>
        </w:rPr>
        <w:sectPr w:rsidR="009D5823" w:rsidSect="009D5823">
          <w:pgSz w:w="15842" w:h="12242" w:orient="landscape" w:code="1"/>
          <w:pgMar w:top="1417" w:right="1701" w:bottom="1417" w:left="1701" w:header="709" w:footer="709" w:gutter="0"/>
          <w:cols w:space="708"/>
          <w:docGrid w:linePitch="360"/>
        </w:sectPr>
      </w:pPr>
    </w:p>
    <w:p w14:paraId="2C3C8105" w14:textId="77777777" w:rsidR="0029558C" w:rsidRDefault="0029558C" w:rsidP="00664484">
      <w:pPr>
        <w:spacing w:line="360" w:lineRule="auto"/>
        <w:jc w:val="both"/>
        <w:rPr>
          <w:rFonts w:ascii="Arial Narrow" w:hAnsi="Arial Narrow" w:cs="Arial"/>
          <w:b/>
          <w:bCs/>
          <w:color w:val="000000"/>
          <w:lang w:val="es-CR" w:eastAsia="es-CR"/>
        </w:rPr>
      </w:pPr>
    </w:p>
    <w:p w14:paraId="1A1FD091" w14:textId="4CC94490" w:rsidR="00B14447" w:rsidRPr="00704B08" w:rsidRDefault="000C0EC5" w:rsidP="00704B08">
      <w:pPr>
        <w:spacing w:line="360" w:lineRule="auto"/>
        <w:jc w:val="both"/>
        <w:rPr>
          <w:rFonts w:ascii="Arial Narrow" w:hAnsi="Arial Narrow" w:cs="Arial"/>
          <w:b/>
          <w:bCs/>
          <w:color w:val="000000"/>
          <w:lang w:eastAsia="es-CR"/>
        </w:rPr>
      </w:pPr>
      <w:r>
        <w:rPr>
          <w:rFonts w:ascii="Arial Narrow" w:hAnsi="Arial Narrow" w:cs="Calibri"/>
          <w:color w:val="000000"/>
          <w:lang w:val="es-CR" w:eastAsia="es-CR"/>
        </w:rPr>
        <w:t>Por su parte, la</w:t>
      </w:r>
      <w:r w:rsidRPr="002E0B96">
        <w:rPr>
          <w:rFonts w:ascii="Arial Narrow" w:hAnsi="Arial Narrow" w:cs="Calibri"/>
          <w:color w:val="000000"/>
          <w:lang w:val="es-CR" w:eastAsia="es-CR"/>
        </w:rPr>
        <w:t xml:space="preserve"> meta estratégica</w:t>
      </w:r>
      <w:r>
        <w:rPr>
          <w:rFonts w:ascii="Arial Narrow" w:hAnsi="Arial Narrow" w:cs="Calibri"/>
          <w:color w:val="000000"/>
          <w:lang w:val="es-CR" w:eastAsia="es-CR"/>
        </w:rPr>
        <w:t xml:space="preserve"> </w:t>
      </w:r>
      <w:r>
        <w:rPr>
          <w:rFonts w:ascii="Arial Narrow" w:hAnsi="Arial Narrow" w:cs="Arial"/>
          <w:b/>
          <w:bCs/>
          <w:color w:val="000000"/>
          <w:lang w:val="es-CR" w:eastAsia="es-CR"/>
        </w:rPr>
        <w:t>“</w:t>
      </w:r>
      <w:r w:rsidR="00E36969" w:rsidRPr="00704B08">
        <w:rPr>
          <w:rFonts w:ascii="Arial Narrow" w:hAnsi="Arial Narrow" w:cs="Arial"/>
          <w:b/>
          <w:bCs/>
          <w:i/>
          <w:iCs/>
          <w:color w:val="000000"/>
          <w:lang w:val="es-CR" w:eastAsia="es-CR"/>
        </w:rPr>
        <w:t>Que al finalizar el 2024, anualmente se haya ejecutado al menos un 95% del presupuesto asignado</w:t>
      </w:r>
      <w:r>
        <w:rPr>
          <w:rFonts w:ascii="Arial Narrow" w:hAnsi="Arial Narrow" w:cs="Arial"/>
          <w:b/>
          <w:bCs/>
          <w:color w:val="000000"/>
          <w:lang w:val="es-CR" w:eastAsia="es-CR"/>
        </w:rPr>
        <w:t>”</w:t>
      </w:r>
      <w:r w:rsidR="00356026">
        <w:rPr>
          <w:rFonts w:ascii="Arial Narrow" w:hAnsi="Arial Narrow" w:cs="Arial"/>
          <w:b/>
          <w:bCs/>
          <w:color w:val="000000"/>
          <w:lang w:val="es-CR" w:eastAsia="es-CR"/>
        </w:rPr>
        <w:t>.</w:t>
      </w:r>
      <w:r w:rsidR="00FE74C7">
        <w:rPr>
          <w:rFonts w:ascii="Arial Narrow" w:hAnsi="Arial Narrow" w:cs="Arial"/>
          <w:b/>
          <w:bCs/>
          <w:color w:val="000000"/>
          <w:lang w:val="es-CR" w:eastAsia="es-CR"/>
        </w:rPr>
        <w:t xml:space="preserve"> </w:t>
      </w:r>
      <w:r w:rsidR="005B6EF8" w:rsidRPr="00B27431">
        <w:rPr>
          <w:rFonts w:ascii="Arial Narrow" w:eastAsia="Calibri" w:hAnsi="Arial Narrow"/>
        </w:rPr>
        <w:t>S</w:t>
      </w:r>
      <w:r w:rsidR="00B14447" w:rsidRPr="00B27431">
        <w:rPr>
          <w:rFonts w:ascii="Arial Narrow" w:eastAsia="Calibri" w:hAnsi="Arial Narrow"/>
        </w:rPr>
        <w:t>e destacan los resultados de la Dirección Ejecutiva con un reporte de más del 95</w:t>
      </w:r>
      <w:r w:rsidR="0062177F">
        <w:rPr>
          <w:rFonts w:ascii="Arial Narrow" w:eastAsia="Calibri" w:hAnsi="Arial Narrow"/>
        </w:rPr>
        <w:t>,9</w:t>
      </w:r>
      <w:r w:rsidR="00B14447" w:rsidRPr="00B27431">
        <w:rPr>
          <w:rFonts w:ascii="Arial Narrow" w:eastAsia="Calibri" w:hAnsi="Arial Narrow"/>
        </w:rPr>
        <w:t>% del presupuesto institucional ejecutado</w:t>
      </w:r>
      <w:r w:rsidR="0062177F">
        <w:rPr>
          <w:rFonts w:ascii="Arial Narrow" w:eastAsia="Calibri" w:hAnsi="Arial Narrow"/>
        </w:rPr>
        <w:t xml:space="preserve"> en el 2019,</w:t>
      </w:r>
      <w:r w:rsidR="00B27431" w:rsidRPr="00B27431">
        <w:rPr>
          <w:rFonts w:ascii="Arial Narrow" w:eastAsia="Calibri" w:hAnsi="Arial Narrow"/>
        </w:rPr>
        <w:t xml:space="preserve"> por medio del i</w:t>
      </w:r>
      <w:r w:rsidR="00B14447" w:rsidRPr="00B27431">
        <w:rPr>
          <w:rFonts w:ascii="Arial Narrow" w:eastAsia="Calibri" w:hAnsi="Arial Narrow"/>
        </w:rPr>
        <w:t>nforme 80-PLA-EV-2020, Evaluación Anual de la Ejecución del Presupuesto 2019, aprobado por Consejo Superior en sesión 7-2020 celebrada el 28 de enero de 2020, artículo LIII</w:t>
      </w:r>
      <w:r w:rsidR="00B27431" w:rsidRPr="00B27431">
        <w:rPr>
          <w:rFonts w:ascii="Arial Narrow" w:eastAsia="Calibri" w:hAnsi="Arial Narrow"/>
        </w:rPr>
        <w:t xml:space="preserve"> </w:t>
      </w:r>
      <w:r w:rsidR="005B6EF8" w:rsidRPr="00B27431">
        <w:rPr>
          <w:rFonts w:ascii="Arial Narrow" w:eastAsia="Calibri" w:hAnsi="Arial Narrow"/>
        </w:rPr>
        <w:t xml:space="preserve">y para el año 2020 </w:t>
      </w:r>
      <w:r w:rsidR="00B27431" w:rsidRPr="00704B08">
        <w:rPr>
          <w:rFonts w:ascii="Arial Narrow" w:hAnsi="Arial Narrow"/>
        </w:rPr>
        <w:t xml:space="preserve">se rinde el informe 1062-PLA-EV-2020 dirigido a la Dirección de Presupuesto del Ministerio de Hacienda con el fin de cumplir con los plazos de Ley, </w:t>
      </w:r>
      <w:r w:rsidR="0062177F">
        <w:rPr>
          <w:rFonts w:ascii="Arial Narrow" w:hAnsi="Arial Narrow"/>
        </w:rPr>
        <w:t xml:space="preserve">el cual reporta una ejecución presupuestaria de 95,97% para el 2020. El informe </w:t>
      </w:r>
      <w:r w:rsidR="00B27431" w:rsidRPr="00704B08">
        <w:rPr>
          <w:rFonts w:ascii="Arial Narrow" w:hAnsi="Arial Narrow"/>
        </w:rPr>
        <w:t xml:space="preserve">fue aprobado por </w:t>
      </w:r>
      <w:r w:rsidR="0062177F" w:rsidRPr="00704B08">
        <w:rPr>
          <w:rFonts w:ascii="Arial Narrow" w:hAnsi="Arial Narrow"/>
        </w:rPr>
        <w:t>el Consejo</w:t>
      </w:r>
      <w:r w:rsidR="00B27431" w:rsidRPr="00704B08">
        <w:rPr>
          <w:rFonts w:ascii="Arial Narrow" w:hAnsi="Arial Narrow"/>
        </w:rPr>
        <w:t xml:space="preserve"> Superior </w:t>
      </w:r>
      <w:r w:rsidR="00B27431" w:rsidRPr="00B27431">
        <w:rPr>
          <w:rFonts w:ascii="Arial Narrow" w:eastAsia="Calibri" w:hAnsi="Arial Narrow"/>
        </w:rPr>
        <w:t>en sesión No. 74-2020 celebrada el 23 de julio de 2020, artículo XLII.</w:t>
      </w:r>
    </w:p>
    <w:p w14:paraId="20E1A910" w14:textId="0C1F9E49" w:rsidR="00B14447" w:rsidRDefault="00B14447" w:rsidP="00664484">
      <w:pPr>
        <w:spacing w:line="360" w:lineRule="auto"/>
        <w:jc w:val="both"/>
        <w:rPr>
          <w:rFonts w:ascii="Arial Narrow" w:hAnsi="Arial Narrow" w:cs="Arial"/>
          <w:b/>
          <w:bCs/>
          <w:color w:val="000000"/>
          <w:lang w:val="es-CR" w:eastAsia="es-CR"/>
        </w:rPr>
      </w:pPr>
    </w:p>
    <w:p w14:paraId="4227EB4E" w14:textId="1979193A" w:rsidR="009D5823" w:rsidRDefault="000C0EC5" w:rsidP="00E36969">
      <w:pPr>
        <w:spacing w:line="360" w:lineRule="auto"/>
        <w:jc w:val="both"/>
        <w:rPr>
          <w:rFonts w:ascii="Arial Narrow" w:eastAsia="Calibri" w:hAnsi="Arial Narrow"/>
        </w:rPr>
        <w:sectPr w:rsidR="009D5823" w:rsidSect="009D5823">
          <w:pgSz w:w="12242" w:h="15842" w:code="1"/>
          <w:pgMar w:top="1701" w:right="1417" w:bottom="1701" w:left="1417" w:header="709" w:footer="709" w:gutter="0"/>
          <w:cols w:space="708"/>
          <w:docGrid w:linePitch="360"/>
        </w:sectPr>
      </w:pPr>
      <w:r>
        <w:rPr>
          <w:rFonts w:ascii="Arial Narrow" w:hAnsi="Arial Narrow" w:cs="Calibri"/>
          <w:color w:val="000000"/>
          <w:lang w:val="es-CR" w:eastAsia="es-CR"/>
        </w:rPr>
        <w:t>Con respecto a la</w:t>
      </w:r>
      <w:r w:rsidRPr="002E0B96">
        <w:rPr>
          <w:rFonts w:ascii="Arial Narrow" w:hAnsi="Arial Narrow" w:cs="Calibri"/>
          <w:color w:val="000000"/>
          <w:lang w:val="es-CR" w:eastAsia="es-CR"/>
        </w:rPr>
        <w:t xml:space="preserve"> meta estratégica</w:t>
      </w:r>
      <w:r>
        <w:rPr>
          <w:rFonts w:ascii="Arial Narrow" w:hAnsi="Arial Narrow" w:cs="Calibri"/>
          <w:color w:val="000000"/>
          <w:lang w:val="es-CR" w:eastAsia="es-CR"/>
        </w:rPr>
        <w:t xml:space="preserve"> “</w:t>
      </w:r>
      <w:r w:rsidR="00E36969" w:rsidRPr="00704B08">
        <w:rPr>
          <w:rFonts w:ascii="Arial Narrow" w:hAnsi="Arial Narrow" w:cs="Arial"/>
          <w:b/>
          <w:bCs/>
          <w:i/>
          <w:iCs/>
          <w:color w:val="000000"/>
          <w:lang w:val="es-CR" w:eastAsia="es-CR"/>
        </w:rPr>
        <w:t>Que al finalizar el 2024, se haya dado seguimiento a los compromisos destacados en el Informe del Estado de la Justicia</w:t>
      </w:r>
      <w:r>
        <w:rPr>
          <w:rFonts w:ascii="Arial Narrow" w:hAnsi="Arial Narrow" w:cs="Arial"/>
          <w:b/>
          <w:bCs/>
          <w:color w:val="000000"/>
          <w:lang w:val="es-CR" w:eastAsia="es-CR"/>
        </w:rPr>
        <w:t xml:space="preserve">”, </w:t>
      </w:r>
      <w:r>
        <w:rPr>
          <w:rFonts w:ascii="Arial Narrow" w:eastAsia="Calibri" w:hAnsi="Arial Narrow"/>
        </w:rPr>
        <w:t>e</w:t>
      </w:r>
      <w:r w:rsidR="00B27431">
        <w:rPr>
          <w:rFonts w:ascii="Arial Narrow" w:eastAsia="Calibri" w:hAnsi="Arial Narrow"/>
        </w:rPr>
        <w:t xml:space="preserve">n atención </w:t>
      </w:r>
      <w:r w:rsidR="00953361">
        <w:rPr>
          <w:rFonts w:ascii="Arial Narrow" w:eastAsia="Calibri" w:hAnsi="Arial Narrow"/>
        </w:rPr>
        <w:t>al</w:t>
      </w:r>
      <w:r w:rsidR="00B27431">
        <w:rPr>
          <w:rFonts w:ascii="Arial Narrow" w:eastAsia="Calibri" w:hAnsi="Arial Narrow"/>
        </w:rPr>
        <w:t xml:space="preserve"> </w:t>
      </w:r>
      <w:r w:rsidR="00953361">
        <w:rPr>
          <w:rFonts w:ascii="Arial Narrow" w:eastAsia="Calibri" w:hAnsi="Arial Narrow"/>
        </w:rPr>
        <w:t xml:space="preserve">seguimiento de los compromisos definidos en el Informe del Estado de la Justicia se tiene que </w:t>
      </w:r>
      <w:r w:rsidR="00E36969" w:rsidRPr="00484CC1">
        <w:rPr>
          <w:rFonts w:ascii="Arial Narrow" w:eastAsia="Calibri" w:hAnsi="Arial Narrow"/>
        </w:rPr>
        <w:t xml:space="preserve">al 24 de enero </w:t>
      </w:r>
      <w:r w:rsidR="00E36969">
        <w:rPr>
          <w:rFonts w:ascii="Arial Narrow" w:eastAsia="Calibri" w:hAnsi="Arial Narrow"/>
        </w:rPr>
        <w:t xml:space="preserve">de 2020 </w:t>
      </w:r>
      <w:r w:rsidR="00E36969" w:rsidRPr="00484CC1">
        <w:rPr>
          <w:rFonts w:ascii="Arial Narrow" w:eastAsia="Calibri" w:hAnsi="Arial Narrow"/>
        </w:rPr>
        <w:t xml:space="preserve">quedó con un 95% de cumplimiento, dado que la Defensa Pública, la Sala Constitucional y la Escuela Judicial no realizaron oportunamente el registro de avance </w:t>
      </w:r>
      <w:r w:rsidR="00E36969" w:rsidRPr="009D5823">
        <w:rPr>
          <w:rFonts w:ascii="Arial Narrow" w:eastAsia="Calibri" w:hAnsi="Arial Narrow"/>
        </w:rPr>
        <w:t>en el sistema PAO</w:t>
      </w:r>
      <w:r w:rsidRPr="009D5823">
        <w:rPr>
          <w:rFonts w:ascii="Arial Narrow" w:eastAsia="Calibri" w:hAnsi="Arial Narrow"/>
        </w:rPr>
        <w:t xml:space="preserve"> (esto a nivel de Sistemas)</w:t>
      </w:r>
      <w:r w:rsidR="00E36969" w:rsidRPr="009D5823">
        <w:rPr>
          <w:rFonts w:ascii="Arial Narrow" w:eastAsia="Calibri" w:hAnsi="Arial Narrow"/>
        </w:rPr>
        <w:t>, a pesar de haber cumplido con el seguimiento correspondiente según sus competencias</w:t>
      </w:r>
      <w:r w:rsidR="00953361" w:rsidRPr="009D5823">
        <w:rPr>
          <w:rFonts w:ascii="Arial Narrow" w:eastAsia="Calibri" w:hAnsi="Arial Narrow"/>
        </w:rPr>
        <w:t xml:space="preserve"> a diferencia del año 2020 que reportó un 100% de cumplimiento</w:t>
      </w:r>
      <w:r w:rsidR="009D5823" w:rsidRPr="00704B08">
        <w:rPr>
          <w:rFonts w:ascii="Arial Narrow" w:eastAsia="Calibri" w:hAnsi="Arial Narrow"/>
        </w:rPr>
        <w:t>.</w:t>
      </w:r>
    </w:p>
    <w:p w14:paraId="379105F8" w14:textId="55C97C3E" w:rsidR="00E36969" w:rsidRDefault="00E36969" w:rsidP="00E36969">
      <w:pPr>
        <w:spacing w:line="360" w:lineRule="auto"/>
        <w:jc w:val="both"/>
        <w:rPr>
          <w:rFonts w:ascii="Arial Narrow" w:eastAsia="Calibri" w:hAnsi="Arial Narrow"/>
        </w:rPr>
      </w:pPr>
    </w:p>
    <w:p w14:paraId="5D0E10A5" w14:textId="77777777" w:rsidR="00FE74C7" w:rsidRPr="00704B08" w:rsidRDefault="00FE74C7" w:rsidP="00E36969">
      <w:pPr>
        <w:spacing w:line="360" w:lineRule="auto"/>
        <w:jc w:val="both"/>
        <w:rPr>
          <w:rFonts w:ascii="Arial Narrow" w:hAnsi="Arial Narrow" w:cs="Arial"/>
          <w:b/>
          <w:bCs/>
          <w:color w:val="000000"/>
          <w:lang w:val="es-CR" w:eastAsia="es-CR"/>
        </w:rPr>
      </w:pPr>
    </w:p>
    <w:p w14:paraId="11EB4C77" w14:textId="2DB03CE0" w:rsidR="00FE74C7" w:rsidRDefault="00FE74C7" w:rsidP="00FE74C7">
      <w:pPr>
        <w:pStyle w:val="Descripcin"/>
        <w:jc w:val="center"/>
        <w:rPr>
          <w:rFonts w:ascii="Arial Narrow" w:eastAsia="Calibri" w:hAnsi="Arial Narrow"/>
          <w:sz w:val="24"/>
          <w:szCs w:val="24"/>
        </w:rPr>
      </w:pPr>
      <w:bookmarkStart w:id="135" w:name="_Toc76062305"/>
      <w:r w:rsidRPr="00484CC1">
        <w:rPr>
          <w:rFonts w:ascii="Arial Narrow" w:hAnsi="Arial Narrow"/>
          <w:sz w:val="24"/>
          <w:szCs w:val="24"/>
        </w:rPr>
        <w:t>Cuadro</w:t>
      </w:r>
      <w:r>
        <w:rPr>
          <w:rFonts w:ascii="Arial Narrow" w:hAnsi="Arial Narrow"/>
          <w:sz w:val="24"/>
          <w:szCs w:val="24"/>
        </w:rPr>
        <w:t xml:space="preserve"> </w:t>
      </w:r>
      <w:r w:rsidRPr="00484CC1">
        <w:rPr>
          <w:rFonts w:ascii="Arial Narrow" w:hAnsi="Arial Narrow"/>
          <w:sz w:val="24"/>
          <w:szCs w:val="24"/>
        </w:rPr>
        <w:fldChar w:fldCharType="begin"/>
      </w:r>
      <w:r w:rsidRPr="00484CC1">
        <w:rPr>
          <w:rFonts w:ascii="Arial Narrow" w:hAnsi="Arial Narrow"/>
          <w:sz w:val="24"/>
          <w:szCs w:val="24"/>
        </w:rPr>
        <w:instrText xml:space="preserve"> SEQ Cuadro_No. \* ARABIC </w:instrText>
      </w:r>
      <w:r w:rsidRPr="00484CC1">
        <w:rPr>
          <w:rFonts w:ascii="Arial Narrow" w:hAnsi="Arial Narrow"/>
          <w:sz w:val="24"/>
          <w:szCs w:val="24"/>
        </w:rPr>
        <w:fldChar w:fldCharType="separate"/>
      </w:r>
      <w:r w:rsidR="009D5823">
        <w:rPr>
          <w:rFonts w:ascii="Arial Narrow" w:hAnsi="Arial Narrow"/>
          <w:noProof/>
          <w:sz w:val="24"/>
          <w:szCs w:val="24"/>
        </w:rPr>
        <w:t>82</w:t>
      </w:r>
      <w:r w:rsidRPr="00484CC1">
        <w:rPr>
          <w:rFonts w:ascii="Arial Narrow" w:hAnsi="Arial Narrow"/>
          <w:sz w:val="24"/>
          <w:szCs w:val="24"/>
        </w:rPr>
        <w:fldChar w:fldCharType="end"/>
      </w:r>
      <w:r w:rsidRPr="00484CC1">
        <w:rPr>
          <w:rFonts w:ascii="Arial Narrow" w:hAnsi="Arial Narrow"/>
          <w:sz w:val="24"/>
          <w:szCs w:val="24"/>
        </w:rPr>
        <w:t xml:space="preserve"> </w:t>
      </w:r>
      <w:r w:rsidRPr="00317FC1">
        <w:rPr>
          <w:rFonts w:ascii="Arial Narrow" w:eastAsia="Calibri" w:hAnsi="Arial Narrow"/>
          <w:sz w:val="24"/>
          <w:szCs w:val="24"/>
        </w:rPr>
        <w:t>Metas estratégicas de Gestión estratégica institucional, y su cumplimiento para el 2019</w:t>
      </w:r>
      <w:r>
        <w:rPr>
          <w:rFonts w:ascii="Arial Narrow" w:eastAsia="Calibri" w:hAnsi="Arial Narrow"/>
          <w:sz w:val="24"/>
          <w:szCs w:val="24"/>
        </w:rPr>
        <w:t xml:space="preserve"> y 2020.</w:t>
      </w:r>
      <w:bookmarkEnd w:id="135"/>
    </w:p>
    <w:p w14:paraId="63F8E6B5" w14:textId="77777777" w:rsidR="001A4ECD" w:rsidRPr="00704B08" w:rsidRDefault="001A4ECD" w:rsidP="00704B08">
      <w:pPr>
        <w:rPr>
          <w:rFonts w:eastAsia="Calibri"/>
        </w:rPr>
      </w:pPr>
    </w:p>
    <w:p w14:paraId="7B66989F" w14:textId="766DEB7D" w:rsidR="00FE74C7" w:rsidRPr="00704B08" w:rsidRDefault="001A4ECD" w:rsidP="00704B08">
      <w:pPr>
        <w:tabs>
          <w:tab w:val="left" w:pos="3570"/>
        </w:tabs>
        <w:jc w:val="center"/>
        <w:rPr>
          <w:rFonts w:eastAsia="Calibri"/>
        </w:rPr>
      </w:pPr>
      <w:r>
        <w:rPr>
          <w:noProof/>
          <w:lang w:val="es-CR" w:eastAsia="es-CR"/>
        </w:rPr>
        <w:drawing>
          <wp:inline distT="0" distB="0" distL="0" distR="0" wp14:anchorId="744AC653" wp14:editId="6750A443">
            <wp:extent cx="7034378" cy="2867282"/>
            <wp:effectExtent l="57150" t="57150" r="90805" b="104775"/>
            <wp:docPr id="188" name="Imagen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5"/>
                    <a:srcRect b="2158"/>
                    <a:stretch/>
                  </pic:blipFill>
                  <pic:spPr bwMode="auto">
                    <a:xfrm>
                      <a:off x="0" y="0"/>
                      <a:ext cx="7049865" cy="2873595"/>
                    </a:xfrm>
                    <a:prstGeom prst="rect">
                      <a:avLst/>
                    </a:prstGeom>
                    <a:ln w="9525" cap="sq" cmpd="sng" algn="ctr">
                      <a:solidFill>
                        <a:srgbClr val="00B0F0"/>
                      </a:solidFill>
                      <a:prstDash val="solid"/>
                      <a:miter lim="800000"/>
                      <a:headEnd type="none" w="med" len="med"/>
                      <a:tailEnd type="none" w="med" len="med"/>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29F9F32A" w14:textId="77777777" w:rsidR="00FE74C7" w:rsidRPr="00A618D8" w:rsidRDefault="00FE74C7" w:rsidP="00FE74C7">
      <w:pPr>
        <w:spacing w:line="360" w:lineRule="auto"/>
        <w:ind w:firstLine="708"/>
        <w:jc w:val="both"/>
        <w:rPr>
          <w:rFonts w:ascii="Arial Narrow" w:eastAsia="Calibri" w:hAnsi="Arial Narrow"/>
          <w:b/>
          <w:bCs/>
        </w:rPr>
      </w:pPr>
      <w:r w:rsidRPr="000B4845">
        <w:rPr>
          <w:rFonts w:ascii="Arial Narrow" w:eastAsia="Calibri" w:hAnsi="Arial Narrow"/>
          <w:sz w:val="18"/>
          <w:szCs w:val="18"/>
          <w:lang w:eastAsia="en-US"/>
        </w:rPr>
        <w:t>Fuente: Sistema PEI al 24 de enero del 2020 (año 2019)</w:t>
      </w:r>
      <w:r>
        <w:rPr>
          <w:rFonts w:ascii="Arial Narrow" w:eastAsia="Calibri" w:hAnsi="Arial Narrow"/>
          <w:sz w:val="18"/>
          <w:szCs w:val="18"/>
          <w:lang w:eastAsia="en-US"/>
        </w:rPr>
        <w:t xml:space="preserve"> y 04 de marzo del 2021 (año 2020).</w:t>
      </w:r>
    </w:p>
    <w:p w14:paraId="6506239C" w14:textId="3F7CF8A0" w:rsidR="00E36969" w:rsidRDefault="00E36969" w:rsidP="00664484">
      <w:pPr>
        <w:spacing w:line="360" w:lineRule="auto"/>
        <w:jc w:val="both"/>
        <w:rPr>
          <w:rFonts w:ascii="Arial Narrow" w:hAnsi="Arial Narrow" w:cs="Arial"/>
          <w:b/>
          <w:bCs/>
          <w:color w:val="000000"/>
          <w:lang w:val="es-CR" w:eastAsia="es-CR"/>
        </w:rPr>
      </w:pPr>
    </w:p>
    <w:p w14:paraId="3D67A077" w14:textId="77777777" w:rsidR="009D5823" w:rsidRDefault="009D5823">
      <w:pPr>
        <w:spacing w:line="360" w:lineRule="auto"/>
        <w:jc w:val="center"/>
        <w:rPr>
          <w:rFonts w:ascii="Arial Narrow" w:hAnsi="Arial Narrow" w:cs="Arial"/>
          <w:b/>
          <w:bCs/>
          <w:color w:val="000000"/>
          <w:lang w:val="es-CR" w:eastAsia="es-CR"/>
        </w:rPr>
        <w:sectPr w:rsidR="009D5823" w:rsidSect="009D5823">
          <w:pgSz w:w="15842" w:h="12242" w:orient="landscape" w:code="1"/>
          <w:pgMar w:top="1417" w:right="1701" w:bottom="1417" w:left="1701" w:header="709" w:footer="709" w:gutter="0"/>
          <w:cols w:space="708"/>
          <w:docGrid w:linePitch="360"/>
        </w:sectPr>
      </w:pPr>
    </w:p>
    <w:p w14:paraId="385AECB7" w14:textId="4791BF60" w:rsidR="0029558C" w:rsidRDefault="0029558C" w:rsidP="00704B08">
      <w:pPr>
        <w:spacing w:line="360" w:lineRule="auto"/>
        <w:jc w:val="center"/>
        <w:rPr>
          <w:rFonts w:ascii="Arial Narrow" w:hAnsi="Arial Narrow" w:cs="Arial"/>
          <w:b/>
          <w:bCs/>
          <w:color w:val="000000"/>
          <w:lang w:val="es-CR" w:eastAsia="es-CR"/>
        </w:rPr>
      </w:pPr>
    </w:p>
    <w:p w14:paraId="742831AD" w14:textId="605830B0" w:rsidR="008D7E15" w:rsidRDefault="000C0EC5">
      <w:pPr>
        <w:spacing w:line="360" w:lineRule="auto"/>
        <w:jc w:val="both"/>
        <w:rPr>
          <w:rFonts w:ascii="Arial Narrow" w:eastAsia="Calibri" w:hAnsi="Arial Narrow"/>
        </w:rPr>
      </w:pPr>
      <w:r>
        <w:rPr>
          <w:rFonts w:ascii="Arial Narrow" w:hAnsi="Arial Narrow" w:cs="Calibri"/>
          <w:color w:val="000000"/>
          <w:lang w:val="es-CR" w:eastAsia="es-CR"/>
        </w:rPr>
        <w:t>Con respecto a la</w:t>
      </w:r>
      <w:r w:rsidRPr="002E0B96">
        <w:rPr>
          <w:rFonts w:ascii="Arial Narrow" w:hAnsi="Arial Narrow" w:cs="Calibri"/>
          <w:color w:val="000000"/>
          <w:lang w:val="es-CR" w:eastAsia="es-CR"/>
        </w:rPr>
        <w:t xml:space="preserve"> meta estratégica</w:t>
      </w:r>
      <w:r>
        <w:rPr>
          <w:rFonts w:ascii="Arial Narrow" w:hAnsi="Arial Narrow" w:cs="Calibri"/>
          <w:color w:val="000000"/>
          <w:lang w:val="es-CR" w:eastAsia="es-CR"/>
        </w:rPr>
        <w:t xml:space="preserve"> “</w:t>
      </w:r>
      <w:r w:rsidR="00E36969" w:rsidRPr="00704B08">
        <w:rPr>
          <w:rFonts w:ascii="Arial Narrow" w:hAnsi="Arial Narrow" w:cs="Arial"/>
          <w:b/>
          <w:bCs/>
          <w:i/>
          <w:iCs/>
          <w:color w:val="000000"/>
          <w:lang w:val="es-CR" w:eastAsia="es-CR"/>
        </w:rPr>
        <w:t>Que al finalizar el 2024, se haya implementado el plan de ejecución de construcciones definido, que considere el diseño universal y certificación básica LEED; que contemple espacios compartidos y oficinas satélite ("coworking"), acorde a las modalidades alternativas de trabajo; así como aulas acondicionadas para capacitaciones y espacio para uso de bicicletas</w:t>
      </w:r>
      <w:r>
        <w:rPr>
          <w:rFonts w:ascii="Arial Narrow" w:hAnsi="Arial Narrow" w:cs="Arial"/>
          <w:b/>
          <w:bCs/>
          <w:color w:val="000000"/>
          <w:lang w:val="es-CR" w:eastAsia="es-CR"/>
        </w:rPr>
        <w:t>”</w:t>
      </w:r>
      <w:r w:rsidR="00356026">
        <w:rPr>
          <w:rFonts w:ascii="Arial Narrow" w:hAnsi="Arial Narrow" w:cs="Arial"/>
          <w:b/>
          <w:bCs/>
          <w:color w:val="000000"/>
          <w:lang w:val="es-CR" w:eastAsia="es-CR"/>
        </w:rPr>
        <w:t>,</w:t>
      </w:r>
      <w:r w:rsidR="001A4ECD">
        <w:rPr>
          <w:rFonts w:ascii="Arial Narrow" w:hAnsi="Arial Narrow" w:cs="Arial"/>
          <w:b/>
          <w:bCs/>
          <w:color w:val="000000"/>
          <w:lang w:val="es-CR" w:eastAsia="es-CR"/>
        </w:rPr>
        <w:t xml:space="preserve"> </w:t>
      </w:r>
      <w:r>
        <w:rPr>
          <w:rFonts w:ascii="Arial Narrow" w:eastAsia="Calibri" w:hAnsi="Arial Narrow"/>
        </w:rPr>
        <w:t>s</w:t>
      </w:r>
      <w:r w:rsidR="00E36969" w:rsidRPr="002641A1">
        <w:rPr>
          <w:rFonts w:ascii="Arial Narrow" w:eastAsia="Calibri" w:hAnsi="Arial Narrow"/>
        </w:rPr>
        <w:t>e informa por parte de la Dirección Ejecutiva que se lleva a cabo el procedimiento para la adquisición del edificio para albergar la Sala Constitucional al 100% pero en un 70% el concurso de etapa constructiva para dos proyectos (Anexo E y Puntarenas) y al menos dos para diseño (Quepos y Cañas)</w:t>
      </w:r>
      <w:r>
        <w:rPr>
          <w:rFonts w:ascii="Arial Narrow" w:eastAsia="Calibri" w:hAnsi="Arial Narrow"/>
        </w:rPr>
        <w:t>, l</w:t>
      </w:r>
      <w:r w:rsidR="0013426D" w:rsidRPr="002641A1">
        <w:rPr>
          <w:rFonts w:ascii="Arial Narrow" w:eastAsia="Calibri" w:hAnsi="Arial Narrow"/>
        </w:rPr>
        <w:t xml:space="preserve">o anterior para el </w:t>
      </w:r>
      <w:r w:rsidR="00E36969" w:rsidRPr="002641A1">
        <w:rPr>
          <w:rFonts w:ascii="Arial Narrow" w:eastAsia="Calibri" w:hAnsi="Arial Narrow"/>
        </w:rPr>
        <w:t xml:space="preserve">seguimiento </w:t>
      </w:r>
      <w:r w:rsidR="0013426D" w:rsidRPr="002641A1">
        <w:rPr>
          <w:rFonts w:ascii="Arial Narrow" w:eastAsia="Calibri" w:hAnsi="Arial Narrow"/>
        </w:rPr>
        <w:t xml:space="preserve">del año </w:t>
      </w:r>
      <w:r w:rsidR="00E36969" w:rsidRPr="002641A1">
        <w:rPr>
          <w:rFonts w:ascii="Arial Narrow" w:eastAsia="Calibri" w:hAnsi="Arial Narrow"/>
        </w:rPr>
        <w:t xml:space="preserve">2019. </w:t>
      </w:r>
      <w:r>
        <w:rPr>
          <w:rFonts w:ascii="Arial Narrow" w:eastAsia="Calibri" w:hAnsi="Arial Narrow"/>
        </w:rPr>
        <w:t xml:space="preserve"> </w:t>
      </w:r>
    </w:p>
    <w:p w14:paraId="2E692066" w14:textId="77777777" w:rsidR="008D7E15" w:rsidRDefault="008D7E15">
      <w:pPr>
        <w:spacing w:line="360" w:lineRule="auto"/>
        <w:jc w:val="both"/>
        <w:rPr>
          <w:rFonts w:ascii="Arial Narrow" w:eastAsia="Calibri" w:hAnsi="Arial Narrow"/>
        </w:rPr>
      </w:pPr>
    </w:p>
    <w:p w14:paraId="7D9371E6" w14:textId="25E07159" w:rsidR="002641A1" w:rsidRDefault="0013426D">
      <w:pPr>
        <w:spacing w:line="360" w:lineRule="auto"/>
        <w:jc w:val="both"/>
        <w:rPr>
          <w:rFonts w:ascii="Arial Narrow" w:hAnsi="Arial Narrow"/>
          <w:lang w:val="es-CR" w:eastAsia="es-CR"/>
        </w:rPr>
      </w:pPr>
      <w:r w:rsidRPr="002641A1">
        <w:rPr>
          <w:rFonts w:ascii="Arial Narrow" w:eastAsia="Calibri" w:hAnsi="Arial Narrow"/>
        </w:rPr>
        <w:t xml:space="preserve">En cuanto al año 2020 </w:t>
      </w:r>
      <w:r w:rsidR="002641A1" w:rsidRPr="002641A1">
        <w:rPr>
          <w:rFonts w:ascii="Arial Narrow" w:eastAsia="Calibri" w:hAnsi="Arial Narrow"/>
        </w:rPr>
        <w:t>se tiene un avance de cumplimiento del 100% al</w:t>
      </w:r>
      <w:r w:rsidRPr="00704B08">
        <w:rPr>
          <w:rFonts w:ascii="Arial Narrow" w:hAnsi="Arial Narrow"/>
        </w:rPr>
        <w:t xml:space="preserve"> 15 de diciembre de 2020, según </w:t>
      </w:r>
      <w:r w:rsidRPr="002641A1">
        <w:rPr>
          <w:rFonts w:ascii="Arial Narrow" w:hAnsi="Arial Narrow"/>
        </w:rPr>
        <w:t xml:space="preserve">se observa en </w:t>
      </w:r>
      <w:r w:rsidR="002641A1" w:rsidRPr="002641A1">
        <w:rPr>
          <w:rFonts w:ascii="Arial Narrow" w:hAnsi="Arial Narrow"/>
        </w:rPr>
        <w:t>los</w:t>
      </w:r>
      <w:r w:rsidRPr="002641A1">
        <w:rPr>
          <w:rFonts w:ascii="Arial Narrow" w:hAnsi="Arial Narrow"/>
        </w:rPr>
        <w:t xml:space="preserve"> </w:t>
      </w:r>
      <w:r w:rsidRPr="00704B08">
        <w:rPr>
          <w:rFonts w:ascii="Arial Narrow" w:hAnsi="Arial Narrow"/>
        </w:rPr>
        <w:t>cronograma</w:t>
      </w:r>
      <w:r w:rsidR="002641A1" w:rsidRPr="002641A1">
        <w:rPr>
          <w:rFonts w:ascii="Arial Narrow" w:hAnsi="Arial Narrow"/>
        </w:rPr>
        <w:t>s</w:t>
      </w:r>
      <w:r w:rsidRPr="00704B08">
        <w:rPr>
          <w:rFonts w:ascii="Arial Narrow" w:hAnsi="Arial Narrow"/>
        </w:rPr>
        <w:t xml:space="preserve"> </w:t>
      </w:r>
      <w:r w:rsidRPr="002641A1">
        <w:rPr>
          <w:rFonts w:ascii="Arial Narrow" w:hAnsi="Arial Narrow"/>
        </w:rPr>
        <w:t>adjuntado</w:t>
      </w:r>
      <w:r w:rsidR="002641A1" w:rsidRPr="002641A1">
        <w:rPr>
          <w:rFonts w:ascii="Arial Narrow" w:hAnsi="Arial Narrow"/>
        </w:rPr>
        <w:t>s</w:t>
      </w:r>
      <w:r w:rsidRPr="002641A1">
        <w:rPr>
          <w:rFonts w:ascii="Arial Narrow" w:hAnsi="Arial Narrow"/>
        </w:rPr>
        <w:t xml:space="preserve"> en el </w:t>
      </w:r>
      <w:r w:rsidR="002641A1" w:rsidRPr="002641A1">
        <w:rPr>
          <w:rFonts w:ascii="Arial Narrow" w:hAnsi="Arial Narrow"/>
        </w:rPr>
        <w:t xml:space="preserve">sistema </w:t>
      </w:r>
      <w:r w:rsidRPr="002641A1">
        <w:rPr>
          <w:rFonts w:ascii="Arial Narrow" w:hAnsi="Arial Narrow"/>
        </w:rPr>
        <w:t>PAO como evidencia</w:t>
      </w:r>
      <w:r w:rsidR="002641A1">
        <w:rPr>
          <w:rFonts w:ascii="Arial Narrow" w:hAnsi="Arial Narrow"/>
        </w:rPr>
        <w:t xml:space="preserve">; </w:t>
      </w:r>
      <w:r w:rsidR="002641A1" w:rsidRPr="002641A1">
        <w:rPr>
          <w:rFonts w:ascii="Arial Narrow" w:hAnsi="Arial Narrow"/>
        </w:rPr>
        <w:t>con excepción de p</w:t>
      </w:r>
      <w:r w:rsidR="002641A1" w:rsidRPr="00704B08">
        <w:rPr>
          <w:rFonts w:ascii="Arial Narrow" w:hAnsi="Arial Narrow"/>
        </w:rPr>
        <w:t>royecto constructivo del Organismo de Investigación Judicial (San José)</w:t>
      </w:r>
      <w:r w:rsidR="002641A1" w:rsidRPr="00704B08">
        <w:rPr>
          <w:rFonts w:ascii="Arial Narrow" w:hAnsi="Arial Narrow"/>
          <w:lang w:val="es-CR" w:eastAsia="es-CR"/>
        </w:rPr>
        <w:t xml:space="preserve"> el cual al cierre del mes de diciembre 2020 report</w:t>
      </w:r>
      <w:r w:rsidR="002641A1">
        <w:rPr>
          <w:rFonts w:ascii="Arial Narrow" w:hAnsi="Arial Narrow"/>
          <w:lang w:val="es-CR" w:eastAsia="es-CR"/>
        </w:rPr>
        <w:t>ó</w:t>
      </w:r>
      <w:r w:rsidR="002641A1" w:rsidRPr="00704B08">
        <w:rPr>
          <w:rFonts w:ascii="Arial Narrow" w:hAnsi="Arial Narrow"/>
          <w:lang w:val="es-CR" w:eastAsia="es-CR"/>
        </w:rPr>
        <w:t xml:space="preserve"> un 75% de avance en el proyecto, debido a que el procedimiento inicial fue apelado y se debió tramitar nuevamente.</w:t>
      </w:r>
    </w:p>
    <w:p w14:paraId="1F0DBFDE" w14:textId="6D866922" w:rsidR="00351D12" w:rsidRPr="00C9711A" w:rsidRDefault="00351D12">
      <w:pPr>
        <w:spacing w:line="360" w:lineRule="auto"/>
        <w:jc w:val="both"/>
        <w:rPr>
          <w:rFonts w:ascii="Arial Narrow" w:hAnsi="Arial Narrow"/>
        </w:rPr>
      </w:pPr>
    </w:p>
    <w:p w14:paraId="1D020A7C" w14:textId="5BB36748" w:rsidR="00351D12" w:rsidRPr="00C9711A" w:rsidRDefault="00351D12" w:rsidP="00C9711A">
      <w:pPr>
        <w:spacing w:line="360" w:lineRule="auto"/>
        <w:jc w:val="both"/>
        <w:rPr>
          <w:rFonts w:ascii="Arial Narrow" w:hAnsi="Arial Narrow"/>
        </w:rPr>
      </w:pPr>
      <w:r w:rsidRPr="00C9711A">
        <w:rPr>
          <w:rFonts w:ascii="Arial Narrow" w:hAnsi="Arial Narrow"/>
        </w:rPr>
        <w:t>Adicionalmente, la Dirección Ejecutiva el 1</w:t>
      </w:r>
      <w:r w:rsidR="00356026">
        <w:rPr>
          <w:rFonts w:ascii="Arial Narrow" w:hAnsi="Arial Narrow"/>
        </w:rPr>
        <w:t>°</w:t>
      </w:r>
      <w:r w:rsidRPr="00C9711A">
        <w:rPr>
          <w:rFonts w:ascii="Arial Narrow" w:hAnsi="Arial Narrow"/>
        </w:rPr>
        <w:t xml:space="preserve"> de octubre del presente año comunica que, a través del Fideicomiso </w:t>
      </w:r>
      <w:r w:rsidR="00D1013B" w:rsidRPr="00C9711A">
        <w:rPr>
          <w:rFonts w:ascii="Arial Narrow" w:hAnsi="Arial Narrow"/>
        </w:rPr>
        <w:t>Inm</w:t>
      </w:r>
      <w:r w:rsidRPr="00C9711A">
        <w:rPr>
          <w:rFonts w:ascii="Arial Narrow" w:hAnsi="Arial Narrow"/>
        </w:rPr>
        <w:t xml:space="preserve">obiliario, el Poder Judicial contempla en las construcciones todos los aspectos mencionados considerando el diseño universal y certificación básica LEED, bajo planes de </w:t>
      </w:r>
      <w:r w:rsidR="00645BE8" w:rsidRPr="00645BE8">
        <w:rPr>
          <w:rFonts w:ascii="Arial Narrow" w:hAnsi="Arial Narrow"/>
        </w:rPr>
        <w:t>ejecución. Para</w:t>
      </w:r>
      <w:r w:rsidRPr="00C9711A">
        <w:rPr>
          <w:rFonts w:ascii="Arial Narrow" w:hAnsi="Arial Narrow"/>
        </w:rPr>
        <w:t xml:space="preserve"> los proyectos constructivos que desarrolla la institución con el presupuesto ordinario por parte del Departamento de Servicios Generales, se certifican bajo la norma EDGE y se observa la ley 7600 para garantizar la accesibilidad.</w:t>
      </w:r>
    </w:p>
    <w:p w14:paraId="7258F995" w14:textId="77777777" w:rsidR="00351D12" w:rsidRPr="00C9711A" w:rsidRDefault="00351D12" w:rsidP="00C9711A">
      <w:pPr>
        <w:spacing w:line="360" w:lineRule="auto"/>
        <w:jc w:val="both"/>
        <w:rPr>
          <w:rFonts w:ascii="Arial Narrow" w:hAnsi="Arial Narrow"/>
        </w:rPr>
      </w:pPr>
    </w:p>
    <w:p w14:paraId="587C341D" w14:textId="4ED849F7" w:rsidR="00351D12" w:rsidRPr="00C9711A" w:rsidRDefault="00351D12">
      <w:pPr>
        <w:spacing w:line="360" w:lineRule="auto"/>
        <w:jc w:val="both"/>
        <w:rPr>
          <w:rFonts w:ascii="Arial Narrow" w:hAnsi="Arial Narrow"/>
        </w:rPr>
      </w:pPr>
      <w:r w:rsidRPr="00C9711A">
        <w:rPr>
          <w:rFonts w:ascii="Arial Narrow" w:hAnsi="Arial Narrow"/>
        </w:rPr>
        <w:t xml:space="preserve">En cuanto a lo relacionado con aulas de capacitación y espacio para uso de bicicletas, tanto en los proyectos del fideicomiso, como los que se realizan con recursos propios, </w:t>
      </w:r>
      <w:r w:rsidR="00645BE8">
        <w:rPr>
          <w:rFonts w:ascii="Arial Narrow" w:hAnsi="Arial Narrow"/>
        </w:rPr>
        <w:t xml:space="preserve">la Dirección Ejecutiva comunica que </w:t>
      </w:r>
      <w:r w:rsidRPr="00C9711A">
        <w:rPr>
          <w:rFonts w:ascii="Arial Narrow" w:hAnsi="Arial Narrow"/>
        </w:rPr>
        <w:t>se solicitan estas áreas como parte de los requerimientos de las obras.</w:t>
      </w:r>
    </w:p>
    <w:p w14:paraId="751F7903" w14:textId="5A9A7779" w:rsidR="00351D12" w:rsidRDefault="00351D12">
      <w:pPr>
        <w:spacing w:line="360" w:lineRule="auto"/>
        <w:jc w:val="both"/>
        <w:rPr>
          <w:rFonts w:ascii="Arial Narrow" w:eastAsia="Calibri" w:hAnsi="Arial Narrow"/>
        </w:rPr>
      </w:pPr>
    </w:p>
    <w:p w14:paraId="72E648A0" w14:textId="077D2301" w:rsidR="00645BE8" w:rsidRDefault="00645BE8">
      <w:pPr>
        <w:spacing w:line="360" w:lineRule="auto"/>
        <w:jc w:val="both"/>
        <w:rPr>
          <w:rFonts w:ascii="Arial Narrow" w:eastAsia="Calibri" w:hAnsi="Arial Narrow"/>
        </w:rPr>
      </w:pPr>
    </w:p>
    <w:p w14:paraId="66B4A106" w14:textId="3A923DD8" w:rsidR="00645BE8" w:rsidRDefault="00645BE8">
      <w:pPr>
        <w:spacing w:line="360" w:lineRule="auto"/>
        <w:jc w:val="both"/>
        <w:rPr>
          <w:rFonts w:ascii="Arial Narrow" w:eastAsia="Calibri" w:hAnsi="Arial Narrow"/>
        </w:rPr>
      </w:pPr>
    </w:p>
    <w:p w14:paraId="175B5912" w14:textId="77777777" w:rsidR="00645BE8" w:rsidRPr="002641A1" w:rsidRDefault="00645BE8">
      <w:pPr>
        <w:spacing w:line="360" w:lineRule="auto"/>
        <w:jc w:val="both"/>
        <w:rPr>
          <w:rFonts w:ascii="Arial Narrow" w:eastAsia="Calibri" w:hAnsi="Arial Narrow"/>
        </w:rPr>
      </w:pPr>
    </w:p>
    <w:p w14:paraId="3E15ED5E" w14:textId="1C857ACB" w:rsidR="0013426D" w:rsidRPr="00704B08" w:rsidRDefault="0013426D" w:rsidP="00704B08">
      <w:pPr>
        <w:spacing w:line="360" w:lineRule="auto"/>
        <w:jc w:val="both"/>
        <w:rPr>
          <w:rFonts w:ascii="Arial Narrow" w:eastAsia="Calibri" w:hAnsi="Arial Narrow"/>
        </w:rPr>
      </w:pPr>
    </w:p>
    <w:p w14:paraId="1C418786" w14:textId="4449171F" w:rsidR="00DC7684" w:rsidRPr="00704B08" w:rsidRDefault="000C0EC5">
      <w:pPr>
        <w:spacing w:line="360" w:lineRule="auto"/>
        <w:jc w:val="both"/>
        <w:rPr>
          <w:rFonts w:ascii="Arial Narrow" w:hAnsi="Arial Narrow" w:cs="Arial"/>
          <w:b/>
          <w:bCs/>
          <w:color w:val="000000"/>
          <w:lang w:val="es-CR" w:eastAsia="es-CR"/>
        </w:rPr>
      </w:pPr>
      <w:r>
        <w:rPr>
          <w:rFonts w:ascii="Arial Narrow" w:hAnsi="Arial Narrow" w:cs="Calibri"/>
          <w:color w:val="000000"/>
          <w:lang w:val="es-CR" w:eastAsia="es-CR"/>
        </w:rPr>
        <w:t>Por su parte, la</w:t>
      </w:r>
      <w:r w:rsidRPr="002E0B96">
        <w:rPr>
          <w:rFonts w:ascii="Arial Narrow" w:hAnsi="Arial Narrow" w:cs="Calibri"/>
          <w:color w:val="000000"/>
          <w:lang w:val="es-CR" w:eastAsia="es-CR"/>
        </w:rPr>
        <w:t xml:space="preserve"> meta estratégica</w:t>
      </w:r>
      <w:r>
        <w:rPr>
          <w:rFonts w:ascii="Arial Narrow" w:hAnsi="Arial Narrow" w:cs="Calibri"/>
          <w:color w:val="000000"/>
          <w:lang w:val="es-CR" w:eastAsia="es-CR"/>
        </w:rPr>
        <w:t xml:space="preserve"> “</w:t>
      </w:r>
      <w:r w:rsidR="00B14447" w:rsidRPr="00704B08">
        <w:rPr>
          <w:rFonts w:ascii="Arial Narrow" w:hAnsi="Arial Narrow" w:cs="Arial"/>
          <w:b/>
          <w:bCs/>
          <w:i/>
          <w:iCs/>
          <w:color w:val="000000"/>
          <w:lang w:val="es-CR" w:eastAsia="es-CR"/>
        </w:rPr>
        <w:t>Que al finalizar el 2024, se haya desarrollado y ejecutado los planes de mantenimiento preventivo de infraestructura judicial regional a largo plazo</w:t>
      </w:r>
      <w:r>
        <w:rPr>
          <w:rFonts w:ascii="Arial Narrow" w:hAnsi="Arial Narrow" w:cs="Arial"/>
          <w:b/>
          <w:bCs/>
          <w:color w:val="000000"/>
          <w:lang w:val="es-CR" w:eastAsia="es-CR"/>
        </w:rPr>
        <w:t>”</w:t>
      </w:r>
      <w:r w:rsidR="00356026">
        <w:rPr>
          <w:rFonts w:ascii="Arial Narrow" w:hAnsi="Arial Narrow" w:cs="Arial"/>
          <w:b/>
          <w:bCs/>
          <w:color w:val="000000"/>
          <w:lang w:val="es-CR" w:eastAsia="es-CR"/>
        </w:rPr>
        <w:t>,</w:t>
      </w:r>
      <w:r w:rsidR="001A4ECD">
        <w:rPr>
          <w:rFonts w:ascii="Arial Narrow" w:hAnsi="Arial Narrow" w:cs="Arial"/>
          <w:b/>
          <w:bCs/>
          <w:color w:val="000000"/>
          <w:lang w:val="es-CR" w:eastAsia="es-CR"/>
        </w:rPr>
        <w:t xml:space="preserve"> </w:t>
      </w:r>
      <w:r>
        <w:rPr>
          <w:rFonts w:ascii="Arial Narrow" w:eastAsia="Calibri" w:hAnsi="Arial Narrow"/>
        </w:rPr>
        <w:t>d</w:t>
      </w:r>
      <w:r w:rsidR="00B14447" w:rsidRPr="00FE61D5">
        <w:rPr>
          <w:rFonts w:ascii="Arial Narrow" w:eastAsia="Calibri" w:hAnsi="Arial Narrow"/>
        </w:rPr>
        <w:t xml:space="preserve">e acuerdo con la revisión efectuada se logró determinar </w:t>
      </w:r>
      <w:r w:rsidR="00FE61D5" w:rsidRPr="00FE61D5">
        <w:rPr>
          <w:rFonts w:ascii="Arial Narrow" w:eastAsia="Calibri" w:hAnsi="Arial Narrow"/>
        </w:rPr>
        <w:t xml:space="preserve">que esta meta </w:t>
      </w:r>
      <w:r w:rsidR="00B14447" w:rsidRPr="00FE61D5">
        <w:rPr>
          <w:rFonts w:ascii="Arial Narrow" w:eastAsia="Calibri" w:hAnsi="Arial Narrow"/>
        </w:rPr>
        <w:t>fue cancelada en el 2019 desde la ejecución operativa con base en el oficio 4694-DE-2019, los proyectos constructivos de Siquirres, Sarapiquí fueron suspendidos por falta de financiamiento. Esto fue aprobado por la sesión 6-2019 de la Comisión de Construcciones, artículo III; de lo cual el Consejo Superior en la sesión 64-2019 celebrada el 18 de julio de 2019, artículo XXIV, acordó tomar nota; y la Corte Plena en la sesión 36-2019 celebrada el 26 de agosto de 2019, artículo XIX acordó tener por conocido el acuerdo adoptado por la Comisión.</w:t>
      </w:r>
      <w:r w:rsidR="00FE61D5" w:rsidRPr="00FE61D5">
        <w:rPr>
          <w:rFonts w:ascii="Arial Narrow" w:eastAsia="Calibri" w:hAnsi="Arial Narrow"/>
        </w:rPr>
        <w:t xml:space="preserve"> Sin embargo, para el año 2020 se volvió a incorporar y se indica en los avances correspondientes que l</w:t>
      </w:r>
      <w:r w:rsidR="00DC7684" w:rsidRPr="00704B08">
        <w:rPr>
          <w:rFonts w:ascii="Arial Narrow" w:hAnsi="Arial Narrow"/>
        </w:rPr>
        <w:t xml:space="preserve">as Administraciones </w:t>
      </w:r>
      <w:r w:rsidR="00FE61D5" w:rsidRPr="00704B08">
        <w:rPr>
          <w:rFonts w:ascii="Arial Narrow" w:hAnsi="Arial Narrow"/>
        </w:rPr>
        <w:t>R</w:t>
      </w:r>
      <w:r w:rsidR="00DC7684" w:rsidRPr="00704B08">
        <w:rPr>
          <w:rFonts w:ascii="Arial Narrow" w:hAnsi="Arial Narrow"/>
        </w:rPr>
        <w:t xml:space="preserve">egionales, así como responsables de programas comunicaron  </w:t>
      </w:r>
      <w:r w:rsidR="00FE61D5" w:rsidRPr="00704B08">
        <w:rPr>
          <w:rFonts w:ascii="Arial Narrow" w:hAnsi="Arial Narrow"/>
        </w:rPr>
        <w:t xml:space="preserve">han </w:t>
      </w:r>
      <w:r w:rsidR="00DC7684" w:rsidRPr="00704B08">
        <w:rPr>
          <w:rFonts w:ascii="Arial Narrow" w:hAnsi="Arial Narrow"/>
        </w:rPr>
        <w:t xml:space="preserve"> brindado asesoramiento a la totalidad de las solicitudes presentadas para valorar adecuaciones a la infraestructura, según las necesidades propias de la situación de emergencia y  las ordenes sanitarias</w:t>
      </w:r>
      <w:r w:rsidR="00FE61D5" w:rsidRPr="00704B08">
        <w:rPr>
          <w:rFonts w:ascii="Arial Narrow" w:hAnsi="Arial Narrow"/>
        </w:rPr>
        <w:t xml:space="preserve"> presentadas</w:t>
      </w:r>
      <w:r w:rsidR="00DC7684" w:rsidRPr="00704B08">
        <w:rPr>
          <w:rFonts w:ascii="Arial Narrow" w:hAnsi="Arial Narrow"/>
        </w:rPr>
        <w:t xml:space="preserve">, a las cuales el Departamento de Servicios Generales </w:t>
      </w:r>
      <w:r w:rsidR="00FE61D5" w:rsidRPr="00704B08">
        <w:rPr>
          <w:rFonts w:ascii="Arial Narrow" w:hAnsi="Arial Narrow"/>
        </w:rPr>
        <w:t xml:space="preserve">ofrece </w:t>
      </w:r>
      <w:r w:rsidR="00DC7684" w:rsidRPr="00704B08">
        <w:rPr>
          <w:rFonts w:ascii="Arial Narrow" w:hAnsi="Arial Narrow"/>
        </w:rPr>
        <w:t xml:space="preserve">una solución técnica </w:t>
      </w:r>
      <w:r w:rsidR="00FE61D5" w:rsidRPr="00704B08">
        <w:rPr>
          <w:rFonts w:ascii="Arial Narrow" w:hAnsi="Arial Narrow"/>
        </w:rPr>
        <w:t xml:space="preserve">y remite </w:t>
      </w:r>
      <w:r w:rsidR="00DC7684" w:rsidRPr="00704B08">
        <w:rPr>
          <w:rFonts w:ascii="Arial Narrow" w:hAnsi="Arial Narrow"/>
        </w:rPr>
        <w:t xml:space="preserve">a la Dirección Jurídica. </w:t>
      </w:r>
    </w:p>
    <w:p w14:paraId="3FB36E5B" w14:textId="77777777" w:rsidR="009D5823" w:rsidRDefault="009D5823" w:rsidP="001A4ECD">
      <w:pPr>
        <w:spacing w:line="360" w:lineRule="auto"/>
        <w:jc w:val="both"/>
        <w:rPr>
          <w:rFonts w:ascii="Arial Narrow" w:hAnsi="Arial Narrow" w:cs="Arial"/>
          <w:b/>
          <w:bCs/>
          <w:color w:val="000000"/>
          <w:lang w:val="es-CR" w:eastAsia="es-CR"/>
        </w:rPr>
        <w:sectPr w:rsidR="009D5823" w:rsidSect="009D5823">
          <w:pgSz w:w="12242" w:h="15842" w:code="1"/>
          <w:pgMar w:top="1701" w:right="1417" w:bottom="1701" w:left="1417" w:header="709" w:footer="709" w:gutter="0"/>
          <w:cols w:space="708"/>
          <w:docGrid w:linePitch="360"/>
        </w:sectPr>
      </w:pPr>
    </w:p>
    <w:p w14:paraId="1D2AE163" w14:textId="1C107DB6" w:rsidR="001A4ECD" w:rsidRPr="00A618D8" w:rsidRDefault="001A4ECD" w:rsidP="001A4ECD">
      <w:pPr>
        <w:spacing w:line="360" w:lineRule="auto"/>
        <w:jc w:val="both"/>
        <w:rPr>
          <w:rFonts w:ascii="Arial Narrow" w:hAnsi="Arial Narrow" w:cs="Arial"/>
          <w:b/>
          <w:bCs/>
          <w:color w:val="000000"/>
          <w:lang w:val="es-CR" w:eastAsia="es-CR"/>
        </w:rPr>
      </w:pPr>
    </w:p>
    <w:p w14:paraId="1115459F" w14:textId="1704DF5D" w:rsidR="001A4ECD" w:rsidRDefault="001A4ECD" w:rsidP="001A4ECD">
      <w:pPr>
        <w:pStyle w:val="Descripcin"/>
        <w:jc w:val="center"/>
        <w:rPr>
          <w:rFonts w:ascii="Arial Narrow" w:eastAsia="Calibri" w:hAnsi="Arial Narrow"/>
          <w:sz w:val="24"/>
          <w:szCs w:val="24"/>
        </w:rPr>
      </w:pPr>
      <w:bookmarkStart w:id="136" w:name="_Toc76062306"/>
      <w:r w:rsidRPr="00484CC1">
        <w:rPr>
          <w:rFonts w:ascii="Arial Narrow" w:hAnsi="Arial Narrow"/>
          <w:sz w:val="24"/>
          <w:szCs w:val="24"/>
        </w:rPr>
        <w:t>Cuadro</w:t>
      </w:r>
      <w:r>
        <w:rPr>
          <w:rFonts w:ascii="Arial Narrow" w:hAnsi="Arial Narrow"/>
          <w:sz w:val="24"/>
          <w:szCs w:val="24"/>
        </w:rPr>
        <w:t xml:space="preserve"> </w:t>
      </w:r>
      <w:r w:rsidRPr="00484CC1">
        <w:rPr>
          <w:rFonts w:ascii="Arial Narrow" w:hAnsi="Arial Narrow"/>
          <w:sz w:val="24"/>
          <w:szCs w:val="24"/>
        </w:rPr>
        <w:fldChar w:fldCharType="begin"/>
      </w:r>
      <w:r w:rsidRPr="00484CC1">
        <w:rPr>
          <w:rFonts w:ascii="Arial Narrow" w:hAnsi="Arial Narrow"/>
          <w:sz w:val="24"/>
          <w:szCs w:val="24"/>
        </w:rPr>
        <w:instrText xml:space="preserve"> SEQ Cuadro_No. \* ARABIC </w:instrText>
      </w:r>
      <w:r w:rsidRPr="00484CC1">
        <w:rPr>
          <w:rFonts w:ascii="Arial Narrow" w:hAnsi="Arial Narrow"/>
          <w:sz w:val="24"/>
          <w:szCs w:val="24"/>
        </w:rPr>
        <w:fldChar w:fldCharType="separate"/>
      </w:r>
      <w:r w:rsidR="009D5823">
        <w:rPr>
          <w:rFonts w:ascii="Arial Narrow" w:hAnsi="Arial Narrow"/>
          <w:noProof/>
          <w:sz w:val="24"/>
          <w:szCs w:val="24"/>
        </w:rPr>
        <w:t>83</w:t>
      </w:r>
      <w:r w:rsidRPr="00484CC1">
        <w:rPr>
          <w:rFonts w:ascii="Arial Narrow" w:hAnsi="Arial Narrow"/>
          <w:sz w:val="24"/>
          <w:szCs w:val="24"/>
        </w:rPr>
        <w:fldChar w:fldCharType="end"/>
      </w:r>
      <w:r w:rsidRPr="00484CC1">
        <w:rPr>
          <w:rFonts w:ascii="Arial Narrow" w:hAnsi="Arial Narrow"/>
          <w:sz w:val="24"/>
          <w:szCs w:val="24"/>
        </w:rPr>
        <w:t xml:space="preserve"> </w:t>
      </w:r>
      <w:r w:rsidRPr="00317FC1">
        <w:rPr>
          <w:rFonts w:ascii="Arial Narrow" w:eastAsia="Calibri" w:hAnsi="Arial Narrow"/>
          <w:sz w:val="24"/>
          <w:szCs w:val="24"/>
        </w:rPr>
        <w:t>Metas estratégicas de Gestión estratégica institucional, y su cumplimiento para el 2019</w:t>
      </w:r>
      <w:r>
        <w:rPr>
          <w:rFonts w:ascii="Arial Narrow" w:eastAsia="Calibri" w:hAnsi="Arial Narrow"/>
          <w:sz w:val="24"/>
          <w:szCs w:val="24"/>
        </w:rPr>
        <w:t xml:space="preserve"> y 2020.</w:t>
      </w:r>
      <w:bookmarkEnd w:id="136"/>
    </w:p>
    <w:p w14:paraId="1FB9DAC0" w14:textId="77777777" w:rsidR="008B4E6D" w:rsidRPr="00704B08" w:rsidRDefault="008B4E6D" w:rsidP="00704B08">
      <w:pPr>
        <w:rPr>
          <w:rFonts w:eastAsia="Calibri"/>
        </w:rPr>
      </w:pPr>
    </w:p>
    <w:p w14:paraId="50242590" w14:textId="6BF11A19" w:rsidR="00166273" w:rsidRPr="00704B08" w:rsidRDefault="008B4E6D" w:rsidP="00704B08">
      <w:pPr>
        <w:rPr>
          <w:rFonts w:eastAsia="Calibri"/>
        </w:rPr>
      </w:pPr>
      <w:r>
        <w:rPr>
          <w:noProof/>
          <w:lang w:val="es-CR" w:eastAsia="es-CR"/>
        </w:rPr>
        <w:drawing>
          <wp:inline distT="0" distB="0" distL="0" distR="0" wp14:anchorId="1B831869" wp14:editId="1CD34AD2">
            <wp:extent cx="7899400" cy="1394460"/>
            <wp:effectExtent l="57150" t="57150" r="101600" b="91440"/>
            <wp:docPr id="192" name="Imagen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7899400" cy="1394460"/>
                    </a:xfrm>
                    <a:prstGeom prst="rect">
                      <a:avLst/>
                    </a:prstGeom>
                    <a:ln w="9525" cap="sq">
                      <a:solidFill>
                        <a:srgbClr val="00B0F0"/>
                      </a:solidFill>
                      <a:prstDash val="solid"/>
                      <a:miter lim="800000"/>
                    </a:ln>
                    <a:effectLst>
                      <a:outerShdw blurRad="50800" dist="38100" dir="2700000" algn="tl" rotWithShape="0">
                        <a:srgbClr val="000000">
                          <a:alpha val="43000"/>
                        </a:srgbClr>
                      </a:outerShdw>
                    </a:effectLst>
                  </pic:spPr>
                </pic:pic>
              </a:graphicData>
            </a:graphic>
          </wp:inline>
        </w:drawing>
      </w:r>
    </w:p>
    <w:p w14:paraId="2AC734C4" w14:textId="0008AB7F" w:rsidR="00166273" w:rsidRDefault="00166273" w:rsidP="00166273">
      <w:pPr>
        <w:ind w:left="708"/>
        <w:jc w:val="center"/>
        <w:rPr>
          <w:rFonts w:ascii="Arial Narrow" w:eastAsia="Calibri" w:hAnsi="Arial Narrow"/>
          <w:sz w:val="18"/>
          <w:szCs w:val="18"/>
          <w:lang w:eastAsia="en-US"/>
        </w:rPr>
      </w:pPr>
    </w:p>
    <w:p w14:paraId="017B71BB" w14:textId="15EC7167" w:rsidR="001A4ECD" w:rsidRPr="00704B08" w:rsidRDefault="001A4ECD" w:rsidP="00704B08">
      <w:pPr>
        <w:ind w:left="708"/>
        <w:rPr>
          <w:rFonts w:eastAsia="Calibri"/>
        </w:rPr>
      </w:pPr>
      <w:r w:rsidRPr="000B4845">
        <w:rPr>
          <w:rFonts w:ascii="Arial Narrow" w:eastAsia="Calibri" w:hAnsi="Arial Narrow"/>
          <w:sz w:val="18"/>
          <w:szCs w:val="18"/>
          <w:lang w:eastAsia="en-US"/>
        </w:rPr>
        <w:t>Fuente: Sistema PEI al 24 de enero del 2020 (año 2019)</w:t>
      </w:r>
      <w:r>
        <w:rPr>
          <w:rFonts w:ascii="Arial Narrow" w:eastAsia="Calibri" w:hAnsi="Arial Narrow"/>
          <w:sz w:val="18"/>
          <w:szCs w:val="18"/>
          <w:lang w:eastAsia="en-US"/>
        </w:rPr>
        <w:t xml:space="preserve"> y 04 de marzo del 2021 (año 2020).</w:t>
      </w:r>
    </w:p>
    <w:p w14:paraId="1C22BEB5" w14:textId="77777777" w:rsidR="00DC7684" w:rsidRDefault="00DC7684" w:rsidP="00B14447">
      <w:pPr>
        <w:spacing w:line="360" w:lineRule="auto"/>
        <w:jc w:val="both"/>
        <w:rPr>
          <w:rFonts w:ascii="Arial Narrow" w:eastAsia="Calibri" w:hAnsi="Arial Narrow"/>
        </w:rPr>
      </w:pPr>
    </w:p>
    <w:p w14:paraId="3D80A438" w14:textId="77777777" w:rsidR="001A4ECD" w:rsidRPr="00704B08" w:rsidRDefault="001A4ECD" w:rsidP="00704B08">
      <w:pPr>
        <w:spacing w:line="360" w:lineRule="auto"/>
        <w:rPr>
          <w:rFonts w:ascii="Arial Narrow" w:hAnsi="Arial Narrow" w:cs="Arial"/>
          <w:b/>
          <w:bCs/>
          <w:color w:val="000000"/>
          <w:lang w:val="es-CR" w:eastAsia="es-CR"/>
        </w:rPr>
      </w:pPr>
    </w:p>
    <w:p w14:paraId="1616EA69" w14:textId="4308EAF6" w:rsidR="009D5823" w:rsidRDefault="000C0EC5">
      <w:pPr>
        <w:spacing w:line="360" w:lineRule="auto"/>
        <w:jc w:val="both"/>
        <w:rPr>
          <w:rFonts w:ascii="Arial Narrow" w:eastAsia="Calibri" w:hAnsi="Arial Narrow"/>
        </w:rPr>
        <w:sectPr w:rsidR="009D5823" w:rsidSect="009D5823">
          <w:pgSz w:w="15842" w:h="12242" w:orient="landscape" w:code="1"/>
          <w:pgMar w:top="1417" w:right="1701" w:bottom="1417" w:left="1701" w:header="709" w:footer="709" w:gutter="0"/>
          <w:cols w:space="708"/>
          <w:docGrid w:linePitch="360"/>
        </w:sectPr>
      </w:pPr>
      <w:r>
        <w:rPr>
          <w:rFonts w:ascii="Arial Narrow" w:hAnsi="Arial Narrow" w:cs="Calibri"/>
          <w:color w:val="000000"/>
          <w:lang w:val="es-CR" w:eastAsia="es-CR"/>
        </w:rPr>
        <w:t>La</w:t>
      </w:r>
      <w:r w:rsidRPr="002E0B96">
        <w:rPr>
          <w:rFonts w:ascii="Arial Narrow" w:hAnsi="Arial Narrow" w:cs="Calibri"/>
          <w:color w:val="000000"/>
          <w:lang w:val="es-CR" w:eastAsia="es-CR"/>
        </w:rPr>
        <w:t xml:space="preserve"> meta estratégica</w:t>
      </w:r>
      <w:r>
        <w:rPr>
          <w:rFonts w:ascii="Arial Narrow" w:hAnsi="Arial Narrow" w:cs="Calibri"/>
          <w:color w:val="000000"/>
          <w:lang w:val="es-CR" w:eastAsia="es-CR"/>
        </w:rPr>
        <w:t xml:space="preserve"> “</w:t>
      </w:r>
      <w:r w:rsidR="00B14447" w:rsidRPr="00704B08">
        <w:rPr>
          <w:rFonts w:ascii="Arial Narrow" w:hAnsi="Arial Narrow" w:cs="Arial"/>
          <w:b/>
          <w:bCs/>
          <w:i/>
          <w:iCs/>
          <w:color w:val="000000"/>
          <w:lang w:val="es-CR" w:eastAsia="es-CR"/>
        </w:rPr>
        <w:t>Que al finalizar el 2024, se haya implementado el Modelo de Gestión para la Planificación Estratégica, que integre el modelo de innovación, el portafolio de proyectos estratégicos, los planes anuales operativos, el presupuesto y el modelo de riesgos estratégicos</w:t>
      </w:r>
      <w:r>
        <w:rPr>
          <w:rFonts w:ascii="Arial Narrow" w:hAnsi="Arial Narrow" w:cs="Arial"/>
          <w:b/>
          <w:bCs/>
          <w:color w:val="000000"/>
          <w:lang w:val="es-CR" w:eastAsia="es-CR"/>
        </w:rPr>
        <w:t>”</w:t>
      </w:r>
      <w:r w:rsidR="00356026">
        <w:rPr>
          <w:rFonts w:ascii="Arial Narrow" w:hAnsi="Arial Narrow" w:cs="Arial"/>
          <w:b/>
          <w:bCs/>
          <w:color w:val="000000"/>
          <w:lang w:val="es-CR" w:eastAsia="es-CR"/>
        </w:rPr>
        <w:t>,</w:t>
      </w:r>
      <w:r w:rsidR="001A4ECD">
        <w:rPr>
          <w:rFonts w:ascii="Arial Narrow" w:hAnsi="Arial Narrow" w:cs="Arial"/>
          <w:b/>
          <w:bCs/>
          <w:color w:val="000000"/>
          <w:lang w:val="es-CR" w:eastAsia="es-CR"/>
        </w:rPr>
        <w:t xml:space="preserve"> </w:t>
      </w:r>
      <w:r>
        <w:rPr>
          <w:rFonts w:ascii="Arial Narrow" w:eastAsia="Calibri" w:hAnsi="Arial Narrow"/>
        </w:rPr>
        <w:t>e</w:t>
      </w:r>
      <w:r w:rsidR="0029558C">
        <w:rPr>
          <w:rFonts w:ascii="Arial Narrow" w:eastAsia="Calibri" w:hAnsi="Arial Narrow"/>
        </w:rPr>
        <w:t xml:space="preserve">n lo que respecta a esta meta estratégica </w:t>
      </w:r>
      <w:r w:rsidR="00B14447" w:rsidRPr="00FE61D5">
        <w:rPr>
          <w:rFonts w:ascii="Arial Narrow" w:eastAsia="Calibri" w:hAnsi="Arial Narrow"/>
        </w:rPr>
        <w:t xml:space="preserve">se tiene </w:t>
      </w:r>
      <w:r w:rsidR="001A4ECD">
        <w:rPr>
          <w:rFonts w:ascii="Arial Narrow" w:eastAsia="Calibri" w:hAnsi="Arial Narrow"/>
        </w:rPr>
        <w:t xml:space="preserve">para los años 2019 y 2020 </w:t>
      </w:r>
      <w:r w:rsidR="00B14447" w:rsidRPr="00FE61D5">
        <w:rPr>
          <w:rFonts w:ascii="Arial Narrow" w:eastAsia="Calibri" w:hAnsi="Arial Narrow"/>
        </w:rPr>
        <w:t>la rendición de un documento con el análisis de la planificación estratégica, la definición del contexto y los objetivos y metas estratégicas del Poder Judicial atinentes al Plan Estratégico de Tecnologías de Información y Comunicaciones. Por otro lado, se ha fortalecido el Modelo de Gestión para la Planificación Estratégica, que integra el modelo de innovación, el portafolio de proyectos estratégicos, los planes anuales operativos y el presupuesto y rendición de informe con las mejoras realizadas a los Sistemas PEI y PAO, así como la propuesta de proyecto para la Normalización de Procesos Institucional, estas últimas labores desarrolladas por diferentes Subprocesos de la Dirección de Planificación.</w:t>
      </w:r>
    </w:p>
    <w:p w14:paraId="1FA41386" w14:textId="5DBA3D02" w:rsidR="008E6926" w:rsidRDefault="008E6926" w:rsidP="006A4A35">
      <w:pPr>
        <w:spacing w:line="360" w:lineRule="auto"/>
        <w:jc w:val="both"/>
        <w:rPr>
          <w:rFonts w:ascii="Arial Narrow" w:eastAsia="Calibri" w:hAnsi="Arial Narrow"/>
        </w:rPr>
      </w:pPr>
      <w:bookmarkStart w:id="137" w:name="_Hlk53475332"/>
    </w:p>
    <w:bookmarkEnd w:id="137"/>
    <w:p w14:paraId="3BEA43A7" w14:textId="76A4FBDB" w:rsidR="00683968" w:rsidRPr="000B4845" w:rsidRDefault="009547D6" w:rsidP="005E067A">
      <w:pPr>
        <w:pStyle w:val="Ttulo4"/>
        <w:numPr>
          <w:ilvl w:val="0"/>
          <w:numId w:val="64"/>
        </w:numPr>
        <w:rPr>
          <w:rFonts w:eastAsia="Calibri"/>
        </w:rPr>
      </w:pPr>
      <w:r>
        <w:rPr>
          <w:rFonts w:eastAsia="Calibri"/>
        </w:rPr>
        <w:t xml:space="preserve">5.5.2. </w:t>
      </w:r>
      <w:r w:rsidR="00683968" w:rsidRPr="000B4845">
        <w:rPr>
          <w:rFonts w:eastAsia="Calibri"/>
        </w:rPr>
        <w:t xml:space="preserve">Gestión de </w:t>
      </w:r>
      <w:r w:rsidR="00683968" w:rsidRPr="00704B08">
        <w:rPr>
          <w:rFonts w:eastAsia="Calibri"/>
          <w:lang w:val="es-CR"/>
        </w:rPr>
        <w:t xml:space="preserve">políticas </w:t>
      </w:r>
      <w:r w:rsidR="00652A12" w:rsidRPr="00704B08">
        <w:rPr>
          <w:rFonts w:eastAsia="Calibri"/>
          <w:lang w:val="es-CR"/>
        </w:rPr>
        <w:t>Institucionales</w:t>
      </w:r>
    </w:p>
    <w:p w14:paraId="100D047C" w14:textId="77777777" w:rsidR="00683968" w:rsidRPr="000B4845" w:rsidRDefault="00683968" w:rsidP="00683968">
      <w:pPr>
        <w:rPr>
          <w:rFonts w:eastAsia="Calibri"/>
          <w:lang w:eastAsia="en-US"/>
        </w:rPr>
      </w:pPr>
    </w:p>
    <w:p w14:paraId="55593E2B" w14:textId="7DEC1DF2" w:rsidR="009D5823" w:rsidRDefault="008B4E6D" w:rsidP="008B4E6D">
      <w:pPr>
        <w:spacing w:line="360" w:lineRule="auto"/>
        <w:rPr>
          <w:rFonts w:ascii="Arial Narrow" w:eastAsia="Calibri" w:hAnsi="Arial Narrow"/>
        </w:rPr>
        <w:sectPr w:rsidR="009D5823" w:rsidSect="009D5823">
          <w:pgSz w:w="12242" w:h="15842" w:code="1"/>
          <w:pgMar w:top="1701" w:right="1417" w:bottom="1701" w:left="1417" w:header="709" w:footer="709" w:gutter="0"/>
          <w:cols w:space="708"/>
          <w:docGrid w:linePitch="360"/>
        </w:sectPr>
      </w:pPr>
      <w:r w:rsidRPr="00A618D8">
        <w:rPr>
          <w:rFonts w:ascii="Arial Narrow" w:eastAsia="Calibri" w:hAnsi="Arial Narrow"/>
          <w:lang w:val="es-CR" w:eastAsia="en-US"/>
        </w:rPr>
        <w:t xml:space="preserve">Se observa </w:t>
      </w:r>
      <w:r w:rsidR="00356026">
        <w:rPr>
          <w:rFonts w:ascii="Arial Narrow" w:eastAsia="Calibri" w:hAnsi="Arial Narrow"/>
          <w:lang w:val="es-CR" w:eastAsia="en-US"/>
        </w:rPr>
        <w:t>una</w:t>
      </w:r>
      <w:r w:rsidRPr="00A618D8">
        <w:rPr>
          <w:rFonts w:ascii="Arial Narrow" w:eastAsia="Calibri" w:hAnsi="Arial Narrow"/>
          <w:lang w:val="es-CR" w:eastAsia="en-US"/>
        </w:rPr>
        <w:t xml:space="preserve"> meta estratégica </w:t>
      </w:r>
      <w:r>
        <w:rPr>
          <w:rFonts w:ascii="Arial Narrow" w:eastAsia="Calibri" w:hAnsi="Arial Narrow"/>
          <w:lang w:val="es-CR" w:eastAsia="en-US"/>
        </w:rPr>
        <w:t xml:space="preserve">que </w:t>
      </w:r>
      <w:r w:rsidRPr="00A618D8">
        <w:rPr>
          <w:rFonts w:ascii="Arial Narrow" w:eastAsia="Calibri" w:hAnsi="Arial Narrow"/>
          <w:lang w:val="es-CR" w:eastAsia="en-US"/>
        </w:rPr>
        <w:t>refleja una ejecución total en su cumplimiento.</w:t>
      </w:r>
      <w:r w:rsidRPr="00A618D8">
        <w:rPr>
          <w:rFonts w:ascii="Arial Narrow" w:eastAsia="Calibri" w:hAnsi="Arial Narrow"/>
        </w:rPr>
        <w:t xml:space="preserve"> Se muestran a continuación el detalle de la meta estratégica y su cumplimiento para el 2019 y 2020</w:t>
      </w:r>
      <w:r>
        <w:rPr>
          <w:rFonts w:ascii="Arial Narrow" w:eastAsia="Calibri" w:hAnsi="Arial Narrow"/>
        </w:rPr>
        <w:t xml:space="preserve">: </w:t>
      </w:r>
    </w:p>
    <w:p w14:paraId="67D2B145" w14:textId="42370F78" w:rsidR="008B4E6D" w:rsidRDefault="008B4E6D" w:rsidP="008B4E6D">
      <w:pPr>
        <w:spacing w:line="360" w:lineRule="auto"/>
        <w:rPr>
          <w:rFonts w:ascii="Arial Narrow" w:eastAsia="Calibri" w:hAnsi="Arial Narrow"/>
        </w:rPr>
      </w:pPr>
    </w:p>
    <w:p w14:paraId="5F26F576" w14:textId="77777777" w:rsidR="00317FC1" w:rsidRDefault="00317FC1" w:rsidP="00683968">
      <w:pPr>
        <w:spacing w:line="360" w:lineRule="auto"/>
        <w:jc w:val="both"/>
        <w:rPr>
          <w:rFonts w:ascii="Arial Narrow" w:eastAsia="Calibri" w:hAnsi="Arial Narrow"/>
          <w:b/>
          <w:bCs/>
        </w:rPr>
      </w:pPr>
    </w:p>
    <w:p w14:paraId="17CCCE17" w14:textId="3194B478" w:rsidR="00317FC1" w:rsidRDefault="00317FC1" w:rsidP="00484CC1">
      <w:pPr>
        <w:pStyle w:val="Descripcin"/>
        <w:jc w:val="center"/>
        <w:rPr>
          <w:rFonts w:ascii="Arial Narrow" w:eastAsia="Calibri" w:hAnsi="Arial Narrow"/>
          <w:sz w:val="24"/>
          <w:szCs w:val="24"/>
        </w:rPr>
      </w:pPr>
      <w:bookmarkStart w:id="138" w:name="_Toc76062307"/>
      <w:r w:rsidRPr="00484CC1">
        <w:rPr>
          <w:rFonts w:ascii="Arial Narrow" w:hAnsi="Arial Narrow"/>
          <w:sz w:val="24"/>
          <w:szCs w:val="24"/>
        </w:rPr>
        <w:t xml:space="preserve">Cuadro No. </w:t>
      </w:r>
      <w:r w:rsidRPr="00484CC1">
        <w:rPr>
          <w:rFonts w:ascii="Arial Narrow" w:hAnsi="Arial Narrow"/>
          <w:sz w:val="24"/>
          <w:szCs w:val="24"/>
        </w:rPr>
        <w:fldChar w:fldCharType="begin"/>
      </w:r>
      <w:r w:rsidRPr="00484CC1">
        <w:rPr>
          <w:rFonts w:ascii="Arial Narrow" w:hAnsi="Arial Narrow"/>
          <w:sz w:val="24"/>
          <w:szCs w:val="24"/>
        </w:rPr>
        <w:instrText xml:space="preserve"> SEQ Cuadro_No. \* ARABIC </w:instrText>
      </w:r>
      <w:r w:rsidRPr="00484CC1">
        <w:rPr>
          <w:rFonts w:ascii="Arial Narrow" w:hAnsi="Arial Narrow"/>
          <w:sz w:val="24"/>
          <w:szCs w:val="24"/>
        </w:rPr>
        <w:fldChar w:fldCharType="separate"/>
      </w:r>
      <w:r w:rsidR="009D5823">
        <w:rPr>
          <w:rFonts w:ascii="Arial Narrow" w:hAnsi="Arial Narrow"/>
          <w:noProof/>
          <w:sz w:val="24"/>
          <w:szCs w:val="24"/>
        </w:rPr>
        <w:t>84</w:t>
      </w:r>
      <w:r w:rsidRPr="00484CC1">
        <w:rPr>
          <w:rFonts w:ascii="Arial Narrow" w:hAnsi="Arial Narrow"/>
          <w:sz w:val="24"/>
          <w:szCs w:val="24"/>
        </w:rPr>
        <w:fldChar w:fldCharType="end"/>
      </w:r>
      <w:r w:rsidRPr="00484CC1">
        <w:rPr>
          <w:rFonts w:ascii="Arial Narrow" w:hAnsi="Arial Narrow"/>
          <w:sz w:val="24"/>
          <w:szCs w:val="24"/>
        </w:rPr>
        <w:t xml:space="preserve"> </w:t>
      </w:r>
      <w:r w:rsidRPr="00317FC1">
        <w:rPr>
          <w:rFonts w:ascii="Arial Narrow" w:eastAsia="Calibri" w:hAnsi="Arial Narrow"/>
          <w:sz w:val="24"/>
          <w:szCs w:val="24"/>
        </w:rPr>
        <w:t>Metas estratégicas de Gestión políticas institucionales, y su cumplimiento para el 2019</w:t>
      </w:r>
      <w:r w:rsidR="006D6EE5">
        <w:rPr>
          <w:rFonts w:ascii="Arial Narrow" w:eastAsia="Calibri" w:hAnsi="Arial Narrow"/>
          <w:sz w:val="24"/>
          <w:szCs w:val="24"/>
        </w:rPr>
        <w:t xml:space="preserve"> y 2020</w:t>
      </w:r>
      <w:bookmarkEnd w:id="138"/>
    </w:p>
    <w:p w14:paraId="3206A06F" w14:textId="77777777" w:rsidR="000A1BD0" w:rsidRDefault="000A1BD0" w:rsidP="008E6926">
      <w:pPr>
        <w:rPr>
          <w:noProof/>
        </w:rPr>
      </w:pPr>
    </w:p>
    <w:p w14:paraId="56B39713" w14:textId="2618DEBB" w:rsidR="008E6926" w:rsidRPr="008E6926" w:rsidRDefault="006F29AA" w:rsidP="00704B08">
      <w:pPr>
        <w:jc w:val="center"/>
        <w:rPr>
          <w:rFonts w:eastAsia="Calibri"/>
        </w:rPr>
      </w:pPr>
      <w:r>
        <w:rPr>
          <w:noProof/>
          <w:lang w:val="es-CR" w:eastAsia="es-CR"/>
        </w:rPr>
        <w:drawing>
          <wp:inline distT="0" distB="0" distL="0" distR="0" wp14:anchorId="2325809B" wp14:editId="16C3FD94">
            <wp:extent cx="7899400" cy="1990591"/>
            <wp:effectExtent l="57150" t="57150" r="101600" b="86360"/>
            <wp:docPr id="193" name="Imagen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7907875" cy="1992727"/>
                    </a:xfrm>
                    <a:prstGeom prst="rect">
                      <a:avLst/>
                    </a:prstGeom>
                    <a:ln w="9525" cap="sq">
                      <a:solidFill>
                        <a:srgbClr val="00B0F0"/>
                      </a:solidFill>
                      <a:prstDash val="solid"/>
                      <a:miter lim="800000"/>
                    </a:ln>
                    <a:effectLst>
                      <a:outerShdw blurRad="50800" dist="38100" dir="2700000" algn="tl" rotWithShape="0">
                        <a:srgbClr val="000000">
                          <a:alpha val="43000"/>
                        </a:srgbClr>
                      </a:outerShdw>
                    </a:effectLst>
                  </pic:spPr>
                </pic:pic>
              </a:graphicData>
            </a:graphic>
          </wp:inline>
        </w:drawing>
      </w:r>
    </w:p>
    <w:p w14:paraId="4531AA60" w14:textId="77777777" w:rsidR="006F29AA" w:rsidRPr="00A618D8" w:rsidRDefault="006F29AA" w:rsidP="006F29AA">
      <w:pPr>
        <w:spacing w:line="360" w:lineRule="auto"/>
        <w:ind w:firstLine="708"/>
        <w:jc w:val="both"/>
        <w:rPr>
          <w:rFonts w:ascii="Arial Narrow" w:eastAsia="Calibri" w:hAnsi="Arial Narrow"/>
          <w:b/>
          <w:bCs/>
        </w:rPr>
      </w:pPr>
      <w:r w:rsidRPr="000B4845">
        <w:rPr>
          <w:rFonts w:ascii="Arial Narrow" w:eastAsia="Calibri" w:hAnsi="Arial Narrow"/>
          <w:sz w:val="18"/>
          <w:szCs w:val="18"/>
          <w:lang w:eastAsia="en-US"/>
        </w:rPr>
        <w:t>Fuente: Sistema PEI al 24 de enero del 2020 (año 2019)</w:t>
      </w:r>
      <w:r>
        <w:rPr>
          <w:rFonts w:ascii="Arial Narrow" w:eastAsia="Calibri" w:hAnsi="Arial Narrow"/>
          <w:sz w:val="18"/>
          <w:szCs w:val="18"/>
          <w:lang w:eastAsia="en-US"/>
        </w:rPr>
        <w:t xml:space="preserve"> y 04 de marzo del 2021 (año 2020).</w:t>
      </w:r>
    </w:p>
    <w:p w14:paraId="6F31D33C" w14:textId="77777777" w:rsidR="009D5823" w:rsidRDefault="009D5823">
      <w:pPr>
        <w:spacing w:line="360" w:lineRule="auto"/>
        <w:jc w:val="both"/>
        <w:rPr>
          <w:rFonts w:ascii="Arial Narrow" w:eastAsia="Calibri" w:hAnsi="Arial Narrow"/>
        </w:rPr>
        <w:sectPr w:rsidR="009D5823" w:rsidSect="009D5823">
          <w:pgSz w:w="15842" w:h="12242" w:orient="landscape" w:code="1"/>
          <w:pgMar w:top="1417" w:right="1701" w:bottom="1417" w:left="1701" w:header="709" w:footer="709" w:gutter="0"/>
          <w:cols w:space="708"/>
          <w:docGrid w:linePitch="360"/>
        </w:sectPr>
      </w:pPr>
    </w:p>
    <w:p w14:paraId="2D4C1108" w14:textId="30DC3324" w:rsidR="00937F30" w:rsidRPr="00DF258F" w:rsidRDefault="00937F30">
      <w:pPr>
        <w:spacing w:line="360" w:lineRule="auto"/>
        <w:jc w:val="both"/>
        <w:rPr>
          <w:rFonts w:ascii="Arial Narrow" w:eastAsia="Calibri" w:hAnsi="Arial Narrow"/>
        </w:rPr>
      </w:pPr>
    </w:p>
    <w:p w14:paraId="1DA4579D" w14:textId="44C1F31C" w:rsidR="00356026" w:rsidRDefault="006D6EE5" w:rsidP="009D5823">
      <w:pPr>
        <w:spacing w:line="360" w:lineRule="auto"/>
        <w:jc w:val="both"/>
        <w:rPr>
          <w:rFonts w:ascii="Arial Narrow" w:hAnsi="Arial Narrow"/>
        </w:rPr>
      </w:pPr>
      <w:r w:rsidRPr="00704B08">
        <w:rPr>
          <w:rFonts w:ascii="Arial Narrow" w:hAnsi="Arial Narrow" w:cs="Calibri"/>
          <w:lang w:val="es-CR" w:eastAsia="es-CR"/>
        </w:rPr>
        <w:t xml:space="preserve">Se remitió a Corte Plena el oficio 1995-PLA-PE-2019 del 27 de noviembre de 2019, con la propuesta del Modelo de Gestión de Políticas Institucionales. Este Modelo </w:t>
      </w:r>
      <w:r w:rsidR="00822D80" w:rsidRPr="00DF258F">
        <w:rPr>
          <w:rFonts w:ascii="Arial Narrow" w:eastAsia="Calibri" w:hAnsi="Arial Narrow"/>
        </w:rPr>
        <w:t xml:space="preserve">fue conocido </w:t>
      </w:r>
      <w:r w:rsidR="00BE0940" w:rsidRPr="00DF258F">
        <w:rPr>
          <w:rFonts w:ascii="Arial Narrow" w:eastAsia="Calibri" w:hAnsi="Arial Narrow"/>
        </w:rPr>
        <w:t xml:space="preserve">y aprobado </w:t>
      </w:r>
      <w:r w:rsidR="00822D80" w:rsidRPr="00DF258F">
        <w:rPr>
          <w:rFonts w:ascii="Arial Narrow" w:eastAsia="Calibri" w:hAnsi="Arial Narrow"/>
        </w:rPr>
        <w:t xml:space="preserve">por </w:t>
      </w:r>
      <w:r w:rsidR="002D42D4" w:rsidRPr="00DF258F">
        <w:rPr>
          <w:rFonts w:ascii="Arial Narrow" w:eastAsia="Calibri" w:hAnsi="Arial Narrow"/>
        </w:rPr>
        <w:t xml:space="preserve">Corte </w:t>
      </w:r>
      <w:r w:rsidRPr="00DF258F">
        <w:rPr>
          <w:rFonts w:ascii="Arial Narrow" w:eastAsia="Calibri" w:hAnsi="Arial Narrow"/>
        </w:rPr>
        <w:t xml:space="preserve">Plena en la </w:t>
      </w:r>
      <w:r w:rsidR="00BE0940" w:rsidRPr="00DF258F">
        <w:rPr>
          <w:rFonts w:ascii="Arial Narrow" w:hAnsi="Arial Narrow" w:cs="Calibri"/>
          <w:lang w:eastAsia="es-CR"/>
        </w:rPr>
        <w:t>sesión 2-2020 del 13 de enero de 2020, artículo XXXII</w:t>
      </w:r>
      <w:r w:rsidR="00DF258F" w:rsidRPr="00DF258F">
        <w:rPr>
          <w:rFonts w:ascii="Arial Narrow" w:eastAsia="Calibri" w:hAnsi="Arial Narrow"/>
        </w:rPr>
        <w:t xml:space="preserve">. Por otra parte, para el año 2020 se tiene que se </w:t>
      </w:r>
      <w:r w:rsidR="00DF258F" w:rsidRPr="00704B08">
        <w:rPr>
          <w:rFonts w:ascii="Arial Narrow" w:hAnsi="Arial Narrow"/>
        </w:rPr>
        <w:t xml:space="preserve">completaron las actividades programadas para el año y como evidencia se adjunta en el sistema PAO </w:t>
      </w:r>
      <w:r w:rsidR="00DF258F">
        <w:rPr>
          <w:rFonts w:ascii="Arial Narrow" w:hAnsi="Arial Narrow"/>
        </w:rPr>
        <w:t xml:space="preserve">el </w:t>
      </w:r>
      <w:r w:rsidR="00DF258F" w:rsidRPr="00704B08">
        <w:rPr>
          <w:rFonts w:ascii="Arial Narrow" w:hAnsi="Arial Narrow"/>
        </w:rPr>
        <w:t>informe anual de labores. A modo de evidencia se presentan algunas de las actividades realizadas:</w:t>
      </w:r>
    </w:p>
    <w:p w14:paraId="76F53A89" w14:textId="6645C506" w:rsidR="00DF258F" w:rsidRPr="00704B08" w:rsidRDefault="00DF258F" w:rsidP="009D5823">
      <w:pPr>
        <w:spacing w:line="360" w:lineRule="auto"/>
        <w:jc w:val="both"/>
        <w:rPr>
          <w:rFonts w:ascii="Arial Narrow" w:hAnsi="Arial Narrow" w:cs="Arial"/>
        </w:rPr>
      </w:pPr>
      <w:r w:rsidRPr="00704B08">
        <w:rPr>
          <w:rFonts w:ascii="Arial Narrow" w:hAnsi="Arial Narrow"/>
        </w:rPr>
        <w:t xml:space="preserve"> </w:t>
      </w:r>
      <w:r w:rsidR="000C0EC5">
        <w:rPr>
          <w:rFonts w:ascii="Arial Narrow" w:hAnsi="Arial Narrow"/>
        </w:rPr>
        <w:t xml:space="preserve"> </w:t>
      </w:r>
    </w:p>
    <w:p w14:paraId="3959BA2E" w14:textId="77777777" w:rsidR="00DF258F" w:rsidRPr="00704B08" w:rsidRDefault="006D6EE5" w:rsidP="00704B08">
      <w:pPr>
        <w:pStyle w:val="Prrafodelista"/>
        <w:numPr>
          <w:ilvl w:val="0"/>
          <w:numId w:val="64"/>
        </w:numPr>
        <w:spacing w:line="360" w:lineRule="auto"/>
        <w:ind w:left="0" w:firstLine="0"/>
        <w:jc w:val="both"/>
        <w:rPr>
          <w:rFonts w:ascii="Arial Narrow" w:hAnsi="Arial Narrow" w:cs="Arial"/>
        </w:rPr>
      </w:pPr>
      <w:r w:rsidRPr="00704B08">
        <w:rPr>
          <w:rFonts w:ascii="Arial Narrow" w:hAnsi="Arial Narrow" w:cs="Arial"/>
        </w:rPr>
        <w:t xml:space="preserve">Mediante Circular de la Secretaría General de la Corte 22-2020, del 13 de febrero de 2020, fue puesto en conocimiento la aprobación del Modelo de Gestión de Políticas Institucionales. </w:t>
      </w:r>
    </w:p>
    <w:p w14:paraId="6AC8856A" w14:textId="5575777F" w:rsidR="00DF258F" w:rsidRPr="00704B08" w:rsidRDefault="00DF258F" w:rsidP="00704B08">
      <w:pPr>
        <w:pStyle w:val="Prrafodelista"/>
        <w:numPr>
          <w:ilvl w:val="0"/>
          <w:numId w:val="64"/>
        </w:numPr>
        <w:spacing w:line="360" w:lineRule="auto"/>
        <w:ind w:left="0" w:firstLine="0"/>
        <w:jc w:val="both"/>
        <w:rPr>
          <w:rFonts w:ascii="Arial Narrow" w:hAnsi="Arial Narrow" w:cs="Arial"/>
        </w:rPr>
      </w:pPr>
      <w:r w:rsidRPr="00704B08">
        <w:rPr>
          <w:rFonts w:ascii="Arial Narrow" w:hAnsi="Arial Narrow" w:cs="Arial"/>
        </w:rPr>
        <w:t>C</w:t>
      </w:r>
      <w:r w:rsidR="006D6EE5" w:rsidRPr="00704B08">
        <w:rPr>
          <w:rFonts w:ascii="Arial Narrow" w:hAnsi="Arial Narrow" w:cs="Arial"/>
        </w:rPr>
        <w:t>omo</w:t>
      </w:r>
      <w:r w:rsidRPr="00704B08">
        <w:rPr>
          <w:rFonts w:ascii="Arial Narrow" w:hAnsi="Arial Narrow" w:cs="Arial"/>
        </w:rPr>
        <w:t xml:space="preserve"> </w:t>
      </w:r>
      <w:r w:rsidR="006D6EE5" w:rsidRPr="00704B08">
        <w:rPr>
          <w:rFonts w:ascii="Arial Narrow" w:hAnsi="Arial Narrow" w:cs="Arial"/>
        </w:rPr>
        <w:t>medida adoptada producto de la emergencia nacional del COVID-19, el 26 de mayo de 2020, se presentó para conocimiento de la Corte el oficio 762-PLA-PE-2020, relacionado con el avance de las labores realizadas en relación con la implementación del Modelo de Gestión (formulación, implementación, seguimiento y evaluación) de Políticas Institucionales.</w:t>
      </w:r>
      <w:r w:rsidRPr="00704B08">
        <w:rPr>
          <w:rFonts w:ascii="Arial Narrow" w:hAnsi="Arial Narrow" w:cs="Arial"/>
        </w:rPr>
        <w:t xml:space="preserve"> </w:t>
      </w:r>
    </w:p>
    <w:p w14:paraId="2E3EEBC1" w14:textId="77777777" w:rsidR="000C0EC5" w:rsidRPr="00704B08" w:rsidRDefault="00DF258F" w:rsidP="00704B08">
      <w:pPr>
        <w:pStyle w:val="Textoindependiente2"/>
        <w:numPr>
          <w:ilvl w:val="0"/>
          <w:numId w:val="64"/>
        </w:numPr>
        <w:spacing w:line="360" w:lineRule="auto"/>
        <w:ind w:left="0" w:firstLine="0"/>
        <w:rPr>
          <w:rFonts w:ascii="Arial Narrow" w:hAnsi="Arial Narrow" w:cs="Arial"/>
          <w:b w:val="0"/>
          <w:bCs w:val="0"/>
        </w:rPr>
      </w:pPr>
      <w:r w:rsidRPr="00704B08">
        <w:rPr>
          <w:rFonts w:ascii="Arial Narrow" w:hAnsi="Arial Narrow" w:cs="Arial"/>
          <w:b w:val="0"/>
          <w:bCs w:val="0"/>
        </w:rPr>
        <w:t>En coordinación con el Departamento de Prensa y Comunicación Organizacional, se diseñaron las siguientes 6 cápsulas informativas En coordinación con la Dirección de Gestión Humana y el Departamento de Artes Gráficas, se logró diseñare imprimir los siguientes productos: •Diseño gráfico y logo de las Políticas Institucionales. •Carpeta. •Brochure. •Libro del Modelo. Este material, también fue compartido de manera digital y se puede consultar en el siguiente enlace</w:t>
      </w:r>
    </w:p>
    <w:p w14:paraId="1093E6A6" w14:textId="4A622333" w:rsidR="006D6EE5" w:rsidRDefault="00DF258F" w:rsidP="00704B08">
      <w:pPr>
        <w:pStyle w:val="Textoindependiente2"/>
        <w:spacing w:line="360" w:lineRule="auto"/>
        <w:jc w:val="left"/>
        <w:rPr>
          <w:rFonts w:ascii="Arial Narrow" w:hAnsi="Arial Narrow" w:cs="Arial"/>
        </w:rPr>
      </w:pPr>
      <w:r w:rsidRPr="00704B08">
        <w:rPr>
          <w:rFonts w:ascii="Arial Narrow" w:hAnsi="Arial Narrow" w:cs="Arial"/>
        </w:rPr>
        <w:t xml:space="preserve"> </w:t>
      </w:r>
      <w:hyperlink r:id="rId148" w:history="1">
        <w:r w:rsidR="000C0EC5" w:rsidRPr="00704B08">
          <w:rPr>
            <w:rStyle w:val="Hipervnculo"/>
            <w:rFonts w:ascii="Arial Narrow" w:hAnsi="Arial Narrow" w:cs="Arial"/>
          </w:rPr>
          <w:t>https://www.poder-judicial.go.cr/planificacion/index.php/planificacionestrategica/politicas-institucionales</w:t>
        </w:r>
      </w:hyperlink>
    </w:p>
    <w:p w14:paraId="21D21CEF" w14:textId="14ACBDA4" w:rsidR="006E5CA9" w:rsidRDefault="006E5CA9">
      <w:pPr>
        <w:spacing w:line="360" w:lineRule="auto"/>
        <w:jc w:val="both"/>
        <w:rPr>
          <w:rFonts w:ascii="Arial Narrow" w:hAnsi="Arial Narrow" w:cs="Arial"/>
        </w:rPr>
      </w:pPr>
    </w:p>
    <w:p w14:paraId="41F3F4A0" w14:textId="77777777" w:rsidR="006E5CA9" w:rsidRPr="00704B08" w:rsidRDefault="006E5CA9">
      <w:pPr>
        <w:spacing w:line="360" w:lineRule="auto"/>
        <w:jc w:val="both"/>
        <w:rPr>
          <w:rFonts w:ascii="Arial Narrow" w:hAnsi="Arial Narrow" w:cs="Arial"/>
        </w:rPr>
      </w:pPr>
    </w:p>
    <w:p w14:paraId="72324F78" w14:textId="3119BC45" w:rsidR="00683968" w:rsidRPr="00704B08" w:rsidRDefault="009547D6" w:rsidP="005E067A">
      <w:pPr>
        <w:pStyle w:val="Ttulo4"/>
        <w:numPr>
          <w:ilvl w:val="0"/>
          <w:numId w:val="64"/>
        </w:numPr>
        <w:rPr>
          <w:rFonts w:ascii="Arial Narrow" w:eastAsia="Calibri" w:hAnsi="Arial Narrow"/>
          <w:lang w:val="es-CR"/>
        </w:rPr>
      </w:pPr>
      <w:r>
        <w:rPr>
          <w:rFonts w:ascii="Arial Narrow" w:eastAsia="Calibri" w:hAnsi="Arial Narrow"/>
          <w:lang w:val="es-CR"/>
        </w:rPr>
        <w:t xml:space="preserve">5.5.3. </w:t>
      </w:r>
      <w:r w:rsidR="00683968" w:rsidRPr="00704B08">
        <w:rPr>
          <w:rFonts w:ascii="Arial Narrow" w:eastAsia="Calibri" w:hAnsi="Arial Narrow"/>
          <w:lang w:val="es-CR"/>
        </w:rPr>
        <w:t>Gestión administrativa por medio del portafolio de proyectos estratégicos</w:t>
      </w:r>
    </w:p>
    <w:p w14:paraId="4E7E8E7A" w14:textId="77777777" w:rsidR="00683968" w:rsidRPr="00704B08" w:rsidRDefault="00683968" w:rsidP="00683968">
      <w:pPr>
        <w:rPr>
          <w:rFonts w:ascii="Arial Narrow" w:eastAsia="Calibri" w:hAnsi="Arial Narrow"/>
          <w:lang w:eastAsia="en-US"/>
        </w:rPr>
      </w:pPr>
    </w:p>
    <w:p w14:paraId="39A5685B" w14:textId="720BA100" w:rsidR="006F29AA" w:rsidRDefault="006F29AA" w:rsidP="006F29AA">
      <w:pPr>
        <w:spacing w:line="360" w:lineRule="auto"/>
        <w:rPr>
          <w:rFonts w:ascii="Arial Narrow" w:eastAsia="Calibri" w:hAnsi="Arial Narrow"/>
        </w:rPr>
      </w:pPr>
      <w:r w:rsidRPr="009D5823">
        <w:rPr>
          <w:rFonts w:ascii="Arial Narrow" w:eastAsia="Calibri" w:hAnsi="Arial Narrow"/>
          <w:lang w:val="es-CR" w:eastAsia="en-US"/>
        </w:rPr>
        <w:t>Se observa 1 meta estratégica que refleja una ejecución total en su cumplimiento.</w:t>
      </w:r>
      <w:r w:rsidRPr="009D5823">
        <w:rPr>
          <w:rFonts w:ascii="Arial Narrow" w:eastAsia="Calibri" w:hAnsi="Arial Narrow"/>
        </w:rPr>
        <w:t xml:space="preserve"> Se muestran a continuación el detalle de la meta estratégica y su cumplimiento para</w:t>
      </w:r>
      <w:r w:rsidRPr="00A618D8">
        <w:rPr>
          <w:rFonts w:ascii="Arial Narrow" w:eastAsia="Calibri" w:hAnsi="Arial Narrow"/>
        </w:rPr>
        <w:t xml:space="preserve"> el 2019 y 2020</w:t>
      </w:r>
      <w:r>
        <w:rPr>
          <w:rFonts w:ascii="Arial Narrow" w:eastAsia="Calibri" w:hAnsi="Arial Narrow"/>
        </w:rPr>
        <w:t xml:space="preserve">: </w:t>
      </w:r>
    </w:p>
    <w:p w14:paraId="2DE03B20" w14:textId="77777777" w:rsidR="009D5823" w:rsidRDefault="009D5823" w:rsidP="00683968">
      <w:pPr>
        <w:spacing w:line="360" w:lineRule="auto"/>
        <w:jc w:val="both"/>
        <w:rPr>
          <w:rFonts w:ascii="Arial Narrow" w:eastAsia="Calibri" w:hAnsi="Arial Narrow"/>
        </w:rPr>
        <w:sectPr w:rsidR="009D5823" w:rsidSect="009D5823">
          <w:pgSz w:w="12242" w:h="15842" w:code="1"/>
          <w:pgMar w:top="1701" w:right="1417" w:bottom="1701" w:left="1417" w:header="709" w:footer="709" w:gutter="0"/>
          <w:cols w:space="708"/>
          <w:docGrid w:linePitch="360"/>
        </w:sectPr>
      </w:pPr>
    </w:p>
    <w:p w14:paraId="59B4EA8C" w14:textId="77777777" w:rsidR="006F29AA" w:rsidRDefault="006F29AA" w:rsidP="00683968">
      <w:pPr>
        <w:spacing w:line="360" w:lineRule="auto"/>
        <w:jc w:val="both"/>
        <w:rPr>
          <w:rFonts w:ascii="Arial Narrow" w:eastAsia="Calibri" w:hAnsi="Arial Narrow"/>
        </w:rPr>
      </w:pPr>
    </w:p>
    <w:p w14:paraId="2DEF1D57" w14:textId="77777777" w:rsidR="0029096E" w:rsidRDefault="0029096E" w:rsidP="00683968">
      <w:pPr>
        <w:spacing w:line="360" w:lineRule="auto"/>
        <w:jc w:val="both"/>
        <w:rPr>
          <w:rFonts w:ascii="Arial Narrow" w:eastAsia="Calibri" w:hAnsi="Arial Narrow"/>
        </w:rPr>
      </w:pPr>
    </w:p>
    <w:p w14:paraId="1C2BF2C9" w14:textId="26BE202E" w:rsidR="00937F30" w:rsidRDefault="00317FC1" w:rsidP="00484CC1">
      <w:pPr>
        <w:pStyle w:val="Descripcin"/>
        <w:jc w:val="center"/>
        <w:rPr>
          <w:rFonts w:ascii="Arial Narrow" w:eastAsia="Calibri" w:hAnsi="Arial Narrow"/>
          <w:sz w:val="24"/>
          <w:szCs w:val="24"/>
        </w:rPr>
      </w:pPr>
      <w:bookmarkStart w:id="139" w:name="_Toc76062308"/>
      <w:r w:rsidRPr="00484CC1">
        <w:rPr>
          <w:rFonts w:ascii="Arial Narrow" w:hAnsi="Arial Narrow"/>
          <w:sz w:val="24"/>
          <w:szCs w:val="24"/>
        </w:rPr>
        <w:t xml:space="preserve">Cuadro </w:t>
      </w:r>
      <w:r w:rsidRPr="00484CC1">
        <w:rPr>
          <w:rFonts w:ascii="Arial Narrow" w:hAnsi="Arial Narrow"/>
          <w:sz w:val="24"/>
          <w:szCs w:val="24"/>
        </w:rPr>
        <w:fldChar w:fldCharType="begin"/>
      </w:r>
      <w:r w:rsidRPr="00484CC1">
        <w:rPr>
          <w:rFonts w:ascii="Arial Narrow" w:hAnsi="Arial Narrow"/>
          <w:sz w:val="24"/>
          <w:szCs w:val="24"/>
        </w:rPr>
        <w:instrText xml:space="preserve"> SEQ Cuadro_No. \* ARABIC </w:instrText>
      </w:r>
      <w:r w:rsidRPr="00484CC1">
        <w:rPr>
          <w:rFonts w:ascii="Arial Narrow" w:hAnsi="Arial Narrow"/>
          <w:sz w:val="24"/>
          <w:szCs w:val="24"/>
        </w:rPr>
        <w:fldChar w:fldCharType="separate"/>
      </w:r>
      <w:r w:rsidR="009D5823">
        <w:rPr>
          <w:rFonts w:ascii="Arial Narrow" w:hAnsi="Arial Narrow"/>
          <w:noProof/>
          <w:sz w:val="24"/>
          <w:szCs w:val="24"/>
        </w:rPr>
        <w:t>85</w:t>
      </w:r>
      <w:r w:rsidRPr="00484CC1">
        <w:rPr>
          <w:rFonts w:ascii="Arial Narrow" w:hAnsi="Arial Narrow"/>
          <w:sz w:val="24"/>
          <w:szCs w:val="24"/>
        </w:rPr>
        <w:fldChar w:fldCharType="end"/>
      </w:r>
      <w:r w:rsidRPr="00484CC1">
        <w:rPr>
          <w:rFonts w:ascii="Arial Narrow" w:hAnsi="Arial Narrow"/>
          <w:sz w:val="24"/>
          <w:szCs w:val="24"/>
        </w:rPr>
        <w:t xml:space="preserve"> </w:t>
      </w:r>
      <w:r w:rsidRPr="00317FC1">
        <w:rPr>
          <w:rFonts w:ascii="Arial Narrow" w:eastAsia="Calibri" w:hAnsi="Arial Narrow"/>
          <w:sz w:val="24"/>
          <w:szCs w:val="24"/>
        </w:rPr>
        <w:t>Metas estratégicas de Gestión administrativa por medio del portafolio de proyectos estratégicos, y su cumplimiento para el 2019</w:t>
      </w:r>
      <w:r w:rsidR="005B3909">
        <w:rPr>
          <w:rFonts w:ascii="Arial Narrow" w:eastAsia="Calibri" w:hAnsi="Arial Narrow"/>
          <w:sz w:val="24"/>
          <w:szCs w:val="24"/>
        </w:rPr>
        <w:t xml:space="preserve"> Y 2020.</w:t>
      </w:r>
      <w:bookmarkEnd w:id="139"/>
    </w:p>
    <w:p w14:paraId="4AA012E7" w14:textId="77777777" w:rsidR="00126E18" w:rsidRDefault="00126E18" w:rsidP="0029096E">
      <w:pPr>
        <w:rPr>
          <w:noProof/>
        </w:rPr>
      </w:pPr>
    </w:p>
    <w:p w14:paraId="4EE71057" w14:textId="45FFA66C" w:rsidR="005B3909" w:rsidRPr="0029096E" w:rsidRDefault="006F29AA" w:rsidP="00704B08">
      <w:pPr>
        <w:jc w:val="center"/>
        <w:rPr>
          <w:rFonts w:eastAsia="Calibri"/>
        </w:rPr>
      </w:pPr>
      <w:r>
        <w:rPr>
          <w:noProof/>
          <w:lang w:val="es-CR" w:eastAsia="es-CR"/>
        </w:rPr>
        <w:drawing>
          <wp:inline distT="0" distB="0" distL="0" distR="0" wp14:anchorId="7BA05340" wp14:editId="0F0183F8">
            <wp:extent cx="7632700" cy="1678703"/>
            <wp:effectExtent l="57150" t="57150" r="101600" b="93345"/>
            <wp:docPr id="194" name="Imagen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7634878" cy="1679182"/>
                    </a:xfrm>
                    <a:prstGeom prst="rect">
                      <a:avLst/>
                    </a:prstGeom>
                    <a:ln w="9525" cap="sq">
                      <a:solidFill>
                        <a:srgbClr val="00B0F0"/>
                      </a:solidFill>
                      <a:prstDash val="solid"/>
                      <a:miter lim="800000"/>
                    </a:ln>
                    <a:effectLst>
                      <a:outerShdw blurRad="50800" dist="38100" dir="2700000" algn="tl" rotWithShape="0">
                        <a:srgbClr val="000000">
                          <a:alpha val="43000"/>
                        </a:srgbClr>
                      </a:outerShdw>
                    </a:effectLst>
                  </pic:spPr>
                </pic:pic>
              </a:graphicData>
            </a:graphic>
          </wp:inline>
        </w:drawing>
      </w:r>
    </w:p>
    <w:p w14:paraId="2E396ADD" w14:textId="66E5594E" w:rsidR="006F29AA" w:rsidRPr="00A618D8" w:rsidRDefault="006F29AA" w:rsidP="006F29AA">
      <w:pPr>
        <w:spacing w:line="360" w:lineRule="auto"/>
        <w:ind w:firstLine="708"/>
        <w:jc w:val="both"/>
        <w:rPr>
          <w:rFonts w:ascii="Arial Narrow" w:eastAsia="Calibri" w:hAnsi="Arial Narrow"/>
          <w:b/>
          <w:bCs/>
        </w:rPr>
      </w:pPr>
      <w:r w:rsidRPr="006F29AA">
        <w:rPr>
          <w:rFonts w:ascii="Arial Narrow" w:eastAsia="Calibri" w:hAnsi="Arial Narrow"/>
          <w:sz w:val="18"/>
          <w:szCs w:val="18"/>
          <w:lang w:eastAsia="en-US"/>
        </w:rPr>
        <w:t xml:space="preserve"> </w:t>
      </w:r>
      <w:r w:rsidRPr="000B4845">
        <w:rPr>
          <w:rFonts w:ascii="Arial Narrow" w:eastAsia="Calibri" w:hAnsi="Arial Narrow"/>
          <w:sz w:val="18"/>
          <w:szCs w:val="18"/>
          <w:lang w:eastAsia="en-US"/>
        </w:rPr>
        <w:t>Fuente: Sistema PEI al 24 de enero del 2020 (año 2019)</w:t>
      </w:r>
      <w:r>
        <w:rPr>
          <w:rFonts w:ascii="Arial Narrow" w:eastAsia="Calibri" w:hAnsi="Arial Narrow"/>
          <w:sz w:val="18"/>
          <w:szCs w:val="18"/>
          <w:lang w:eastAsia="en-US"/>
        </w:rPr>
        <w:t xml:space="preserve"> y 04 de marzo del 2021 (año 2020).</w:t>
      </w:r>
    </w:p>
    <w:p w14:paraId="0731F06D" w14:textId="77777777" w:rsidR="00822D80" w:rsidRDefault="00822D80" w:rsidP="006F29AA">
      <w:pPr>
        <w:rPr>
          <w:rFonts w:eastAsia="Calibri"/>
          <w:lang w:eastAsia="en-US"/>
        </w:rPr>
      </w:pPr>
    </w:p>
    <w:p w14:paraId="56CD914A" w14:textId="77777777" w:rsidR="002D42D4" w:rsidRDefault="002D42D4" w:rsidP="00683968">
      <w:pPr>
        <w:rPr>
          <w:rFonts w:eastAsia="Calibri"/>
          <w:lang w:eastAsia="en-US"/>
        </w:rPr>
      </w:pPr>
    </w:p>
    <w:p w14:paraId="274BB8C6" w14:textId="5603BE17" w:rsidR="002D42D4" w:rsidRPr="000B4845" w:rsidRDefault="002D42D4">
      <w:pPr>
        <w:spacing w:line="360" w:lineRule="auto"/>
        <w:jc w:val="both"/>
        <w:rPr>
          <w:rFonts w:ascii="Arial Narrow" w:eastAsia="Calibri" w:hAnsi="Arial Narrow"/>
        </w:rPr>
      </w:pPr>
      <w:r>
        <w:rPr>
          <w:rFonts w:ascii="Arial Narrow" w:eastAsia="Calibri" w:hAnsi="Arial Narrow"/>
        </w:rPr>
        <w:t xml:space="preserve">En esta única meta ligada a la acción de Proyectos estratégicos por medio del Portafolio, se señala </w:t>
      </w:r>
      <w:r w:rsidR="006F29AA">
        <w:rPr>
          <w:rFonts w:ascii="Arial Narrow" w:eastAsia="Calibri" w:hAnsi="Arial Narrow"/>
        </w:rPr>
        <w:t xml:space="preserve">para los años 2019 y 2020 </w:t>
      </w:r>
      <w:r>
        <w:rPr>
          <w:rFonts w:ascii="Arial Narrow" w:eastAsia="Calibri" w:hAnsi="Arial Narrow"/>
        </w:rPr>
        <w:t xml:space="preserve">que incluso se ha obtenido un avance mayor al esperado en el cronograma de implementación del Modelo de Administración de Proyectos Estratégicos, por lo que ahora resta su continuo fortalecimiento y que los proyectos se ejecuten bajo un control adecuado, de acuerdo con los recursos disponibles los cuales son cada vez más limitados. </w:t>
      </w:r>
      <w:r w:rsidR="00ED47DA">
        <w:rPr>
          <w:rFonts w:ascii="Arial Narrow" w:eastAsia="Calibri" w:hAnsi="Arial Narrow"/>
        </w:rPr>
        <w:t>Como parte de la evidencia se adjunta</w:t>
      </w:r>
      <w:r w:rsidR="006E5CA9">
        <w:rPr>
          <w:rFonts w:ascii="Arial Narrow" w:eastAsia="Calibri" w:hAnsi="Arial Narrow"/>
        </w:rPr>
        <w:t xml:space="preserve">ron en el Sistema respectivo, </w:t>
      </w:r>
      <w:r w:rsidR="00ED47DA">
        <w:rPr>
          <w:rFonts w:ascii="Arial Narrow" w:eastAsia="Calibri" w:hAnsi="Arial Narrow"/>
        </w:rPr>
        <w:t>los cronogramas con los avances correspondientes</w:t>
      </w:r>
      <w:r w:rsidR="006E5CA9">
        <w:rPr>
          <w:rFonts w:ascii="Arial Narrow" w:eastAsia="Calibri" w:hAnsi="Arial Narrow"/>
        </w:rPr>
        <w:t>, dado que para el 2019 el avance en el cronograma era de un 40%, y para el 18 de diciembre 2020 el avance del cronograma era de 70%.</w:t>
      </w:r>
    </w:p>
    <w:p w14:paraId="5C0675C7" w14:textId="77777777" w:rsidR="002D42D4" w:rsidRDefault="002D42D4" w:rsidP="00683968">
      <w:pPr>
        <w:rPr>
          <w:rFonts w:eastAsia="Calibri"/>
          <w:lang w:eastAsia="en-US"/>
        </w:rPr>
      </w:pPr>
    </w:p>
    <w:p w14:paraId="28190393" w14:textId="77777777" w:rsidR="0093005D" w:rsidRDefault="0093005D" w:rsidP="00683968">
      <w:pPr>
        <w:rPr>
          <w:rFonts w:eastAsia="Calibri"/>
          <w:lang w:eastAsia="en-US"/>
        </w:rPr>
      </w:pPr>
    </w:p>
    <w:p w14:paraId="57E639E9" w14:textId="232ADF37" w:rsidR="0093005D" w:rsidRPr="000B4845" w:rsidRDefault="0093005D" w:rsidP="00683968">
      <w:pPr>
        <w:rPr>
          <w:rFonts w:eastAsia="Calibri"/>
          <w:lang w:eastAsia="en-US"/>
        </w:rPr>
        <w:sectPr w:rsidR="0093005D" w:rsidRPr="000B4845" w:rsidSect="009D5823">
          <w:pgSz w:w="15842" w:h="12242" w:orient="landscape" w:code="1"/>
          <w:pgMar w:top="1417" w:right="1701" w:bottom="1417" w:left="1701" w:header="709" w:footer="709" w:gutter="0"/>
          <w:cols w:space="708"/>
          <w:docGrid w:linePitch="360"/>
        </w:sectPr>
      </w:pPr>
    </w:p>
    <w:p w14:paraId="141C838C" w14:textId="56A08C95" w:rsidR="00806F7F" w:rsidRPr="00CC279A" w:rsidRDefault="00806F7F" w:rsidP="00CC279A">
      <w:pPr>
        <w:pStyle w:val="Ttulo3"/>
        <w:numPr>
          <w:ilvl w:val="0"/>
          <w:numId w:val="64"/>
        </w:numPr>
        <w:rPr>
          <w:rFonts w:ascii="Arial Narrow" w:eastAsia="Calibri" w:hAnsi="Arial Narrow"/>
          <w:lang w:val="es-CR"/>
        </w:rPr>
      </w:pPr>
      <w:bookmarkStart w:id="140" w:name="_Toc84919357"/>
      <w:r w:rsidRPr="00CC279A">
        <w:rPr>
          <w:rFonts w:ascii="Arial Narrow" w:eastAsia="Calibri" w:hAnsi="Arial Narrow"/>
          <w:lang w:val="es-CR"/>
        </w:rPr>
        <w:lastRenderedPageBreak/>
        <w:t>5.6 Detalle de avances en el Tema de Riesgos del Plan Estratégico</w:t>
      </w:r>
      <w:bookmarkEnd w:id="140"/>
      <w:r w:rsidRPr="00CC279A">
        <w:rPr>
          <w:rFonts w:ascii="Arial Narrow" w:eastAsia="Calibri" w:hAnsi="Arial Narrow"/>
          <w:lang w:val="es-CR"/>
        </w:rPr>
        <w:t xml:space="preserve"> </w:t>
      </w:r>
    </w:p>
    <w:p w14:paraId="0ADC1F10" w14:textId="20E589C3" w:rsidR="00806F7F" w:rsidRDefault="00806F7F" w:rsidP="00806F7F">
      <w:pPr>
        <w:rPr>
          <w:lang w:eastAsia="en-US"/>
        </w:rPr>
      </w:pPr>
    </w:p>
    <w:p w14:paraId="7E58D90A" w14:textId="089538F2" w:rsidR="00806F7F" w:rsidRPr="00D01E09" w:rsidRDefault="00806F7F" w:rsidP="00806F7F">
      <w:pPr>
        <w:spacing w:line="360" w:lineRule="auto"/>
        <w:jc w:val="both"/>
        <w:rPr>
          <w:rFonts w:ascii="Arial Narrow" w:eastAsia="Calibri" w:hAnsi="Arial Narrow"/>
          <w:lang w:eastAsia="en-US"/>
        </w:rPr>
      </w:pPr>
      <w:r>
        <w:rPr>
          <w:rFonts w:ascii="Arial Narrow" w:eastAsia="Calibri" w:hAnsi="Arial Narrow"/>
          <w:lang w:eastAsia="en-US"/>
        </w:rPr>
        <w:t xml:space="preserve">En primera instancia, se debe señalar </w:t>
      </w:r>
      <w:r w:rsidR="00B55372">
        <w:rPr>
          <w:rFonts w:ascii="Arial Narrow" w:eastAsia="Calibri" w:hAnsi="Arial Narrow"/>
          <w:lang w:eastAsia="en-US"/>
        </w:rPr>
        <w:t>que,</w:t>
      </w:r>
      <w:r>
        <w:rPr>
          <w:rFonts w:ascii="Arial Narrow" w:eastAsia="Calibri" w:hAnsi="Arial Narrow"/>
          <w:lang w:eastAsia="en-US"/>
        </w:rPr>
        <w:t xml:space="preserve"> en relación con los riesgos asociados al cumplimiento del Plan Estratégico Institucional, la Dirección de Planificación elaboró </w:t>
      </w:r>
      <w:r w:rsidRPr="000B4845">
        <w:rPr>
          <w:rFonts w:ascii="Arial Narrow" w:eastAsia="Calibri" w:hAnsi="Arial Narrow"/>
          <w:lang w:eastAsia="en-US"/>
        </w:rPr>
        <w:t>el informe 1183-PLA-PE-2020 sobre las acciones realizadas y la propuesta de modelo para la gestión de los riesgos del Plan Estratégico Institucional.</w:t>
      </w:r>
      <w:r>
        <w:rPr>
          <w:rFonts w:ascii="Arial Narrow" w:eastAsia="Calibri" w:hAnsi="Arial Narrow"/>
          <w:lang w:eastAsia="en-US"/>
        </w:rPr>
        <w:t xml:space="preserve"> </w:t>
      </w:r>
      <w:r w:rsidRPr="00D01E09">
        <w:rPr>
          <w:rFonts w:ascii="Arial Narrow" w:eastAsia="Calibri" w:hAnsi="Arial Narrow"/>
          <w:lang w:eastAsia="en-US"/>
        </w:rPr>
        <w:t>En la sesión N° 50-2020 celebrada el 7 de setiembre del año en curso, artículo XVIII, sin objeción alguna, se tuvo por rendido el informe de la Dirección de Planificación, remitido mediante oficio</w:t>
      </w:r>
      <w:r w:rsidR="00356026">
        <w:rPr>
          <w:rFonts w:ascii="Arial Narrow" w:eastAsia="Calibri" w:hAnsi="Arial Narrow"/>
          <w:lang w:eastAsia="en-US"/>
        </w:rPr>
        <w:t xml:space="preserve"> </w:t>
      </w:r>
      <w:r w:rsidRPr="00D01E09">
        <w:rPr>
          <w:rFonts w:ascii="Arial Narrow" w:eastAsia="Calibri" w:hAnsi="Arial Narrow"/>
          <w:lang w:eastAsia="en-US"/>
        </w:rPr>
        <w:t>1183-PLA-PE-2020, relacionado con la propuesta del modelo de gestión de riesgos estratégicos en el Poder Judicial, y se dispuso acoger las recomendaciones dirigidas a esta Corte en la forma indicada, en consecuencia, se aprobaron las observaciones realizadas al “</w:t>
      </w:r>
      <w:r w:rsidRPr="00CC279A">
        <w:rPr>
          <w:rFonts w:ascii="Arial Narrow" w:eastAsia="Calibri" w:hAnsi="Arial Narrow"/>
          <w:b/>
          <w:bCs/>
          <w:i/>
          <w:iCs/>
          <w:lang w:eastAsia="en-US"/>
        </w:rPr>
        <w:t>Marco orientador del Sistema Específico de Valoración de Riesgos</w:t>
      </w:r>
      <w:r w:rsidRPr="00D01E09">
        <w:rPr>
          <w:rFonts w:ascii="Arial Narrow" w:eastAsia="Calibri" w:hAnsi="Arial Narrow"/>
          <w:lang w:eastAsia="en-US"/>
        </w:rPr>
        <w:t>”</w:t>
      </w:r>
      <w:r w:rsidR="00356026">
        <w:rPr>
          <w:rFonts w:ascii="Arial Narrow" w:eastAsia="Calibri" w:hAnsi="Arial Narrow"/>
          <w:lang w:eastAsia="en-US"/>
        </w:rPr>
        <w:t>,</w:t>
      </w:r>
      <w:r w:rsidRPr="00D01E09">
        <w:rPr>
          <w:rFonts w:ascii="Arial Narrow" w:eastAsia="Calibri" w:hAnsi="Arial Narrow"/>
          <w:lang w:eastAsia="en-US"/>
        </w:rPr>
        <w:t xml:space="preserve"> elaborado por la Oficina de Control Interno</w:t>
      </w:r>
      <w:r>
        <w:rPr>
          <w:rFonts w:ascii="Arial Narrow" w:eastAsia="Calibri" w:hAnsi="Arial Narrow"/>
          <w:lang w:eastAsia="en-US"/>
        </w:rPr>
        <w:t>.</w:t>
      </w:r>
    </w:p>
    <w:p w14:paraId="318B3D89" w14:textId="77777777" w:rsidR="00806F7F" w:rsidRDefault="00806F7F" w:rsidP="00806F7F">
      <w:pPr>
        <w:spacing w:line="360" w:lineRule="auto"/>
        <w:jc w:val="both"/>
        <w:rPr>
          <w:rFonts w:ascii="Arial Narrow" w:eastAsia="Calibri" w:hAnsi="Arial Narrow"/>
          <w:lang w:eastAsia="en-US"/>
        </w:rPr>
      </w:pPr>
    </w:p>
    <w:p w14:paraId="45C46FA2" w14:textId="77777777" w:rsidR="00806F7F" w:rsidRPr="000B4845" w:rsidRDefault="00806F7F" w:rsidP="00806F7F">
      <w:pPr>
        <w:spacing w:line="360" w:lineRule="auto"/>
        <w:jc w:val="both"/>
        <w:rPr>
          <w:rFonts w:ascii="Arial Narrow" w:eastAsia="Calibri" w:hAnsi="Arial Narrow"/>
          <w:lang w:eastAsia="en-US"/>
        </w:rPr>
      </w:pPr>
    </w:p>
    <w:p w14:paraId="1BFB82E7" w14:textId="4AB0A23C" w:rsidR="00806F7F" w:rsidRDefault="00806F7F" w:rsidP="00806F7F">
      <w:pPr>
        <w:spacing w:line="360" w:lineRule="auto"/>
        <w:jc w:val="both"/>
        <w:rPr>
          <w:rFonts w:ascii="Arial Narrow" w:eastAsia="Calibri" w:hAnsi="Arial Narrow"/>
          <w:lang w:eastAsia="en-US"/>
        </w:rPr>
      </w:pPr>
      <w:r>
        <w:rPr>
          <w:rFonts w:ascii="Arial Narrow" w:eastAsia="Calibri" w:hAnsi="Arial Narrow"/>
          <w:lang w:eastAsia="en-US"/>
        </w:rPr>
        <w:t xml:space="preserve">En este sentido, cabe indicar que el Subproceso de Planificación Estratégica en coordinación con la Oficina de </w:t>
      </w:r>
      <w:r w:rsidRPr="00246775">
        <w:rPr>
          <w:rFonts w:ascii="Arial Narrow" w:eastAsia="Calibri" w:hAnsi="Arial Narrow"/>
          <w:lang w:eastAsia="en-US"/>
        </w:rPr>
        <w:t xml:space="preserve">Control Interno </w:t>
      </w:r>
      <w:r w:rsidR="00C601E2" w:rsidRPr="00246775">
        <w:rPr>
          <w:rFonts w:ascii="Arial Narrow" w:eastAsia="Calibri" w:hAnsi="Arial Narrow"/>
          <w:lang w:eastAsia="en-US"/>
        </w:rPr>
        <w:t>desarroll</w:t>
      </w:r>
      <w:r w:rsidR="00C601E2" w:rsidRPr="00D01E09">
        <w:rPr>
          <w:rFonts w:ascii="Arial Narrow" w:eastAsia="Calibri" w:hAnsi="Arial Narrow"/>
          <w:lang w:eastAsia="en-US"/>
        </w:rPr>
        <w:t>aron</w:t>
      </w:r>
      <w:r w:rsidR="00C601E2" w:rsidRPr="00246775">
        <w:rPr>
          <w:rFonts w:ascii="Arial Narrow" w:eastAsia="Calibri" w:hAnsi="Arial Narrow"/>
          <w:lang w:eastAsia="en-US"/>
        </w:rPr>
        <w:t xml:space="preserve"> </w:t>
      </w:r>
      <w:r w:rsidR="00C601E2" w:rsidRPr="000B4845">
        <w:rPr>
          <w:rFonts w:ascii="Arial Narrow" w:eastAsia="Calibri" w:hAnsi="Arial Narrow"/>
          <w:lang w:eastAsia="en-US"/>
        </w:rPr>
        <w:t>un</w:t>
      </w:r>
      <w:r w:rsidRPr="000B4845">
        <w:rPr>
          <w:rFonts w:ascii="Arial Narrow" w:eastAsia="Calibri" w:hAnsi="Arial Narrow"/>
          <w:lang w:eastAsia="en-US"/>
        </w:rPr>
        <w:t xml:space="preserve"> proyecto estratégico que t</w:t>
      </w:r>
      <w:r>
        <w:rPr>
          <w:rFonts w:ascii="Arial Narrow" w:eastAsia="Calibri" w:hAnsi="Arial Narrow"/>
          <w:lang w:eastAsia="en-US"/>
        </w:rPr>
        <w:t>enía</w:t>
      </w:r>
      <w:r w:rsidRPr="000B4845">
        <w:rPr>
          <w:rFonts w:ascii="Arial Narrow" w:eastAsia="Calibri" w:hAnsi="Arial Narrow"/>
          <w:lang w:eastAsia="en-US"/>
        </w:rPr>
        <w:t xml:space="preserve"> como objetivo implementar los sistemas informáticos SEVRI y PAI</w:t>
      </w:r>
      <w:r>
        <w:rPr>
          <w:rFonts w:ascii="Arial Narrow" w:eastAsia="Calibri" w:hAnsi="Arial Narrow"/>
          <w:lang w:eastAsia="en-US"/>
        </w:rPr>
        <w:t xml:space="preserve"> </w:t>
      </w:r>
      <w:r w:rsidRPr="000B4845">
        <w:rPr>
          <w:rFonts w:ascii="Arial Narrow" w:eastAsia="Calibri" w:hAnsi="Arial Narrow"/>
          <w:lang w:eastAsia="en-US"/>
        </w:rPr>
        <w:t>para e</w:t>
      </w:r>
      <w:r w:rsidRPr="00246775">
        <w:rPr>
          <w:rFonts w:ascii="Arial Narrow" w:eastAsia="Calibri" w:hAnsi="Arial Narrow"/>
          <w:lang w:eastAsia="en-US"/>
        </w:rPr>
        <w:t>l 2020</w:t>
      </w:r>
      <w:r w:rsidRPr="000B4845">
        <w:rPr>
          <w:rFonts w:ascii="Arial Narrow" w:eastAsia="Calibri" w:hAnsi="Arial Narrow"/>
          <w:lang w:eastAsia="en-US"/>
        </w:rPr>
        <w:t xml:space="preserve"> </w:t>
      </w:r>
      <w:r>
        <w:rPr>
          <w:rFonts w:ascii="Arial Narrow" w:eastAsia="Calibri" w:hAnsi="Arial Narrow"/>
          <w:lang w:eastAsia="en-US"/>
        </w:rPr>
        <w:t xml:space="preserve">a </w:t>
      </w:r>
      <w:r w:rsidRPr="000B4845">
        <w:rPr>
          <w:rFonts w:ascii="Arial Narrow" w:eastAsia="Calibri" w:hAnsi="Arial Narrow"/>
          <w:lang w:eastAsia="en-US"/>
        </w:rPr>
        <w:t xml:space="preserve">todas las oficinas del país, asimismo, </w:t>
      </w:r>
      <w:r>
        <w:rPr>
          <w:rFonts w:ascii="Arial Narrow" w:eastAsia="Calibri" w:hAnsi="Arial Narrow"/>
          <w:lang w:eastAsia="en-US"/>
        </w:rPr>
        <w:t xml:space="preserve">cada oficina analiza </w:t>
      </w:r>
      <w:r w:rsidRPr="000B4845">
        <w:rPr>
          <w:rFonts w:ascii="Arial Narrow" w:eastAsia="Calibri" w:hAnsi="Arial Narrow"/>
          <w:lang w:eastAsia="en-US"/>
        </w:rPr>
        <w:t xml:space="preserve">los riesgos asociados a objetivos y metas estratégicas y su PAI </w:t>
      </w:r>
      <w:r>
        <w:rPr>
          <w:rFonts w:ascii="Arial Narrow" w:eastAsia="Calibri" w:hAnsi="Arial Narrow"/>
          <w:lang w:eastAsia="en-US"/>
        </w:rPr>
        <w:t>que lo complementa</w:t>
      </w:r>
      <w:r w:rsidRPr="000B4845">
        <w:rPr>
          <w:rFonts w:ascii="Arial Narrow" w:eastAsia="Calibri" w:hAnsi="Arial Narrow"/>
          <w:lang w:eastAsia="en-US"/>
        </w:rPr>
        <w:t xml:space="preserve">. De esta manera, la Oficina de Control Interno podrá tener estos insumos para que presente el primer informe de los riesgos estratégicos del Poder Judicial correspondientes al 100% de las oficinas.  </w:t>
      </w:r>
      <w:r>
        <w:rPr>
          <w:rFonts w:ascii="Arial Narrow" w:eastAsia="Calibri" w:hAnsi="Arial Narrow"/>
          <w:lang w:eastAsia="en-US"/>
        </w:rPr>
        <w:t>Se encuentra en proceso</w:t>
      </w:r>
      <w:r w:rsidRPr="000B4845">
        <w:rPr>
          <w:rFonts w:ascii="Arial Narrow" w:eastAsia="Calibri" w:hAnsi="Arial Narrow"/>
          <w:lang w:eastAsia="en-US"/>
        </w:rPr>
        <w:t xml:space="preserve"> el </w:t>
      </w:r>
      <w:r>
        <w:rPr>
          <w:rFonts w:ascii="Arial Narrow" w:eastAsia="Calibri" w:hAnsi="Arial Narrow"/>
          <w:lang w:eastAsia="en-US"/>
        </w:rPr>
        <w:t>desarrollo un</w:t>
      </w:r>
      <w:r w:rsidRPr="000B4845">
        <w:rPr>
          <w:rFonts w:ascii="Arial Narrow" w:eastAsia="Calibri" w:hAnsi="Arial Narrow"/>
          <w:lang w:eastAsia="en-US"/>
        </w:rPr>
        <w:t>a Matriz de Riesgos Estratégicos (PEI) del Poder Judicial, en el que se incluyen los tipos de estrategia de respuesta a los riesgos definidos y a las estrategias de respuesta a los riesgos definidos serán abordados por medio de una vinculación del Sistema PAO y con el Sistema SEVRI y PAI.</w:t>
      </w:r>
      <w:r>
        <w:rPr>
          <w:rFonts w:ascii="Arial Narrow" w:eastAsia="Calibri" w:hAnsi="Arial Narrow"/>
          <w:lang w:eastAsia="en-US"/>
        </w:rPr>
        <w:t xml:space="preserve"> </w:t>
      </w:r>
    </w:p>
    <w:p w14:paraId="6D9DDD31" w14:textId="77777777" w:rsidR="00356026" w:rsidRDefault="00356026" w:rsidP="00CC279A">
      <w:pPr>
        <w:spacing w:line="360" w:lineRule="auto"/>
        <w:jc w:val="both"/>
        <w:rPr>
          <w:rFonts w:ascii="Arial Narrow" w:eastAsia="Calibri" w:hAnsi="Arial Narrow"/>
          <w:lang w:eastAsia="en-US"/>
        </w:rPr>
      </w:pPr>
    </w:p>
    <w:p w14:paraId="2A9107A7" w14:textId="5FB63F0E" w:rsidR="00806F7F" w:rsidRPr="00D01E09" w:rsidRDefault="00806F7F" w:rsidP="00CC279A">
      <w:pPr>
        <w:spacing w:line="360" w:lineRule="auto"/>
        <w:jc w:val="both"/>
        <w:rPr>
          <w:rFonts w:ascii="Arial Narrow" w:eastAsia="Calibri" w:hAnsi="Arial Narrow"/>
          <w:lang w:eastAsia="en-US"/>
        </w:rPr>
      </w:pPr>
      <w:r w:rsidRPr="00D01E09">
        <w:rPr>
          <w:rFonts w:ascii="Arial Narrow" w:eastAsia="Calibri" w:hAnsi="Arial Narrow"/>
          <w:lang w:eastAsia="en-US"/>
        </w:rPr>
        <w:t xml:space="preserve">Al respecto, se tiene la oficina de Control Interno elaboró el informe 186-CI-2020 del 16 octubre 2020 sobre </w:t>
      </w:r>
      <w:r w:rsidRPr="00167FD7">
        <w:rPr>
          <w:rFonts w:ascii="Arial Narrow" w:eastAsia="Calibri" w:hAnsi="Arial Narrow"/>
          <w:lang w:eastAsia="en-US"/>
        </w:rPr>
        <w:t xml:space="preserve">el </w:t>
      </w:r>
      <w:r w:rsidRPr="00D01E09">
        <w:rPr>
          <w:rFonts w:ascii="Arial Narrow" w:eastAsia="Calibri" w:hAnsi="Arial Narrow"/>
          <w:lang w:eastAsia="en-US"/>
        </w:rPr>
        <w:t xml:space="preserve">informe anual de resultados sobre el proceso de elaboración del SEVRI, período 2020. En dicho proceso participan todas las oficinas y despachos judiciales en acatamiento a la normativa establecida en materia de Control Interno con la finalidad, entre otras, de administrar adecuadamente los riesgos relevantes que puedan impedir o dificultar el logro de la planificación establecida y procurar, de esta manera, dar cumplimiento a la misión institucional de brindar una justicia pronta, cumplida y de calidad. Estos riesgos </w:t>
      </w:r>
      <w:r w:rsidRPr="00D01E09">
        <w:rPr>
          <w:rFonts w:ascii="Arial Narrow" w:eastAsia="Calibri" w:hAnsi="Arial Narrow"/>
          <w:lang w:eastAsia="en-US"/>
        </w:rPr>
        <w:lastRenderedPageBreak/>
        <w:t>estratégicos fueron identificados a partir de los objetivos estratégicos establecidos en los planes anuales operativos de cada despacho, de acuerdo con el contenido del Plan Estratégico Institucional</w:t>
      </w:r>
      <w:r w:rsidRPr="00167FD7">
        <w:rPr>
          <w:rFonts w:ascii="Arial Narrow" w:eastAsia="Calibri" w:hAnsi="Arial Narrow"/>
          <w:lang w:eastAsia="en-US"/>
        </w:rPr>
        <w:t>. En el análisis de dicho informe se desglosa por ámbito sus respectivos riesgos estratégicos y medidas de administración.</w:t>
      </w:r>
      <w:r w:rsidRPr="00D01E09">
        <w:rPr>
          <w:rFonts w:ascii="Arial Narrow" w:eastAsia="Calibri" w:hAnsi="Arial Narrow"/>
          <w:lang w:eastAsia="en-US"/>
        </w:rPr>
        <w:t xml:space="preserve"> </w:t>
      </w:r>
    </w:p>
    <w:p w14:paraId="20E2C4E0" w14:textId="36A78058" w:rsidR="00806F7F" w:rsidRDefault="00806F7F" w:rsidP="00806F7F">
      <w:pPr>
        <w:rPr>
          <w:lang w:eastAsia="en-US"/>
        </w:rPr>
      </w:pPr>
    </w:p>
    <w:p w14:paraId="52F387EF" w14:textId="77777777" w:rsidR="00806F7F" w:rsidRPr="008E5DA9" w:rsidRDefault="00806F7F" w:rsidP="00CC279A"/>
    <w:p w14:paraId="399A803B" w14:textId="253C447F" w:rsidR="006E2DE5" w:rsidRDefault="006E2DE5">
      <w:pPr>
        <w:pStyle w:val="Ttulo2"/>
      </w:pPr>
      <w:bookmarkStart w:id="141" w:name="_Toc84919358"/>
      <w:r>
        <w:t>D</w:t>
      </w:r>
      <w:r w:rsidR="0016243D">
        <w:t>esafíos sobre metas estratégicas con nivel de cumplimiento medio y bajo</w:t>
      </w:r>
      <w:bookmarkEnd w:id="141"/>
    </w:p>
    <w:p w14:paraId="6FBC9699" w14:textId="77A7D4C4" w:rsidR="000470B4" w:rsidRDefault="000470B4" w:rsidP="000470B4">
      <w:pPr>
        <w:rPr>
          <w:rFonts w:ascii="Arial Narrow" w:hAnsi="Arial Narrow"/>
          <w:lang w:eastAsia="en-US"/>
        </w:rPr>
      </w:pPr>
    </w:p>
    <w:p w14:paraId="7C9A5504" w14:textId="77777777" w:rsidR="00356026" w:rsidRPr="00704B08" w:rsidRDefault="00356026" w:rsidP="000470B4">
      <w:pPr>
        <w:rPr>
          <w:rFonts w:ascii="Arial Narrow" w:hAnsi="Arial Narrow"/>
          <w:lang w:eastAsia="en-US"/>
        </w:rPr>
      </w:pPr>
    </w:p>
    <w:p w14:paraId="3BF03270" w14:textId="77777777" w:rsidR="00903313" w:rsidRDefault="00106F8C">
      <w:pPr>
        <w:spacing w:line="360" w:lineRule="auto"/>
        <w:jc w:val="both"/>
        <w:rPr>
          <w:rFonts w:ascii="Arial Narrow" w:hAnsi="Arial Narrow"/>
          <w:lang w:eastAsia="en-US"/>
        </w:rPr>
      </w:pPr>
      <w:r>
        <w:rPr>
          <w:rFonts w:ascii="Arial Narrow" w:hAnsi="Arial Narrow"/>
          <w:lang w:eastAsia="en-US"/>
        </w:rPr>
        <w:t xml:space="preserve">De seguido, se establecen los principales desafíos de acuerdo con las metas estratégicas y su nivel de cumplimiento medio y bajo, lo que implicaría una especial atención a futuro del Plan </w:t>
      </w:r>
      <w:r w:rsidR="0042306C">
        <w:rPr>
          <w:rFonts w:ascii="Arial Narrow" w:hAnsi="Arial Narrow"/>
          <w:lang w:eastAsia="en-US"/>
        </w:rPr>
        <w:t>Estratégico</w:t>
      </w:r>
      <w:r>
        <w:rPr>
          <w:rFonts w:ascii="Arial Narrow" w:hAnsi="Arial Narrow"/>
          <w:lang w:eastAsia="en-US"/>
        </w:rPr>
        <w:t xml:space="preserve"> </w:t>
      </w:r>
      <w:r w:rsidR="0042306C">
        <w:rPr>
          <w:rFonts w:ascii="Arial Narrow" w:hAnsi="Arial Narrow"/>
          <w:lang w:eastAsia="en-US"/>
        </w:rPr>
        <w:t xml:space="preserve">Institucional </w:t>
      </w:r>
      <w:r>
        <w:rPr>
          <w:rFonts w:ascii="Arial Narrow" w:hAnsi="Arial Narrow"/>
          <w:lang w:eastAsia="en-US"/>
        </w:rPr>
        <w:t xml:space="preserve">por parte de las oficinas y despachos </w:t>
      </w:r>
      <w:r w:rsidRPr="00892938">
        <w:rPr>
          <w:rFonts w:ascii="Arial Narrow" w:hAnsi="Arial Narrow"/>
          <w:lang w:eastAsia="en-US"/>
        </w:rPr>
        <w:t>responsables</w:t>
      </w:r>
      <w:r w:rsidR="0062177F">
        <w:rPr>
          <w:rFonts w:ascii="Arial Narrow" w:hAnsi="Arial Narrow"/>
          <w:lang w:eastAsia="en-US"/>
        </w:rPr>
        <w:t>. Se debe hacer la aclaración que muchas metas operativas fueron debidamente justificadas en el PAO con respecto al incumplimiento en los años 2019 y en 2020, con especial razón del COVID-19</w:t>
      </w:r>
      <w:r w:rsidR="0062177F" w:rsidRPr="00F3617E">
        <w:rPr>
          <w:rFonts w:ascii="Arial Narrow" w:hAnsi="Arial Narrow"/>
          <w:lang w:eastAsia="en-US"/>
        </w:rPr>
        <w:t xml:space="preserve">. </w:t>
      </w:r>
    </w:p>
    <w:p w14:paraId="04C0C146" w14:textId="77777777" w:rsidR="00903313" w:rsidRDefault="00903313">
      <w:pPr>
        <w:spacing w:line="360" w:lineRule="auto"/>
        <w:jc w:val="both"/>
        <w:rPr>
          <w:rFonts w:ascii="Arial Narrow" w:hAnsi="Arial Narrow"/>
          <w:lang w:eastAsia="en-US"/>
        </w:rPr>
      </w:pPr>
    </w:p>
    <w:p w14:paraId="0A51DA36" w14:textId="331A62E7" w:rsidR="00106F8C" w:rsidRPr="00892938" w:rsidRDefault="0062177F">
      <w:pPr>
        <w:spacing w:line="360" w:lineRule="auto"/>
        <w:jc w:val="both"/>
        <w:rPr>
          <w:rFonts w:ascii="Arial Narrow" w:hAnsi="Arial Narrow"/>
          <w:lang w:eastAsia="en-US"/>
        </w:rPr>
      </w:pPr>
      <w:r w:rsidRPr="00F3617E">
        <w:rPr>
          <w:rFonts w:ascii="Arial Narrow" w:hAnsi="Arial Narrow"/>
          <w:lang w:eastAsia="en-US"/>
        </w:rPr>
        <w:t xml:space="preserve">El objetivo de este apartado y del apartado de recomendaciones </w:t>
      </w:r>
      <w:r w:rsidR="00903313">
        <w:rPr>
          <w:rFonts w:ascii="Arial Narrow" w:hAnsi="Arial Narrow"/>
          <w:lang w:eastAsia="en-US"/>
        </w:rPr>
        <w:t>es</w:t>
      </w:r>
      <w:r w:rsidRPr="00F3617E">
        <w:rPr>
          <w:rFonts w:ascii="Arial Narrow" w:hAnsi="Arial Narrow"/>
          <w:lang w:eastAsia="en-US"/>
        </w:rPr>
        <w:t xml:space="preserve"> analizar </w:t>
      </w:r>
      <w:r w:rsidR="00835E3C" w:rsidRPr="00F3617E">
        <w:rPr>
          <w:rFonts w:ascii="Arial Narrow" w:hAnsi="Arial Narrow"/>
          <w:lang w:eastAsia="en-US"/>
        </w:rPr>
        <w:t>cuales</w:t>
      </w:r>
      <w:r w:rsidRPr="00F3617E">
        <w:rPr>
          <w:rFonts w:ascii="Arial Narrow" w:hAnsi="Arial Narrow"/>
          <w:lang w:eastAsia="en-US"/>
        </w:rPr>
        <w:t xml:space="preserve"> aspectos de mejora se pueden</w:t>
      </w:r>
      <w:r w:rsidR="00824D55" w:rsidRPr="00CC279A">
        <w:rPr>
          <w:rFonts w:ascii="Arial Narrow" w:hAnsi="Arial Narrow"/>
          <w:lang w:eastAsia="en-US"/>
        </w:rPr>
        <w:t xml:space="preserve"> diseñar,</w:t>
      </w:r>
      <w:r w:rsidRPr="00F3617E">
        <w:rPr>
          <w:rFonts w:ascii="Arial Narrow" w:hAnsi="Arial Narrow"/>
          <w:lang w:eastAsia="en-US"/>
        </w:rPr>
        <w:t xml:space="preserve"> implementar</w:t>
      </w:r>
      <w:r w:rsidR="00824D55" w:rsidRPr="00F3617E">
        <w:rPr>
          <w:rFonts w:ascii="Arial Narrow" w:hAnsi="Arial Narrow"/>
          <w:lang w:eastAsia="en-US"/>
        </w:rPr>
        <w:t xml:space="preserve"> y dar seguimiento por parte de los responsables</w:t>
      </w:r>
      <w:r w:rsidR="00824D55">
        <w:rPr>
          <w:rFonts w:ascii="Arial Narrow" w:hAnsi="Arial Narrow"/>
          <w:lang w:eastAsia="en-US"/>
        </w:rPr>
        <w:t xml:space="preserve"> estratégicos</w:t>
      </w:r>
      <w:r>
        <w:rPr>
          <w:rFonts w:ascii="Arial Narrow" w:hAnsi="Arial Narrow"/>
          <w:lang w:eastAsia="en-US"/>
        </w:rPr>
        <w:t xml:space="preserve"> en el periodo </w:t>
      </w:r>
      <w:r w:rsidR="009547D6">
        <w:rPr>
          <w:rFonts w:ascii="Arial Narrow" w:hAnsi="Arial Narrow"/>
          <w:lang w:eastAsia="en-US"/>
        </w:rPr>
        <w:t xml:space="preserve">que </w:t>
      </w:r>
      <w:r>
        <w:rPr>
          <w:rFonts w:ascii="Arial Narrow" w:hAnsi="Arial Narrow"/>
          <w:lang w:eastAsia="en-US"/>
        </w:rPr>
        <w:t>resta</w:t>
      </w:r>
      <w:r w:rsidR="009547D6">
        <w:rPr>
          <w:rFonts w:ascii="Arial Narrow" w:hAnsi="Arial Narrow"/>
          <w:lang w:eastAsia="en-US"/>
        </w:rPr>
        <w:t xml:space="preserve"> para el cumplimiento </w:t>
      </w:r>
      <w:r>
        <w:rPr>
          <w:rFonts w:ascii="Arial Narrow" w:hAnsi="Arial Narrow"/>
          <w:lang w:eastAsia="en-US"/>
        </w:rPr>
        <w:t xml:space="preserve">del PEI y de los años 2021-2024 con el fin de encaminarse a cumplir la meta final estipulada para el </w:t>
      </w:r>
      <w:r w:rsidR="009547D6">
        <w:rPr>
          <w:rFonts w:ascii="Arial Narrow" w:hAnsi="Arial Narrow"/>
          <w:lang w:eastAsia="en-US"/>
        </w:rPr>
        <w:t>último año de este período</w:t>
      </w:r>
      <w:r>
        <w:rPr>
          <w:rFonts w:ascii="Arial Narrow" w:hAnsi="Arial Narrow"/>
          <w:lang w:eastAsia="en-US"/>
        </w:rPr>
        <w:t>.</w:t>
      </w:r>
    </w:p>
    <w:p w14:paraId="565EFF5A" w14:textId="152FDB7B" w:rsidR="00BD7E78" w:rsidRPr="00CC279A" w:rsidRDefault="0016243D" w:rsidP="00704B08">
      <w:pPr>
        <w:pStyle w:val="Ttulo3"/>
        <w:numPr>
          <w:ilvl w:val="1"/>
          <w:numId w:val="105"/>
        </w:numPr>
        <w:rPr>
          <w:rFonts w:ascii="Arial Narrow" w:hAnsi="Arial Narrow"/>
          <w:lang w:val="es-CR"/>
        </w:rPr>
      </w:pPr>
      <w:bookmarkStart w:id="142" w:name="_Toc83621707"/>
      <w:bookmarkStart w:id="143" w:name="_Toc83621753"/>
      <w:bookmarkStart w:id="144" w:name="_Toc83630174"/>
      <w:bookmarkStart w:id="145" w:name="_Toc84919359"/>
      <w:bookmarkEnd w:id="142"/>
      <w:bookmarkEnd w:id="143"/>
      <w:bookmarkEnd w:id="144"/>
      <w:r w:rsidRPr="00CC279A">
        <w:rPr>
          <w:rFonts w:ascii="Arial Narrow" w:hAnsi="Arial Narrow"/>
          <w:lang w:val="es-CR"/>
        </w:rPr>
        <w:t>Tema estratégico: Resolución oportuna de conflictos</w:t>
      </w:r>
      <w:bookmarkEnd w:id="145"/>
    </w:p>
    <w:p w14:paraId="0F6C13E9" w14:textId="1962FEB0" w:rsidR="0016243D" w:rsidRPr="00892938" w:rsidRDefault="0016243D">
      <w:pPr>
        <w:spacing w:line="360" w:lineRule="auto"/>
        <w:jc w:val="both"/>
        <w:rPr>
          <w:rFonts w:ascii="Arial Narrow" w:hAnsi="Arial Narrow"/>
          <w:lang w:eastAsia="en-US"/>
        </w:rPr>
      </w:pPr>
    </w:p>
    <w:p w14:paraId="509C1092" w14:textId="06C68B28" w:rsidR="00106F8C" w:rsidRPr="00892938" w:rsidRDefault="00A008D4" w:rsidP="00106F8C">
      <w:pPr>
        <w:pStyle w:val="Textoindependiente2"/>
        <w:numPr>
          <w:ilvl w:val="0"/>
          <w:numId w:val="100"/>
        </w:numPr>
        <w:spacing w:line="360" w:lineRule="auto"/>
        <w:rPr>
          <w:rFonts w:ascii="Arial Narrow" w:hAnsi="Arial Narrow"/>
          <w:lang w:eastAsia="en-US"/>
        </w:rPr>
      </w:pPr>
      <w:r w:rsidRPr="00F85A5C">
        <w:rPr>
          <w:rFonts w:ascii="Arial Narrow" w:hAnsi="Arial Narrow"/>
          <w:lang w:eastAsia="en-US"/>
        </w:rPr>
        <w:t>Acción</w:t>
      </w:r>
      <w:r>
        <w:rPr>
          <w:rFonts w:ascii="Arial Narrow" w:hAnsi="Arial Narrow"/>
          <w:lang w:eastAsia="en-US"/>
        </w:rPr>
        <w:t xml:space="preserve"> estratégica</w:t>
      </w:r>
      <w:r w:rsidR="00106F8C" w:rsidRPr="00704B08">
        <w:rPr>
          <w:rFonts w:ascii="Arial Narrow" w:hAnsi="Arial Narrow"/>
          <w:lang w:eastAsia="en-US"/>
        </w:rPr>
        <w:t>:</w:t>
      </w:r>
      <w:r w:rsidR="00106F8C" w:rsidRPr="00A008D4">
        <w:rPr>
          <w:rFonts w:ascii="Arial Narrow" w:hAnsi="Arial Narrow"/>
          <w:lang w:eastAsia="en-US"/>
        </w:rPr>
        <w:t xml:space="preserve"> </w:t>
      </w:r>
      <w:r w:rsidR="00892938" w:rsidRPr="00A008D4">
        <w:rPr>
          <w:rFonts w:ascii="Arial Narrow" w:hAnsi="Arial Narrow"/>
          <w:lang w:eastAsia="en-US"/>
        </w:rPr>
        <w:t>Celeridad</w:t>
      </w:r>
      <w:r w:rsidR="00892938">
        <w:rPr>
          <w:rFonts w:ascii="Arial Narrow" w:hAnsi="Arial Narrow"/>
          <w:lang w:eastAsia="en-US"/>
        </w:rPr>
        <w:t xml:space="preserve"> Judicial</w:t>
      </w:r>
      <w:r w:rsidR="00106F8C" w:rsidRPr="00892938">
        <w:rPr>
          <w:rFonts w:ascii="Arial Narrow" w:hAnsi="Arial Narrow"/>
          <w:lang w:eastAsia="en-US"/>
        </w:rPr>
        <w:t xml:space="preserve"> </w:t>
      </w:r>
    </w:p>
    <w:p w14:paraId="485E444D" w14:textId="16B8D4AD" w:rsidR="009547D6" w:rsidRDefault="00106F8C" w:rsidP="0042306C">
      <w:pPr>
        <w:pStyle w:val="Textoindependiente2"/>
        <w:spacing w:line="360" w:lineRule="auto"/>
        <w:ind w:left="720"/>
        <w:rPr>
          <w:rFonts w:ascii="Arial Narrow" w:hAnsi="Arial Narrow"/>
          <w:b w:val="0"/>
          <w:bCs w:val="0"/>
          <w:noProof/>
        </w:rPr>
      </w:pPr>
      <w:r w:rsidRPr="00000C80">
        <w:rPr>
          <w:rFonts w:ascii="Arial Narrow" w:hAnsi="Arial Narrow"/>
          <w:u w:val="single"/>
          <w:lang w:eastAsia="en-US"/>
        </w:rPr>
        <w:t>Meta</w:t>
      </w:r>
      <w:r w:rsidR="00BB381A" w:rsidRPr="00000C80">
        <w:rPr>
          <w:rFonts w:ascii="Arial Narrow" w:hAnsi="Arial Narrow"/>
          <w:u w:val="single"/>
          <w:lang w:eastAsia="en-US"/>
        </w:rPr>
        <w:t>s</w:t>
      </w:r>
      <w:r w:rsidRPr="00000C80">
        <w:rPr>
          <w:rFonts w:ascii="Arial Narrow" w:hAnsi="Arial Narrow"/>
          <w:u w:val="single"/>
          <w:lang w:eastAsia="en-US"/>
        </w:rPr>
        <w:t xml:space="preserve"> Estratégica</w:t>
      </w:r>
      <w:r w:rsidR="00BB381A" w:rsidRPr="00000C80">
        <w:rPr>
          <w:rFonts w:ascii="Arial Narrow" w:hAnsi="Arial Narrow"/>
          <w:u w:val="single"/>
          <w:lang w:eastAsia="en-US"/>
        </w:rPr>
        <w:t>s con cumplimiento medio</w:t>
      </w:r>
      <w:r w:rsidRPr="00000C80">
        <w:rPr>
          <w:rFonts w:ascii="Arial Narrow" w:hAnsi="Arial Narrow"/>
          <w:u w:val="single"/>
          <w:lang w:eastAsia="en-US"/>
        </w:rPr>
        <w:t>:</w:t>
      </w:r>
      <w:r w:rsidRPr="00000C80">
        <w:rPr>
          <w:rFonts w:ascii="Arial Narrow" w:hAnsi="Arial Narrow"/>
          <w:lang w:eastAsia="en-US"/>
        </w:rPr>
        <w:t xml:space="preserve"> </w:t>
      </w:r>
      <w:r w:rsidR="00E067CE" w:rsidRPr="00000C80">
        <w:rPr>
          <w:rFonts w:ascii="Arial Narrow" w:hAnsi="Arial Narrow"/>
          <w:b w:val="0"/>
          <w:bCs w:val="0"/>
          <w:lang w:eastAsia="en-US"/>
        </w:rPr>
        <w:t>Las siguientes 1</w:t>
      </w:r>
      <w:r w:rsidR="00000C80" w:rsidRPr="00CC279A">
        <w:rPr>
          <w:rFonts w:ascii="Arial Narrow" w:hAnsi="Arial Narrow"/>
          <w:b w:val="0"/>
          <w:bCs w:val="0"/>
          <w:lang w:eastAsia="en-US"/>
        </w:rPr>
        <w:t>2</w:t>
      </w:r>
      <w:r w:rsidR="00E067CE" w:rsidRPr="00000C80">
        <w:rPr>
          <w:rFonts w:ascii="Arial Narrow" w:hAnsi="Arial Narrow"/>
          <w:b w:val="0"/>
          <w:bCs w:val="0"/>
          <w:lang w:eastAsia="en-US"/>
        </w:rPr>
        <w:t xml:space="preserve"> metas</w:t>
      </w:r>
      <w:r w:rsidR="00EF3B2B" w:rsidRPr="00000C80">
        <w:rPr>
          <w:rFonts w:ascii="Arial Narrow" w:hAnsi="Arial Narrow"/>
          <w:b w:val="0"/>
          <w:bCs w:val="0"/>
          <w:lang w:eastAsia="en-US"/>
        </w:rPr>
        <w:t xml:space="preserve">- </w:t>
      </w:r>
      <w:r w:rsidR="00E067CE" w:rsidRPr="00000C80">
        <w:rPr>
          <w:rFonts w:ascii="Arial Narrow" w:hAnsi="Arial Narrow"/>
          <w:b w:val="0"/>
          <w:bCs w:val="0"/>
          <w:lang w:eastAsia="en-US"/>
        </w:rPr>
        <w:t>estratégicas</w:t>
      </w:r>
      <w:r w:rsidR="00E067CE" w:rsidRPr="00000C80">
        <w:rPr>
          <w:rFonts w:ascii="Arial Narrow" w:hAnsi="Arial Narrow"/>
          <w:lang w:eastAsia="en-US"/>
        </w:rPr>
        <w:t xml:space="preserve"> </w:t>
      </w:r>
      <w:r w:rsidR="00E067CE" w:rsidRPr="00000C80">
        <w:rPr>
          <w:rFonts w:ascii="Arial Narrow" w:hAnsi="Arial Narrow"/>
          <w:b w:val="0"/>
          <w:bCs w:val="0"/>
          <w:lang w:eastAsia="en-US"/>
        </w:rPr>
        <w:t xml:space="preserve">vinculadas con casos terminados se reportan con un </w:t>
      </w:r>
      <w:r w:rsidR="00E067CE" w:rsidRPr="00CC279A">
        <w:rPr>
          <w:rFonts w:ascii="Arial Narrow" w:hAnsi="Arial Narrow"/>
          <w:u w:val="single"/>
          <w:lang w:eastAsia="en-US"/>
        </w:rPr>
        <w:t>cumplimiento medio</w:t>
      </w:r>
      <w:r w:rsidR="00E067CE" w:rsidRPr="00000C80">
        <w:rPr>
          <w:rFonts w:ascii="Arial Narrow" w:hAnsi="Arial Narrow"/>
          <w:b w:val="0"/>
          <w:bCs w:val="0"/>
          <w:lang w:eastAsia="en-US"/>
        </w:rPr>
        <w:t>:</w:t>
      </w:r>
      <w:r w:rsidR="00E067CE" w:rsidRPr="00704B08">
        <w:rPr>
          <w:rFonts w:ascii="Arial Narrow" w:hAnsi="Arial Narrow"/>
          <w:b w:val="0"/>
          <w:bCs w:val="0"/>
          <w:noProof/>
        </w:rPr>
        <w:t xml:space="preserve"> </w:t>
      </w:r>
    </w:p>
    <w:p w14:paraId="37C91A0C" w14:textId="77777777" w:rsidR="009547D6" w:rsidRDefault="00892938" w:rsidP="00CC279A">
      <w:pPr>
        <w:pStyle w:val="Textoindependiente2"/>
        <w:numPr>
          <w:ilvl w:val="0"/>
          <w:numId w:val="114"/>
        </w:numPr>
        <w:spacing w:line="360" w:lineRule="auto"/>
        <w:rPr>
          <w:rFonts w:ascii="Arial Narrow" w:hAnsi="Arial Narrow"/>
          <w:b w:val="0"/>
          <w:bCs w:val="0"/>
          <w:noProof/>
        </w:rPr>
      </w:pPr>
      <w:r w:rsidRPr="00892938">
        <w:rPr>
          <w:rFonts w:ascii="Arial Narrow" w:hAnsi="Arial Narrow"/>
          <w:b w:val="0"/>
          <w:bCs w:val="0"/>
          <w:noProof/>
        </w:rPr>
        <w:t>Que al finalizar el 2024, se haya incrementado la cantidad de casos terminados en materia de Penal juvenil por año, en primera instancia</w:t>
      </w:r>
      <w:r w:rsidR="0042306C">
        <w:rPr>
          <w:rFonts w:ascii="Arial Narrow" w:hAnsi="Arial Narrow"/>
          <w:b w:val="0"/>
          <w:bCs w:val="0"/>
          <w:noProof/>
        </w:rPr>
        <w:t xml:space="preserve">, </w:t>
      </w:r>
    </w:p>
    <w:p w14:paraId="4436CFD3" w14:textId="77777777" w:rsidR="009547D6" w:rsidRDefault="0042306C" w:rsidP="00CC279A">
      <w:pPr>
        <w:pStyle w:val="Textoindependiente2"/>
        <w:numPr>
          <w:ilvl w:val="0"/>
          <w:numId w:val="114"/>
        </w:numPr>
        <w:spacing w:line="360" w:lineRule="auto"/>
        <w:rPr>
          <w:rFonts w:ascii="Arial Narrow" w:hAnsi="Arial Narrow"/>
          <w:b w:val="0"/>
          <w:bCs w:val="0"/>
          <w:noProof/>
        </w:rPr>
      </w:pPr>
      <w:r w:rsidRPr="00892938">
        <w:rPr>
          <w:rFonts w:ascii="Arial Narrow" w:hAnsi="Arial Narrow"/>
          <w:b w:val="0"/>
          <w:bCs w:val="0"/>
          <w:noProof/>
        </w:rPr>
        <w:t>Que al finalizar el 2024, se haya incrementado la cantidad de casos terminados en materia de Tránsito por año, en primera instancia</w:t>
      </w:r>
      <w:r>
        <w:rPr>
          <w:rFonts w:ascii="Arial Narrow" w:hAnsi="Arial Narrow"/>
          <w:b w:val="0"/>
          <w:bCs w:val="0"/>
          <w:noProof/>
        </w:rPr>
        <w:t xml:space="preserve">, </w:t>
      </w:r>
    </w:p>
    <w:p w14:paraId="0A7A17E1" w14:textId="77777777" w:rsidR="009547D6" w:rsidRDefault="0042306C" w:rsidP="00CC279A">
      <w:pPr>
        <w:pStyle w:val="Textoindependiente2"/>
        <w:numPr>
          <w:ilvl w:val="0"/>
          <w:numId w:val="114"/>
        </w:numPr>
        <w:spacing w:line="360" w:lineRule="auto"/>
        <w:rPr>
          <w:rFonts w:ascii="Arial Narrow" w:hAnsi="Arial Narrow" w:cs="Calibri"/>
          <w:b w:val="0"/>
          <w:bCs w:val="0"/>
          <w:color w:val="000000"/>
          <w:lang w:val="es-CR" w:eastAsia="es-CR"/>
        </w:rPr>
      </w:pPr>
      <w:r w:rsidRPr="00F85A5C">
        <w:rPr>
          <w:rFonts w:ascii="Arial Narrow" w:hAnsi="Arial Narrow" w:cs="Calibri"/>
          <w:b w:val="0"/>
          <w:bCs w:val="0"/>
          <w:color w:val="000000"/>
          <w:lang w:val="es-CR" w:eastAsia="es-CR"/>
        </w:rPr>
        <w:t>Que al finalizar el 2024, se haya incrementado la cantidad de casos terminados en materia Notarial anualmente</w:t>
      </w:r>
      <w:r>
        <w:rPr>
          <w:rFonts w:ascii="Arial Narrow" w:hAnsi="Arial Narrow" w:cs="Calibri"/>
          <w:b w:val="0"/>
          <w:bCs w:val="0"/>
          <w:color w:val="000000"/>
          <w:lang w:val="es-CR" w:eastAsia="es-CR"/>
        </w:rPr>
        <w:t xml:space="preserve">, </w:t>
      </w:r>
    </w:p>
    <w:p w14:paraId="678ADC8B" w14:textId="77777777" w:rsidR="009547D6" w:rsidRDefault="0042306C" w:rsidP="00CC279A">
      <w:pPr>
        <w:pStyle w:val="Textoindependiente2"/>
        <w:numPr>
          <w:ilvl w:val="0"/>
          <w:numId w:val="114"/>
        </w:numPr>
        <w:spacing w:line="360" w:lineRule="auto"/>
        <w:rPr>
          <w:rFonts w:ascii="Arial Narrow" w:hAnsi="Arial Narrow" w:cs="Calibri"/>
          <w:b w:val="0"/>
          <w:bCs w:val="0"/>
          <w:color w:val="000000"/>
          <w:lang w:val="es-CR" w:eastAsia="es-CR"/>
        </w:rPr>
      </w:pPr>
      <w:r w:rsidRPr="00892938">
        <w:rPr>
          <w:rFonts w:ascii="Arial Narrow" w:hAnsi="Arial Narrow" w:cs="Calibri"/>
          <w:b w:val="0"/>
          <w:bCs w:val="0"/>
          <w:color w:val="000000"/>
          <w:lang w:val="es-CR" w:eastAsia="es-CR"/>
        </w:rPr>
        <w:lastRenderedPageBreak/>
        <w:t>Que al finalizar el 2024, se haya incrementado la cantidad de casos terminados en materia Penal Juvenil por año, en segunda instancia</w:t>
      </w:r>
      <w:r>
        <w:rPr>
          <w:rFonts w:ascii="Arial Narrow" w:hAnsi="Arial Narrow" w:cs="Calibri"/>
          <w:b w:val="0"/>
          <w:bCs w:val="0"/>
          <w:color w:val="000000"/>
          <w:lang w:val="es-CR" w:eastAsia="es-CR"/>
        </w:rPr>
        <w:t xml:space="preserve">, </w:t>
      </w:r>
    </w:p>
    <w:p w14:paraId="6D6B4695" w14:textId="77777777" w:rsidR="009547D6" w:rsidRDefault="0042306C" w:rsidP="00CC279A">
      <w:pPr>
        <w:pStyle w:val="Textoindependiente2"/>
        <w:numPr>
          <w:ilvl w:val="0"/>
          <w:numId w:val="114"/>
        </w:numPr>
        <w:spacing w:line="360" w:lineRule="auto"/>
        <w:rPr>
          <w:rFonts w:ascii="Arial Narrow" w:hAnsi="Arial Narrow" w:cs="Calibri"/>
          <w:b w:val="0"/>
          <w:bCs w:val="0"/>
          <w:color w:val="000000"/>
          <w:lang w:val="es-CR" w:eastAsia="es-CR"/>
        </w:rPr>
      </w:pPr>
      <w:r w:rsidRPr="00892938">
        <w:rPr>
          <w:rFonts w:ascii="Arial Narrow" w:hAnsi="Arial Narrow" w:cs="Calibri"/>
          <w:b w:val="0"/>
          <w:bCs w:val="0"/>
          <w:color w:val="000000"/>
          <w:lang w:val="es-CR" w:eastAsia="es-CR"/>
        </w:rPr>
        <w:t>Que al finalizar el 2024, se haya incrementado la cantidad de casos terminados en materia Agraria por año, en segunda instancia</w:t>
      </w:r>
      <w:r>
        <w:rPr>
          <w:rFonts w:ascii="Arial Narrow" w:hAnsi="Arial Narrow" w:cs="Calibri"/>
          <w:b w:val="0"/>
          <w:bCs w:val="0"/>
          <w:color w:val="000000"/>
          <w:lang w:val="es-CR" w:eastAsia="es-CR"/>
        </w:rPr>
        <w:t xml:space="preserve">, </w:t>
      </w:r>
    </w:p>
    <w:p w14:paraId="0652C20D" w14:textId="77777777" w:rsidR="009547D6" w:rsidRDefault="0042306C" w:rsidP="00CC279A">
      <w:pPr>
        <w:pStyle w:val="Textoindependiente2"/>
        <w:numPr>
          <w:ilvl w:val="0"/>
          <w:numId w:val="114"/>
        </w:numPr>
        <w:spacing w:line="360" w:lineRule="auto"/>
        <w:rPr>
          <w:rFonts w:ascii="Arial Narrow" w:hAnsi="Arial Narrow" w:cs="Calibri"/>
          <w:b w:val="0"/>
          <w:bCs w:val="0"/>
          <w:color w:val="000000"/>
          <w:lang w:val="es-CR" w:eastAsia="es-CR"/>
        </w:rPr>
      </w:pPr>
      <w:r w:rsidRPr="00892938">
        <w:rPr>
          <w:rFonts w:ascii="Arial Narrow" w:hAnsi="Arial Narrow" w:cs="Calibri"/>
          <w:b w:val="0"/>
          <w:bCs w:val="0"/>
          <w:color w:val="000000"/>
          <w:lang w:val="es-CR" w:eastAsia="es-CR"/>
        </w:rPr>
        <w:t>Que al finalizar el 2024, se haya incrementado la cantidad de casos terminados en materia Laboral por año, en segunda instancia</w:t>
      </w:r>
      <w:r>
        <w:rPr>
          <w:rFonts w:ascii="Arial Narrow" w:hAnsi="Arial Narrow" w:cs="Calibri"/>
          <w:b w:val="0"/>
          <w:bCs w:val="0"/>
          <w:color w:val="000000"/>
          <w:lang w:val="es-CR" w:eastAsia="es-CR"/>
        </w:rPr>
        <w:t xml:space="preserve">, </w:t>
      </w:r>
    </w:p>
    <w:p w14:paraId="6978BF1F" w14:textId="77777777" w:rsidR="009547D6" w:rsidRDefault="0042306C" w:rsidP="00CC279A">
      <w:pPr>
        <w:pStyle w:val="Textoindependiente2"/>
        <w:numPr>
          <w:ilvl w:val="0"/>
          <w:numId w:val="114"/>
        </w:numPr>
        <w:spacing w:line="360" w:lineRule="auto"/>
        <w:rPr>
          <w:rFonts w:ascii="Arial Narrow" w:hAnsi="Arial Narrow" w:cs="Calibri"/>
          <w:b w:val="0"/>
          <w:bCs w:val="0"/>
          <w:color w:val="000000"/>
          <w:lang w:val="es-CR" w:eastAsia="es-CR"/>
        </w:rPr>
      </w:pPr>
      <w:r w:rsidRPr="00892938">
        <w:rPr>
          <w:rFonts w:ascii="Arial Narrow" w:hAnsi="Arial Narrow" w:cs="Calibri"/>
          <w:b w:val="0"/>
          <w:bCs w:val="0"/>
          <w:color w:val="000000"/>
          <w:lang w:val="es-CR" w:eastAsia="es-CR"/>
        </w:rPr>
        <w:t>Que al finalizar el 2024, se haya incrementado la cantidad de casos terminados en materia de Tránsito por año, en segunda instancia</w:t>
      </w:r>
      <w:r>
        <w:rPr>
          <w:rFonts w:ascii="Arial Narrow" w:hAnsi="Arial Narrow" w:cs="Calibri"/>
          <w:b w:val="0"/>
          <w:bCs w:val="0"/>
          <w:color w:val="000000"/>
          <w:lang w:val="es-CR" w:eastAsia="es-CR"/>
        </w:rPr>
        <w:t xml:space="preserve">, </w:t>
      </w:r>
    </w:p>
    <w:p w14:paraId="0164169C" w14:textId="77777777" w:rsidR="009547D6" w:rsidRDefault="0042306C" w:rsidP="00CC279A">
      <w:pPr>
        <w:pStyle w:val="Textoindependiente2"/>
        <w:numPr>
          <w:ilvl w:val="0"/>
          <w:numId w:val="114"/>
        </w:numPr>
        <w:spacing w:line="360" w:lineRule="auto"/>
        <w:rPr>
          <w:rFonts w:ascii="Arial Narrow" w:hAnsi="Arial Narrow" w:cs="Calibri"/>
          <w:b w:val="0"/>
          <w:bCs w:val="0"/>
          <w:color w:val="000000"/>
          <w:lang w:val="es-CR" w:eastAsia="es-CR"/>
        </w:rPr>
      </w:pPr>
      <w:r w:rsidRPr="00892938">
        <w:rPr>
          <w:rFonts w:ascii="Arial Narrow" w:hAnsi="Arial Narrow" w:cs="Calibri"/>
          <w:b w:val="0"/>
          <w:bCs w:val="0"/>
          <w:color w:val="000000"/>
          <w:lang w:val="es-CR" w:eastAsia="es-CR"/>
        </w:rPr>
        <w:t>Que al finalizar el 2024, se haya incrementado la cantidad de casos terminados en materia Familia por año, en primera instancia</w:t>
      </w:r>
      <w:r>
        <w:rPr>
          <w:rFonts w:ascii="Arial Narrow" w:hAnsi="Arial Narrow" w:cs="Calibri"/>
          <w:b w:val="0"/>
          <w:bCs w:val="0"/>
          <w:color w:val="000000"/>
          <w:lang w:val="es-CR" w:eastAsia="es-CR"/>
        </w:rPr>
        <w:t xml:space="preserve">, </w:t>
      </w:r>
    </w:p>
    <w:p w14:paraId="37C82FAD" w14:textId="2DC25A0C" w:rsidR="009547D6" w:rsidRDefault="0042306C" w:rsidP="00CC279A">
      <w:pPr>
        <w:pStyle w:val="Textoindependiente2"/>
        <w:numPr>
          <w:ilvl w:val="0"/>
          <w:numId w:val="114"/>
        </w:numPr>
        <w:spacing w:line="360" w:lineRule="auto"/>
        <w:rPr>
          <w:rFonts w:ascii="Arial Narrow" w:hAnsi="Arial Narrow" w:cs="Calibri"/>
          <w:b w:val="0"/>
          <w:bCs w:val="0"/>
          <w:color w:val="000000"/>
          <w:lang w:val="es-CR" w:eastAsia="es-CR"/>
        </w:rPr>
      </w:pPr>
      <w:r w:rsidRPr="00892938">
        <w:rPr>
          <w:rFonts w:ascii="Arial Narrow" w:hAnsi="Arial Narrow" w:cs="Calibri"/>
          <w:b w:val="0"/>
          <w:bCs w:val="0"/>
          <w:color w:val="000000"/>
          <w:lang w:val="es-CR" w:eastAsia="es-CR"/>
        </w:rPr>
        <w:t xml:space="preserve">Que al finalizar el 2024, se haya incrementado la cantidad de casos terminados en materia </w:t>
      </w:r>
      <w:r w:rsidR="00205AFD" w:rsidRPr="00C9711A">
        <w:rPr>
          <w:rFonts w:ascii="Arial Narrow" w:hAnsi="Arial Narrow" w:cs="Arial"/>
          <w:b w:val="0"/>
          <w:bCs w:val="0"/>
          <w:sz w:val="22"/>
          <w:szCs w:val="22"/>
          <w:lang w:eastAsia="zh-CN"/>
        </w:rPr>
        <w:t>Contencioso-Administrativa y Civil de Hacienda</w:t>
      </w:r>
      <w:r w:rsidR="00205AFD" w:rsidRPr="00724A76">
        <w:rPr>
          <w:rFonts w:ascii="Arial Narrow" w:hAnsi="Arial Narrow" w:cs="Calibri"/>
          <w:b w:val="0"/>
          <w:bCs w:val="0"/>
          <w:color w:val="000000"/>
          <w:lang w:val="es-CR" w:eastAsia="es-CR"/>
        </w:rPr>
        <w:t>.</w:t>
      </w:r>
    </w:p>
    <w:p w14:paraId="622D7ED9" w14:textId="77777777" w:rsidR="009547D6" w:rsidRDefault="0042306C" w:rsidP="00CC279A">
      <w:pPr>
        <w:pStyle w:val="Textoindependiente2"/>
        <w:numPr>
          <w:ilvl w:val="0"/>
          <w:numId w:val="114"/>
        </w:numPr>
        <w:spacing w:line="360" w:lineRule="auto"/>
        <w:rPr>
          <w:rFonts w:ascii="Arial Narrow" w:hAnsi="Arial Narrow" w:cs="Calibri"/>
          <w:b w:val="0"/>
          <w:bCs w:val="0"/>
          <w:color w:val="000000"/>
          <w:lang w:val="es-CR" w:eastAsia="es-CR"/>
        </w:rPr>
      </w:pPr>
      <w:r w:rsidRPr="00892938">
        <w:rPr>
          <w:rFonts w:ascii="Arial Narrow" w:hAnsi="Arial Narrow" w:cs="Calibri"/>
          <w:b w:val="0"/>
          <w:bCs w:val="0"/>
          <w:color w:val="000000"/>
          <w:lang w:val="es-CR" w:eastAsia="es-CR"/>
        </w:rPr>
        <w:t>Que al finalizar el 2024, se haya incrementado la cantidad de casos terminados en materia Penal por año, en primera instancia por los juzgados penales</w:t>
      </w:r>
      <w:r>
        <w:rPr>
          <w:rFonts w:ascii="Arial Narrow" w:hAnsi="Arial Narrow" w:cs="Calibri"/>
          <w:b w:val="0"/>
          <w:bCs w:val="0"/>
          <w:color w:val="000000"/>
          <w:lang w:val="es-CR" w:eastAsia="es-CR"/>
        </w:rPr>
        <w:t xml:space="preserve">, </w:t>
      </w:r>
    </w:p>
    <w:p w14:paraId="6772C834" w14:textId="77777777" w:rsidR="009547D6" w:rsidRDefault="0042306C" w:rsidP="00CC279A">
      <w:pPr>
        <w:pStyle w:val="Textoindependiente2"/>
        <w:numPr>
          <w:ilvl w:val="0"/>
          <w:numId w:val="114"/>
        </w:numPr>
        <w:spacing w:line="360" w:lineRule="auto"/>
        <w:rPr>
          <w:rFonts w:ascii="Arial Narrow" w:hAnsi="Arial Narrow" w:cs="Calibri"/>
          <w:b w:val="0"/>
          <w:bCs w:val="0"/>
          <w:color w:val="000000"/>
          <w:lang w:val="es-CR" w:eastAsia="es-CR"/>
        </w:rPr>
      </w:pPr>
      <w:r w:rsidRPr="00892938">
        <w:rPr>
          <w:rFonts w:ascii="Arial Narrow" w:hAnsi="Arial Narrow" w:cs="Calibri"/>
          <w:b w:val="0"/>
          <w:bCs w:val="0"/>
          <w:color w:val="000000"/>
          <w:lang w:val="es-CR" w:eastAsia="es-CR"/>
        </w:rPr>
        <w:t>Que al finalizar el 2024, se haya incrementado la cantidad de casos terminados en materia Laboral por año, en primera instancia</w:t>
      </w:r>
      <w:r>
        <w:rPr>
          <w:rFonts w:ascii="Arial Narrow" w:hAnsi="Arial Narrow" w:cs="Calibri"/>
          <w:b w:val="0"/>
          <w:bCs w:val="0"/>
          <w:color w:val="000000"/>
          <w:lang w:val="es-CR" w:eastAsia="es-CR"/>
        </w:rPr>
        <w:t xml:space="preserve">, </w:t>
      </w:r>
    </w:p>
    <w:p w14:paraId="0FEEBA67" w14:textId="06683981" w:rsidR="0042306C" w:rsidRDefault="0042306C" w:rsidP="00CC279A">
      <w:pPr>
        <w:pStyle w:val="Textoindependiente2"/>
        <w:numPr>
          <w:ilvl w:val="0"/>
          <w:numId w:val="114"/>
        </w:numPr>
        <w:spacing w:line="360" w:lineRule="auto"/>
        <w:rPr>
          <w:rFonts w:ascii="Arial Narrow" w:hAnsi="Arial Narrow" w:cs="Calibri"/>
          <w:color w:val="000000"/>
          <w:lang w:val="es-CR" w:eastAsia="es-CR"/>
        </w:rPr>
      </w:pPr>
      <w:r w:rsidRPr="00704B08">
        <w:rPr>
          <w:rFonts w:ascii="Arial Narrow" w:hAnsi="Arial Narrow" w:cs="Calibri"/>
          <w:b w:val="0"/>
          <w:bCs w:val="0"/>
          <w:color w:val="000000"/>
          <w:lang w:val="es-CR" w:eastAsia="es-CR"/>
        </w:rPr>
        <w:t>Que al finalizar el 2024, se haya incrementado la cantidad de casos terminados en materia Penal por año, en primera instancia por los tribunales de juicio penales.</w:t>
      </w:r>
    </w:p>
    <w:p w14:paraId="73329C6C" w14:textId="77777777" w:rsidR="00356026" w:rsidRDefault="00356026" w:rsidP="00D47913">
      <w:pPr>
        <w:pStyle w:val="Descripcin"/>
        <w:jc w:val="center"/>
        <w:rPr>
          <w:rFonts w:ascii="Arial Narrow" w:hAnsi="Arial Narrow"/>
          <w:sz w:val="24"/>
          <w:szCs w:val="24"/>
        </w:rPr>
      </w:pPr>
      <w:bookmarkStart w:id="146" w:name="_Toc84919462"/>
    </w:p>
    <w:p w14:paraId="331444A9" w14:textId="5C3B8A39" w:rsidR="0042306C" w:rsidRDefault="00D47913" w:rsidP="00D47913">
      <w:pPr>
        <w:pStyle w:val="Descripcin"/>
        <w:jc w:val="center"/>
        <w:rPr>
          <w:rFonts w:ascii="Arial Narrow" w:hAnsi="Arial Narrow"/>
          <w:sz w:val="24"/>
          <w:szCs w:val="24"/>
        </w:rPr>
      </w:pPr>
      <w:r w:rsidRPr="00CC279A">
        <w:rPr>
          <w:rFonts w:ascii="Arial Narrow" w:hAnsi="Arial Narrow"/>
          <w:sz w:val="24"/>
          <w:szCs w:val="24"/>
        </w:rPr>
        <w:t xml:space="preserve">Tabla </w:t>
      </w:r>
      <w:r w:rsidRPr="00CC279A">
        <w:rPr>
          <w:rFonts w:ascii="Arial Narrow" w:hAnsi="Arial Narrow"/>
          <w:sz w:val="24"/>
          <w:szCs w:val="24"/>
        </w:rPr>
        <w:fldChar w:fldCharType="begin"/>
      </w:r>
      <w:r w:rsidRPr="00CC279A">
        <w:rPr>
          <w:rFonts w:ascii="Arial Narrow" w:hAnsi="Arial Narrow"/>
          <w:sz w:val="24"/>
          <w:szCs w:val="24"/>
        </w:rPr>
        <w:instrText xml:space="preserve"> SEQ Tabla \* ARABIC </w:instrText>
      </w:r>
      <w:r w:rsidRPr="00CC279A">
        <w:rPr>
          <w:rFonts w:ascii="Arial Narrow" w:hAnsi="Arial Narrow"/>
          <w:sz w:val="24"/>
          <w:szCs w:val="24"/>
        </w:rPr>
        <w:fldChar w:fldCharType="separate"/>
      </w:r>
      <w:r w:rsidRPr="00CC279A">
        <w:rPr>
          <w:rFonts w:ascii="Arial Narrow" w:hAnsi="Arial Narrow"/>
          <w:noProof/>
          <w:sz w:val="24"/>
          <w:szCs w:val="24"/>
        </w:rPr>
        <w:t>4</w:t>
      </w:r>
      <w:r w:rsidRPr="00CC279A">
        <w:rPr>
          <w:rFonts w:ascii="Arial Narrow" w:hAnsi="Arial Narrow"/>
          <w:sz w:val="24"/>
          <w:szCs w:val="24"/>
        </w:rPr>
        <w:fldChar w:fldCharType="end"/>
      </w:r>
      <w:r w:rsidRPr="00CC279A">
        <w:rPr>
          <w:rFonts w:ascii="Arial Narrow" w:hAnsi="Arial Narrow"/>
          <w:sz w:val="24"/>
          <w:szCs w:val="24"/>
        </w:rPr>
        <w:t xml:space="preserve"> Desafíos </w:t>
      </w:r>
      <w:r>
        <w:rPr>
          <w:rFonts w:ascii="Arial Narrow" w:hAnsi="Arial Narrow"/>
          <w:sz w:val="24"/>
          <w:szCs w:val="24"/>
        </w:rPr>
        <w:t xml:space="preserve">Acción estratégica </w:t>
      </w:r>
      <w:r w:rsidRPr="00CC279A">
        <w:rPr>
          <w:rFonts w:ascii="Arial Narrow" w:hAnsi="Arial Narrow"/>
          <w:sz w:val="24"/>
          <w:szCs w:val="24"/>
        </w:rPr>
        <w:t>Celeridad Judicial</w:t>
      </w:r>
      <w:r w:rsidR="008E4872">
        <w:rPr>
          <w:rFonts w:ascii="Arial Narrow" w:hAnsi="Arial Narrow"/>
          <w:sz w:val="24"/>
          <w:szCs w:val="24"/>
        </w:rPr>
        <w:t xml:space="preserve"> según 12 metas reportadas con cumplimiento medio</w:t>
      </w:r>
      <w:bookmarkEnd w:id="146"/>
    </w:p>
    <w:p w14:paraId="6ED156B8" w14:textId="77777777" w:rsidR="00D47913" w:rsidRPr="00CC279A" w:rsidRDefault="00D47913" w:rsidP="00CC279A">
      <w:pPr>
        <w:rPr>
          <w:b/>
          <w:bCs/>
        </w:rPr>
      </w:pPr>
    </w:p>
    <w:tbl>
      <w:tblPr>
        <w:tblStyle w:val="Tablaconcuadrcula"/>
        <w:tblW w:w="0" w:type="auto"/>
        <w:tblInd w:w="720" w:type="dxa"/>
        <w:tblLook w:val="04A0" w:firstRow="1" w:lastRow="0" w:firstColumn="1" w:lastColumn="0" w:noHBand="0" w:noVBand="1"/>
      </w:tblPr>
      <w:tblGrid>
        <w:gridCol w:w="4240"/>
        <w:gridCol w:w="4243"/>
      </w:tblGrid>
      <w:tr w:rsidR="006F3725" w14:paraId="5163DEBB" w14:textId="77777777" w:rsidTr="002F3DFE">
        <w:tc>
          <w:tcPr>
            <w:tcW w:w="4601" w:type="dxa"/>
            <w:vAlign w:val="center"/>
          </w:tcPr>
          <w:p w14:paraId="755E0777" w14:textId="3E46F747" w:rsidR="00EF3B2B" w:rsidRDefault="00EF3B2B" w:rsidP="00CC279A">
            <w:pPr>
              <w:pStyle w:val="Textoindependiente2"/>
              <w:spacing w:line="360" w:lineRule="auto"/>
              <w:jc w:val="center"/>
              <w:rPr>
                <w:rFonts w:ascii="Arial Narrow" w:hAnsi="Arial Narrow"/>
                <w:b w:val="0"/>
                <w:bCs w:val="0"/>
                <w:noProof/>
              </w:rPr>
            </w:pPr>
            <w:r w:rsidRPr="00E067CE">
              <w:rPr>
                <w:rFonts w:ascii="Arial Narrow" w:hAnsi="Arial Narrow"/>
                <w:noProof/>
                <w:u w:val="single"/>
              </w:rPr>
              <w:t>Desafíos:</w:t>
            </w:r>
          </w:p>
        </w:tc>
        <w:tc>
          <w:tcPr>
            <w:tcW w:w="4602" w:type="dxa"/>
            <w:vAlign w:val="center"/>
          </w:tcPr>
          <w:p w14:paraId="335144A3" w14:textId="4BC39C88" w:rsidR="00EF3B2B" w:rsidRPr="003B6457" w:rsidRDefault="00EF3B2B" w:rsidP="00CC279A">
            <w:pPr>
              <w:pStyle w:val="Textoindependiente2"/>
              <w:spacing w:line="360" w:lineRule="auto"/>
              <w:jc w:val="center"/>
              <w:rPr>
                <w:rFonts w:ascii="Arial Narrow" w:hAnsi="Arial Narrow"/>
                <w:b w:val="0"/>
                <w:bCs w:val="0"/>
                <w:noProof/>
              </w:rPr>
            </w:pPr>
            <w:r w:rsidRPr="00CC279A">
              <w:rPr>
                <w:rFonts w:ascii="Arial Narrow" w:hAnsi="Arial Narrow"/>
                <w:noProof/>
              </w:rPr>
              <w:t>Responsable</w:t>
            </w:r>
            <w:r w:rsidR="00000C80" w:rsidRPr="00CC279A">
              <w:rPr>
                <w:rFonts w:ascii="Arial Narrow" w:hAnsi="Arial Narrow"/>
                <w:noProof/>
              </w:rPr>
              <w:t xml:space="preserve"> estrat</w:t>
            </w:r>
            <w:r w:rsidR="002F3DFE" w:rsidRPr="00CC279A">
              <w:rPr>
                <w:rFonts w:ascii="Arial Narrow" w:hAnsi="Arial Narrow"/>
                <w:noProof/>
              </w:rPr>
              <w:t>é</w:t>
            </w:r>
            <w:r w:rsidR="00000C80" w:rsidRPr="00CC279A">
              <w:rPr>
                <w:rFonts w:ascii="Arial Narrow" w:hAnsi="Arial Narrow"/>
                <w:noProof/>
              </w:rPr>
              <w:t>gico</w:t>
            </w:r>
            <w:r w:rsidRPr="003B6457">
              <w:rPr>
                <w:rFonts w:ascii="Arial Narrow" w:hAnsi="Arial Narrow"/>
                <w:b w:val="0"/>
                <w:bCs w:val="0"/>
                <w:noProof/>
              </w:rPr>
              <w:t>:</w:t>
            </w:r>
          </w:p>
        </w:tc>
      </w:tr>
      <w:tr w:rsidR="006F3725" w14:paraId="21AE0B3C" w14:textId="77777777" w:rsidTr="002F3DFE">
        <w:tc>
          <w:tcPr>
            <w:tcW w:w="4601" w:type="dxa"/>
            <w:vAlign w:val="center"/>
          </w:tcPr>
          <w:p w14:paraId="6615125D" w14:textId="2A58E347" w:rsidR="00EF3B2B" w:rsidRDefault="00EF3B2B" w:rsidP="00CC279A">
            <w:pPr>
              <w:pStyle w:val="Textoindependiente2"/>
              <w:spacing w:line="360" w:lineRule="auto"/>
              <w:jc w:val="center"/>
              <w:rPr>
                <w:rFonts w:ascii="Arial Narrow" w:hAnsi="Arial Narrow" w:cs="Calibri"/>
                <w:b w:val="0"/>
                <w:bCs w:val="0"/>
                <w:color w:val="000000"/>
                <w:lang w:val="es-CR" w:eastAsia="es-CR"/>
              </w:rPr>
            </w:pPr>
            <w:r w:rsidRPr="00E067CE">
              <w:rPr>
                <w:rFonts w:ascii="Arial Narrow" w:hAnsi="Arial Narrow"/>
                <w:b w:val="0"/>
                <w:bCs w:val="0"/>
                <w:noProof/>
              </w:rPr>
              <w:t xml:space="preserve">Analizar las estrategias </w:t>
            </w:r>
            <w:r w:rsidRPr="00704B08">
              <w:rPr>
                <w:rFonts w:ascii="Arial Narrow" w:hAnsi="Arial Narrow"/>
                <w:b w:val="0"/>
                <w:bCs w:val="0"/>
                <w:noProof/>
              </w:rPr>
              <w:t xml:space="preserve">y </w:t>
            </w:r>
            <w:r w:rsidR="0057360B">
              <w:rPr>
                <w:rFonts w:ascii="Arial Narrow" w:hAnsi="Arial Narrow"/>
                <w:b w:val="0"/>
                <w:bCs w:val="0"/>
                <w:noProof/>
              </w:rPr>
              <w:t>proyecciones</w:t>
            </w:r>
            <w:r w:rsidR="003411C5">
              <w:rPr>
                <w:rFonts w:ascii="Arial Narrow" w:hAnsi="Arial Narrow"/>
                <w:b w:val="0"/>
                <w:bCs w:val="0"/>
                <w:noProof/>
              </w:rPr>
              <w:t xml:space="preserve"> </w:t>
            </w:r>
            <w:r w:rsidRPr="00704B08">
              <w:rPr>
                <w:rFonts w:ascii="Arial Narrow" w:hAnsi="Arial Narrow"/>
                <w:b w:val="0"/>
                <w:bCs w:val="0"/>
                <w:noProof/>
              </w:rPr>
              <w:t>estad</w:t>
            </w:r>
            <w:r>
              <w:rPr>
                <w:rFonts w:ascii="Arial Narrow" w:hAnsi="Arial Narrow"/>
                <w:b w:val="0"/>
                <w:bCs w:val="0"/>
                <w:noProof/>
              </w:rPr>
              <w:t>í</w:t>
            </w:r>
            <w:r w:rsidRPr="00704B08">
              <w:rPr>
                <w:rFonts w:ascii="Arial Narrow" w:hAnsi="Arial Narrow"/>
                <w:b w:val="0"/>
                <w:bCs w:val="0"/>
                <w:noProof/>
              </w:rPr>
              <w:t xml:space="preserve">sticas de ingreso y salida de asuntos </w:t>
            </w:r>
            <w:r w:rsidRPr="00E067CE">
              <w:rPr>
                <w:rFonts w:ascii="Arial Narrow" w:hAnsi="Arial Narrow"/>
                <w:b w:val="0"/>
                <w:bCs w:val="0"/>
                <w:noProof/>
              </w:rPr>
              <w:t xml:space="preserve">que </w:t>
            </w:r>
            <w:r w:rsidRPr="00E067CE">
              <w:rPr>
                <w:rFonts w:ascii="Arial Narrow" w:hAnsi="Arial Narrow" w:cs="Calibri"/>
                <w:b w:val="0"/>
                <w:bCs w:val="0"/>
                <w:color w:val="000000"/>
                <w:lang w:val="es-CR" w:eastAsia="es-CR"/>
              </w:rPr>
              <w:t>permitan cumplir con la cantidad de casos terminados</w:t>
            </w:r>
            <w:r w:rsidRPr="00704B08">
              <w:rPr>
                <w:rFonts w:ascii="Arial Narrow" w:hAnsi="Arial Narrow" w:cs="Calibri"/>
                <w:b w:val="0"/>
                <w:bCs w:val="0"/>
                <w:color w:val="000000"/>
                <w:lang w:val="es-CR" w:eastAsia="es-CR"/>
              </w:rPr>
              <w:t xml:space="preserve"> </w:t>
            </w:r>
            <w:r w:rsidR="0057360B">
              <w:rPr>
                <w:rFonts w:ascii="Arial Narrow" w:hAnsi="Arial Narrow" w:cs="Calibri"/>
                <w:b w:val="0"/>
                <w:bCs w:val="0"/>
                <w:color w:val="000000"/>
                <w:lang w:val="es-CR" w:eastAsia="es-CR"/>
              </w:rPr>
              <w:t>con base en</w:t>
            </w:r>
            <w:r w:rsidRPr="00704B08">
              <w:rPr>
                <w:rFonts w:ascii="Arial Narrow" w:hAnsi="Arial Narrow" w:cs="Calibri"/>
                <w:b w:val="0"/>
                <w:bCs w:val="0"/>
                <w:color w:val="000000"/>
                <w:lang w:val="es-CR" w:eastAsia="es-CR"/>
              </w:rPr>
              <w:t xml:space="preserve"> la meta formulada</w:t>
            </w:r>
            <w:r w:rsidRPr="00E067CE">
              <w:rPr>
                <w:rFonts w:ascii="Arial Narrow" w:hAnsi="Arial Narrow" w:cs="Calibri"/>
                <w:b w:val="0"/>
                <w:bCs w:val="0"/>
                <w:color w:val="000000"/>
                <w:lang w:val="es-CR" w:eastAsia="es-CR"/>
              </w:rPr>
              <w:t>, y desde la planificación revisar</w:t>
            </w:r>
            <w:r w:rsidRPr="00704B08">
              <w:rPr>
                <w:rFonts w:ascii="Arial Narrow" w:hAnsi="Arial Narrow" w:cs="Calibri"/>
                <w:b w:val="0"/>
                <w:bCs w:val="0"/>
                <w:color w:val="000000"/>
                <w:lang w:val="es-CR" w:eastAsia="es-CR"/>
              </w:rPr>
              <w:t xml:space="preserve"> en conjunto</w:t>
            </w:r>
            <w:r w:rsidRPr="00E067CE">
              <w:rPr>
                <w:rFonts w:ascii="Arial Narrow" w:hAnsi="Arial Narrow" w:cs="Calibri"/>
                <w:b w:val="0"/>
                <w:bCs w:val="0"/>
                <w:color w:val="000000"/>
                <w:lang w:val="es-CR" w:eastAsia="es-CR"/>
              </w:rPr>
              <w:t xml:space="preserve"> las metas y sus valores finales propuestos, con el fin de poder cumplir a </w:t>
            </w:r>
            <w:r w:rsidRPr="00E067CE">
              <w:rPr>
                <w:rFonts w:ascii="Arial Narrow" w:hAnsi="Arial Narrow" w:cs="Calibri"/>
                <w:b w:val="0"/>
                <w:bCs w:val="0"/>
                <w:color w:val="000000"/>
                <w:lang w:val="es-CR" w:eastAsia="es-CR"/>
              </w:rPr>
              <w:lastRenderedPageBreak/>
              <w:t>cabalidad lo establecido en esta meta</w:t>
            </w:r>
            <w:r w:rsidRPr="00704B08">
              <w:rPr>
                <w:rFonts w:ascii="Arial Narrow" w:hAnsi="Arial Narrow" w:cs="Calibri"/>
                <w:b w:val="0"/>
                <w:bCs w:val="0"/>
                <w:color w:val="000000"/>
                <w:lang w:val="es-CR" w:eastAsia="es-CR"/>
              </w:rPr>
              <w:t xml:space="preserve">, </w:t>
            </w:r>
            <w:r w:rsidRPr="003411C5">
              <w:rPr>
                <w:rFonts w:ascii="Arial Narrow" w:hAnsi="Arial Narrow" w:cs="Calibri"/>
                <w:b w:val="0"/>
                <w:bCs w:val="0"/>
                <w:color w:val="000000"/>
                <w:lang w:val="es-CR" w:eastAsia="es-CR"/>
              </w:rPr>
              <w:t>tomando en consideración el impacto del COVID-19</w:t>
            </w:r>
            <w:r w:rsidRPr="00CC279A">
              <w:rPr>
                <w:rFonts w:ascii="Arial Narrow" w:hAnsi="Arial Narrow" w:cs="Calibri"/>
                <w:b w:val="0"/>
                <w:bCs w:val="0"/>
                <w:color w:val="000000"/>
                <w:lang w:val="es-CR" w:eastAsia="es-CR"/>
              </w:rPr>
              <w:t xml:space="preserve">.  </w:t>
            </w:r>
            <w:r w:rsidR="003411C5" w:rsidRPr="00CC279A">
              <w:rPr>
                <w:rFonts w:ascii="Arial Narrow" w:hAnsi="Arial Narrow" w:cs="Calibri"/>
                <w:b w:val="0"/>
                <w:bCs w:val="0"/>
                <w:color w:val="000000"/>
                <w:lang w:val="es-CR" w:eastAsia="es-CR"/>
              </w:rPr>
              <w:t xml:space="preserve">Para lo anterior, tomar en consideración los alcances del informe 921-PLA-PE-2021, </w:t>
            </w:r>
            <w:r w:rsidR="003B6457" w:rsidRPr="003411C5">
              <w:rPr>
                <w:rFonts w:ascii="Arial Narrow" w:hAnsi="Arial Narrow" w:cs="Calibri"/>
                <w:b w:val="0"/>
                <w:bCs w:val="0"/>
                <w:color w:val="000000"/>
                <w:lang w:val="es-CR" w:eastAsia="es-CR"/>
              </w:rPr>
              <w:t xml:space="preserve">que </w:t>
            </w:r>
            <w:r w:rsidR="003411C5" w:rsidRPr="00CC279A">
              <w:rPr>
                <w:rFonts w:ascii="Arial Narrow" w:hAnsi="Arial Narrow" w:cs="Calibri"/>
                <w:b w:val="0"/>
                <w:bCs w:val="0"/>
                <w:color w:val="000000"/>
                <w:lang w:val="es-CR" w:eastAsia="es-CR"/>
              </w:rPr>
              <w:t xml:space="preserve">al momento de elaborar este informe se encuentra </w:t>
            </w:r>
            <w:r w:rsidR="003B6457" w:rsidRPr="003411C5">
              <w:rPr>
                <w:rFonts w:ascii="Arial Narrow" w:hAnsi="Arial Narrow" w:cs="Calibri"/>
                <w:b w:val="0"/>
                <w:bCs w:val="0"/>
                <w:color w:val="000000"/>
                <w:lang w:val="es-CR" w:eastAsia="es-CR"/>
              </w:rPr>
              <w:t>en consulta.</w:t>
            </w:r>
          </w:p>
          <w:p w14:paraId="02B0C198" w14:textId="77777777" w:rsidR="00EF3B2B" w:rsidRDefault="00EF3B2B" w:rsidP="00CC279A">
            <w:pPr>
              <w:pStyle w:val="Textoindependiente2"/>
              <w:spacing w:line="360" w:lineRule="auto"/>
              <w:jc w:val="center"/>
              <w:rPr>
                <w:rFonts w:ascii="Arial Narrow" w:hAnsi="Arial Narrow"/>
                <w:b w:val="0"/>
                <w:bCs w:val="0"/>
                <w:noProof/>
              </w:rPr>
            </w:pPr>
          </w:p>
        </w:tc>
        <w:tc>
          <w:tcPr>
            <w:tcW w:w="4602" w:type="dxa"/>
            <w:vAlign w:val="center"/>
          </w:tcPr>
          <w:p w14:paraId="51FF9A8A" w14:textId="26C8B423" w:rsidR="00EF3B2B" w:rsidRPr="003B6457" w:rsidRDefault="0057360B" w:rsidP="00CC279A">
            <w:pPr>
              <w:pStyle w:val="Textoindependiente2"/>
              <w:spacing w:line="360" w:lineRule="auto"/>
              <w:jc w:val="center"/>
              <w:rPr>
                <w:rFonts w:ascii="Arial Narrow" w:hAnsi="Arial Narrow"/>
                <w:b w:val="0"/>
                <w:bCs w:val="0"/>
                <w:noProof/>
              </w:rPr>
            </w:pPr>
            <w:r w:rsidRPr="00CC279A">
              <w:rPr>
                <w:rFonts w:ascii="Arial Narrow" w:hAnsi="Arial Narrow"/>
                <w:b w:val="0"/>
                <w:bCs w:val="0"/>
                <w:noProof/>
              </w:rPr>
              <w:lastRenderedPageBreak/>
              <w:t xml:space="preserve">Centro de Apoyo, Coordinación y Mejoramiento de la Funcion Jurisdiccional </w:t>
            </w:r>
          </w:p>
        </w:tc>
      </w:tr>
    </w:tbl>
    <w:p w14:paraId="586E5E64" w14:textId="77777777" w:rsidR="00EF3B2B" w:rsidRPr="00892938" w:rsidRDefault="00EF3B2B" w:rsidP="00106F8C">
      <w:pPr>
        <w:pStyle w:val="Textoindependiente2"/>
        <w:spacing w:line="360" w:lineRule="auto"/>
        <w:ind w:left="720"/>
        <w:rPr>
          <w:rFonts w:ascii="Arial Narrow" w:hAnsi="Arial Narrow"/>
          <w:b w:val="0"/>
          <w:bCs w:val="0"/>
          <w:noProof/>
        </w:rPr>
      </w:pPr>
    </w:p>
    <w:p w14:paraId="3083AD19" w14:textId="77777777" w:rsidR="00E067CE" w:rsidRDefault="00E067CE" w:rsidP="00106F8C">
      <w:pPr>
        <w:pStyle w:val="Textoindependiente2"/>
        <w:spacing w:line="360" w:lineRule="auto"/>
        <w:ind w:left="720"/>
        <w:rPr>
          <w:rFonts w:ascii="Arial Narrow" w:hAnsi="Arial Narrow" w:cs="Calibri"/>
          <w:b w:val="0"/>
          <w:bCs w:val="0"/>
          <w:color w:val="000000"/>
          <w:lang w:val="es-CR" w:eastAsia="es-CR"/>
        </w:rPr>
      </w:pPr>
    </w:p>
    <w:p w14:paraId="32E0E517" w14:textId="33178EE4" w:rsidR="00892938" w:rsidRDefault="00892938" w:rsidP="00892938">
      <w:pPr>
        <w:pStyle w:val="Textoindependiente2"/>
        <w:numPr>
          <w:ilvl w:val="0"/>
          <w:numId w:val="100"/>
        </w:numPr>
        <w:spacing w:line="360" w:lineRule="auto"/>
        <w:rPr>
          <w:rFonts w:ascii="Arial Narrow" w:hAnsi="Arial Narrow"/>
          <w:lang w:eastAsia="en-US"/>
        </w:rPr>
      </w:pPr>
      <w:r w:rsidRPr="00704B08">
        <w:rPr>
          <w:rFonts w:ascii="Arial Narrow" w:hAnsi="Arial Narrow"/>
          <w:lang w:eastAsia="en-US"/>
        </w:rPr>
        <w:t>Acción</w:t>
      </w:r>
      <w:r w:rsidR="00A008D4">
        <w:rPr>
          <w:rFonts w:ascii="Arial Narrow" w:hAnsi="Arial Narrow"/>
          <w:lang w:eastAsia="en-US"/>
        </w:rPr>
        <w:t xml:space="preserve"> estratégica</w:t>
      </w:r>
      <w:r w:rsidRPr="00704B08">
        <w:rPr>
          <w:rFonts w:ascii="Arial Narrow" w:hAnsi="Arial Narrow"/>
          <w:lang w:eastAsia="en-US"/>
        </w:rPr>
        <w:t>:</w:t>
      </w:r>
      <w:r w:rsidRPr="002E0B96">
        <w:rPr>
          <w:rFonts w:ascii="Arial Narrow" w:hAnsi="Arial Narrow"/>
          <w:lang w:eastAsia="en-US"/>
        </w:rPr>
        <w:t xml:space="preserve"> </w:t>
      </w:r>
      <w:r>
        <w:rPr>
          <w:rFonts w:ascii="Arial Narrow" w:hAnsi="Arial Narrow"/>
          <w:lang w:eastAsia="en-US"/>
        </w:rPr>
        <w:t>Medidas Alternas</w:t>
      </w:r>
      <w:r w:rsidRPr="002E0B96">
        <w:rPr>
          <w:rFonts w:ascii="Arial Narrow" w:hAnsi="Arial Narrow"/>
          <w:lang w:eastAsia="en-US"/>
        </w:rPr>
        <w:t xml:space="preserve"> </w:t>
      </w:r>
    </w:p>
    <w:p w14:paraId="5909EC17" w14:textId="77777777" w:rsidR="00235F88" w:rsidRDefault="00892938" w:rsidP="00892938">
      <w:pPr>
        <w:pStyle w:val="Textoindependiente2"/>
        <w:spacing w:line="360" w:lineRule="auto"/>
        <w:ind w:left="720"/>
        <w:rPr>
          <w:rFonts w:ascii="Arial Narrow" w:hAnsi="Arial Narrow"/>
          <w:lang w:eastAsia="en-US"/>
        </w:rPr>
      </w:pPr>
      <w:r w:rsidRPr="002E0B96">
        <w:rPr>
          <w:rFonts w:ascii="Arial Narrow" w:hAnsi="Arial Narrow"/>
          <w:u w:val="single"/>
          <w:lang w:eastAsia="en-US"/>
        </w:rPr>
        <w:t>Meta</w:t>
      </w:r>
      <w:r w:rsidR="00BB381A">
        <w:rPr>
          <w:rFonts w:ascii="Arial Narrow" w:hAnsi="Arial Narrow"/>
          <w:u w:val="single"/>
          <w:lang w:eastAsia="en-US"/>
        </w:rPr>
        <w:t>s</w:t>
      </w:r>
      <w:r w:rsidRPr="002E0B96">
        <w:rPr>
          <w:rFonts w:ascii="Arial Narrow" w:hAnsi="Arial Narrow"/>
          <w:u w:val="single"/>
          <w:lang w:eastAsia="en-US"/>
        </w:rPr>
        <w:t xml:space="preserve"> </w:t>
      </w:r>
      <w:r w:rsidRPr="009D5823">
        <w:rPr>
          <w:rFonts w:ascii="Arial Narrow" w:hAnsi="Arial Narrow"/>
          <w:u w:val="single"/>
          <w:lang w:eastAsia="en-US"/>
        </w:rPr>
        <w:t>Estratégica</w:t>
      </w:r>
      <w:r w:rsidR="00BB381A">
        <w:rPr>
          <w:rFonts w:ascii="Arial Narrow" w:hAnsi="Arial Narrow"/>
          <w:u w:val="single"/>
          <w:lang w:eastAsia="en-US"/>
        </w:rPr>
        <w:t>s con cumplimiento medio</w:t>
      </w:r>
      <w:r w:rsidRPr="002E0B96">
        <w:rPr>
          <w:rFonts w:ascii="Arial Narrow" w:hAnsi="Arial Narrow"/>
          <w:u w:val="single"/>
          <w:lang w:eastAsia="en-US"/>
        </w:rPr>
        <w:t>:</w:t>
      </w:r>
      <w:r w:rsidRPr="002E0B96">
        <w:rPr>
          <w:rFonts w:ascii="Arial Narrow" w:hAnsi="Arial Narrow"/>
          <w:lang w:eastAsia="en-US"/>
        </w:rPr>
        <w:t xml:space="preserve"> </w:t>
      </w:r>
    </w:p>
    <w:p w14:paraId="2FCEE3FA" w14:textId="7E5B7401" w:rsidR="00235F88" w:rsidRDefault="00F0386C" w:rsidP="00CC279A">
      <w:pPr>
        <w:pStyle w:val="Textoindependiente2"/>
        <w:numPr>
          <w:ilvl w:val="0"/>
          <w:numId w:val="115"/>
        </w:numPr>
        <w:spacing w:line="360" w:lineRule="auto"/>
        <w:rPr>
          <w:rFonts w:ascii="Arial Narrow" w:hAnsi="Arial Narrow"/>
          <w:b w:val="0"/>
          <w:bCs w:val="0"/>
          <w:noProof/>
        </w:rPr>
      </w:pPr>
      <w:r w:rsidRPr="00F0386C">
        <w:rPr>
          <w:rFonts w:ascii="Arial Narrow" w:hAnsi="Arial Narrow"/>
          <w:b w:val="0"/>
          <w:bCs w:val="0"/>
          <w:noProof/>
        </w:rPr>
        <w:t>Que al finalizar el 2024, se haya incrementado la cantidad de casos terminados, mediante la aplicación de medidas alternas, en materia Contravencional por año, en primera instancia</w:t>
      </w:r>
      <w:r>
        <w:rPr>
          <w:rFonts w:ascii="Arial Narrow" w:hAnsi="Arial Narrow"/>
          <w:b w:val="0"/>
          <w:bCs w:val="0"/>
          <w:noProof/>
        </w:rPr>
        <w:t xml:space="preserve"> (</w:t>
      </w:r>
      <w:r w:rsidRPr="00CC279A">
        <w:rPr>
          <w:rFonts w:ascii="Arial Narrow" w:hAnsi="Arial Narrow"/>
          <w:noProof/>
          <w:u w:val="single"/>
        </w:rPr>
        <w:t>82,9% cumplimiento</w:t>
      </w:r>
      <w:r w:rsidR="00677151">
        <w:rPr>
          <w:rFonts w:ascii="Arial Narrow" w:hAnsi="Arial Narrow"/>
          <w:noProof/>
          <w:u w:val="single"/>
        </w:rPr>
        <w:t xml:space="preserve"> para el año 2020</w:t>
      </w:r>
      <w:r>
        <w:rPr>
          <w:rFonts w:ascii="Arial Narrow" w:hAnsi="Arial Narrow"/>
          <w:b w:val="0"/>
          <w:bCs w:val="0"/>
          <w:noProof/>
        </w:rPr>
        <w:t xml:space="preserve">), </w:t>
      </w:r>
    </w:p>
    <w:p w14:paraId="17D5F5C2" w14:textId="157E495F" w:rsidR="00235F88" w:rsidRDefault="00F0386C" w:rsidP="00CC279A">
      <w:pPr>
        <w:pStyle w:val="Textoindependiente2"/>
        <w:numPr>
          <w:ilvl w:val="0"/>
          <w:numId w:val="115"/>
        </w:numPr>
        <w:spacing w:line="360" w:lineRule="auto"/>
        <w:rPr>
          <w:rFonts w:ascii="Arial Narrow" w:hAnsi="Arial Narrow"/>
          <w:b w:val="0"/>
          <w:bCs w:val="0"/>
          <w:noProof/>
        </w:rPr>
      </w:pPr>
      <w:r w:rsidRPr="00F0386C">
        <w:rPr>
          <w:rFonts w:ascii="Arial Narrow" w:hAnsi="Arial Narrow"/>
          <w:b w:val="0"/>
          <w:bCs w:val="0"/>
          <w:noProof/>
        </w:rPr>
        <w:t>Que al finalizar el 2024,  se haya incrementado anualmente la cantidad de casos terminados por el Centro de Conciliación del Poder Judicial</w:t>
      </w:r>
      <w:r>
        <w:rPr>
          <w:rFonts w:ascii="Arial Narrow" w:hAnsi="Arial Narrow"/>
          <w:b w:val="0"/>
          <w:bCs w:val="0"/>
          <w:noProof/>
        </w:rPr>
        <w:t xml:space="preserve"> (</w:t>
      </w:r>
      <w:r w:rsidRPr="00CC279A">
        <w:rPr>
          <w:rFonts w:ascii="Arial Narrow" w:hAnsi="Arial Narrow"/>
          <w:noProof/>
          <w:u w:val="single"/>
        </w:rPr>
        <w:t>84% de cumplimiento</w:t>
      </w:r>
      <w:r w:rsidR="00677151">
        <w:rPr>
          <w:rFonts w:ascii="Arial Narrow" w:hAnsi="Arial Narrow"/>
          <w:noProof/>
          <w:u w:val="single"/>
        </w:rPr>
        <w:t xml:space="preserve"> para el año 2020</w:t>
      </w:r>
      <w:r>
        <w:rPr>
          <w:rFonts w:ascii="Arial Narrow" w:hAnsi="Arial Narrow"/>
          <w:b w:val="0"/>
          <w:bCs w:val="0"/>
          <w:noProof/>
        </w:rPr>
        <w:t xml:space="preserve">), </w:t>
      </w:r>
    </w:p>
    <w:p w14:paraId="781C9013" w14:textId="28D1707E" w:rsidR="00F0386C" w:rsidRPr="002E0B96" w:rsidRDefault="00F0386C" w:rsidP="00CC279A">
      <w:pPr>
        <w:pStyle w:val="Textoindependiente2"/>
        <w:numPr>
          <w:ilvl w:val="0"/>
          <w:numId w:val="115"/>
        </w:numPr>
        <w:spacing w:line="360" w:lineRule="auto"/>
        <w:rPr>
          <w:rFonts w:ascii="Arial Narrow" w:hAnsi="Arial Narrow"/>
          <w:b w:val="0"/>
          <w:bCs w:val="0"/>
          <w:noProof/>
        </w:rPr>
      </w:pPr>
      <w:r w:rsidRPr="00F0386C">
        <w:rPr>
          <w:rFonts w:ascii="Arial Narrow" w:hAnsi="Arial Narrow"/>
          <w:b w:val="0"/>
          <w:bCs w:val="0"/>
          <w:noProof/>
        </w:rPr>
        <w:t>Que al finalizar el 2024, se haya incrementado la cantidad de casos terminados, mediante la aplicación de medidas alternas, en Tribunales penale</w:t>
      </w:r>
      <w:r>
        <w:rPr>
          <w:rFonts w:ascii="Arial Narrow" w:hAnsi="Arial Narrow"/>
          <w:b w:val="0"/>
          <w:bCs w:val="0"/>
          <w:noProof/>
        </w:rPr>
        <w:t>s (</w:t>
      </w:r>
      <w:r w:rsidRPr="00CC279A">
        <w:rPr>
          <w:rFonts w:ascii="Arial Narrow" w:hAnsi="Arial Narrow"/>
          <w:noProof/>
          <w:u w:val="single"/>
        </w:rPr>
        <w:t>81% cumplimiento</w:t>
      </w:r>
      <w:r w:rsidR="00677151">
        <w:rPr>
          <w:rFonts w:ascii="Arial Narrow" w:hAnsi="Arial Narrow"/>
          <w:noProof/>
          <w:u w:val="single"/>
        </w:rPr>
        <w:t xml:space="preserve"> para el año 2020</w:t>
      </w:r>
      <w:r>
        <w:rPr>
          <w:rFonts w:ascii="Arial Narrow" w:hAnsi="Arial Narrow"/>
          <w:b w:val="0"/>
          <w:bCs w:val="0"/>
          <w:noProof/>
        </w:rPr>
        <w:t>).</w:t>
      </w:r>
      <w:r w:rsidR="00235F88" w:rsidRPr="00235F88">
        <w:rPr>
          <w:rFonts w:ascii="Arial Narrow" w:hAnsi="Arial Narrow"/>
          <w:b w:val="0"/>
          <w:bCs w:val="0"/>
          <w:noProof/>
          <w:highlight w:val="yellow"/>
        </w:rPr>
        <w:t xml:space="preserve"> </w:t>
      </w:r>
    </w:p>
    <w:p w14:paraId="283774FC" w14:textId="77777777" w:rsidR="00EF3B2B" w:rsidRDefault="00EF3B2B" w:rsidP="00F0386C">
      <w:pPr>
        <w:pStyle w:val="Textoindependiente2"/>
        <w:spacing w:line="360" w:lineRule="auto"/>
        <w:ind w:left="720"/>
        <w:rPr>
          <w:rFonts w:ascii="Arial Narrow" w:hAnsi="Arial Narrow"/>
          <w:noProof/>
          <w:u w:val="single"/>
        </w:rPr>
      </w:pPr>
    </w:p>
    <w:p w14:paraId="04724DC9" w14:textId="72C94C04" w:rsidR="00F0386C" w:rsidRDefault="00F0386C" w:rsidP="00F0386C">
      <w:pPr>
        <w:pStyle w:val="Textoindependiente2"/>
        <w:spacing w:line="360" w:lineRule="auto"/>
        <w:ind w:left="720"/>
        <w:rPr>
          <w:rFonts w:ascii="Arial Narrow" w:hAnsi="Arial Narrow" w:cs="Calibri"/>
          <w:b w:val="0"/>
          <w:bCs w:val="0"/>
          <w:color w:val="000000"/>
          <w:lang w:val="es-CR" w:eastAsia="es-CR"/>
        </w:rPr>
      </w:pPr>
    </w:p>
    <w:p w14:paraId="3387986D" w14:textId="658D60C2" w:rsidR="00D47913" w:rsidRPr="00F72B7A" w:rsidRDefault="00D47913" w:rsidP="00CC279A">
      <w:pPr>
        <w:pStyle w:val="Descripcin"/>
        <w:jc w:val="center"/>
        <w:rPr>
          <w:rFonts w:ascii="Arial Narrow" w:hAnsi="Arial Narrow" w:cs="Calibri"/>
          <w:b w:val="0"/>
          <w:bCs w:val="0"/>
          <w:color w:val="000000"/>
          <w:lang w:val="es-CR" w:eastAsia="es-CR"/>
        </w:rPr>
      </w:pPr>
      <w:bookmarkStart w:id="147" w:name="_Toc84919463"/>
      <w:r w:rsidRPr="00CC279A">
        <w:rPr>
          <w:rFonts w:ascii="Arial Narrow" w:hAnsi="Arial Narrow"/>
          <w:sz w:val="24"/>
          <w:szCs w:val="24"/>
        </w:rPr>
        <w:t xml:space="preserve">Tabla </w:t>
      </w:r>
      <w:r w:rsidRPr="00CC279A">
        <w:rPr>
          <w:rFonts w:ascii="Arial Narrow" w:hAnsi="Arial Narrow"/>
          <w:sz w:val="24"/>
          <w:szCs w:val="24"/>
        </w:rPr>
        <w:fldChar w:fldCharType="begin"/>
      </w:r>
      <w:r w:rsidRPr="00CC279A">
        <w:rPr>
          <w:rFonts w:ascii="Arial Narrow" w:hAnsi="Arial Narrow"/>
          <w:sz w:val="24"/>
          <w:szCs w:val="24"/>
        </w:rPr>
        <w:instrText xml:space="preserve"> SEQ Tabla \* ARABIC </w:instrText>
      </w:r>
      <w:r w:rsidRPr="00CC279A">
        <w:rPr>
          <w:rFonts w:ascii="Arial Narrow" w:hAnsi="Arial Narrow"/>
          <w:sz w:val="24"/>
          <w:szCs w:val="24"/>
        </w:rPr>
        <w:fldChar w:fldCharType="separate"/>
      </w:r>
      <w:r w:rsidRPr="00CC279A">
        <w:rPr>
          <w:rFonts w:ascii="Arial Narrow" w:hAnsi="Arial Narrow"/>
          <w:noProof/>
          <w:sz w:val="24"/>
          <w:szCs w:val="24"/>
        </w:rPr>
        <w:t>5</w:t>
      </w:r>
      <w:r w:rsidRPr="00CC279A">
        <w:rPr>
          <w:rFonts w:ascii="Arial Narrow" w:hAnsi="Arial Narrow"/>
          <w:sz w:val="24"/>
          <w:szCs w:val="24"/>
        </w:rPr>
        <w:fldChar w:fldCharType="end"/>
      </w:r>
      <w:r w:rsidRPr="00CC279A">
        <w:rPr>
          <w:rFonts w:ascii="Arial Narrow" w:hAnsi="Arial Narrow"/>
          <w:sz w:val="24"/>
          <w:szCs w:val="24"/>
        </w:rPr>
        <w:t xml:space="preserve"> Desafíos Acciones estratégicas Medidas Alternas</w:t>
      </w:r>
      <w:r w:rsidR="008E4872">
        <w:rPr>
          <w:rFonts w:ascii="Arial Narrow" w:hAnsi="Arial Narrow"/>
          <w:sz w:val="24"/>
          <w:szCs w:val="24"/>
        </w:rPr>
        <w:t xml:space="preserve"> según las 3 metas reportadas</w:t>
      </w:r>
      <w:bookmarkEnd w:id="147"/>
    </w:p>
    <w:p w14:paraId="45D1ED05" w14:textId="77777777" w:rsidR="00D47913" w:rsidRDefault="00D47913" w:rsidP="00F0386C">
      <w:pPr>
        <w:pStyle w:val="Textoindependiente2"/>
        <w:spacing w:line="360" w:lineRule="auto"/>
        <w:ind w:left="720"/>
        <w:rPr>
          <w:rFonts w:ascii="Arial Narrow" w:hAnsi="Arial Narrow" w:cs="Calibri"/>
          <w:b w:val="0"/>
          <w:bCs w:val="0"/>
          <w:color w:val="000000"/>
          <w:lang w:val="es-CR" w:eastAsia="es-CR"/>
        </w:rPr>
      </w:pPr>
    </w:p>
    <w:tbl>
      <w:tblPr>
        <w:tblStyle w:val="Tablaconcuadrcula"/>
        <w:tblW w:w="0" w:type="auto"/>
        <w:tblInd w:w="720" w:type="dxa"/>
        <w:tblLook w:val="04A0" w:firstRow="1" w:lastRow="0" w:firstColumn="1" w:lastColumn="0" w:noHBand="0" w:noVBand="1"/>
      </w:tblPr>
      <w:tblGrid>
        <w:gridCol w:w="4240"/>
        <w:gridCol w:w="4243"/>
      </w:tblGrid>
      <w:tr w:rsidR="006F3725" w14:paraId="32FDF2B9" w14:textId="77777777" w:rsidTr="00FA48AC">
        <w:tc>
          <w:tcPr>
            <w:tcW w:w="4601" w:type="dxa"/>
          </w:tcPr>
          <w:p w14:paraId="7FCCAF03" w14:textId="77777777" w:rsidR="00C801FF" w:rsidRDefault="00C801FF" w:rsidP="00FA48AC">
            <w:pPr>
              <w:pStyle w:val="Textoindependiente2"/>
              <w:spacing w:line="360" w:lineRule="auto"/>
              <w:rPr>
                <w:rFonts w:ascii="Arial Narrow" w:hAnsi="Arial Narrow"/>
                <w:b w:val="0"/>
                <w:bCs w:val="0"/>
                <w:noProof/>
              </w:rPr>
            </w:pPr>
            <w:r w:rsidRPr="00E067CE">
              <w:rPr>
                <w:rFonts w:ascii="Arial Narrow" w:hAnsi="Arial Narrow"/>
                <w:noProof/>
                <w:u w:val="single"/>
              </w:rPr>
              <w:t>Desafíos:</w:t>
            </w:r>
          </w:p>
        </w:tc>
        <w:tc>
          <w:tcPr>
            <w:tcW w:w="4602" w:type="dxa"/>
          </w:tcPr>
          <w:p w14:paraId="6A62F090" w14:textId="34C68AC8" w:rsidR="00C801FF" w:rsidRPr="00CC279A" w:rsidRDefault="00C801FF" w:rsidP="00FA48AC">
            <w:pPr>
              <w:pStyle w:val="Textoindependiente2"/>
              <w:spacing w:line="360" w:lineRule="auto"/>
              <w:rPr>
                <w:rFonts w:ascii="Arial Narrow" w:hAnsi="Arial Narrow"/>
                <w:b w:val="0"/>
                <w:bCs w:val="0"/>
                <w:noProof/>
              </w:rPr>
            </w:pPr>
            <w:r w:rsidRPr="00CC279A">
              <w:rPr>
                <w:rFonts w:ascii="Arial Narrow" w:hAnsi="Arial Narrow"/>
                <w:noProof/>
              </w:rPr>
              <w:t>Responsable estratégico</w:t>
            </w:r>
            <w:r w:rsidRPr="00CC279A">
              <w:rPr>
                <w:rFonts w:ascii="Arial Narrow" w:hAnsi="Arial Narrow"/>
                <w:b w:val="0"/>
                <w:bCs w:val="0"/>
                <w:noProof/>
              </w:rPr>
              <w:t>:</w:t>
            </w:r>
          </w:p>
        </w:tc>
      </w:tr>
      <w:tr w:rsidR="006F3725" w14:paraId="753E8136" w14:textId="77777777" w:rsidTr="00FA48AC">
        <w:tc>
          <w:tcPr>
            <w:tcW w:w="4601" w:type="dxa"/>
          </w:tcPr>
          <w:p w14:paraId="2CAB8228" w14:textId="518BA490" w:rsidR="00C801FF" w:rsidRDefault="00B63970" w:rsidP="00C801FF">
            <w:pPr>
              <w:pStyle w:val="Textoindependiente2"/>
              <w:spacing w:line="360" w:lineRule="auto"/>
              <w:rPr>
                <w:rFonts w:ascii="Arial Narrow" w:hAnsi="Arial Narrow"/>
                <w:b w:val="0"/>
                <w:bCs w:val="0"/>
                <w:noProof/>
              </w:rPr>
            </w:pPr>
            <w:r w:rsidRPr="00E067CE">
              <w:rPr>
                <w:rFonts w:ascii="Arial Narrow" w:hAnsi="Arial Narrow"/>
                <w:noProof/>
                <w:u w:val="single"/>
              </w:rPr>
              <w:t>Desafío</w:t>
            </w:r>
            <w:r w:rsidRPr="00704B08">
              <w:rPr>
                <w:rFonts w:ascii="Arial Narrow" w:hAnsi="Arial Narrow"/>
                <w:noProof/>
              </w:rPr>
              <w:t>:</w:t>
            </w:r>
            <w:r w:rsidRPr="00704B08">
              <w:rPr>
                <w:rFonts w:ascii="Arial Narrow" w:hAnsi="Arial Narrow"/>
                <w:b w:val="0"/>
                <w:bCs w:val="0"/>
                <w:noProof/>
              </w:rPr>
              <w:t xml:space="preserve"> </w:t>
            </w:r>
            <w:r>
              <w:rPr>
                <w:rFonts w:ascii="Arial Narrow" w:hAnsi="Arial Narrow"/>
                <w:b w:val="0"/>
                <w:bCs w:val="0"/>
                <w:noProof/>
              </w:rPr>
              <w:t>Para l</w:t>
            </w:r>
            <w:r w:rsidRPr="00704B08">
              <w:rPr>
                <w:rFonts w:ascii="Arial Narrow" w:hAnsi="Arial Narrow"/>
                <w:b w:val="0"/>
                <w:bCs w:val="0"/>
                <w:noProof/>
              </w:rPr>
              <w:t>as 3 metas estrat</w:t>
            </w:r>
            <w:r>
              <w:rPr>
                <w:rFonts w:ascii="Arial Narrow" w:hAnsi="Arial Narrow"/>
                <w:b w:val="0"/>
                <w:bCs w:val="0"/>
                <w:noProof/>
              </w:rPr>
              <w:t>é</w:t>
            </w:r>
            <w:r w:rsidRPr="00704B08">
              <w:rPr>
                <w:rFonts w:ascii="Arial Narrow" w:hAnsi="Arial Narrow"/>
                <w:b w:val="0"/>
                <w:bCs w:val="0"/>
                <w:noProof/>
              </w:rPr>
              <w:t xml:space="preserve">gicas indicadas de previo, </w:t>
            </w:r>
            <w:r>
              <w:rPr>
                <w:rFonts w:ascii="Arial Narrow" w:hAnsi="Arial Narrow"/>
                <w:b w:val="0"/>
                <w:bCs w:val="0"/>
                <w:noProof/>
              </w:rPr>
              <w:t xml:space="preserve">se </w:t>
            </w:r>
            <w:r w:rsidRPr="00E067CE">
              <w:rPr>
                <w:rFonts w:ascii="Arial Narrow" w:hAnsi="Arial Narrow"/>
                <w:b w:val="0"/>
                <w:bCs w:val="0"/>
                <w:noProof/>
              </w:rPr>
              <w:t>debe</w:t>
            </w:r>
            <w:r>
              <w:rPr>
                <w:rFonts w:ascii="Arial Narrow" w:hAnsi="Arial Narrow"/>
                <w:b w:val="0"/>
                <w:bCs w:val="0"/>
                <w:noProof/>
              </w:rPr>
              <w:t xml:space="preserve"> efectuar un análisis de las posibles </w:t>
            </w:r>
            <w:r w:rsidRPr="00F85A5C">
              <w:rPr>
                <w:rFonts w:ascii="Arial Narrow" w:hAnsi="Arial Narrow"/>
                <w:b w:val="0"/>
                <w:bCs w:val="0"/>
                <w:noProof/>
              </w:rPr>
              <w:t>estrategias y tendencias estad</w:t>
            </w:r>
            <w:r>
              <w:rPr>
                <w:rFonts w:ascii="Arial Narrow" w:hAnsi="Arial Narrow"/>
                <w:b w:val="0"/>
                <w:bCs w:val="0"/>
                <w:noProof/>
              </w:rPr>
              <w:t>í</w:t>
            </w:r>
            <w:r w:rsidRPr="00F85A5C">
              <w:rPr>
                <w:rFonts w:ascii="Arial Narrow" w:hAnsi="Arial Narrow"/>
                <w:b w:val="0"/>
                <w:bCs w:val="0"/>
                <w:noProof/>
              </w:rPr>
              <w:t xml:space="preserve">sticas de ingreso y salida de </w:t>
            </w:r>
            <w:r w:rsidRPr="00F85A5C">
              <w:rPr>
                <w:rFonts w:ascii="Arial Narrow" w:hAnsi="Arial Narrow"/>
                <w:b w:val="0"/>
                <w:bCs w:val="0"/>
                <w:noProof/>
              </w:rPr>
              <w:lastRenderedPageBreak/>
              <w:t>asuntos</w:t>
            </w:r>
            <w:r>
              <w:rPr>
                <w:rFonts w:ascii="Arial Narrow" w:hAnsi="Arial Narrow"/>
                <w:b w:val="0"/>
                <w:bCs w:val="0"/>
                <w:noProof/>
              </w:rPr>
              <w:t xml:space="preserve"> mediante medidas alternas, con el objetivo de que se logre alcanzar </w:t>
            </w:r>
            <w:r w:rsidRPr="00F85A5C">
              <w:rPr>
                <w:rFonts w:ascii="Arial Narrow" w:hAnsi="Arial Narrow" w:cs="Calibri"/>
                <w:b w:val="0"/>
                <w:bCs w:val="0"/>
                <w:color w:val="000000"/>
                <w:lang w:val="es-CR" w:eastAsia="es-CR"/>
              </w:rPr>
              <w:t>la cantidad de casos terminados desde la meta formulada, y desde la</w:t>
            </w:r>
            <w:r>
              <w:rPr>
                <w:rFonts w:ascii="Arial Narrow" w:hAnsi="Arial Narrow" w:cs="Calibri"/>
                <w:b w:val="0"/>
                <w:bCs w:val="0"/>
                <w:color w:val="000000"/>
                <w:lang w:val="es-CR" w:eastAsia="es-CR"/>
              </w:rPr>
              <w:t xml:space="preserve"> óptica de la</w:t>
            </w:r>
            <w:r w:rsidRPr="00F85A5C">
              <w:rPr>
                <w:rFonts w:ascii="Arial Narrow" w:hAnsi="Arial Narrow" w:cs="Calibri"/>
                <w:b w:val="0"/>
                <w:bCs w:val="0"/>
                <w:color w:val="000000"/>
                <w:lang w:val="es-CR" w:eastAsia="es-CR"/>
              </w:rPr>
              <w:t xml:space="preserve"> planificación revisar en conjunto</w:t>
            </w:r>
            <w:r>
              <w:rPr>
                <w:rFonts w:ascii="Arial Narrow" w:hAnsi="Arial Narrow" w:cs="Calibri"/>
                <w:b w:val="0"/>
                <w:bCs w:val="0"/>
                <w:color w:val="000000"/>
                <w:lang w:val="es-CR" w:eastAsia="es-CR"/>
              </w:rPr>
              <w:t xml:space="preserve"> con los responsables</w:t>
            </w:r>
            <w:r w:rsidRPr="00F85A5C">
              <w:rPr>
                <w:rFonts w:ascii="Arial Narrow" w:hAnsi="Arial Narrow" w:cs="Calibri"/>
                <w:b w:val="0"/>
                <w:bCs w:val="0"/>
                <w:color w:val="000000"/>
                <w:lang w:val="es-CR" w:eastAsia="es-CR"/>
              </w:rPr>
              <w:t xml:space="preserve"> las metas y sus valores finales propuestos, con el fin de poder cumplir a cabalidad lo establecido en esta meta, tomando en consideración el impacto del COVID-19</w:t>
            </w:r>
          </w:p>
        </w:tc>
        <w:tc>
          <w:tcPr>
            <w:tcW w:w="4602" w:type="dxa"/>
          </w:tcPr>
          <w:p w14:paraId="4AACF61F" w14:textId="04A23735" w:rsidR="00C801FF" w:rsidRPr="00CC279A" w:rsidRDefault="00B63970" w:rsidP="00FA48AC">
            <w:pPr>
              <w:pStyle w:val="Textoindependiente2"/>
              <w:spacing w:line="360" w:lineRule="auto"/>
              <w:rPr>
                <w:rFonts w:ascii="Arial Narrow" w:hAnsi="Arial Narrow"/>
                <w:b w:val="0"/>
                <w:bCs w:val="0"/>
                <w:noProof/>
              </w:rPr>
            </w:pPr>
            <w:r w:rsidRPr="00CC279A">
              <w:rPr>
                <w:rFonts w:ascii="Arial Narrow" w:hAnsi="Arial Narrow"/>
                <w:b w:val="0"/>
                <w:bCs w:val="0"/>
                <w:noProof/>
              </w:rPr>
              <w:lastRenderedPageBreak/>
              <w:t>Centro de Apoyo, Coordinación y Mejoramiento de la Funcion Jurisdiccional</w:t>
            </w:r>
          </w:p>
        </w:tc>
      </w:tr>
    </w:tbl>
    <w:p w14:paraId="74D28314" w14:textId="77777777" w:rsidR="00B62D61" w:rsidRPr="00704B08" w:rsidRDefault="00B62D61" w:rsidP="00704B08">
      <w:pPr>
        <w:spacing w:line="360" w:lineRule="auto"/>
        <w:jc w:val="both"/>
        <w:rPr>
          <w:rFonts w:ascii="Arial Narrow" w:hAnsi="Arial Narrow"/>
          <w:lang w:eastAsia="en-US"/>
        </w:rPr>
      </w:pPr>
    </w:p>
    <w:p w14:paraId="672884AF" w14:textId="122FF0D8" w:rsidR="0016243D" w:rsidRPr="00704B08" w:rsidRDefault="00BD7E78" w:rsidP="00704B08">
      <w:pPr>
        <w:pStyle w:val="Ttulo3"/>
        <w:numPr>
          <w:ilvl w:val="1"/>
          <w:numId w:val="105"/>
        </w:numPr>
        <w:rPr>
          <w:rFonts w:ascii="Arial Narrow" w:hAnsi="Arial Narrow"/>
          <w:b w:val="0"/>
          <w:bCs w:val="0"/>
        </w:rPr>
      </w:pPr>
      <w:r w:rsidRPr="00CC279A">
        <w:rPr>
          <w:rFonts w:ascii="Arial Narrow" w:hAnsi="Arial Narrow"/>
          <w:lang w:val="es-CR"/>
        </w:rPr>
        <w:t xml:space="preserve"> </w:t>
      </w:r>
      <w:bookmarkStart w:id="148" w:name="_Toc84919360"/>
      <w:r w:rsidRPr="00704B08">
        <w:rPr>
          <w:rFonts w:ascii="Arial Narrow" w:hAnsi="Arial Narrow"/>
        </w:rPr>
        <w:t>Tema estratégico: Confianza y Probidad</w:t>
      </w:r>
      <w:bookmarkEnd w:id="148"/>
    </w:p>
    <w:p w14:paraId="13FBC428" w14:textId="2454E02B" w:rsidR="00BD7E78" w:rsidRPr="00704B08" w:rsidRDefault="00BD7E78" w:rsidP="00704B08">
      <w:pPr>
        <w:spacing w:line="360" w:lineRule="auto"/>
        <w:jc w:val="both"/>
        <w:rPr>
          <w:rFonts w:ascii="Arial Narrow" w:hAnsi="Arial Narrow"/>
          <w:b/>
          <w:bCs/>
          <w:lang w:eastAsia="en-US"/>
        </w:rPr>
      </w:pPr>
      <w:r w:rsidRPr="00704B08">
        <w:rPr>
          <w:rFonts w:ascii="Arial Narrow" w:hAnsi="Arial Narrow"/>
          <w:b/>
          <w:bCs/>
          <w:lang w:eastAsia="en-US"/>
        </w:rPr>
        <w:t xml:space="preserve"> </w:t>
      </w:r>
    </w:p>
    <w:p w14:paraId="260DE90A" w14:textId="700A9215" w:rsidR="00BD7E78" w:rsidRPr="00704B08" w:rsidRDefault="00A008D4" w:rsidP="00704B08">
      <w:pPr>
        <w:pStyle w:val="Textoindependiente2"/>
        <w:numPr>
          <w:ilvl w:val="0"/>
          <w:numId w:val="100"/>
        </w:numPr>
        <w:spacing w:line="360" w:lineRule="auto"/>
        <w:rPr>
          <w:rFonts w:ascii="Arial Narrow" w:hAnsi="Arial Narrow"/>
          <w:lang w:eastAsia="en-US"/>
        </w:rPr>
      </w:pPr>
      <w:r w:rsidRPr="00F85A5C">
        <w:rPr>
          <w:rFonts w:ascii="Arial Narrow" w:hAnsi="Arial Narrow"/>
          <w:lang w:eastAsia="en-US"/>
        </w:rPr>
        <w:t>Acción</w:t>
      </w:r>
      <w:r>
        <w:rPr>
          <w:rFonts w:ascii="Arial Narrow" w:hAnsi="Arial Narrow"/>
          <w:lang w:eastAsia="en-US"/>
        </w:rPr>
        <w:t xml:space="preserve"> </w:t>
      </w:r>
      <w:r w:rsidR="008E4872">
        <w:rPr>
          <w:rFonts w:ascii="Arial Narrow" w:hAnsi="Arial Narrow"/>
          <w:lang w:eastAsia="en-US"/>
        </w:rPr>
        <w:t>estratégica</w:t>
      </w:r>
      <w:r w:rsidR="008E4872" w:rsidRPr="00704B08" w:rsidDel="00A008D4">
        <w:rPr>
          <w:rFonts w:ascii="Arial Narrow" w:hAnsi="Arial Narrow"/>
          <w:lang w:eastAsia="en-US"/>
        </w:rPr>
        <w:t>:</w:t>
      </w:r>
      <w:r w:rsidR="00BD7E78" w:rsidRPr="00704B08">
        <w:rPr>
          <w:rFonts w:ascii="Arial Narrow" w:hAnsi="Arial Narrow"/>
          <w:lang w:eastAsia="en-US"/>
        </w:rPr>
        <w:t xml:space="preserve"> Colaboración interna y externa </w:t>
      </w:r>
    </w:p>
    <w:p w14:paraId="7173F43D" w14:textId="609317DA" w:rsidR="00BD7E78" w:rsidRPr="00704B08" w:rsidRDefault="00BD7E78" w:rsidP="00CC279A">
      <w:pPr>
        <w:pStyle w:val="Textoindependiente2"/>
        <w:numPr>
          <w:ilvl w:val="0"/>
          <w:numId w:val="123"/>
        </w:numPr>
        <w:spacing w:line="360" w:lineRule="auto"/>
        <w:rPr>
          <w:rFonts w:ascii="Arial Narrow" w:hAnsi="Arial Narrow"/>
          <w:b w:val="0"/>
          <w:bCs w:val="0"/>
          <w:noProof/>
        </w:rPr>
      </w:pPr>
      <w:r w:rsidRPr="00704B08">
        <w:rPr>
          <w:rFonts w:ascii="Arial Narrow" w:hAnsi="Arial Narrow"/>
          <w:u w:val="single"/>
          <w:lang w:eastAsia="en-US"/>
        </w:rPr>
        <w:t xml:space="preserve">Meta </w:t>
      </w:r>
      <w:r w:rsidR="00A53D29" w:rsidRPr="009D5823">
        <w:rPr>
          <w:rFonts w:ascii="Arial Narrow" w:hAnsi="Arial Narrow"/>
          <w:u w:val="single"/>
          <w:lang w:eastAsia="en-US"/>
        </w:rPr>
        <w:t>Estratégica</w:t>
      </w:r>
      <w:r w:rsidR="00A008D4">
        <w:rPr>
          <w:rFonts w:ascii="Arial Narrow" w:hAnsi="Arial Narrow"/>
          <w:u w:val="single"/>
          <w:lang w:eastAsia="en-US"/>
        </w:rPr>
        <w:t xml:space="preserve"> con cumplimiento medio</w:t>
      </w:r>
      <w:r w:rsidRPr="00704B08">
        <w:rPr>
          <w:rFonts w:ascii="Arial Narrow" w:hAnsi="Arial Narrow"/>
          <w:u w:val="single"/>
          <w:lang w:eastAsia="en-US"/>
        </w:rPr>
        <w:t>:</w:t>
      </w:r>
      <w:r w:rsidRPr="00704B08">
        <w:rPr>
          <w:rFonts w:ascii="Arial Narrow" w:hAnsi="Arial Narrow"/>
          <w:lang w:eastAsia="en-US"/>
        </w:rPr>
        <w:t xml:space="preserve"> </w:t>
      </w:r>
      <w:r w:rsidRPr="00704B08">
        <w:rPr>
          <w:rFonts w:ascii="Arial Narrow" w:hAnsi="Arial Narrow"/>
          <w:b w:val="0"/>
          <w:bCs w:val="0"/>
          <w:noProof/>
        </w:rPr>
        <w:t>Que al finalizar el 2024, se hayan implementado las estrategias de coordinación interinstitucional para los servicios de atención y protección de víctimas y testigos</w:t>
      </w:r>
      <w:r w:rsidR="00BB381A">
        <w:rPr>
          <w:rFonts w:ascii="Arial Narrow" w:hAnsi="Arial Narrow"/>
          <w:b w:val="0"/>
          <w:bCs w:val="0"/>
          <w:noProof/>
        </w:rPr>
        <w:t xml:space="preserve"> (</w:t>
      </w:r>
      <w:r w:rsidR="00BB381A" w:rsidRPr="00CC279A">
        <w:rPr>
          <w:rFonts w:ascii="Arial Narrow" w:hAnsi="Arial Narrow"/>
          <w:noProof/>
          <w:u w:val="single"/>
        </w:rPr>
        <w:t xml:space="preserve">17% de cumplimiento </w:t>
      </w:r>
      <w:r w:rsidR="00F15081">
        <w:rPr>
          <w:rFonts w:ascii="Arial Narrow" w:hAnsi="Arial Narrow"/>
          <w:noProof/>
          <w:u w:val="single"/>
        </w:rPr>
        <w:t xml:space="preserve">acumulado </w:t>
      </w:r>
      <w:r w:rsidR="00BB381A" w:rsidRPr="00CC279A">
        <w:rPr>
          <w:rFonts w:ascii="Arial Narrow" w:hAnsi="Arial Narrow"/>
          <w:noProof/>
          <w:u w:val="single"/>
        </w:rPr>
        <w:t>del 20% esperado</w:t>
      </w:r>
      <w:r w:rsidR="00F15081">
        <w:rPr>
          <w:rFonts w:ascii="Arial Narrow" w:hAnsi="Arial Narrow"/>
          <w:noProof/>
          <w:u w:val="single"/>
        </w:rPr>
        <w:t xml:space="preserve"> para los años 2019 y 2020</w:t>
      </w:r>
      <w:r w:rsidR="00BB381A">
        <w:rPr>
          <w:rFonts w:ascii="Arial Narrow" w:hAnsi="Arial Narrow"/>
          <w:b w:val="0"/>
          <w:bCs w:val="0"/>
          <w:noProof/>
        </w:rPr>
        <w:t>)</w:t>
      </w:r>
      <w:r w:rsidRPr="00704B08">
        <w:rPr>
          <w:rFonts w:ascii="Arial Narrow" w:hAnsi="Arial Narrow"/>
          <w:b w:val="0"/>
          <w:bCs w:val="0"/>
          <w:noProof/>
        </w:rPr>
        <w:t>.</w:t>
      </w:r>
      <w:r w:rsidR="00EF3B2B">
        <w:rPr>
          <w:rFonts w:ascii="Arial Narrow" w:hAnsi="Arial Narrow"/>
          <w:b w:val="0"/>
          <w:bCs w:val="0"/>
          <w:noProof/>
        </w:rPr>
        <w:t xml:space="preserve"> </w:t>
      </w:r>
    </w:p>
    <w:p w14:paraId="6BE9F334" w14:textId="246C998E" w:rsidR="00F15081" w:rsidRDefault="00F15081" w:rsidP="00824D55">
      <w:pPr>
        <w:pStyle w:val="Textoindependiente2"/>
        <w:spacing w:line="360" w:lineRule="auto"/>
        <w:ind w:left="720"/>
        <w:rPr>
          <w:rFonts w:ascii="Arial Narrow" w:hAnsi="Arial Narrow" w:cs="Calibri"/>
          <w:b w:val="0"/>
          <w:bCs w:val="0"/>
          <w:color w:val="000000"/>
          <w:lang w:val="es-CR" w:eastAsia="es-CR"/>
        </w:rPr>
      </w:pPr>
    </w:p>
    <w:p w14:paraId="754BB5BF" w14:textId="3E5D32C6" w:rsidR="00F15081" w:rsidRPr="00F72B7A" w:rsidRDefault="00215EF9" w:rsidP="00CC279A">
      <w:pPr>
        <w:pStyle w:val="Descripcin"/>
        <w:jc w:val="center"/>
        <w:rPr>
          <w:rFonts w:ascii="Arial Narrow" w:hAnsi="Arial Narrow" w:cs="Calibri"/>
          <w:b w:val="0"/>
          <w:bCs w:val="0"/>
          <w:color w:val="000000"/>
          <w:lang w:val="es-CR" w:eastAsia="es-CR"/>
        </w:rPr>
      </w:pPr>
      <w:bookmarkStart w:id="149" w:name="_Toc84919464"/>
      <w:r w:rsidRPr="00CC279A">
        <w:rPr>
          <w:rFonts w:ascii="Arial Narrow" w:hAnsi="Arial Narrow"/>
          <w:sz w:val="24"/>
          <w:szCs w:val="24"/>
        </w:rPr>
        <w:t xml:space="preserve">Tabla </w:t>
      </w:r>
      <w:r w:rsidRPr="00CC279A">
        <w:rPr>
          <w:rFonts w:ascii="Arial Narrow" w:hAnsi="Arial Narrow"/>
          <w:sz w:val="24"/>
          <w:szCs w:val="24"/>
        </w:rPr>
        <w:fldChar w:fldCharType="begin"/>
      </w:r>
      <w:r w:rsidRPr="00CC279A">
        <w:rPr>
          <w:rFonts w:ascii="Arial Narrow" w:hAnsi="Arial Narrow"/>
          <w:sz w:val="24"/>
          <w:szCs w:val="24"/>
        </w:rPr>
        <w:instrText xml:space="preserve"> SEQ Tabla \* ARABIC </w:instrText>
      </w:r>
      <w:r w:rsidRPr="00CC279A">
        <w:rPr>
          <w:rFonts w:ascii="Arial Narrow" w:hAnsi="Arial Narrow"/>
          <w:sz w:val="24"/>
          <w:szCs w:val="24"/>
        </w:rPr>
        <w:fldChar w:fldCharType="separate"/>
      </w:r>
      <w:r w:rsidRPr="00CC279A">
        <w:rPr>
          <w:rFonts w:ascii="Arial Narrow" w:hAnsi="Arial Narrow"/>
          <w:noProof/>
          <w:sz w:val="24"/>
          <w:szCs w:val="24"/>
        </w:rPr>
        <w:t>6</w:t>
      </w:r>
      <w:r w:rsidRPr="00CC279A">
        <w:rPr>
          <w:rFonts w:ascii="Arial Narrow" w:hAnsi="Arial Narrow"/>
          <w:sz w:val="24"/>
          <w:szCs w:val="24"/>
        </w:rPr>
        <w:fldChar w:fldCharType="end"/>
      </w:r>
      <w:r w:rsidRPr="00CC279A">
        <w:rPr>
          <w:rFonts w:ascii="Arial Narrow" w:hAnsi="Arial Narrow"/>
          <w:sz w:val="24"/>
          <w:szCs w:val="24"/>
        </w:rPr>
        <w:t xml:space="preserve"> Desafíos Acción estratégica Colaboración interna y externa</w:t>
      </w:r>
      <w:r w:rsidR="00696422">
        <w:rPr>
          <w:rFonts w:ascii="Arial Narrow" w:hAnsi="Arial Narrow"/>
          <w:sz w:val="24"/>
          <w:szCs w:val="24"/>
        </w:rPr>
        <w:t xml:space="preserve"> según la meta numero 1 reportada</w:t>
      </w:r>
      <w:bookmarkEnd w:id="149"/>
    </w:p>
    <w:p w14:paraId="2FCE8884" w14:textId="77777777" w:rsidR="00F15081" w:rsidRDefault="00F15081" w:rsidP="00824D55">
      <w:pPr>
        <w:pStyle w:val="Textoindependiente2"/>
        <w:spacing w:line="360" w:lineRule="auto"/>
        <w:ind w:left="720"/>
        <w:rPr>
          <w:rFonts w:ascii="Arial Narrow" w:hAnsi="Arial Narrow" w:cs="Calibri"/>
          <w:b w:val="0"/>
          <w:bCs w:val="0"/>
          <w:color w:val="000000"/>
          <w:lang w:val="es-CR" w:eastAsia="es-CR"/>
        </w:rPr>
      </w:pPr>
    </w:p>
    <w:tbl>
      <w:tblPr>
        <w:tblStyle w:val="Tablaconcuadrcula"/>
        <w:tblW w:w="0" w:type="auto"/>
        <w:tblInd w:w="720" w:type="dxa"/>
        <w:tblLook w:val="04A0" w:firstRow="1" w:lastRow="0" w:firstColumn="1" w:lastColumn="0" w:noHBand="0" w:noVBand="1"/>
      </w:tblPr>
      <w:tblGrid>
        <w:gridCol w:w="4265"/>
        <w:gridCol w:w="4218"/>
      </w:tblGrid>
      <w:tr w:rsidR="006F3725" w:rsidRPr="00D01E09" w14:paraId="13F84711" w14:textId="77777777" w:rsidTr="00F15081">
        <w:tc>
          <w:tcPr>
            <w:tcW w:w="4601" w:type="dxa"/>
          </w:tcPr>
          <w:p w14:paraId="3D9924A8" w14:textId="77777777" w:rsidR="00F15081" w:rsidRPr="00F15081" w:rsidRDefault="00F15081" w:rsidP="00F15081">
            <w:pPr>
              <w:pStyle w:val="Textoindependiente2"/>
              <w:spacing w:line="360" w:lineRule="auto"/>
              <w:rPr>
                <w:rFonts w:ascii="Arial Narrow" w:hAnsi="Arial Narrow"/>
                <w:b w:val="0"/>
                <w:bCs w:val="0"/>
                <w:noProof/>
              </w:rPr>
            </w:pPr>
            <w:r w:rsidRPr="00F15081">
              <w:rPr>
                <w:rFonts w:ascii="Arial Narrow" w:hAnsi="Arial Narrow"/>
                <w:noProof/>
                <w:u w:val="single"/>
              </w:rPr>
              <w:t>Desafíos:</w:t>
            </w:r>
          </w:p>
        </w:tc>
        <w:tc>
          <w:tcPr>
            <w:tcW w:w="4602" w:type="dxa"/>
          </w:tcPr>
          <w:p w14:paraId="3720280F" w14:textId="77777777" w:rsidR="00F15081" w:rsidRPr="00CC279A" w:rsidRDefault="00F15081" w:rsidP="00F15081">
            <w:pPr>
              <w:pStyle w:val="Textoindependiente2"/>
              <w:spacing w:line="360" w:lineRule="auto"/>
              <w:rPr>
                <w:rFonts w:ascii="Arial Narrow" w:hAnsi="Arial Narrow"/>
                <w:b w:val="0"/>
                <w:bCs w:val="0"/>
                <w:noProof/>
              </w:rPr>
            </w:pPr>
            <w:r w:rsidRPr="00CC279A">
              <w:rPr>
                <w:rFonts w:ascii="Arial Narrow" w:hAnsi="Arial Narrow"/>
                <w:noProof/>
              </w:rPr>
              <w:t>Responsable estratégico</w:t>
            </w:r>
            <w:r w:rsidRPr="00CC279A">
              <w:rPr>
                <w:rFonts w:ascii="Arial Narrow" w:hAnsi="Arial Narrow"/>
                <w:b w:val="0"/>
                <w:bCs w:val="0"/>
                <w:noProof/>
              </w:rPr>
              <w:t>:</w:t>
            </w:r>
          </w:p>
        </w:tc>
      </w:tr>
      <w:tr w:rsidR="006F3725" w:rsidRPr="00D01E09" w14:paraId="28476849" w14:textId="77777777" w:rsidTr="00F15081">
        <w:tc>
          <w:tcPr>
            <w:tcW w:w="4601" w:type="dxa"/>
            <w:vAlign w:val="center"/>
          </w:tcPr>
          <w:p w14:paraId="09AA15B9" w14:textId="325C927D" w:rsidR="00F15081" w:rsidRPr="0038143C" w:rsidRDefault="00F15081" w:rsidP="00F15081">
            <w:pPr>
              <w:pStyle w:val="Textoindependiente2"/>
              <w:spacing w:line="360" w:lineRule="auto"/>
              <w:rPr>
                <w:rFonts w:ascii="Arial Narrow" w:hAnsi="Arial Narrow"/>
                <w:b w:val="0"/>
                <w:bCs w:val="0"/>
                <w:noProof/>
              </w:rPr>
            </w:pPr>
            <w:r w:rsidRPr="00F15081">
              <w:rPr>
                <w:rFonts w:ascii="Arial Narrow" w:hAnsi="Arial Narrow"/>
                <w:b w:val="0"/>
                <w:bCs w:val="0"/>
                <w:noProof/>
              </w:rPr>
              <w:t xml:space="preserve">Avanzar en las tareas relacionadas a las estrategias que </w:t>
            </w:r>
            <w:r w:rsidRPr="00F15081">
              <w:rPr>
                <w:rFonts w:ascii="Arial Narrow" w:hAnsi="Arial Narrow" w:cs="Calibri"/>
                <w:b w:val="0"/>
                <w:bCs w:val="0"/>
                <w:color w:val="000000"/>
                <w:lang w:val="es-CR" w:eastAsia="es-CR"/>
              </w:rPr>
              <w:t>permitan identificar las redes interinstitucionales y comunales en actividades tanto presenciales como virtuales con el fin de poder cumplir a cabalidad lo establecido en esta meta</w:t>
            </w:r>
            <w:r w:rsidRPr="009B24F8">
              <w:rPr>
                <w:rFonts w:ascii="Arial Narrow" w:hAnsi="Arial Narrow" w:cs="Calibri"/>
                <w:b w:val="0"/>
                <w:bCs w:val="0"/>
                <w:color w:val="000000"/>
                <w:lang w:val="es-CR" w:eastAsia="es-CR"/>
              </w:rPr>
              <w:t>, y determinar las tareas del 2019 que no lograron ser completadas</w:t>
            </w:r>
            <w:r w:rsidRPr="0053265A">
              <w:rPr>
                <w:rFonts w:ascii="Arial Narrow" w:hAnsi="Arial Narrow" w:cs="Calibri"/>
                <w:b w:val="0"/>
                <w:bCs w:val="0"/>
                <w:color w:val="000000"/>
                <w:lang w:val="es-CR" w:eastAsia="es-CR"/>
              </w:rPr>
              <w:t xml:space="preserve"> si deben ser </w:t>
            </w:r>
            <w:r w:rsidRPr="00DF1162">
              <w:rPr>
                <w:rFonts w:ascii="Arial Narrow" w:hAnsi="Arial Narrow" w:cs="Calibri"/>
                <w:b w:val="0"/>
                <w:bCs w:val="0"/>
                <w:color w:val="000000"/>
                <w:lang w:val="es-CR" w:eastAsia="es-CR"/>
              </w:rPr>
              <w:lastRenderedPageBreak/>
              <w:t>retomadas en los años subsiguientes para cumpl</w:t>
            </w:r>
            <w:r w:rsidRPr="0038143C">
              <w:rPr>
                <w:rFonts w:ascii="Arial Narrow" w:hAnsi="Arial Narrow" w:cs="Calibri"/>
                <w:b w:val="0"/>
                <w:bCs w:val="0"/>
                <w:color w:val="000000"/>
                <w:lang w:val="es-CR" w:eastAsia="es-CR"/>
              </w:rPr>
              <w:t>ir con la meta estratégica.</w:t>
            </w:r>
          </w:p>
        </w:tc>
        <w:tc>
          <w:tcPr>
            <w:tcW w:w="4602" w:type="dxa"/>
            <w:vAlign w:val="center"/>
          </w:tcPr>
          <w:p w14:paraId="5D101DA4" w14:textId="1C9EF450" w:rsidR="00F15081" w:rsidRPr="00CC279A" w:rsidRDefault="00F15081" w:rsidP="00F15081">
            <w:pPr>
              <w:pStyle w:val="Textoindependiente2"/>
              <w:spacing w:line="360" w:lineRule="auto"/>
              <w:rPr>
                <w:rFonts w:ascii="Arial Narrow" w:hAnsi="Arial Narrow"/>
                <w:b w:val="0"/>
                <w:bCs w:val="0"/>
                <w:noProof/>
              </w:rPr>
            </w:pPr>
            <w:r w:rsidRPr="00CC279A">
              <w:rPr>
                <w:rFonts w:ascii="Arial Narrow" w:hAnsi="Arial Narrow"/>
                <w:b w:val="0"/>
                <w:bCs w:val="0"/>
                <w:noProof/>
              </w:rPr>
              <w:lastRenderedPageBreak/>
              <w:t>Oficina de Anteción y Protección de Víctimas y Testigos</w:t>
            </w:r>
          </w:p>
        </w:tc>
      </w:tr>
    </w:tbl>
    <w:p w14:paraId="228241F0" w14:textId="77777777" w:rsidR="00824D55" w:rsidRPr="00CC279A" w:rsidRDefault="00824D55" w:rsidP="00824D55">
      <w:pPr>
        <w:pStyle w:val="Textoindependiente2"/>
        <w:spacing w:line="360" w:lineRule="auto"/>
        <w:ind w:left="720"/>
        <w:rPr>
          <w:rFonts w:ascii="Arial Narrow" w:hAnsi="Arial Narrow" w:cs="Calibri"/>
          <w:b w:val="0"/>
          <w:bCs w:val="0"/>
          <w:color w:val="000000"/>
          <w:lang w:val="es-CR" w:eastAsia="es-CR"/>
        </w:rPr>
      </w:pPr>
    </w:p>
    <w:p w14:paraId="6AEA0AEF" w14:textId="77777777" w:rsidR="006E5CA9" w:rsidRPr="009D5823" w:rsidRDefault="006E5CA9" w:rsidP="00704B08">
      <w:pPr>
        <w:pStyle w:val="Textoindependiente2"/>
        <w:spacing w:line="360" w:lineRule="auto"/>
        <w:ind w:left="720"/>
        <w:rPr>
          <w:rFonts w:ascii="Arial Narrow" w:hAnsi="Arial Narrow" w:cs="Calibri"/>
          <w:color w:val="000000"/>
          <w:lang w:val="es-CR" w:eastAsia="es-CR"/>
        </w:rPr>
      </w:pPr>
    </w:p>
    <w:p w14:paraId="1E8AE64C" w14:textId="74B05D40" w:rsidR="002E529A" w:rsidRDefault="00A008D4">
      <w:pPr>
        <w:pStyle w:val="Textoindependiente2"/>
        <w:numPr>
          <w:ilvl w:val="0"/>
          <w:numId w:val="100"/>
        </w:numPr>
        <w:spacing w:line="360" w:lineRule="auto"/>
        <w:rPr>
          <w:rFonts w:ascii="Arial Narrow" w:hAnsi="Arial Narrow"/>
          <w:lang w:eastAsia="en-US"/>
        </w:rPr>
      </w:pPr>
      <w:r w:rsidRPr="00F85A5C">
        <w:rPr>
          <w:rFonts w:ascii="Arial Narrow" w:hAnsi="Arial Narrow"/>
          <w:lang w:eastAsia="en-US"/>
        </w:rPr>
        <w:t>Acción</w:t>
      </w:r>
      <w:r>
        <w:rPr>
          <w:rFonts w:ascii="Arial Narrow" w:hAnsi="Arial Narrow"/>
          <w:lang w:eastAsia="en-US"/>
        </w:rPr>
        <w:t xml:space="preserve"> estratégica</w:t>
      </w:r>
      <w:r w:rsidR="002E529A" w:rsidRPr="00704B08">
        <w:rPr>
          <w:rFonts w:ascii="Arial Narrow" w:hAnsi="Arial Narrow"/>
          <w:lang w:eastAsia="en-US"/>
        </w:rPr>
        <w:t>: Comunicación y proyección Institucional</w:t>
      </w:r>
    </w:p>
    <w:p w14:paraId="19017DC0" w14:textId="269F8F77" w:rsidR="00BD7E78" w:rsidRPr="00704B08" w:rsidRDefault="002E529A" w:rsidP="00CC279A">
      <w:pPr>
        <w:pStyle w:val="Textoindependiente2"/>
        <w:numPr>
          <w:ilvl w:val="0"/>
          <w:numId w:val="124"/>
        </w:numPr>
        <w:spacing w:line="360" w:lineRule="auto"/>
        <w:rPr>
          <w:rFonts w:ascii="Arial Narrow" w:eastAsia="Calibri" w:hAnsi="Arial Narrow"/>
          <w:b w:val="0"/>
          <w:bCs w:val="0"/>
        </w:rPr>
      </w:pPr>
      <w:r w:rsidRPr="00704B08">
        <w:rPr>
          <w:rFonts w:ascii="Arial Narrow" w:hAnsi="Arial Narrow"/>
          <w:u w:val="single"/>
          <w:lang w:eastAsia="en-US"/>
        </w:rPr>
        <w:t>Meta</w:t>
      </w:r>
      <w:r w:rsidR="0087119D">
        <w:rPr>
          <w:rFonts w:ascii="Arial Narrow" w:hAnsi="Arial Narrow"/>
          <w:u w:val="single"/>
          <w:lang w:eastAsia="en-US"/>
        </w:rPr>
        <w:t xml:space="preserve"> </w:t>
      </w:r>
      <w:r w:rsidRPr="00704B08">
        <w:rPr>
          <w:rFonts w:ascii="Arial Narrow" w:hAnsi="Arial Narrow"/>
          <w:u w:val="single"/>
          <w:lang w:eastAsia="en-US"/>
        </w:rPr>
        <w:t>Estratégica</w:t>
      </w:r>
      <w:r w:rsidR="00A008D4">
        <w:rPr>
          <w:rFonts w:ascii="Arial Narrow" w:hAnsi="Arial Narrow"/>
          <w:u w:val="single"/>
          <w:lang w:eastAsia="en-US"/>
        </w:rPr>
        <w:t xml:space="preserve"> </w:t>
      </w:r>
      <w:r w:rsidR="00A008D4">
        <w:rPr>
          <w:rFonts w:ascii="Arial Narrow" w:hAnsi="Arial Narrow" w:cs="Calibri"/>
          <w:color w:val="000000"/>
          <w:u w:val="single"/>
          <w:lang w:val="es-CR" w:eastAsia="es-CR"/>
        </w:rPr>
        <w:t>con cumplimiento bajo</w:t>
      </w:r>
      <w:r w:rsidRPr="00704B08">
        <w:rPr>
          <w:rFonts w:ascii="Arial Narrow" w:hAnsi="Arial Narrow"/>
          <w:lang w:eastAsia="en-US"/>
        </w:rPr>
        <w:t xml:space="preserve">: </w:t>
      </w:r>
      <w:r w:rsidRPr="006E5CA9">
        <w:rPr>
          <w:rFonts w:ascii="Arial Narrow" w:eastAsia="Calibri" w:hAnsi="Arial Narrow"/>
          <w:b w:val="0"/>
          <w:bCs w:val="0"/>
        </w:rPr>
        <w:t>Que al finalizar el 2024, se haya aprobado la Política de Comunicación Organizacional</w:t>
      </w:r>
      <w:r w:rsidR="00BB381A">
        <w:rPr>
          <w:rFonts w:ascii="Arial Narrow" w:eastAsia="Calibri" w:hAnsi="Arial Narrow"/>
          <w:b w:val="0"/>
          <w:bCs w:val="0"/>
        </w:rPr>
        <w:t xml:space="preserve"> (4.3% de cumplimiento del 20% esperado para 2020).</w:t>
      </w:r>
    </w:p>
    <w:p w14:paraId="1021E4D2" w14:textId="36C5B0C4" w:rsidR="002E529A" w:rsidRPr="00215EF9" w:rsidRDefault="002E529A" w:rsidP="00CC279A">
      <w:pPr>
        <w:pStyle w:val="Textoindependiente2"/>
        <w:spacing w:line="360" w:lineRule="auto"/>
        <w:ind w:left="720"/>
        <w:jc w:val="center"/>
        <w:rPr>
          <w:rFonts w:ascii="Arial Narrow" w:hAnsi="Arial Narrow"/>
          <w:b w:val="0"/>
          <w:bCs w:val="0"/>
        </w:rPr>
      </w:pPr>
    </w:p>
    <w:p w14:paraId="581884A1" w14:textId="7FAE4970" w:rsidR="00215EF9" w:rsidRDefault="00215EF9" w:rsidP="00215EF9">
      <w:pPr>
        <w:pStyle w:val="Descripcin"/>
        <w:jc w:val="center"/>
        <w:rPr>
          <w:rFonts w:ascii="Arial Narrow" w:hAnsi="Arial Narrow"/>
          <w:sz w:val="24"/>
          <w:szCs w:val="24"/>
        </w:rPr>
      </w:pPr>
      <w:bookmarkStart w:id="150" w:name="_Toc84919465"/>
      <w:r w:rsidRPr="00CC279A">
        <w:rPr>
          <w:rFonts w:ascii="Arial Narrow" w:hAnsi="Arial Narrow"/>
          <w:sz w:val="24"/>
          <w:szCs w:val="24"/>
        </w:rPr>
        <w:t xml:space="preserve">Tabla </w:t>
      </w:r>
      <w:r w:rsidRPr="00CC279A">
        <w:rPr>
          <w:rFonts w:ascii="Arial Narrow" w:hAnsi="Arial Narrow"/>
          <w:sz w:val="24"/>
          <w:szCs w:val="24"/>
        </w:rPr>
        <w:fldChar w:fldCharType="begin"/>
      </w:r>
      <w:r w:rsidRPr="00CC279A">
        <w:rPr>
          <w:rFonts w:ascii="Arial Narrow" w:hAnsi="Arial Narrow"/>
          <w:sz w:val="24"/>
          <w:szCs w:val="24"/>
        </w:rPr>
        <w:instrText xml:space="preserve"> SEQ Tabla \* ARABIC </w:instrText>
      </w:r>
      <w:r w:rsidRPr="00CC279A">
        <w:rPr>
          <w:rFonts w:ascii="Arial Narrow" w:hAnsi="Arial Narrow"/>
          <w:sz w:val="24"/>
          <w:szCs w:val="24"/>
        </w:rPr>
        <w:fldChar w:fldCharType="separate"/>
      </w:r>
      <w:r w:rsidRPr="00CC279A">
        <w:rPr>
          <w:rFonts w:ascii="Arial Narrow" w:hAnsi="Arial Narrow"/>
          <w:noProof/>
          <w:sz w:val="24"/>
          <w:szCs w:val="24"/>
        </w:rPr>
        <w:t>7</w:t>
      </w:r>
      <w:r w:rsidRPr="00CC279A">
        <w:rPr>
          <w:rFonts w:ascii="Arial Narrow" w:hAnsi="Arial Narrow"/>
          <w:sz w:val="24"/>
          <w:szCs w:val="24"/>
        </w:rPr>
        <w:fldChar w:fldCharType="end"/>
      </w:r>
      <w:r w:rsidRPr="00CC279A">
        <w:rPr>
          <w:rFonts w:ascii="Arial Narrow" w:hAnsi="Arial Narrow"/>
          <w:sz w:val="24"/>
          <w:szCs w:val="24"/>
        </w:rPr>
        <w:t xml:space="preserve"> Desafíos acción estratégica Comunicación y proyección Institucional</w:t>
      </w:r>
      <w:r w:rsidR="0087119D">
        <w:rPr>
          <w:rFonts w:ascii="Arial Narrow" w:hAnsi="Arial Narrow"/>
          <w:sz w:val="24"/>
          <w:szCs w:val="24"/>
        </w:rPr>
        <w:t xml:space="preserve"> según meta 1 </w:t>
      </w:r>
      <w:r w:rsidR="00696422">
        <w:rPr>
          <w:rFonts w:ascii="Arial Narrow" w:hAnsi="Arial Narrow"/>
          <w:sz w:val="24"/>
          <w:szCs w:val="24"/>
        </w:rPr>
        <w:t>reportada</w:t>
      </w:r>
      <w:bookmarkEnd w:id="150"/>
    </w:p>
    <w:p w14:paraId="0250DC87" w14:textId="77777777" w:rsidR="00215EF9" w:rsidRPr="00CC279A" w:rsidRDefault="00215EF9" w:rsidP="00CC279A"/>
    <w:tbl>
      <w:tblPr>
        <w:tblStyle w:val="Tablaconcuadrcula"/>
        <w:tblW w:w="0" w:type="auto"/>
        <w:tblInd w:w="720" w:type="dxa"/>
        <w:tblLook w:val="04A0" w:firstRow="1" w:lastRow="0" w:firstColumn="1" w:lastColumn="0" w:noHBand="0" w:noVBand="1"/>
      </w:tblPr>
      <w:tblGrid>
        <w:gridCol w:w="4244"/>
        <w:gridCol w:w="4239"/>
      </w:tblGrid>
      <w:tr w:rsidR="006F3725" w:rsidRPr="00D01E09" w14:paraId="13BF1930" w14:textId="77777777" w:rsidTr="00F15081">
        <w:tc>
          <w:tcPr>
            <w:tcW w:w="4601" w:type="dxa"/>
            <w:vAlign w:val="center"/>
          </w:tcPr>
          <w:p w14:paraId="1BD057CE" w14:textId="77777777" w:rsidR="00C801FF" w:rsidRPr="00F15081" w:rsidRDefault="00C801FF" w:rsidP="00CC279A">
            <w:pPr>
              <w:pStyle w:val="Textoindependiente2"/>
              <w:spacing w:line="360" w:lineRule="auto"/>
              <w:jc w:val="center"/>
              <w:rPr>
                <w:rFonts w:ascii="Arial Narrow" w:hAnsi="Arial Narrow"/>
                <w:b w:val="0"/>
                <w:bCs w:val="0"/>
                <w:noProof/>
              </w:rPr>
            </w:pPr>
            <w:r w:rsidRPr="00F15081">
              <w:rPr>
                <w:rFonts w:ascii="Arial Narrow" w:hAnsi="Arial Narrow"/>
                <w:noProof/>
                <w:u w:val="single"/>
              </w:rPr>
              <w:t>Desafíos:</w:t>
            </w:r>
          </w:p>
        </w:tc>
        <w:tc>
          <w:tcPr>
            <w:tcW w:w="4602" w:type="dxa"/>
            <w:vAlign w:val="center"/>
          </w:tcPr>
          <w:p w14:paraId="22C54A63" w14:textId="77777777" w:rsidR="00C801FF" w:rsidRPr="00CC279A" w:rsidRDefault="00C801FF" w:rsidP="00CC279A">
            <w:pPr>
              <w:pStyle w:val="Textoindependiente2"/>
              <w:spacing w:line="360" w:lineRule="auto"/>
              <w:jc w:val="center"/>
              <w:rPr>
                <w:rFonts w:ascii="Arial Narrow" w:hAnsi="Arial Narrow"/>
                <w:b w:val="0"/>
                <w:bCs w:val="0"/>
                <w:noProof/>
              </w:rPr>
            </w:pPr>
            <w:r w:rsidRPr="00CC279A">
              <w:rPr>
                <w:rFonts w:ascii="Arial Narrow" w:hAnsi="Arial Narrow"/>
                <w:noProof/>
              </w:rPr>
              <w:t>Responsable estratégico</w:t>
            </w:r>
            <w:r w:rsidRPr="00CC279A">
              <w:rPr>
                <w:rFonts w:ascii="Arial Narrow" w:hAnsi="Arial Narrow"/>
                <w:b w:val="0"/>
                <w:bCs w:val="0"/>
                <w:noProof/>
              </w:rPr>
              <w:t>:</w:t>
            </w:r>
          </w:p>
        </w:tc>
      </w:tr>
      <w:tr w:rsidR="006F3725" w:rsidRPr="00D01E09" w14:paraId="5DDF4405" w14:textId="77777777" w:rsidTr="00F15081">
        <w:tc>
          <w:tcPr>
            <w:tcW w:w="4601" w:type="dxa"/>
            <w:vAlign w:val="center"/>
          </w:tcPr>
          <w:p w14:paraId="3681AE44" w14:textId="2B6A9D81" w:rsidR="00C801FF" w:rsidRPr="009B24F8" w:rsidRDefault="00F15081" w:rsidP="00F15081">
            <w:pPr>
              <w:pStyle w:val="Textoindependiente2"/>
              <w:spacing w:line="360" w:lineRule="auto"/>
              <w:rPr>
                <w:rFonts w:ascii="Arial Narrow" w:hAnsi="Arial Narrow"/>
                <w:b w:val="0"/>
                <w:bCs w:val="0"/>
                <w:noProof/>
              </w:rPr>
            </w:pPr>
            <w:r w:rsidRPr="00F15081">
              <w:rPr>
                <w:rFonts w:ascii="Arial Narrow" w:hAnsi="Arial Narrow"/>
                <w:b w:val="0"/>
                <w:bCs w:val="0"/>
                <w:noProof/>
              </w:rPr>
              <w:t>Realizar las gestiones necesarias y esfuerzos para lograr obtener</w:t>
            </w:r>
            <w:r w:rsidRPr="00F15081">
              <w:rPr>
                <w:rFonts w:ascii="Arial Narrow" w:hAnsi="Arial Narrow"/>
              </w:rPr>
              <w:t xml:space="preserve"> </w:t>
            </w:r>
            <w:r w:rsidRPr="00F15081">
              <w:rPr>
                <w:rFonts w:ascii="Arial Narrow" w:hAnsi="Arial Narrow"/>
                <w:b w:val="0"/>
                <w:bCs w:val="0"/>
              </w:rPr>
              <w:t>colaboración que permita el diseño de la política institucional y la posterior aprobación de la Política de Comunicación Organizacional</w:t>
            </w:r>
            <w:r w:rsidRPr="009B24F8">
              <w:rPr>
                <w:rFonts w:ascii="Arial Narrow" w:hAnsi="Arial Narrow"/>
                <w:b w:val="0"/>
                <w:bCs w:val="0"/>
              </w:rPr>
              <w:t>.</w:t>
            </w:r>
          </w:p>
        </w:tc>
        <w:tc>
          <w:tcPr>
            <w:tcW w:w="4602" w:type="dxa"/>
            <w:vAlign w:val="center"/>
          </w:tcPr>
          <w:p w14:paraId="28072CD6" w14:textId="1EFD5C32" w:rsidR="00C801FF" w:rsidRPr="00CC279A" w:rsidRDefault="00F15081" w:rsidP="00F15081">
            <w:pPr>
              <w:pStyle w:val="Textoindependiente2"/>
              <w:spacing w:line="360" w:lineRule="auto"/>
              <w:rPr>
                <w:rFonts w:ascii="Arial Narrow" w:hAnsi="Arial Narrow"/>
                <w:b w:val="0"/>
                <w:bCs w:val="0"/>
                <w:noProof/>
              </w:rPr>
            </w:pPr>
            <w:r w:rsidRPr="00CC279A">
              <w:rPr>
                <w:rFonts w:ascii="Arial Narrow" w:hAnsi="Arial Narrow"/>
                <w:b w:val="0"/>
                <w:bCs w:val="0"/>
                <w:noProof/>
              </w:rPr>
              <w:t>Departamento de Prensa y Comunicación Organizacional</w:t>
            </w:r>
          </w:p>
        </w:tc>
      </w:tr>
    </w:tbl>
    <w:p w14:paraId="56DC9956" w14:textId="77777777" w:rsidR="00345DBB" w:rsidRPr="00704B08" w:rsidRDefault="00345DBB" w:rsidP="00704B08">
      <w:pPr>
        <w:spacing w:line="360" w:lineRule="auto"/>
        <w:jc w:val="both"/>
        <w:rPr>
          <w:rFonts w:ascii="Arial Narrow" w:eastAsia="Calibri" w:hAnsi="Arial Narrow"/>
          <w:b/>
          <w:bCs/>
          <w:lang w:val="es-CR"/>
        </w:rPr>
      </w:pPr>
    </w:p>
    <w:p w14:paraId="1F2BF100" w14:textId="0A98DB8C" w:rsidR="00A008D4" w:rsidRPr="00CC279A" w:rsidRDefault="00A53D29" w:rsidP="00704B08">
      <w:pPr>
        <w:pStyle w:val="Ttulo3"/>
        <w:numPr>
          <w:ilvl w:val="1"/>
          <w:numId w:val="105"/>
        </w:numPr>
        <w:rPr>
          <w:rFonts w:ascii="Arial Narrow" w:hAnsi="Arial Narrow"/>
          <w:b w:val="0"/>
          <w:bCs w:val="0"/>
          <w:lang w:val="es-CR"/>
        </w:rPr>
      </w:pPr>
      <w:bookmarkStart w:id="151" w:name="_Toc84919361"/>
      <w:r w:rsidRPr="00CC279A">
        <w:rPr>
          <w:rFonts w:ascii="Arial Narrow" w:hAnsi="Arial Narrow"/>
          <w:lang w:val="es-CR"/>
        </w:rPr>
        <w:t xml:space="preserve">Tema estratégico: </w:t>
      </w:r>
      <w:r w:rsidR="002E529A" w:rsidRPr="00CC279A">
        <w:rPr>
          <w:rFonts w:ascii="Arial Narrow" w:hAnsi="Arial Narrow"/>
          <w:lang w:val="es-CR"/>
        </w:rPr>
        <w:t>Optimización e innovación de los servicios judiciales</w:t>
      </w:r>
      <w:bookmarkEnd w:id="151"/>
    </w:p>
    <w:p w14:paraId="252B4820" w14:textId="77777777" w:rsidR="00A008D4" w:rsidRPr="00704B08" w:rsidRDefault="00A008D4" w:rsidP="00704B08">
      <w:pPr>
        <w:spacing w:line="360" w:lineRule="auto"/>
        <w:jc w:val="both"/>
        <w:rPr>
          <w:rFonts w:ascii="Arial Narrow" w:eastAsia="Calibri" w:hAnsi="Arial Narrow"/>
          <w:b/>
          <w:bCs/>
          <w:lang w:val="es-CR"/>
        </w:rPr>
      </w:pPr>
    </w:p>
    <w:p w14:paraId="65527583" w14:textId="7BA218FC" w:rsidR="002E529A" w:rsidRPr="00704B08" w:rsidRDefault="00345DBB">
      <w:pPr>
        <w:pStyle w:val="Textoindependiente2"/>
        <w:numPr>
          <w:ilvl w:val="0"/>
          <w:numId w:val="100"/>
        </w:numPr>
        <w:spacing w:line="360" w:lineRule="auto"/>
        <w:rPr>
          <w:rFonts w:ascii="Arial Narrow" w:hAnsi="Arial Narrow"/>
          <w:noProof/>
        </w:rPr>
      </w:pPr>
      <w:r w:rsidRPr="00A008D4">
        <w:rPr>
          <w:rFonts w:ascii="Arial Narrow" w:hAnsi="Arial Narrow"/>
          <w:noProof/>
        </w:rPr>
        <w:t>Acción</w:t>
      </w:r>
      <w:r w:rsidR="00A008D4">
        <w:rPr>
          <w:rFonts w:ascii="Arial Narrow" w:hAnsi="Arial Narrow"/>
          <w:noProof/>
        </w:rPr>
        <w:t xml:space="preserve"> </w:t>
      </w:r>
      <w:r w:rsidR="00A008D4">
        <w:rPr>
          <w:rFonts w:ascii="Arial Narrow" w:hAnsi="Arial Narrow"/>
          <w:lang w:eastAsia="en-US"/>
        </w:rPr>
        <w:t>estratégica</w:t>
      </w:r>
      <w:r w:rsidRPr="00A008D4">
        <w:rPr>
          <w:rFonts w:ascii="Arial Narrow" w:hAnsi="Arial Narrow"/>
          <w:noProof/>
        </w:rPr>
        <w:t>: Desarrollo y optimización de servicios y procesos judiciales</w:t>
      </w:r>
    </w:p>
    <w:p w14:paraId="789FFB19" w14:textId="117187CF" w:rsidR="002E529A" w:rsidRPr="00704B08" w:rsidRDefault="00345DBB" w:rsidP="00CC279A">
      <w:pPr>
        <w:pStyle w:val="Textoindependiente2"/>
        <w:numPr>
          <w:ilvl w:val="0"/>
          <w:numId w:val="125"/>
        </w:numPr>
        <w:spacing w:line="360" w:lineRule="auto"/>
        <w:rPr>
          <w:rFonts w:ascii="Arial Narrow" w:hAnsi="Arial Narrow" w:cs="Calibri"/>
          <w:b w:val="0"/>
          <w:bCs w:val="0"/>
          <w:color w:val="000000"/>
          <w:lang w:val="es-CR" w:eastAsia="es-CR"/>
        </w:rPr>
      </w:pPr>
      <w:r w:rsidRPr="00704B08">
        <w:rPr>
          <w:rFonts w:ascii="Arial Narrow" w:hAnsi="Arial Narrow" w:cs="Calibri"/>
          <w:color w:val="000000"/>
          <w:u w:val="single"/>
          <w:lang w:val="es-CR" w:eastAsia="es-CR"/>
        </w:rPr>
        <w:t>Meta</w:t>
      </w:r>
      <w:r w:rsidR="00BB381A">
        <w:rPr>
          <w:rFonts w:ascii="Arial Narrow" w:hAnsi="Arial Narrow" w:cs="Calibri"/>
          <w:color w:val="000000"/>
          <w:u w:val="single"/>
          <w:lang w:val="es-CR" w:eastAsia="es-CR"/>
        </w:rPr>
        <w:t xml:space="preserve"> estratégica con cumplimiento medio</w:t>
      </w:r>
      <w:r w:rsidRPr="00704B08">
        <w:rPr>
          <w:rFonts w:ascii="Arial Narrow" w:hAnsi="Arial Narrow" w:cs="Calibri"/>
          <w:color w:val="000000"/>
          <w:u w:val="single"/>
          <w:lang w:val="es-CR" w:eastAsia="es-CR"/>
        </w:rPr>
        <w:t>:</w:t>
      </w:r>
      <w:r w:rsidRPr="00704B08">
        <w:rPr>
          <w:rFonts w:ascii="Arial Narrow" w:hAnsi="Arial Narrow" w:cs="Calibri"/>
          <w:b w:val="0"/>
          <w:bCs w:val="0"/>
          <w:color w:val="000000"/>
          <w:lang w:val="es-CR" w:eastAsia="es-CR"/>
        </w:rPr>
        <w:t xml:space="preserve"> </w:t>
      </w:r>
      <w:r w:rsidR="002E529A" w:rsidRPr="00704B08">
        <w:rPr>
          <w:rFonts w:ascii="Arial Narrow" w:hAnsi="Arial Narrow" w:cs="Calibri"/>
          <w:b w:val="0"/>
          <w:bCs w:val="0"/>
          <w:color w:val="000000"/>
          <w:lang w:val="es-CR" w:eastAsia="es-CR"/>
        </w:rPr>
        <w:t>Que al finalizar el 2024, se hayan implementado un plan de trabajo para la adquisición de los bienes, muebles e inmuebles, así como los insumos, suministros, herramientas, laboratorios y equipos analítico</w:t>
      </w:r>
      <w:r w:rsidR="00FD7BA1">
        <w:rPr>
          <w:rFonts w:ascii="Arial Narrow" w:hAnsi="Arial Narrow" w:cs="Calibri"/>
          <w:b w:val="0"/>
          <w:bCs w:val="0"/>
          <w:color w:val="000000"/>
          <w:lang w:val="es-CR" w:eastAsia="es-CR"/>
        </w:rPr>
        <w:t xml:space="preserve"> </w:t>
      </w:r>
      <w:r w:rsidR="002E529A" w:rsidRPr="00704B08">
        <w:rPr>
          <w:rFonts w:ascii="Arial Narrow" w:hAnsi="Arial Narrow" w:cs="Calibri"/>
          <w:b w:val="0"/>
          <w:bCs w:val="0"/>
          <w:color w:val="000000"/>
          <w:lang w:val="es-CR" w:eastAsia="es-CR"/>
        </w:rPr>
        <w:t>instrumental, entre otros, para el Organismo de Investigación Judicia</w:t>
      </w:r>
      <w:r w:rsidR="00BB381A">
        <w:rPr>
          <w:rFonts w:ascii="Arial Narrow" w:hAnsi="Arial Narrow" w:cs="Calibri"/>
          <w:b w:val="0"/>
          <w:bCs w:val="0"/>
          <w:color w:val="000000"/>
          <w:lang w:val="es-CR" w:eastAsia="es-CR"/>
        </w:rPr>
        <w:t>l (18,3% del 20% esperado)</w:t>
      </w:r>
      <w:r w:rsidR="002E529A" w:rsidRPr="00704B08">
        <w:rPr>
          <w:rFonts w:ascii="Arial Narrow" w:hAnsi="Arial Narrow" w:cs="Calibri"/>
          <w:b w:val="0"/>
          <w:bCs w:val="0"/>
          <w:color w:val="000000"/>
          <w:lang w:val="es-CR" w:eastAsia="es-CR"/>
        </w:rPr>
        <w:t>.</w:t>
      </w:r>
    </w:p>
    <w:p w14:paraId="4E10998A" w14:textId="77777777" w:rsidR="00EF3B2B" w:rsidRDefault="00EF3B2B" w:rsidP="00704B08">
      <w:pPr>
        <w:pStyle w:val="Textoindependiente2"/>
        <w:spacing w:line="360" w:lineRule="auto"/>
        <w:ind w:left="720"/>
        <w:rPr>
          <w:rFonts w:ascii="Arial Narrow" w:hAnsi="Arial Narrow"/>
          <w:noProof/>
          <w:u w:val="single"/>
        </w:rPr>
      </w:pPr>
    </w:p>
    <w:p w14:paraId="06F12FA2" w14:textId="7328E2AF" w:rsidR="002E529A" w:rsidRDefault="002E529A" w:rsidP="00704B08">
      <w:pPr>
        <w:pStyle w:val="Textoindependiente2"/>
        <w:spacing w:line="360" w:lineRule="auto"/>
        <w:ind w:left="720"/>
        <w:rPr>
          <w:rFonts w:ascii="Arial Narrow" w:hAnsi="Arial Narrow"/>
          <w:b w:val="0"/>
          <w:bCs w:val="0"/>
          <w:noProof/>
        </w:rPr>
      </w:pPr>
      <w:r w:rsidRPr="00704B08">
        <w:rPr>
          <w:rFonts w:ascii="Arial Narrow" w:hAnsi="Arial Narrow"/>
          <w:noProof/>
          <w:u w:val="single"/>
        </w:rPr>
        <w:t>Desafío:</w:t>
      </w:r>
      <w:r w:rsidRPr="00704B08">
        <w:rPr>
          <w:rFonts w:ascii="Arial Narrow" w:hAnsi="Arial Narrow"/>
          <w:b w:val="0"/>
          <w:bCs w:val="0"/>
          <w:noProof/>
        </w:rPr>
        <w:t xml:space="preserve"> Crear </w:t>
      </w:r>
      <w:r w:rsidR="00345DBB" w:rsidRPr="00704B08">
        <w:rPr>
          <w:rFonts w:ascii="Arial Narrow" w:hAnsi="Arial Narrow"/>
          <w:b w:val="0"/>
          <w:bCs w:val="0"/>
          <w:noProof/>
        </w:rPr>
        <w:t xml:space="preserve"> y sistematizar mecanismos que permitan llevar un control </w:t>
      </w:r>
      <w:r w:rsidR="00BB381A">
        <w:rPr>
          <w:rFonts w:ascii="Arial Narrow" w:hAnsi="Arial Narrow"/>
          <w:b w:val="0"/>
          <w:bCs w:val="0"/>
          <w:noProof/>
        </w:rPr>
        <w:t xml:space="preserve">para priorizar y </w:t>
      </w:r>
      <w:r w:rsidR="00345DBB" w:rsidRPr="00704B08">
        <w:rPr>
          <w:rFonts w:ascii="Arial Narrow" w:hAnsi="Arial Narrow"/>
          <w:b w:val="0"/>
          <w:bCs w:val="0"/>
          <w:noProof/>
        </w:rPr>
        <w:t xml:space="preserve"> ejecutar el plan de trabajo </w:t>
      </w:r>
      <w:r w:rsidR="00BB381A">
        <w:rPr>
          <w:rFonts w:ascii="Arial Narrow" w:hAnsi="Arial Narrow"/>
          <w:b w:val="0"/>
          <w:bCs w:val="0"/>
          <w:noProof/>
        </w:rPr>
        <w:t xml:space="preserve">de </w:t>
      </w:r>
      <w:r w:rsidR="00345DBB" w:rsidRPr="00704B08">
        <w:rPr>
          <w:rFonts w:ascii="Arial Narrow" w:hAnsi="Arial Narrow"/>
          <w:b w:val="0"/>
          <w:bCs w:val="0"/>
          <w:noProof/>
        </w:rPr>
        <w:t xml:space="preserve">adquisición </w:t>
      </w:r>
      <w:r w:rsidR="00BB381A">
        <w:rPr>
          <w:rFonts w:ascii="Arial Narrow" w:hAnsi="Arial Narrow"/>
          <w:b w:val="0"/>
          <w:bCs w:val="0"/>
          <w:noProof/>
        </w:rPr>
        <w:t>de equipo instrumental en</w:t>
      </w:r>
      <w:r w:rsidR="00345DBB" w:rsidRPr="00704B08">
        <w:rPr>
          <w:rFonts w:ascii="Arial Narrow" w:hAnsi="Arial Narrow"/>
          <w:b w:val="0"/>
          <w:bCs w:val="0"/>
          <w:noProof/>
        </w:rPr>
        <w:t xml:space="preserve"> el Organismo de Inv</w:t>
      </w:r>
      <w:r w:rsidR="00B62D61">
        <w:rPr>
          <w:rFonts w:ascii="Arial Narrow" w:hAnsi="Arial Narrow"/>
          <w:b w:val="0"/>
          <w:bCs w:val="0"/>
          <w:noProof/>
        </w:rPr>
        <w:t>e</w:t>
      </w:r>
      <w:r w:rsidR="00345DBB" w:rsidRPr="00704B08">
        <w:rPr>
          <w:rFonts w:ascii="Arial Narrow" w:hAnsi="Arial Narrow"/>
          <w:b w:val="0"/>
          <w:bCs w:val="0"/>
          <w:noProof/>
        </w:rPr>
        <w:t xml:space="preserve">stigación Judicial. </w:t>
      </w:r>
    </w:p>
    <w:p w14:paraId="7B1916FF" w14:textId="77777777" w:rsidR="003B6457" w:rsidRDefault="003B6457">
      <w:pPr>
        <w:rPr>
          <w:rFonts w:ascii="Arial Narrow" w:hAnsi="Arial Narrow"/>
          <w:b/>
          <w:bCs/>
        </w:rPr>
      </w:pPr>
      <w:r>
        <w:rPr>
          <w:rFonts w:ascii="Arial Narrow" w:hAnsi="Arial Narrow"/>
        </w:rPr>
        <w:br w:type="page"/>
      </w:r>
    </w:p>
    <w:p w14:paraId="028D43E6" w14:textId="561B9467" w:rsidR="00215EF9" w:rsidRDefault="00215EF9" w:rsidP="0087119D">
      <w:pPr>
        <w:pStyle w:val="Descripcin"/>
        <w:jc w:val="center"/>
        <w:rPr>
          <w:rFonts w:ascii="Arial Narrow" w:hAnsi="Arial Narrow"/>
          <w:sz w:val="24"/>
          <w:szCs w:val="24"/>
        </w:rPr>
      </w:pPr>
      <w:bookmarkStart w:id="152" w:name="_Toc84919466"/>
      <w:r w:rsidRPr="00CC279A">
        <w:rPr>
          <w:rFonts w:ascii="Arial Narrow" w:hAnsi="Arial Narrow"/>
          <w:sz w:val="24"/>
          <w:szCs w:val="24"/>
        </w:rPr>
        <w:lastRenderedPageBreak/>
        <w:t xml:space="preserve">Tabla </w:t>
      </w:r>
      <w:r w:rsidRPr="00CC279A">
        <w:rPr>
          <w:rFonts w:ascii="Arial Narrow" w:hAnsi="Arial Narrow"/>
          <w:sz w:val="24"/>
          <w:szCs w:val="24"/>
        </w:rPr>
        <w:fldChar w:fldCharType="begin"/>
      </w:r>
      <w:r w:rsidRPr="00CC279A">
        <w:rPr>
          <w:rFonts w:ascii="Arial Narrow" w:hAnsi="Arial Narrow"/>
          <w:sz w:val="24"/>
          <w:szCs w:val="24"/>
        </w:rPr>
        <w:instrText xml:space="preserve"> SEQ Tabla \* ARABIC </w:instrText>
      </w:r>
      <w:r w:rsidRPr="00CC279A">
        <w:rPr>
          <w:rFonts w:ascii="Arial Narrow" w:hAnsi="Arial Narrow"/>
          <w:sz w:val="24"/>
          <w:szCs w:val="24"/>
        </w:rPr>
        <w:fldChar w:fldCharType="separate"/>
      </w:r>
      <w:r w:rsidRPr="00CC279A">
        <w:rPr>
          <w:rFonts w:ascii="Arial Narrow" w:hAnsi="Arial Narrow"/>
          <w:noProof/>
          <w:sz w:val="24"/>
          <w:szCs w:val="24"/>
        </w:rPr>
        <w:t>8</w:t>
      </w:r>
      <w:r w:rsidRPr="00CC279A">
        <w:rPr>
          <w:rFonts w:ascii="Arial Narrow" w:hAnsi="Arial Narrow"/>
          <w:sz w:val="24"/>
          <w:szCs w:val="24"/>
        </w:rPr>
        <w:fldChar w:fldCharType="end"/>
      </w:r>
      <w:r w:rsidRPr="00CC279A">
        <w:rPr>
          <w:rFonts w:ascii="Arial Narrow" w:hAnsi="Arial Narrow"/>
          <w:sz w:val="24"/>
          <w:szCs w:val="24"/>
        </w:rPr>
        <w:t xml:space="preserve"> Desafíos </w:t>
      </w:r>
      <w:r w:rsidR="0087119D" w:rsidRPr="00CC279A">
        <w:rPr>
          <w:rFonts w:ascii="Arial Narrow" w:hAnsi="Arial Narrow"/>
          <w:sz w:val="24"/>
          <w:szCs w:val="24"/>
        </w:rPr>
        <w:t>acción</w:t>
      </w:r>
      <w:r w:rsidRPr="00CC279A">
        <w:rPr>
          <w:rFonts w:ascii="Arial Narrow" w:hAnsi="Arial Narrow"/>
          <w:sz w:val="24"/>
          <w:szCs w:val="24"/>
        </w:rPr>
        <w:t xml:space="preserve"> </w:t>
      </w:r>
      <w:r w:rsidR="0087119D" w:rsidRPr="00CC279A">
        <w:rPr>
          <w:rFonts w:ascii="Arial Narrow" w:hAnsi="Arial Narrow"/>
          <w:sz w:val="24"/>
          <w:szCs w:val="24"/>
        </w:rPr>
        <w:t>estratégica Desarrollo y optimización de servicios y procesos judiciales</w:t>
      </w:r>
      <w:r w:rsidR="0087119D">
        <w:rPr>
          <w:rFonts w:ascii="Arial Narrow" w:hAnsi="Arial Narrow"/>
          <w:sz w:val="24"/>
          <w:szCs w:val="24"/>
        </w:rPr>
        <w:t xml:space="preserve"> según meta </w:t>
      </w:r>
      <w:r w:rsidR="00696422">
        <w:rPr>
          <w:rFonts w:ascii="Arial Narrow" w:hAnsi="Arial Narrow"/>
          <w:sz w:val="24"/>
          <w:szCs w:val="24"/>
        </w:rPr>
        <w:t>1</w:t>
      </w:r>
      <w:r w:rsidR="0087119D">
        <w:rPr>
          <w:rFonts w:ascii="Arial Narrow" w:hAnsi="Arial Narrow"/>
          <w:sz w:val="24"/>
          <w:szCs w:val="24"/>
        </w:rPr>
        <w:t>.</w:t>
      </w:r>
      <w:bookmarkEnd w:id="152"/>
    </w:p>
    <w:p w14:paraId="29B87510" w14:textId="77777777" w:rsidR="0087119D" w:rsidRPr="00CC279A" w:rsidRDefault="0087119D" w:rsidP="00CC279A">
      <w:pPr>
        <w:rPr>
          <w:b/>
          <w:bCs/>
        </w:rPr>
      </w:pPr>
    </w:p>
    <w:tbl>
      <w:tblPr>
        <w:tblStyle w:val="Tablaconcuadrcula"/>
        <w:tblW w:w="0" w:type="auto"/>
        <w:tblInd w:w="720" w:type="dxa"/>
        <w:tblLook w:val="04A0" w:firstRow="1" w:lastRow="0" w:firstColumn="1" w:lastColumn="0" w:noHBand="0" w:noVBand="1"/>
      </w:tblPr>
      <w:tblGrid>
        <w:gridCol w:w="4240"/>
        <w:gridCol w:w="4243"/>
      </w:tblGrid>
      <w:tr w:rsidR="006F3725" w:rsidRPr="00D01E09" w14:paraId="36DFEB31" w14:textId="77777777" w:rsidTr="00F15081">
        <w:tc>
          <w:tcPr>
            <w:tcW w:w="4601" w:type="dxa"/>
            <w:vAlign w:val="center"/>
          </w:tcPr>
          <w:p w14:paraId="48DAAB22" w14:textId="77777777" w:rsidR="00C801FF" w:rsidRPr="00F15081" w:rsidRDefault="00C801FF" w:rsidP="00CC279A">
            <w:pPr>
              <w:pStyle w:val="Textoindependiente2"/>
              <w:spacing w:line="360" w:lineRule="auto"/>
              <w:jc w:val="center"/>
              <w:rPr>
                <w:rFonts w:ascii="Arial Narrow" w:hAnsi="Arial Narrow"/>
                <w:b w:val="0"/>
                <w:bCs w:val="0"/>
                <w:noProof/>
              </w:rPr>
            </w:pPr>
            <w:r w:rsidRPr="00F15081">
              <w:rPr>
                <w:rFonts w:ascii="Arial Narrow" w:hAnsi="Arial Narrow"/>
                <w:noProof/>
                <w:u w:val="single"/>
              </w:rPr>
              <w:t>Desafíos:</w:t>
            </w:r>
          </w:p>
        </w:tc>
        <w:tc>
          <w:tcPr>
            <w:tcW w:w="4602" w:type="dxa"/>
            <w:vAlign w:val="center"/>
          </w:tcPr>
          <w:p w14:paraId="07E40D4C" w14:textId="77777777" w:rsidR="00C801FF" w:rsidRPr="00CC279A" w:rsidRDefault="00C801FF" w:rsidP="00CC279A">
            <w:pPr>
              <w:pStyle w:val="Textoindependiente2"/>
              <w:spacing w:line="360" w:lineRule="auto"/>
              <w:jc w:val="center"/>
              <w:rPr>
                <w:rFonts w:ascii="Arial Narrow" w:hAnsi="Arial Narrow"/>
                <w:b w:val="0"/>
                <w:bCs w:val="0"/>
                <w:noProof/>
              </w:rPr>
            </w:pPr>
            <w:r w:rsidRPr="00CC279A">
              <w:rPr>
                <w:rFonts w:ascii="Arial Narrow" w:hAnsi="Arial Narrow"/>
                <w:noProof/>
              </w:rPr>
              <w:t>Responsable estratégico</w:t>
            </w:r>
            <w:r w:rsidRPr="00CC279A">
              <w:rPr>
                <w:rFonts w:ascii="Arial Narrow" w:hAnsi="Arial Narrow"/>
                <w:b w:val="0"/>
                <w:bCs w:val="0"/>
                <w:noProof/>
              </w:rPr>
              <w:t>:</w:t>
            </w:r>
          </w:p>
        </w:tc>
      </w:tr>
      <w:tr w:rsidR="006F3725" w:rsidRPr="00D01E09" w14:paraId="6845DA6D" w14:textId="77777777" w:rsidTr="00F15081">
        <w:tc>
          <w:tcPr>
            <w:tcW w:w="4601" w:type="dxa"/>
            <w:vAlign w:val="center"/>
          </w:tcPr>
          <w:p w14:paraId="4AD8B708" w14:textId="7F17129B" w:rsidR="00C801FF" w:rsidRPr="00F15081" w:rsidRDefault="00F15081" w:rsidP="00F15081">
            <w:pPr>
              <w:pStyle w:val="Textoindependiente2"/>
              <w:spacing w:line="360" w:lineRule="auto"/>
              <w:rPr>
                <w:rFonts w:ascii="Arial Narrow" w:hAnsi="Arial Narrow"/>
                <w:b w:val="0"/>
                <w:bCs w:val="0"/>
                <w:noProof/>
              </w:rPr>
            </w:pPr>
            <w:r w:rsidRPr="00F15081">
              <w:rPr>
                <w:rFonts w:ascii="Arial Narrow" w:hAnsi="Arial Narrow"/>
                <w:b w:val="0"/>
                <w:bCs w:val="0"/>
                <w:noProof/>
              </w:rPr>
              <w:t>Crear  y sistematizar mecanismos que permitan llevar un control para priorizar y  ejecutar el plan de trabajo de adquisición de equipo instrumental en el Organismo de Inv</w:t>
            </w:r>
            <w:r w:rsidRPr="009B24F8">
              <w:rPr>
                <w:rFonts w:ascii="Arial Narrow" w:hAnsi="Arial Narrow"/>
                <w:b w:val="0"/>
                <w:bCs w:val="0"/>
                <w:noProof/>
              </w:rPr>
              <w:t>estigación Judicial</w:t>
            </w:r>
            <w:r>
              <w:rPr>
                <w:rFonts w:ascii="Arial Narrow" w:hAnsi="Arial Narrow"/>
                <w:b w:val="0"/>
                <w:bCs w:val="0"/>
                <w:noProof/>
              </w:rPr>
              <w:t xml:space="preserve"> y </w:t>
            </w:r>
            <w:r w:rsidRPr="00D35E26">
              <w:rPr>
                <w:rFonts w:ascii="Arial Narrow" w:hAnsi="Arial Narrow" w:cs="Calibri"/>
                <w:b w:val="0"/>
                <w:bCs w:val="0"/>
                <w:color w:val="000000"/>
                <w:lang w:val="es-CR" w:eastAsia="es-CR"/>
              </w:rPr>
              <w:t>determinar las tareas del 2019 que no lograron ser completadas si deben ser retomadas en los años subsiguientes para cumplir con la meta estratégica.</w:t>
            </w:r>
          </w:p>
        </w:tc>
        <w:tc>
          <w:tcPr>
            <w:tcW w:w="4602" w:type="dxa"/>
            <w:vAlign w:val="center"/>
          </w:tcPr>
          <w:p w14:paraId="76F28F03" w14:textId="1D171EF8" w:rsidR="00C801FF" w:rsidRPr="00CC279A" w:rsidRDefault="00F15081" w:rsidP="00F15081">
            <w:pPr>
              <w:pStyle w:val="Textoindependiente2"/>
              <w:spacing w:line="360" w:lineRule="auto"/>
              <w:rPr>
                <w:rFonts w:ascii="Arial Narrow" w:hAnsi="Arial Narrow"/>
                <w:b w:val="0"/>
                <w:bCs w:val="0"/>
                <w:noProof/>
              </w:rPr>
            </w:pPr>
            <w:r w:rsidRPr="00CC279A">
              <w:rPr>
                <w:rFonts w:ascii="Arial Narrow" w:hAnsi="Arial Narrow"/>
                <w:b w:val="0"/>
                <w:bCs w:val="0"/>
                <w:lang w:val="es-CR" w:eastAsia="es-CR"/>
              </w:rPr>
              <w:t>Organismo de Investigación Judicial</w:t>
            </w:r>
          </w:p>
        </w:tc>
      </w:tr>
    </w:tbl>
    <w:p w14:paraId="4E86BE58" w14:textId="77777777" w:rsidR="00EF3B2B" w:rsidRPr="009D5823" w:rsidRDefault="00EF3B2B" w:rsidP="00704B08">
      <w:pPr>
        <w:spacing w:line="360" w:lineRule="auto"/>
        <w:jc w:val="both"/>
        <w:rPr>
          <w:rFonts w:ascii="Arial Narrow" w:hAnsi="Arial Narrow"/>
          <w:b/>
          <w:bCs/>
          <w:noProof/>
        </w:rPr>
      </w:pPr>
    </w:p>
    <w:p w14:paraId="37F71FB8" w14:textId="38361D55" w:rsidR="002E529A" w:rsidRPr="00704B08" w:rsidRDefault="00345DBB" w:rsidP="00704B08">
      <w:pPr>
        <w:pStyle w:val="Textoindependiente2"/>
        <w:numPr>
          <w:ilvl w:val="0"/>
          <w:numId w:val="100"/>
        </w:numPr>
        <w:spacing w:line="360" w:lineRule="auto"/>
        <w:rPr>
          <w:rFonts w:ascii="Arial Narrow" w:hAnsi="Arial Narrow"/>
          <w:b w:val="0"/>
          <w:bCs w:val="0"/>
          <w:noProof/>
        </w:rPr>
      </w:pPr>
      <w:r w:rsidRPr="00704B08">
        <w:rPr>
          <w:rFonts w:ascii="Arial Narrow" w:hAnsi="Arial Narrow"/>
          <w:noProof/>
        </w:rPr>
        <w:t>Acción</w:t>
      </w:r>
      <w:r w:rsidR="00A008D4">
        <w:rPr>
          <w:rFonts w:ascii="Arial Narrow" w:hAnsi="Arial Narrow"/>
          <w:noProof/>
        </w:rPr>
        <w:t xml:space="preserve"> </w:t>
      </w:r>
      <w:r w:rsidR="00A008D4">
        <w:rPr>
          <w:rFonts w:ascii="Arial Narrow" w:hAnsi="Arial Narrow"/>
          <w:lang w:eastAsia="en-US"/>
        </w:rPr>
        <w:t>estratégica</w:t>
      </w:r>
      <w:r w:rsidRPr="00704B08">
        <w:rPr>
          <w:rFonts w:ascii="Arial Narrow" w:hAnsi="Arial Narrow"/>
          <w:noProof/>
        </w:rPr>
        <w:t>: Servicios Tecnol</w:t>
      </w:r>
      <w:r w:rsidR="00B62D61">
        <w:rPr>
          <w:rFonts w:ascii="Arial Narrow" w:hAnsi="Arial Narrow"/>
          <w:noProof/>
        </w:rPr>
        <w:t>ó</w:t>
      </w:r>
      <w:r w:rsidRPr="00704B08">
        <w:rPr>
          <w:rFonts w:ascii="Arial Narrow" w:hAnsi="Arial Narrow"/>
          <w:noProof/>
        </w:rPr>
        <w:t>gicos</w:t>
      </w:r>
    </w:p>
    <w:p w14:paraId="477541B4" w14:textId="272F1ABB" w:rsidR="00345DBB" w:rsidRPr="00704B08" w:rsidRDefault="00345DBB" w:rsidP="00CC279A">
      <w:pPr>
        <w:pStyle w:val="Textoindependiente2"/>
        <w:numPr>
          <w:ilvl w:val="0"/>
          <w:numId w:val="126"/>
        </w:numPr>
        <w:spacing w:line="360" w:lineRule="auto"/>
        <w:rPr>
          <w:rFonts w:ascii="Arial Narrow" w:hAnsi="Arial Narrow"/>
          <w:b w:val="0"/>
          <w:bCs w:val="0"/>
          <w:lang w:val="es-CR" w:eastAsia="es-CR"/>
        </w:rPr>
      </w:pPr>
      <w:r w:rsidRPr="00704B08">
        <w:rPr>
          <w:rFonts w:ascii="Arial Narrow" w:hAnsi="Arial Narrow"/>
          <w:noProof/>
          <w:u w:val="single"/>
        </w:rPr>
        <w:t>Meta</w:t>
      </w:r>
      <w:r w:rsidR="00BB381A" w:rsidRPr="00704B08">
        <w:rPr>
          <w:rFonts w:ascii="Arial Narrow" w:hAnsi="Arial Narrow"/>
          <w:noProof/>
          <w:u w:val="single"/>
        </w:rPr>
        <w:t xml:space="preserve"> estrategica con cumplimiento </w:t>
      </w:r>
      <w:r w:rsidR="00A008D4" w:rsidRPr="00704B08">
        <w:rPr>
          <w:rFonts w:ascii="Arial Narrow" w:hAnsi="Arial Narrow"/>
          <w:noProof/>
          <w:u w:val="single"/>
        </w:rPr>
        <w:t>media</w:t>
      </w:r>
      <w:r w:rsidRPr="00704B08">
        <w:rPr>
          <w:rFonts w:ascii="Arial Narrow" w:hAnsi="Arial Narrow"/>
          <w:b w:val="0"/>
          <w:bCs w:val="0"/>
          <w:noProof/>
        </w:rPr>
        <w:t xml:space="preserve">: </w:t>
      </w:r>
      <w:r w:rsidR="00BB381A" w:rsidRPr="00704B08">
        <w:rPr>
          <w:rFonts w:ascii="Arial Narrow" w:hAnsi="Arial Narrow"/>
          <w:b w:val="0"/>
          <w:bCs w:val="0"/>
          <w:lang w:val="es-CR" w:eastAsia="es-CR"/>
        </w:rPr>
        <w:t>Que al finalizar el 2024, se haya desarrollado una aplicación móvil para el Servicio Nacional de Facilitadoras y Facilitadores Judiciales, que se integre con el Sistema de Gestión para la recopilación de la información de las acciones realizadas por las personas facilitadoras judiciales y sea una herramienta de autoaprendizaje (cumplimiento de 15.1% del 20% esperado).</w:t>
      </w:r>
    </w:p>
    <w:p w14:paraId="1A4E9944" w14:textId="78C9A8B5" w:rsidR="00345DBB" w:rsidRDefault="00345DBB" w:rsidP="00241EB2">
      <w:pPr>
        <w:pStyle w:val="Prrafodelista"/>
        <w:spacing w:line="360" w:lineRule="auto"/>
        <w:ind w:left="720"/>
        <w:jc w:val="both"/>
        <w:rPr>
          <w:rFonts w:ascii="Arial Narrow" w:hAnsi="Arial Narrow"/>
          <w:noProof/>
        </w:rPr>
      </w:pPr>
    </w:p>
    <w:p w14:paraId="6BAF35D3" w14:textId="0536FC23" w:rsidR="0087119D" w:rsidRPr="00CC279A" w:rsidRDefault="0087119D" w:rsidP="00CC279A">
      <w:pPr>
        <w:pStyle w:val="Descripcin"/>
        <w:jc w:val="center"/>
        <w:rPr>
          <w:rFonts w:ascii="Arial Narrow" w:hAnsi="Arial Narrow"/>
          <w:sz w:val="24"/>
          <w:szCs w:val="24"/>
        </w:rPr>
      </w:pPr>
      <w:bookmarkStart w:id="153" w:name="_Toc84919467"/>
      <w:r w:rsidRPr="00CC279A">
        <w:rPr>
          <w:rFonts w:ascii="Arial Narrow" w:hAnsi="Arial Narrow"/>
          <w:sz w:val="24"/>
          <w:szCs w:val="24"/>
        </w:rPr>
        <w:t xml:space="preserve">Tabla </w:t>
      </w:r>
      <w:r w:rsidRPr="00CC279A">
        <w:rPr>
          <w:rFonts w:ascii="Arial Narrow" w:hAnsi="Arial Narrow"/>
          <w:sz w:val="24"/>
          <w:szCs w:val="24"/>
        </w:rPr>
        <w:fldChar w:fldCharType="begin"/>
      </w:r>
      <w:r w:rsidRPr="00CC279A">
        <w:rPr>
          <w:rFonts w:ascii="Arial Narrow" w:hAnsi="Arial Narrow"/>
          <w:sz w:val="24"/>
          <w:szCs w:val="24"/>
        </w:rPr>
        <w:instrText xml:space="preserve"> SEQ Tabla \* ARABIC </w:instrText>
      </w:r>
      <w:r w:rsidRPr="00CC279A">
        <w:rPr>
          <w:rFonts w:ascii="Arial Narrow" w:hAnsi="Arial Narrow"/>
          <w:sz w:val="24"/>
          <w:szCs w:val="24"/>
        </w:rPr>
        <w:fldChar w:fldCharType="separate"/>
      </w:r>
      <w:r w:rsidRPr="00CC279A">
        <w:rPr>
          <w:rFonts w:ascii="Arial Narrow" w:hAnsi="Arial Narrow"/>
          <w:noProof/>
          <w:sz w:val="24"/>
          <w:szCs w:val="24"/>
        </w:rPr>
        <w:t>9</w:t>
      </w:r>
      <w:r w:rsidRPr="00CC279A">
        <w:rPr>
          <w:rFonts w:ascii="Arial Narrow" w:hAnsi="Arial Narrow"/>
          <w:sz w:val="24"/>
          <w:szCs w:val="24"/>
        </w:rPr>
        <w:fldChar w:fldCharType="end"/>
      </w:r>
      <w:r w:rsidRPr="00CC279A">
        <w:rPr>
          <w:rFonts w:ascii="Arial Narrow" w:hAnsi="Arial Narrow"/>
          <w:sz w:val="24"/>
          <w:szCs w:val="24"/>
        </w:rPr>
        <w:t xml:space="preserve"> Desafíos Acción Estratégica Servicios tecnológicos</w:t>
      </w:r>
      <w:r w:rsidR="00696422">
        <w:rPr>
          <w:rFonts w:ascii="Arial Narrow" w:hAnsi="Arial Narrow"/>
          <w:sz w:val="24"/>
          <w:szCs w:val="24"/>
        </w:rPr>
        <w:t xml:space="preserve"> según meta 1 reportada</w:t>
      </w:r>
      <w:bookmarkEnd w:id="153"/>
    </w:p>
    <w:p w14:paraId="32592ACE" w14:textId="77777777" w:rsidR="0087119D" w:rsidRPr="00CC279A" w:rsidRDefault="0087119D" w:rsidP="00CC279A"/>
    <w:tbl>
      <w:tblPr>
        <w:tblStyle w:val="Tablaconcuadrcula"/>
        <w:tblW w:w="0" w:type="auto"/>
        <w:tblInd w:w="720" w:type="dxa"/>
        <w:tblLook w:val="04A0" w:firstRow="1" w:lastRow="0" w:firstColumn="1" w:lastColumn="0" w:noHBand="0" w:noVBand="1"/>
      </w:tblPr>
      <w:tblGrid>
        <w:gridCol w:w="4236"/>
        <w:gridCol w:w="4247"/>
      </w:tblGrid>
      <w:tr w:rsidR="006F3725" w:rsidRPr="00D01E09" w14:paraId="52BAD9CA" w14:textId="77777777" w:rsidTr="00F15081">
        <w:tc>
          <w:tcPr>
            <w:tcW w:w="4601" w:type="dxa"/>
            <w:vAlign w:val="center"/>
          </w:tcPr>
          <w:p w14:paraId="018AFF52" w14:textId="77777777" w:rsidR="00C801FF" w:rsidRDefault="00C801FF" w:rsidP="00CC279A">
            <w:pPr>
              <w:pStyle w:val="Textoindependiente2"/>
              <w:spacing w:line="360" w:lineRule="auto"/>
              <w:jc w:val="center"/>
              <w:rPr>
                <w:rFonts w:ascii="Arial Narrow" w:hAnsi="Arial Narrow"/>
                <w:b w:val="0"/>
                <w:bCs w:val="0"/>
                <w:noProof/>
              </w:rPr>
            </w:pPr>
            <w:r w:rsidRPr="00E067CE">
              <w:rPr>
                <w:rFonts w:ascii="Arial Narrow" w:hAnsi="Arial Narrow"/>
                <w:noProof/>
                <w:u w:val="single"/>
              </w:rPr>
              <w:t>Desafíos:</w:t>
            </w:r>
          </w:p>
        </w:tc>
        <w:tc>
          <w:tcPr>
            <w:tcW w:w="4602" w:type="dxa"/>
            <w:vAlign w:val="center"/>
          </w:tcPr>
          <w:p w14:paraId="4C718EF5" w14:textId="77777777" w:rsidR="00C801FF" w:rsidRPr="00CC279A" w:rsidRDefault="00C801FF" w:rsidP="00CC279A">
            <w:pPr>
              <w:pStyle w:val="Textoindependiente2"/>
              <w:spacing w:line="360" w:lineRule="auto"/>
              <w:jc w:val="center"/>
              <w:rPr>
                <w:rFonts w:ascii="Arial Narrow" w:hAnsi="Arial Narrow"/>
                <w:b w:val="0"/>
                <w:bCs w:val="0"/>
                <w:noProof/>
              </w:rPr>
            </w:pPr>
            <w:r w:rsidRPr="00CC279A">
              <w:rPr>
                <w:rFonts w:ascii="Arial Narrow" w:hAnsi="Arial Narrow"/>
                <w:noProof/>
              </w:rPr>
              <w:t>Responsable estratégico</w:t>
            </w:r>
            <w:r w:rsidRPr="00CC279A">
              <w:rPr>
                <w:rFonts w:ascii="Arial Narrow" w:hAnsi="Arial Narrow"/>
                <w:b w:val="0"/>
                <w:bCs w:val="0"/>
                <w:noProof/>
              </w:rPr>
              <w:t>:</w:t>
            </w:r>
          </w:p>
        </w:tc>
      </w:tr>
      <w:tr w:rsidR="006F3725" w:rsidRPr="00D01E09" w14:paraId="0EB840E5" w14:textId="77777777" w:rsidTr="00F15081">
        <w:tc>
          <w:tcPr>
            <w:tcW w:w="4601" w:type="dxa"/>
            <w:vAlign w:val="center"/>
          </w:tcPr>
          <w:p w14:paraId="239014FD" w14:textId="42CD2939" w:rsidR="00C801FF" w:rsidRDefault="00F15081" w:rsidP="00F15081">
            <w:pPr>
              <w:pStyle w:val="Textoindependiente2"/>
              <w:spacing w:line="360" w:lineRule="auto"/>
              <w:rPr>
                <w:rFonts w:ascii="Arial Narrow" w:hAnsi="Arial Narrow"/>
                <w:b w:val="0"/>
                <w:bCs w:val="0"/>
                <w:noProof/>
              </w:rPr>
            </w:pPr>
            <w:r w:rsidRPr="00CC279A">
              <w:rPr>
                <w:rFonts w:ascii="Arial Narrow" w:hAnsi="Arial Narrow" w:cs="Calibri"/>
                <w:b w:val="0"/>
                <w:bCs w:val="0"/>
                <w:color w:val="000000"/>
                <w:lang w:val="es-CR" w:eastAsia="es-CR"/>
              </w:rPr>
              <w:t xml:space="preserve">Generar protocolos con posibles actividades tanto presenciales como virtuales para poder cumplir con lo solicitado en la meta estratégica, tomando en cuenta el impacto del COVID-19 y </w:t>
            </w:r>
            <w:r w:rsidRPr="00D35E26">
              <w:rPr>
                <w:rFonts w:ascii="Arial Narrow" w:hAnsi="Arial Narrow" w:cs="Calibri"/>
                <w:b w:val="0"/>
                <w:bCs w:val="0"/>
                <w:color w:val="000000"/>
                <w:lang w:val="es-CR" w:eastAsia="es-CR"/>
              </w:rPr>
              <w:t>determinar las tareas del 2019</w:t>
            </w:r>
            <w:r>
              <w:rPr>
                <w:rFonts w:ascii="Arial Narrow" w:hAnsi="Arial Narrow" w:cs="Calibri"/>
                <w:b w:val="0"/>
                <w:bCs w:val="0"/>
                <w:color w:val="000000"/>
                <w:lang w:val="es-CR" w:eastAsia="es-CR"/>
              </w:rPr>
              <w:t xml:space="preserve"> y 2020</w:t>
            </w:r>
            <w:r w:rsidRPr="00D35E26">
              <w:rPr>
                <w:rFonts w:ascii="Arial Narrow" w:hAnsi="Arial Narrow" w:cs="Calibri"/>
                <w:b w:val="0"/>
                <w:bCs w:val="0"/>
                <w:color w:val="000000"/>
                <w:lang w:val="es-CR" w:eastAsia="es-CR"/>
              </w:rPr>
              <w:t xml:space="preserve"> que no lograron ser completadas si </w:t>
            </w:r>
            <w:r w:rsidRPr="00D35E26">
              <w:rPr>
                <w:rFonts w:ascii="Arial Narrow" w:hAnsi="Arial Narrow" w:cs="Calibri"/>
                <w:b w:val="0"/>
                <w:bCs w:val="0"/>
                <w:color w:val="000000"/>
                <w:lang w:val="es-CR" w:eastAsia="es-CR"/>
              </w:rPr>
              <w:lastRenderedPageBreak/>
              <w:t>deben ser retomadas en los años subsiguientes para cumplir con la meta estratégica.</w:t>
            </w:r>
          </w:p>
        </w:tc>
        <w:tc>
          <w:tcPr>
            <w:tcW w:w="4602" w:type="dxa"/>
            <w:vAlign w:val="center"/>
          </w:tcPr>
          <w:p w14:paraId="6981EA4D" w14:textId="3650599E" w:rsidR="00C801FF" w:rsidRPr="00CC279A" w:rsidRDefault="00F15081" w:rsidP="00F15081">
            <w:pPr>
              <w:pStyle w:val="Textoindependiente2"/>
              <w:spacing w:line="360" w:lineRule="auto"/>
              <w:rPr>
                <w:rFonts w:ascii="Arial Narrow" w:hAnsi="Arial Narrow"/>
                <w:b w:val="0"/>
                <w:bCs w:val="0"/>
                <w:noProof/>
              </w:rPr>
            </w:pPr>
            <w:r w:rsidRPr="00CC279A">
              <w:rPr>
                <w:rFonts w:ascii="Arial Narrow" w:hAnsi="Arial Narrow"/>
                <w:b w:val="0"/>
                <w:bCs w:val="0"/>
                <w:lang w:val="es-CR" w:eastAsia="es-CR"/>
              </w:rPr>
              <w:lastRenderedPageBreak/>
              <w:t>Comisión Nacional para el Mejoramiento de la Administración de Justicia</w:t>
            </w:r>
          </w:p>
        </w:tc>
      </w:tr>
    </w:tbl>
    <w:p w14:paraId="4C658FBC" w14:textId="77777777" w:rsidR="00241EB2" w:rsidRPr="00704B08" w:rsidRDefault="00241EB2" w:rsidP="00704B08">
      <w:pPr>
        <w:pStyle w:val="Textoindependiente2"/>
        <w:spacing w:line="360" w:lineRule="auto"/>
        <w:ind w:left="720"/>
        <w:rPr>
          <w:rFonts w:ascii="Arial Narrow" w:hAnsi="Arial Narrow"/>
          <w:b w:val="0"/>
          <w:bCs w:val="0"/>
          <w:noProof/>
        </w:rPr>
      </w:pPr>
    </w:p>
    <w:p w14:paraId="31A4E052" w14:textId="37817A98" w:rsidR="00345DBB" w:rsidRPr="00704B08" w:rsidRDefault="00BB381A" w:rsidP="00CC279A">
      <w:pPr>
        <w:pStyle w:val="Textoindependiente2"/>
        <w:numPr>
          <w:ilvl w:val="0"/>
          <w:numId w:val="126"/>
        </w:numPr>
        <w:spacing w:line="360" w:lineRule="auto"/>
        <w:rPr>
          <w:rFonts w:ascii="Arial Narrow" w:hAnsi="Arial Narrow"/>
          <w:b w:val="0"/>
          <w:bCs w:val="0"/>
          <w:noProof/>
        </w:rPr>
      </w:pPr>
      <w:r w:rsidRPr="00704B08">
        <w:rPr>
          <w:rFonts w:ascii="Arial Narrow" w:hAnsi="Arial Narrow"/>
          <w:noProof/>
          <w:u w:val="single"/>
        </w:rPr>
        <w:t>Meta estrat</w:t>
      </w:r>
      <w:r w:rsidR="00A008D4">
        <w:rPr>
          <w:rFonts w:ascii="Arial Narrow" w:hAnsi="Arial Narrow"/>
          <w:noProof/>
          <w:u w:val="single"/>
        </w:rPr>
        <w:t>é</w:t>
      </w:r>
      <w:r w:rsidRPr="00704B08">
        <w:rPr>
          <w:rFonts w:ascii="Arial Narrow" w:hAnsi="Arial Narrow"/>
          <w:noProof/>
          <w:u w:val="single"/>
        </w:rPr>
        <w:t xml:space="preserve">gica con cumplimiento </w:t>
      </w:r>
      <w:r w:rsidR="00A008D4">
        <w:rPr>
          <w:rFonts w:ascii="Arial Narrow" w:hAnsi="Arial Narrow"/>
          <w:noProof/>
          <w:u w:val="single"/>
        </w:rPr>
        <w:t>medio</w:t>
      </w:r>
      <w:r w:rsidR="00345DBB" w:rsidRPr="00704B08">
        <w:rPr>
          <w:rFonts w:ascii="Arial Narrow" w:hAnsi="Arial Narrow"/>
          <w:lang w:val="es-CR" w:eastAsia="es-CR"/>
        </w:rPr>
        <w:t>:</w:t>
      </w:r>
      <w:r w:rsidR="00345DBB" w:rsidRPr="00704B08">
        <w:rPr>
          <w:rFonts w:ascii="Arial Narrow" w:hAnsi="Arial Narrow"/>
          <w:b w:val="0"/>
          <w:bCs w:val="0"/>
          <w:lang w:val="es-CR" w:eastAsia="es-CR"/>
        </w:rPr>
        <w:t xml:space="preserve"> Que al finalizar el 2024, se haya ejecutado la estrategia definida que permita contar con sistemas de información innovadores</w:t>
      </w:r>
      <w:r w:rsidR="0018450B" w:rsidRPr="00704B08">
        <w:rPr>
          <w:rFonts w:ascii="Arial Narrow" w:hAnsi="Arial Narrow"/>
          <w:b w:val="0"/>
          <w:bCs w:val="0"/>
          <w:lang w:val="es-CR" w:eastAsia="es-CR"/>
        </w:rPr>
        <w:t>.</w:t>
      </w:r>
    </w:p>
    <w:p w14:paraId="5990B1B5" w14:textId="77777777" w:rsidR="00EF3B2B" w:rsidRDefault="00EF3B2B">
      <w:pPr>
        <w:pStyle w:val="Textoindependiente2"/>
        <w:spacing w:line="360" w:lineRule="auto"/>
        <w:ind w:left="720"/>
        <w:rPr>
          <w:rFonts w:ascii="Arial Narrow" w:hAnsi="Arial Narrow"/>
          <w:u w:val="single"/>
          <w:lang w:val="es-CR" w:eastAsia="es-CR"/>
        </w:rPr>
      </w:pPr>
    </w:p>
    <w:p w14:paraId="7B6CCDE4" w14:textId="48B9641D" w:rsidR="002E529A" w:rsidRDefault="002E529A">
      <w:pPr>
        <w:pStyle w:val="Textoindependiente2"/>
        <w:spacing w:line="360" w:lineRule="auto"/>
        <w:ind w:left="720"/>
        <w:rPr>
          <w:rFonts w:ascii="Arial Narrow" w:hAnsi="Arial Narrow"/>
          <w:b w:val="0"/>
          <w:bCs w:val="0"/>
          <w:lang w:val="es-CR" w:eastAsia="es-CR"/>
        </w:rPr>
      </w:pPr>
    </w:p>
    <w:p w14:paraId="60DDBA07" w14:textId="6CA437A3" w:rsidR="0087119D" w:rsidRPr="00F72B7A" w:rsidRDefault="00696422" w:rsidP="00CC279A">
      <w:pPr>
        <w:pStyle w:val="Descripcin"/>
        <w:jc w:val="center"/>
        <w:rPr>
          <w:rFonts w:ascii="Arial Narrow" w:hAnsi="Arial Narrow"/>
          <w:b w:val="0"/>
          <w:bCs w:val="0"/>
          <w:lang w:val="es-CR" w:eastAsia="es-CR"/>
        </w:rPr>
      </w:pPr>
      <w:bookmarkStart w:id="154" w:name="_Toc84919468"/>
      <w:r w:rsidRPr="00CC279A">
        <w:rPr>
          <w:rFonts w:ascii="Arial Narrow" w:hAnsi="Arial Narrow"/>
          <w:sz w:val="24"/>
          <w:szCs w:val="24"/>
        </w:rPr>
        <w:t xml:space="preserve">Tabla </w:t>
      </w:r>
      <w:r w:rsidRPr="00CC279A">
        <w:rPr>
          <w:rFonts w:ascii="Arial Narrow" w:hAnsi="Arial Narrow"/>
          <w:sz w:val="24"/>
          <w:szCs w:val="24"/>
        </w:rPr>
        <w:fldChar w:fldCharType="begin"/>
      </w:r>
      <w:r w:rsidRPr="00CC279A">
        <w:rPr>
          <w:rFonts w:ascii="Arial Narrow" w:hAnsi="Arial Narrow"/>
          <w:sz w:val="24"/>
          <w:szCs w:val="24"/>
        </w:rPr>
        <w:instrText xml:space="preserve"> SEQ Tabla \* ARABIC </w:instrText>
      </w:r>
      <w:r w:rsidRPr="00CC279A">
        <w:rPr>
          <w:rFonts w:ascii="Arial Narrow" w:hAnsi="Arial Narrow"/>
          <w:sz w:val="24"/>
          <w:szCs w:val="24"/>
        </w:rPr>
        <w:fldChar w:fldCharType="separate"/>
      </w:r>
      <w:r w:rsidRPr="00CC279A">
        <w:rPr>
          <w:rFonts w:ascii="Arial Narrow" w:hAnsi="Arial Narrow"/>
          <w:noProof/>
          <w:sz w:val="24"/>
          <w:szCs w:val="24"/>
        </w:rPr>
        <w:t>10</w:t>
      </w:r>
      <w:r w:rsidRPr="00CC279A">
        <w:rPr>
          <w:rFonts w:ascii="Arial Narrow" w:hAnsi="Arial Narrow"/>
          <w:sz w:val="24"/>
          <w:szCs w:val="24"/>
        </w:rPr>
        <w:fldChar w:fldCharType="end"/>
      </w:r>
      <w:r w:rsidRPr="00CC279A">
        <w:rPr>
          <w:rFonts w:ascii="Arial Narrow" w:hAnsi="Arial Narrow"/>
          <w:sz w:val="24"/>
          <w:szCs w:val="24"/>
        </w:rPr>
        <w:t xml:space="preserve"> Desafíos </w:t>
      </w:r>
      <w:r w:rsidRPr="00696422">
        <w:rPr>
          <w:rFonts w:ascii="Arial Narrow" w:hAnsi="Arial Narrow"/>
          <w:sz w:val="24"/>
          <w:szCs w:val="24"/>
        </w:rPr>
        <w:t>Acción</w:t>
      </w:r>
      <w:r w:rsidRPr="00CC279A">
        <w:rPr>
          <w:rFonts w:ascii="Arial Narrow" w:hAnsi="Arial Narrow"/>
          <w:sz w:val="24"/>
          <w:szCs w:val="24"/>
        </w:rPr>
        <w:t xml:space="preserve"> Estratégica Servicios tecnológicos según meta 2 reportada</w:t>
      </w:r>
      <w:bookmarkEnd w:id="154"/>
    </w:p>
    <w:p w14:paraId="0798038D" w14:textId="77777777" w:rsidR="0087119D" w:rsidRPr="009D5823" w:rsidRDefault="0087119D">
      <w:pPr>
        <w:pStyle w:val="Textoindependiente2"/>
        <w:spacing w:line="360" w:lineRule="auto"/>
        <w:ind w:left="720"/>
        <w:rPr>
          <w:rFonts w:ascii="Arial Narrow" w:hAnsi="Arial Narrow"/>
          <w:b w:val="0"/>
          <w:bCs w:val="0"/>
          <w:lang w:val="es-CR" w:eastAsia="es-CR"/>
        </w:rPr>
      </w:pPr>
    </w:p>
    <w:tbl>
      <w:tblPr>
        <w:tblStyle w:val="Tablaconcuadrcula"/>
        <w:tblW w:w="0" w:type="auto"/>
        <w:tblInd w:w="720" w:type="dxa"/>
        <w:tblLook w:val="04A0" w:firstRow="1" w:lastRow="0" w:firstColumn="1" w:lastColumn="0" w:noHBand="0" w:noVBand="1"/>
      </w:tblPr>
      <w:tblGrid>
        <w:gridCol w:w="4240"/>
        <w:gridCol w:w="4243"/>
      </w:tblGrid>
      <w:tr w:rsidR="006F3725" w:rsidRPr="00D01E09" w14:paraId="306F4ED5" w14:textId="77777777" w:rsidTr="00F15081">
        <w:tc>
          <w:tcPr>
            <w:tcW w:w="4601" w:type="dxa"/>
            <w:vAlign w:val="center"/>
          </w:tcPr>
          <w:p w14:paraId="62FA07F8" w14:textId="77777777" w:rsidR="00C801FF" w:rsidRPr="00F15081" w:rsidRDefault="00C801FF" w:rsidP="00CC279A">
            <w:pPr>
              <w:pStyle w:val="Textoindependiente2"/>
              <w:spacing w:line="360" w:lineRule="auto"/>
              <w:jc w:val="center"/>
              <w:rPr>
                <w:rFonts w:ascii="Arial Narrow" w:hAnsi="Arial Narrow"/>
                <w:b w:val="0"/>
                <w:bCs w:val="0"/>
                <w:noProof/>
              </w:rPr>
            </w:pPr>
            <w:r w:rsidRPr="00F15081">
              <w:rPr>
                <w:rFonts w:ascii="Arial Narrow" w:hAnsi="Arial Narrow"/>
                <w:noProof/>
                <w:u w:val="single"/>
              </w:rPr>
              <w:t>Desafíos:</w:t>
            </w:r>
          </w:p>
        </w:tc>
        <w:tc>
          <w:tcPr>
            <w:tcW w:w="4602" w:type="dxa"/>
            <w:vAlign w:val="center"/>
          </w:tcPr>
          <w:p w14:paraId="2D109454" w14:textId="77777777" w:rsidR="00C801FF" w:rsidRPr="00CC279A" w:rsidRDefault="00C801FF" w:rsidP="00CC279A">
            <w:pPr>
              <w:pStyle w:val="Textoindependiente2"/>
              <w:spacing w:line="360" w:lineRule="auto"/>
              <w:jc w:val="center"/>
              <w:rPr>
                <w:rFonts w:ascii="Arial Narrow" w:hAnsi="Arial Narrow"/>
                <w:b w:val="0"/>
                <w:bCs w:val="0"/>
                <w:noProof/>
              </w:rPr>
            </w:pPr>
            <w:r w:rsidRPr="00CC279A">
              <w:rPr>
                <w:rFonts w:ascii="Arial Narrow" w:hAnsi="Arial Narrow"/>
                <w:noProof/>
              </w:rPr>
              <w:t>Responsable estratégico</w:t>
            </w:r>
            <w:r w:rsidRPr="00CC279A">
              <w:rPr>
                <w:rFonts w:ascii="Arial Narrow" w:hAnsi="Arial Narrow"/>
                <w:b w:val="0"/>
                <w:bCs w:val="0"/>
                <w:noProof/>
              </w:rPr>
              <w:t>:</w:t>
            </w:r>
          </w:p>
        </w:tc>
      </w:tr>
      <w:tr w:rsidR="006F3725" w:rsidRPr="00D01E09" w14:paraId="03E7FA85" w14:textId="77777777" w:rsidTr="00F15081">
        <w:tc>
          <w:tcPr>
            <w:tcW w:w="4601" w:type="dxa"/>
            <w:vAlign w:val="center"/>
          </w:tcPr>
          <w:p w14:paraId="447A01A7" w14:textId="51A64E79" w:rsidR="00C801FF" w:rsidRPr="00F15081" w:rsidRDefault="00F15081" w:rsidP="00F15081">
            <w:pPr>
              <w:pStyle w:val="Textoindependiente2"/>
              <w:spacing w:line="360" w:lineRule="auto"/>
              <w:rPr>
                <w:rFonts w:ascii="Arial Narrow" w:hAnsi="Arial Narrow"/>
                <w:b w:val="0"/>
                <w:bCs w:val="0"/>
                <w:noProof/>
              </w:rPr>
            </w:pPr>
            <w:r w:rsidRPr="00F15081">
              <w:rPr>
                <w:rFonts w:ascii="Arial Narrow" w:hAnsi="Arial Narrow"/>
                <w:b w:val="0"/>
                <w:bCs w:val="0"/>
                <w:lang w:val="es-CR" w:eastAsia="es-CR"/>
              </w:rPr>
              <w:t xml:space="preserve">Continuar desarrollando sistemas de información innovadores que facilite el acceso, </w:t>
            </w:r>
            <w:r w:rsidRPr="009B24F8">
              <w:rPr>
                <w:rFonts w:ascii="Arial Narrow" w:hAnsi="Arial Narrow"/>
                <w:b w:val="0"/>
                <w:bCs w:val="0"/>
                <w:lang w:val="es-CR" w:eastAsia="es-CR"/>
              </w:rPr>
              <w:t>tanto al Organismo de Investigación Judicial, en las secciones de Transporte y Oficina de Depósito de Objetos, entre otras</w:t>
            </w:r>
            <w:r w:rsidRPr="0053265A">
              <w:rPr>
                <w:rFonts w:ascii="Arial Narrow" w:hAnsi="Arial Narrow"/>
                <w:b w:val="0"/>
                <w:bCs w:val="0"/>
                <w:lang w:val="es-CR" w:eastAsia="es-CR"/>
              </w:rPr>
              <w:t xml:space="preserve">, con el fin de servir tanto </w:t>
            </w:r>
            <w:r w:rsidRPr="00DF1162">
              <w:rPr>
                <w:rFonts w:ascii="Arial Narrow" w:hAnsi="Arial Narrow"/>
                <w:b w:val="0"/>
                <w:bCs w:val="0"/>
                <w:lang w:val="es-CR" w:eastAsia="es-CR"/>
              </w:rPr>
              <w:t xml:space="preserve">a los usuarios internos como </w:t>
            </w:r>
            <w:r w:rsidRPr="0038143C">
              <w:rPr>
                <w:rFonts w:ascii="Arial Narrow" w:hAnsi="Arial Narrow"/>
                <w:b w:val="0"/>
                <w:bCs w:val="0"/>
                <w:lang w:val="es-CR" w:eastAsia="es-CR"/>
              </w:rPr>
              <w:t>externos</w:t>
            </w:r>
            <w:r>
              <w:rPr>
                <w:rFonts w:ascii="Arial Narrow" w:hAnsi="Arial Narrow"/>
                <w:b w:val="0"/>
                <w:bCs w:val="0"/>
                <w:lang w:val="es-CR" w:eastAsia="es-CR"/>
              </w:rPr>
              <w:t xml:space="preserve">, </w:t>
            </w:r>
            <w:r>
              <w:rPr>
                <w:rFonts w:ascii="Arial Narrow" w:hAnsi="Arial Narrow"/>
                <w:b w:val="0"/>
                <w:bCs w:val="0"/>
                <w:noProof/>
              </w:rPr>
              <w:t xml:space="preserve">y </w:t>
            </w:r>
            <w:r w:rsidRPr="00D35E26">
              <w:rPr>
                <w:rFonts w:ascii="Arial Narrow" w:hAnsi="Arial Narrow" w:cs="Calibri"/>
                <w:b w:val="0"/>
                <w:bCs w:val="0"/>
                <w:color w:val="000000"/>
                <w:lang w:val="es-CR" w:eastAsia="es-CR"/>
              </w:rPr>
              <w:t>determinar las tareas del 2019</w:t>
            </w:r>
            <w:r>
              <w:rPr>
                <w:rFonts w:ascii="Arial Narrow" w:hAnsi="Arial Narrow" w:cs="Calibri"/>
                <w:b w:val="0"/>
                <w:bCs w:val="0"/>
                <w:color w:val="000000"/>
                <w:lang w:val="es-CR" w:eastAsia="es-CR"/>
              </w:rPr>
              <w:t xml:space="preserve"> </w:t>
            </w:r>
            <w:r w:rsidRPr="00D35E26">
              <w:rPr>
                <w:rFonts w:ascii="Arial Narrow" w:hAnsi="Arial Narrow" w:cs="Calibri"/>
                <w:b w:val="0"/>
                <w:bCs w:val="0"/>
                <w:color w:val="000000"/>
                <w:lang w:val="es-CR" w:eastAsia="es-CR"/>
              </w:rPr>
              <w:t>que no lograron ser completadas si deben ser retomadas en los años subsiguientes para cumplir con la meta estratégica.</w:t>
            </w:r>
          </w:p>
        </w:tc>
        <w:tc>
          <w:tcPr>
            <w:tcW w:w="4602" w:type="dxa"/>
            <w:vAlign w:val="center"/>
          </w:tcPr>
          <w:p w14:paraId="179E4CF2" w14:textId="6375EBF2" w:rsidR="00C801FF" w:rsidRPr="00CC279A" w:rsidRDefault="00F15081" w:rsidP="00CC279A">
            <w:pPr>
              <w:pStyle w:val="Textoindependiente2"/>
              <w:spacing w:line="360" w:lineRule="auto"/>
              <w:jc w:val="center"/>
              <w:rPr>
                <w:rFonts w:ascii="Arial Narrow" w:hAnsi="Arial Narrow"/>
                <w:b w:val="0"/>
                <w:bCs w:val="0"/>
                <w:noProof/>
              </w:rPr>
            </w:pPr>
            <w:r w:rsidRPr="00F15081">
              <w:rPr>
                <w:rFonts w:ascii="Arial Narrow" w:hAnsi="Arial Narrow"/>
                <w:b w:val="0"/>
                <w:bCs w:val="0"/>
                <w:lang w:val="es-CR" w:eastAsia="es-CR"/>
              </w:rPr>
              <w:t>Organismo de Investigación Judicial</w:t>
            </w:r>
          </w:p>
        </w:tc>
      </w:tr>
    </w:tbl>
    <w:p w14:paraId="2C17C3E5" w14:textId="77777777" w:rsidR="00F0386C" w:rsidRDefault="00F0386C">
      <w:pPr>
        <w:spacing w:line="360" w:lineRule="auto"/>
        <w:jc w:val="both"/>
        <w:rPr>
          <w:rFonts w:ascii="Arial Narrow" w:hAnsi="Arial Narrow"/>
          <w:b/>
          <w:bCs/>
          <w:lang w:eastAsia="en-US"/>
        </w:rPr>
      </w:pPr>
    </w:p>
    <w:p w14:paraId="5CDBDABE" w14:textId="7408D841" w:rsidR="00E608F6" w:rsidRPr="00704B08" w:rsidRDefault="0016243D" w:rsidP="00704B08">
      <w:pPr>
        <w:pStyle w:val="Ttulo3"/>
        <w:numPr>
          <w:ilvl w:val="1"/>
          <w:numId w:val="105"/>
        </w:numPr>
        <w:rPr>
          <w:rFonts w:ascii="Arial Narrow" w:hAnsi="Arial Narrow"/>
          <w:b w:val="0"/>
          <w:bCs w:val="0"/>
        </w:rPr>
      </w:pPr>
      <w:bookmarkStart w:id="155" w:name="_Toc84919362"/>
      <w:r w:rsidRPr="00704B08">
        <w:rPr>
          <w:rFonts w:ascii="Arial Narrow" w:hAnsi="Arial Narrow"/>
        </w:rPr>
        <w:t xml:space="preserve">Tema estratégico: </w:t>
      </w:r>
      <w:r w:rsidR="00F0386C" w:rsidRPr="00704B08">
        <w:rPr>
          <w:rFonts w:ascii="Arial Narrow" w:hAnsi="Arial Narrow"/>
        </w:rPr>
        <w:t>Gestión</w:t>
      </w:r>
      <w:r w:rsidRPr="00704B08">
        <w:rPr>
          <w:rFonts w:ascii="Arial Narrow" w:hAnsi="Arial Narrow"/>
        </w:rPr>
        <w:t xml:space="preserve"> del Personal</w:t>
      </w:r>
      <w:bookmarkEnd w:id="155"/>
    </w:p>
    <w:p w14:paraId="125D373E" w14:textId="77777777" w:rsidR="008317B1" w:rsidRPr="009D5823" w:rsidRDefault="008317B1">
      <w:pPr>
        <w:spacing w:line="360" w:lineRule="auto"/>
        <w:jc w:val="both"/>
        <w:rPr>
          <w:rFonts w:ascii="Arial Narrow" w:hAnsi="Arial Narrow"/>
          <w:b/>
          <w:bCs/>
          <w:lang w:val="es-CR" w:eastAsia="es-CR"/>
        </w:rPr>
      </w:pPr>
    </w:p>
    <w:p w14:paraId="479BA011" w14:textId="61E464A4" w:rsidR="00F0386C" w:rsidRPr="002E0B96" w:rsidRDefault="00A008D4" w:rsidP="00F0386C">
      <w:pPr>
        <w:pStyle w:val="Textoindependiente2"/>
        <w:numPr>
          <w:ilvl w:val="0"/>
          <w:numId w:val="100"/>
        </w:numPr>
        <w:spacing w:line="360" w:lineRule="auto"/>
        <w:rPr>
          <w:rFonts w:ascii="Arial Narrow" w:hAnsi="Arial Narrow"/>
          <w:lang w:eastAsia="en-US"/>
        </w:rPr>
      </w:pPr>
      <w:r>
        <w:rPr>
          <w:rFonts w:ascii="Arial Narrow" w:hAnsi="Arial Narrow"/>
          <w:lang w:eastAsia="en-US"/>
        </w:rPr>
        <w:t>Acción estratégica</w:t>
      </w:r>
      <w:r w:rsidR="00F0386C" w:rsidRPr="002E0B96">
        <w:rPr>
          <w:rFonts w:ascii="Arial Narrow" w:hAnsi="Arial Narrow"/>
          <w:u w:val="single"/>
          <w:lang w:eastAsia="en-US"/>
        </w:rPr>
        <w:t>:</w:t>
      </w:r>
      <w:r w:rsidR="00F0386C" w:rsidRPr="002E0B96">
        <w:rPr>
          <w:rFonts w:ascii="Arial Narrow" w:hAnsi="Arial Narrow"/>
          <w:lang w:eastAsia="en-US"/>
        </w:rPr>
        <w:t xml:space="preserve"> </w:t>
      </w:r>
      <w:r w:rsidR="00F0386C">
        <w:rPr>
          <w:rFonts w:ascii="Arial Narrow" w:hAnsi="Arial Narrow"/>
          <w:lang w:eastAsia="en-US"/>
        </w:rPr>
        <w:t>Capacitación</w:t>
      </w:r>
      <w:r w:rsidR="00F0386C" w:rsidRPr="002E0B96">
        <w:rPr>
          <w:rFonts w:ascii="Arial Narrow" w:hAnsi="Arial Narrow"/>
          <w:lang w:eastAsia="en-US"/>
        </w:rPr>
        <w:t xml:space="preserve"> </w:t>
      </w:r>
    </w:p>
    <w:p w14:paraId="38588019" w14:textId="5D280A0F" w:rsidR="00F0386C" w:rsidRPr="002E0B96" w:rsidRDefault="00A008D4" w:rsidP="00CC279A">
      <w:pPr>
        <w:pStyle w:val="Textoindependiente2"/>
        <w:numPr>
          <w:ilvl w:val="0"/>
          <w:numId w:val="127"/>
        </w:numPr>
        <w:spacing w:line="360" w:lineRule="auto"/>
        <w:rPr>
          <w:rFonts w:ascii="Arial Narrow" w:hAnsi="Arial Narrow"/>
          <w:b w:val="0"/>
          <w:bCs w:val="0"/>
          <w:noProof/>
        </w:rPr>
      </w:pPr>
      <w:r w:rsidRPr="00F85A5C">
        <w:rPr>
          <w:rFonts w:ascii="Arial Narrow" w:hAnsi="Arial Narrow"/>
          <w:noProof/>
          <w:u w:val="single"/>
        </w:rPr>
        <w:t>Meta estrat</w:t>
      </w:r>
      <w:r>
        <w:rPr>
          <w:rFonts w:ascii="Arial Narrow" w:hAnsi="Arial Narrow"/>
          <w:noProof/>
          <w:u w:val="single"/>
        </w:rPr>
        <w:t>é</w:t>
      </w:r>
      <w:r w:rsidRPr="00F85A5C">
        <w:rPr>
          <w:rFonts w:ascii="Arial Narrow" w:hAnsi="Arial Narrow"/>
          <w:noProof/>
          <w:u w:val="single"/>
        </w:rPr>
        <w:t xml:space="preserve">gica con cumplimiento </w:t>
      </w:r>
      <w:r>
        <w:rPr>
          <w:rFonts w:ascii="Arial Narrow" w:hAnsi="Arial Narrow"/>
          <w:noProof/>
          <w:u w:val="single"/>
        </w:rPr>
        <w:t>medio</w:t>
      </w:r>
      <w:r w:rsidR="00F0386C" w:rsidRPr="002E0B96">
        <w:rPr>
          <w:rFonts w:ascii="Arial Narrow" w:hAnsi="Arial Narrow"/>
          <w:u w:val="single"/>
          <w:lang w:eastAsia="en-US"/>
        </w:rPr>
        <w:t>:</w:t>
      </w:r>
      <w:r w:rsidR="00F0386C" w:rsidRPr="002E0B96">
        <w:rPr>
          <w:rFonts w:ascii="Arial Narrow" w:hAnsi="Arial Narrow"/>
          <w:lang w:eastAsia="en-US"/>
        </w:rPr>
        <w:t xml:space="preserve"> </w:t>
      </w:r>
      <w:r w:rsidR="00983CC9" w:rsidRPr="00983CC9">
        <w:rPr>
          <w:rFonts w:ascii="Arial Narrow" w:hAnsi="Arial Narrow"/>
          <w:b w:val="0"/>
          <w:bCs w:val="0"/>
          <w:noProof/>
        </w:rPr>
        <w:t>Que al finalizar el 2024, se haya implementado la estrategia de capacitación y actualización para el personal de la Oficina de Atención a la Víctima de Delitos y la Unidad de Protección de Víctimas y Testigos en temas afines</w:t>
      </w:r>
      <w:r w:rsidR="00983CC9">
        <w:rPr>
          <w:rFonts w:ascii="Arial Narrow" w:hAnsi="Arial Narrow"/>
          <w:b w:val="0"/>
          <w:bCs w:val="0"/>
          <w:noProof/>
        </w:rPr>
        <w:t xml:space="preserve"> (cumplimiento de 13% del 20% esperado).</w:t>
      </w:r>
    </w:p>
    <w:p w14:paraId="42AF7C5D" w14:textId="77777777" w:rsidR="00EF3B2B" w:rsidRDefault="00EF3B2B" w:rsidP="00F0386C">
      <w:pPr>
        <w:pStyle w:val="Textoindependiente2"/>
        <w:spacing w:line="360" w:lineRule="auto"/>
        <w:ind w:left="720"/>
        <w:rPr>
          <w:rFonts w:ascii="Arial Narrow" w:hAnsi="Arial Narrow"/>
          <w:noProof/>
          <w:u w:val="single"/>
        </w:rPr>
      </w:pPr>
    </w:p>
    <w:p w14:paraId="36370358" w14:textId="65671271" w:rsidR="00F0386C" w:rsidRDefault="00F0386C" w:rsidP="00F0386C">
      <w:pPr>
        <w:pStyle w:val="Textoindependiente2"/>
        <w:spacing w:line="360" w:lineRule="auto"/>
        <w:ind w:left="720"/>
        <w:rPr>
          <w:rFonts w:ascii="Arial Narrow" w:hAnsi="Arial Narrow" w:cs="Calibri"/>
          <w:b w:val="0"/>
          <w:bCs w:val="0"/>
          <w:color w:val="000000"/>
          <w:lang w:val="es-CR" w:eastAsia="es-CR"/>
        </w:rPr>
      </w:pPr>
    </w:p>
    <w:p w14:paraId="3C7E5777" w14:textId="04FA33EB" w:rsidR="00696422" w:rsidRPr="00CC279A" w:rsidRDefault="00696422" w:rsidP="00696422">
      <w:pPr>
        <w:pStyle w:val="Descripcin"/>
        <w:jc w:val="center"/>
        <w:rPr>
          <w:rFonts w:ascii="Arial Narrow" w:hAnsi="Arial Narrow"/>
          <w:sz w:val="24"/>
          <w:szCs w:val="24"/>
        </w:rPr>
      </w:pPr>
      <w:bookmarkStart w:id="156" w:name="_Toc84919469"/>
      <w:r w:rsidRPr="00CC279A">
        <w:rPr>
          <w:rFonts w:ascii="Arial Narrow" w:hAnsi="Arial Narrow"/>
          <w:sz w:val="24"/>
          <w:szCs w:val="24"/>
        </w:rPr>
        <w:t xml:space="preserve">Tabla </w:t>
      </w:r>
      <w:r w:rsidRPr="00CC279A">
        <w:rPr>
          <w:rFonts w:ascii="Arial Narrow" w:hAnsi="Arial Narrow"/>
          <w:sz w:val="24"/>
          <w:szCs w:val="24"/>
        </w:rPr>
        <w:fldChar w:fldCharType="begin"/>
      </w:r>
      <w:r w:rsidRPr="00CC279A">
        <w:rPr>
          <w:rFonts w:ascii="Arial Narrow" w:hAnsi="Arial Narrow"/>
          <w:sz w:val="24"/>
          <w:szCs w:val="24"/>
        </w:rPr>
        <w:instrText xml:space="preserve"> SEQ Tabla \* ARABIC </w:instrText>
      </w:r>
      <w:r w:rsidRPr="00CC279A">
        <w:rPr>
          <w:rFonts w:ascii="Arial Narrow" w:hAnsi="Arial Narrow"/>
          <w:sz w:val="24"/>
          <w:szCs w:val="24"/>
        </w:rPr>
        <w:fldChar w:fldCharType="separate"/>
      </w:r>
      <w:r w:rsidRPr="00CC279A">
        <w:rPr>
          <w:rFonts w:ascii="Arial Narrow" w:hAnsi="Arial Narrow"/>
          <w:sz w:val="24"/>
          <w:szCs w:val="24"/>
        </w:rPr>
        <w:t>11</w:t>
      </w:r>
      <w:r w:rsidRPr="00CC279A">
        <w:rPr>
          <w:rFonts w:ascii="Arial Narrow" w:hAnsi="Arial Narrow"/>
          <w:sz w:val="24"/>
          <w:szCs w:val="24"/>
        </w:rPr>
        <w:fldChar w:fldCharType="end"/>
      </w:r>
      <w:r w:rsidRPr="00CC279A">
        <w:rPr>
          <w:rFonts w:ascii="Arial Narrow" w:hAnsi="Arial Narrow"/>
          <w:sz w:val="24"/>
          <w:szCs w:val="24"/>
        </w:rPr>
        <w:t xml:space="preserve"> </w:t>
      </w:r>
      <w:bookmarkStart w:id="157" w:name="_Hlk83059838"/>
      <w:r w:rsidRPr="00696422">
        <w:rPr>
          <w:rFonts w:ascii="Arial Narrow" w:hAnsi="Arial Narrow"/>
          <w:sz w:val="24"/>
          <w:szCs w:val="24"/>
        </w:rPr>
        <w:t>Desafío</w:t>
      </w:r>
      <w:r w:rsidRPr="00CC279A">
        <w:rPr>
          <w:rFonts w:ascii="Arial Narrow" w:hAnsi="Arial Narrow"/>
          <w:sz w:val="24"/>
          <w:szCs w:val="24"/>
        </w:rPr>
        <w:t xml:space="preserve"> </w:t>
      </w:r>
      <w:r w:rsidRPr="00696422">
        <w:rPr>
          <w:rFonts w:ascii="Arial Narrow" w:hAnsi="Arial Narrow"/>
          <w:sz w:val="24"/>
          <w:szCs w:val="24"/>
        </w:rPr>
        <w:t>Acción</w:t>
      </w:r>
      <w:r w:rsidRPr="00444856">
        <w:rPr>
          <w:rFonts w:ascii="Arial Narrow" w:hAnsi="Arial Narrow"/>
          <w:sz w:val="24"/>
          <w:szCs w:val="24"/>
        </w:rPr>
        <w:t xml:space="preserve"> Estratégica </w:t>
      </w:r>
      <w:r w:rsidRPr="00CC279A">
        <w:rPr>
          <w:rFonts w:ascii="Arial Narrow" w:hAnsi="Arial Narrow"/>
          <w:sz w:val="24"/>
          <w:szCs w:val="24"/>
        </w:rPr>
        <w:t xml:space="preserve">Capacitación </w:t>
      </w:r>
      <w:r w:rsidRPr="00444856">
        <w:rPr>
          <w:rFonts w:ascii="Arial Narrow" w:hAnsi="Arial Narrow"/>
          <w:sz w:val="24"/>
          <w:szCs w:val="24"/>
        </w:rPr>
        <w:t xml:space="preserve">según meta </w:t>
      </w:r>
      <w:r>
        <w:rPr>
          <w:rFonts w:ascii="Arial Narrow" w:hAnsi="Arial Narrow"/>
          <w:sz w:val="24"/>
          <w:szCs w:val="24"/>
        </w:rPr>
        <w:t>1</w:t>
      </w:r>
      <w:r w:rsidRPr="00444856">
        <w:rPr>
          <w:rFonts w:ascii="Arial Narrow" w:hAnsi="Arial Narrow"/>
          <w:sz w:val="24"/>
          <w:szCs w:val="24"/>
        </w:rPr>
        <w:t xml:space="preserve"> reportada</w:t>
      </w:r>
      <w:bookmarkEnd w:id="157"/>
      <w:bookmarkEnd w:id="156"/>
    </w:p>
    <w:p w14:paraId="66D42148" w14:textId="55EE51C9" w:rsidR="00696422" w:rsidRDefault="00696422" w:rsidP="00CC279A">
      <w:pPr>
        <w:pStyle w:val="Descripcin"/>
        <w:rPr>
          <w:rFonts w:ascii="Arial Narrow" w:hAnsi="Arial Narrow" w:cs="Calibri"/>
          <w:b w:val="0"/>
          <w:bCs w:val="0"/>
          <w:color w:val="000000"/>
          <w:lang w:val="es-CR" w:eastAsia="es-CR"/>
        </w:rPr>
      </w:pPr>
    </w:p>
    <w:tbl>
      <w:tblPr>
        <w:tblStyle w:val="Tablaconcuadrcula"/>
        <w:tblW w:w="0" w:type="auto"/>
        <w:tblInd w:w="720" w:type="dxa"/>
        <w:tblLook w:val="04A0" w:firstRow="1" w:lastRow="0" w:firstColumn="1" w:lastColumn="0" w:noHBand="0" w:noVBand="1"/>
      </w:tblPr>
      <w:tblGrid>
        <w:gridCol w:w="4250"/>
        <w:gridCol w:w="4233"/>
      </w:tblGrid>
      <w:tr w:rsidR="006F3725" w:rsidRPr="00D01E09" w14:paraId="75EBD0E5" w14:textId="77777777" w:rsidTr="00F15081">
        <w:tc>
          <w:tcPr>
            <w:tcW w:w="4601" w:type="dxa"/>
            <w:vAlign w:val="center"/>
          </w:tcPr>
          <w:p w14:paraId="09F121D9" w14:textId="77777777" w:rsidR="00C801FF" w:rsidRPr="00F15081" w:rsidRDefault="00C801FF" w:rsidP="00F15081">
            <w:pPr>
              <w:pStyle w:val="Textoindependiente2"/>
              <w:spacing w:line="360" w:lineRule="auto"/>
              <w:rPr>
                <w:rFonts w:ascii="Arial Narrow" w:hAnsi="Arial Narrow"/>
                <w:b w:val="0"/>
                <w:bCs w:val="0"/>
                <w:noProof/>
              </w:rPr>
            </w:pPr>
            <w:r w:rsidRPr="00F15081">
              <w:rPr>
                <w:rFonts w:ascii="Arial Narrow" w:hAnsi="Arial Narrow"/>
                <w:noProof/>
                <w:u w:val="single"/>
              </w:rPr>
              <w:t>Desafíos:</w:t>
            </w:r>
          </w:p>
        </w:tc>
        <w:tc>
          <w:tcPr>
            <w:tcW w:w="4602" w:type="dxa"/>
            <w:vAlign w:val="center"/>
          </w:tcPr>
          <w:p w14:paraId="02AC3516" w14:textId="77777777" w:rsidR="00C801FF" w:rsidRPr="00CC279A" w:rsidRDefault="00C801FF" w:rsidP="00F15081">
            <w:pPr>
              <w:pStyle w:val="Textoindependiente2"/>
              <w:spacing w:line="360" w:lineRule="auto"/>
              <w:rPr>
                <w:rFonts w:ascii="Arial Narrow" w:hAnsi="Arial Narrow"/>
                <w:b w:val="0"/>
                <w:bCs w:val="0"/>
                <w:noProof/>
              </w:rPr>
            </w:pPr>
            <w:r w:rsidRPr="00CC279A">
              <w:rPr>
                <w:rFonts w:ascii="Arial Narrow" w:hAnsi="Arial Narrow"/>
                <w:noProof/>
              </w:rPr>
              <w:t>Responsable estratégico</w:t>
            </w:r>
            <w:r w:rsidRPr="00CC279A">
              <w:rPr>
                <w:rFonts w:ascii="Arial Narrow" w:hAnsi="Arial Narrow"/>
                <w:b w:val="0"/>
                <w:bCs w:val="0"/>
                <w:noProof/>
              </w:rPr>
              <w:t>:</w:t>
            </w:r>
          </w:p>
        </w:tc>
      </w:tr>
      <w:tr w:rsidR="006F3725" w:rsidRPr="00D01E09" w14:paraId="25B17B91" w14:textId="77777777" w:rsidTr="00F15081">
        <w:tc>
          <w:tcPr>
            <w:tcW w:w="4601" w:type="dxa"/>
            <w:vAlign w:val="center"/>
          </w:tcPr>
          <w:p w14:paraId="18837D3C" w14:textId="0CBA18D7" w:rsidR="00C801FF" w:rsidRDefault="00F15081" w:rsidP="00F15081">
            <w:pPr>
              <w:pStyle w:val="Textoindependiente2"/>
              <w:spacing w:line="360" w:lineRule="auto"/>
              <w:rPr>
                <w:rFonts w:ascii="Arial Narrow" w:hAnsi="Arial Narrow"/>
                <w:b w:val="0"/>
                <w:bCs w:val="0"/>
                <w:noProof/>
              </w:rPr>
            </w:pPr>
            <w:r>
              <w:rPr>
                <w:rFonts w:ascii="Arial Narrow" w:hAnsi="Arial Narrow"/>
                <w:b w:val="0"/>
                <w:bCs w:val="0"/>
                <w:noProof/>
              </w:rPr>
              <w:t>Desarrollar un</w:t>
            </w:r>
            <w:r w:rsidRPr="002E0B96">
              <w:rPr>
                <w:rFonts w:ascii="Arial Narrow" w:hAnsi="Arial Narrow"/>
                <w:b w:val="0"/>
                <w:bCs w:val="0"/>
                <w:noProof/>
              </w:rPr>
              <w:t xml:space="preserve"> </w:t>
            </w:r>
            <w:r>
              <w:rPr>
                <w:rFonts w:ascii="Arial Narrow" w:hAnsi="Arial Narrow"/>
                <w:b w:val="0"/>
                <w:bCs w:val="0"/>
                <w:noProof/>
              </w:rPr>
              <w:t>análisis</w:t>
            </w:r>
            <w:r w:rsidRPr="002E0B96">
              <w:rPr>
                <w:rFonts w:ascii="Arial Narrow" w:hAnsi="Arial Narrow"/>
                <w:b w:val="0"/>
                <w:bCs w:val="0"/>
                <w:noProof/>
              </w:rPr>
              <w:t xml:space="preserve"> que </w:t>
            </w:r>
            <w:r w:rsidRPr="002E0B96">
              <w:rPr>
                <w:rFonts w:ascii="Arial Narrow" w:hAnsi="Arial Narrow" w:cs="Calibri"/>
                <w:b w:val="0"/>
                <w:bCs w:val="0"/>
                <w:color w:val="000000"/>
                <w:lang w:val="es-CR" w:eastAsia="es-CR"/>
              </w:rPr>
              <w:t xml:space="preserve">permitan identificar </w:t>
            </w:r>
            <w:r>
              <w:rPr>
                <w:rFonts w:ascii="Arial Narrow" w:hAnsi="Arial Narrow" w:cs="Calibri"/>
                <w:b w:val="0"/>
                <w:bCs w:val="0"/>
                <w:color w:val="000000"/>
                <w:lang w:val="es-CR" w:eastAsia="es-CR"/>
              </w:rPr>
              <w:t>puntos de mejora para la implementación de estrategias efectivas de capacitación y actualización, tomando en cuenta el impacto del COVID-19, con el fin de cumplir a cab</w:t>
            </w:r>
            <w:r w:rsidRPr="002E0B96">
              <w:rPr>
                <w:rFonts w:ascii="Arial Narrow" w:hAnsi="Arial Narrow" w:cs="Calibri"/>
                <w:b w:val="0"/>
                <w:bCs w:val="0"/>
                <w:color w:val="000000"/>
                <w:lang w:val="es-CR" w:eastAsia="es-CR"/>
              </w:rPr>
              <w:t xml:space="preserve">alidad </w:t>
            </w:r>
            <w:r>
              <w:rPr>
                <w:rFonts w:ascii="Arial Narrow" w:hAnsi="Arial Narrow" w:cs="Calibri"/>
                <w:b w:val="0"/>
                <w:bCs w:val="0"/>
                <w:color w:val="000000"/>
                <w:lang w:val="es-CR" w:eastAsia="es-CR"/>
              </w:rPr>
              <w:t>con lo</w:t>
            </w:r>
            <w:r w:rsidRPr="002E0B96">
              <w:rPr>
                <w:rFonts w:ascii="Arial Narrow" w:hAnsi="Arial Narrow" w:cs="Calibri"/>
                <w:b w:val="0"/>
                <w:bCs w:val="0"/>
                <w:color w:val="000000"/>
                <w:lang w:val="es-CR" w:eastAsia="es-CR"/>
              </w:rPr>
              <w:t xml:space="preserve"> establecido en esta meta</w:t>
            </w:r>
            <w:r>
              <w:rPr>
                <w:rFonts w:ascii="Arial Narrow" w:hAnsi="Arial Narrow" w:cs="Calibri"/>
                <w:b w:val="0"/>
                <w:bCs w:val="0"/>
                <w:color w:val="000000"/>
                <w:lang w:val="es-CR" w:eastAsia="es-CR"/>
              </w:rPr>
              <w:t xml:space="preserve"> </w:t>
            </w:r>
            <w:r>
              <w:rPr>
                <w:rFonts w:ascii="Arial Narrow" w:hAnsi="Arial Narrow"/>
                <w:b w:val="0"/>
                <w:bCs w:val="0"/>
                <w:noProof/>
              </w:rPr>
              <w:t xml:space="preserve">y </w:t>
            </w:r>
            <w:r w:rsidRPr="00D35E26">
              <w:rPr>
                <w:rFonts w:ascii="Arial Narrow" w:hAnsi="Arial Narrow" w:cs="Calibri"/>
                <w:b w:val="0"/>
                <w:bCs w:val="0"/>
                <w:color w:val="000000"/>
                <w:lang w:val="es-CR" w:eastAsia="es-CR"/>
              </w:rPr>
              <w:t>determinar las tareas del 20</w:t>
            </w:r>
            <w:r>
              <w:rPr>
                <w:rFonts w:ascii="Arial Narrow" w:hAnsi="Arial Narrow" w:cs="Calibri"/>
                <w:b w:val="0"/>
                <w:bCs w:val="0"/>
                <w:color w:val="000000"/>
                <w:lang w:val="es-CR" w:eastAsia="es-CR"/>
              </w:rPr>
              <w:t xml:space="preserve">20 </w:t>
            </w:r>
            <w:r w:rsidRPr="00D35E26">
              <w:rPr>
                <w:rFonts w:ascii="Arial Narrow" w:hAnsi="Arial Narrow" w:cs="Calibri"/>
                <w:b w:val="0"/>
                <w:bCs w:val="0"/>
                <w:color w:val="000000"/>
                <w:lang w:val="es-CR" w:eastAsia="es-CR"/>
              </w:rPr>
              <w:t>que no lograron ser completadas si deben ser retomadas en los años subsiguientes para cumplir con la meta estratégica.</w:t>
            </w:r>
          </w:p>
        </w:tc>
        <w:tc>
          <w:tcPr>
            <w:tcW w:w="4602" w:type="dxa"/>
            <w:vAlign w:val="center"/>
          </w:tcPr>
          <w:p w14:paraId="0768248B" w14:textId="0B37D0F6" w:rsidR="00C801FF" w:rsidRPr="00D01E09" w:rsidRDefault="00F15081" w:rsidP="009B24F8">
            <w:pPr>
              <w:pStyle w:val="Textoindependiente2"/>
              <w:spacing w:line="360" w:lineRule="auto"/>
              <w:rPr>
                <w:rFonts w:ascii="Arial Narrow" w:hAnsi="Arial Narrow"/>
                <w:b w:val="0"/>
                <w:bCs w:val="0"/>
                <w:noProof/>
                <w:highlight w:val="yellow"/>
              </w:rPr>
            </w:pPr>
            <w:r w:rsidRPr="00983CC9">
              <w:rPr>
                <w:rFonts w:ascii="Arial Narrow" w:hAnsi="Arial Narrow"/>
                <w:b w:val="0"/>
                <w:bCs w:val="0"/>
                <w:noProof/>
              </w:rPr>
              <w:t>Oficina de Atención a la Víctima de Delitos</w:t>
            </w:r>
          </w:p>
        </w:tc>
      </w:tr>
    </w:tbl>
    <w:p w14:paraId="65D41FAE" w14:textId="77777777" w:rsidR="008317B1" w:rsidRDefault="008317B1" w:rsidP="00F0386C">
      <w:pPr>
        <w:pStyle w:val="Textoindependiente2"/>
        <w:spacing w:line="360" w:lineRule="auto"/>
        <w:ind w:left="720"/>
        <w:rPr>
          <w:rFonts w:ascii="Arial Narrow" w:hAnsi="Arial Narrow" w:cs="Calibri"/>
          <w:b w:val="0"/>
          <w:bCs w:val="0"/>
          <w:color w:val="000000"/>
          <w:lang w:val="es-CR" w:eastAsia="es-CR"/>
        </w:rPr>
      </w:pPr>
    </w:p>
    <w:p w14:paraId="68B41FB5" w14:textId="6A0791DA" w:rsidR="00983CC9" w:rsidRPr="002E0B96" w:rsidRDefault="00A008D4" w:rsidP="00CC279A">
      <w:pPr>
        <w:pStyle w:val="Textoindependiente2"/>
        <w:numPr>
          <w:ilvl w:val="0"/>
          <w:numId w:val="127"/>
        </w:numPr>
        <w:spacing w:line="360" w:lineRule="auto"/>
        <w:rPr>
          <w:rFonts w:ascii="Arial Narrow" w:hAnsi="Arial Narrow"/>
          <w:b w:val="0"/>
          <w:bCs w:val="0"/>
          <w:noProof/>
        </w:rPr>
      </w:pPr>
      <w:r w:rsidRPr="00F85A5C">
        <w:rPr>
          <w:rFonts w:ascii="Arial Narrow" w:hAnsi="Arial Narrow"/>
          <w:noProof/>
          <w:u w:val="single"/>
        </w:rPr>
        <w:t>Meta estrat</w:t>
      </w:r>
      <w:r>
        <w:rPr>
          <w:rFonts w:ascii="Arial Narrow" w:hAnsi="Arial Narrow"/>
          <w:noProof/>
          <w:u w:val="single"/>
        </w:rPr>
        <w:t>é</w:t>
      </w:r>
      <w:r w:rsidRPr="00F85A5C">
        <w:rPr>
          <w:rFonts w:ascii="Arial Narrow" w:hAnsi="Arial Narrow"/>
          <w:noProof/>
          <w:u w:val="single"/>
        </w:rPr>
        <w:t xml:space="preserve">gica con cumplimiento </w:t>
      </w:r>
      <w:r>
        <w:rPr>
          <w:rFonts w:ascii="Arial Narrow" w:hAnsi="Arial Narrow"/>
          <w:noProof/>
          <w:u w:val="single"/>
        </w:rPr>
        <w:t>medio</w:t>
      </w:r>
      <w:r w:rsidR="00983CC9" w:rsidRPr="002E0B96">
        <w:rPr>
          <w:rFonts w:ascii="Arial Narrow" w:hAnsi="Arial Narrow"/>
          <w:u w:val="single"/>
          <w:lang w:eastAsia="en-US"/>
        </w:rPr>
        <w:t>:</w:t>
      </w:r>
      <w:r w:rsidR="00983CC9" w:rsidRPr="002E0B96">
        <w:rPr>
          <w:rFonts w:ascii="Arial Narrow" w:hAnsi="Arial Narrow"/>
          <w:lang w:eastAsia="en-US"/>
        </w:rPr>
        <w:t xml:space="preserve"> </w:t>
      </w:r>
      <w:r w:rsidR="00983CC9" w:rsidRPr="00983CC9">
        <w:rPr>
          <w:rFonts w:ascii="Arial Narrow" w:hAnsi="Arial Narrow"/>
          <w:b w:val="0"/>
          <w:bCs w:val="0"/>
          <w:noProof/>
        </w:rPr>
        <w:t>Que al finalizar el 2024, se haya incorporado el módulo de los Servicios de Atención y Protección a la Víctima, en los programas de capacitación  de la Escuela Judicial</w:t>
      </w:r>
      <w:r w:rsidR="00983CC9">
        <w:rPr>
          <w:rFonts w:ascii="Arial Narrow" w:hAnsi="Arial Narrow"/>
          <w:b w:val="0"/>
          <w:bCs w:val="0"/>
          <w:noProof/>
        </w:rPr>
        <w:t xml:space="preserve"> (cumplimiento</w:t>
      </w:r>
      <w:r w:rsidR="00F15081">
        <w:rPr>
          <w:rFonts w:ascii="Arial Narrow" w:hAnsi="Arial Narrow"/>
          <w:b w:val="0"/>
          <w:bCs w:val="0"/>
          <w:noProof/>
        </w:rPr>
        <w:t xml:space="preserve"> acumulado</w:t>
      </w:r>
      <w:r w:rsidR="00983CC9">
        <w:rPr>
          <w:rFonts w:ascii="Arial Narrow" w:hAnsi="Arial Narrow"/>
          <w:b w:val="0"/>
          <w:bCs w:val="0"/>
          <w:noProof/>
        </w:rPr>
        <w:t xml:space="preserve"> de 17% del 20% esperado</w:t>
      </w:r>
      <w:r w:rsidR="00F15081">
        <w:rPr>
          <w:rFonts w:ascii="Arial Narrow" w:hAnsi="Arial Narrow"/>
          <w:b w:val="0"/>
          <w:bCs w:val="0"/>
          <w:noProof/>
        </w:rPr>
        <w:t xml:space="preserve"> para 2019 y 2020</w:t>
      </w:r>
      <w:r w:rsidR="00983CC9">
        <w:rPr>
          <w:rFonts w:ascii="Arial Narrow" w:hAnsi="Arial Narrow"/>
          <w:b w:val="0"/>
          <w:bCs w:val="0"/>
          <w:noProof/>
        </w:rPr>
        <w:t>).</w:t>
      </w:r>
    </w:p>
    <w:p w14:paraId="37679C34" w14:textId="4082CB5F" w:rsidR="00B62D61" w:rsidRDefault="00B62D61" w:rsidP="00983CC9">
      <w:pPr>
        <w:pStyle w:val="Textoindependiente2"/>
        <w:spacing w:line="360" w:lineRule="auto"/>
        <w:ind w:left="720"/>
        <w:rPr>
          <w:rFonts w:ascii="Arial Narrow" w:hAnsi="Arial Narrow" w:cs="Calibri"/>
          <w:b w:val="0"/>
          <w:bCs w:val="0"/>
          <w:color w:val="000000"/>
          <w:lang w:val="es-CR" w:eastAsia="es-CR"/>
        </w:rPr>
      </w:pPr>
    </w:p>
    <w:p w14:paraId="41DD4EBC" w14:textId="307459EC" w:rsidR="00696422" w:rsidRDefault="00696422" w:rsidP="00696422">
      <w:pPr>
        <w:pStyle w:val="Descripcin"/>
        <w:jc w:val="center"/>
        <w:rPr>
          <w:rFonts w:ascii="Arial Narrow" w:hAnsi="Arial Narrow"/>
          <w:sz w:val="24"/>
          <w:szCs w:val="24"/>
        </w:rPr>
      </w:pPr>
      <w:bookmarkStart w:id="158" w:name="_Toc84919470"/>
      <w:r w:rsidRPr="00CC279A">
        <w:rPr>
          <w:rFonts w:ascii="Arial Narrow" w:hAnsi="Arial Narrow"/>
          <w:sz w:val="24"/>
          <w:szCs w:val="24"/>
        </w:rPr>
        <w:t xml:space="preserve">Tabla </w:t>
      </w:r>
      <w:r w:rsidRPr="00CC279A">
        <w:rPr>
          <w:rFonts w:ascii="Arial Narrow" w:hAnsi="Arial Narrow"/>
          <w:sz w:val="24"/>
          <w:szCs w:val="24"/>
        </w:rPr>
        <w:fldChar w:fldCharType="begin"/>
      </w:r>
      <w:r w:rsidRPr="00CC279A">
        <w:rPr>
          <w:rFonts w:ascii="Arial Narrow" w:hAnsi="Arial Narrow"/>
          <w:sz w:val="24"/>
          <w:szCs w:val="24"/>
        </w:rPr>
        <w:instrText xml:space="preserve"> SEQ Tabla \* ARABIC </w:instrText>
      </w:r>
      <w:r w:rsidRPr="00CC279A">
        <w:rPr>
          <w:rFonts w:ascii="Arial Narrow" w:hAnsi="Arial Narrow"/>
          <w:sz w:val="24"/>
          <w:szCs w:val="24"/>
        </w:rPr>
        <w:fldChar w:fldCharType="separate"/>
      </w:r>
      <w:r w:rsidRPr="00CC279A">
        <w:rPr>
          <w:rFonts w:ascii="Arial Narrow" w:hAnsi="Arial Narrow"/>
          <w:sz w:val="24"/>
          <w:szCs w:val="24"/>
        </w:rPr>
        <w:t>12</w:t>
      </w:r>
      <w:r w:rsidRPr="00CC279A">
        <w:rPr>
          <w:rFonts w:ascii="Arial Narrow" w:hAnsi="Arial Narrow"/>
          <w:sz w:val="24"/>
          <w:szCs w:val="24"/>
        </w:rPr>
        <w:fldChar w:fldCharType="end"/>
      </w:r>
      <w:r w:rsidRPr="00CC279A">
        <w:rPr>
          <w:rFonts w:ascii="Arial Narrow" w:hAnsi="Arial Narrow"/>
          <w:sz w:val="24"/>
          <w:szCs w:val="24"/>
        </w:rPr>
        <w:t xml:space="preserve"> Desafío</w:t>
      </w:r>
      <w:r w:rsidRPr="00444856">
        <w:rPr>
          <w:rFonts w:ascii="Arial Narrow" w:hAnsi="Arial Narrow"/>
          <w:sz w:val="24"/>
          <w:szCs w:val="24"/>
        </w:rPr>
        <w:t xml:space="preserve"> </w:t>
      </w:r>
      <w:r w:rsidRPr="00696422">
        <w:rPr>
          <w:rFonts w:ascii="Arial Narrow" w:hAnsi="Arial Narrow"/>
          <w:sz w:val="24"/>
          <w:szCs w:val="24"/>
        </w:rPr>
        <w:t>Acción</w:t>
      </w:r>
      <w:r w:rsidRPr="00444856">
        <w:rPr>
          <w:rFonts w:ascii="Arial Narrow" w:hAnsi="Arial Narrow"/>
          <w:sz w:val="24"/>
          <w:szCs w:val="24"/>
        </w:rPr>
        <w:t xml:space="preserve"> Estratégica Capacitación según meta </w:t>
      </w:r>
      <w:r>
        <w:rPr>
          <w:rFonts w:ascii="Arial Narrow" w:hAnsi="Arial Narrow"/>
          <w:sz w:val="24"/>
          <w:szCs w:val="24"/>
        </w:rPr>
        <w:t xml:space="preserve">2 </w:t>
      </w:r>
      <w:r w:rsidRPr="00444856">
        <w:rPr>
          <w:rFonts w:ascii="Arial Narrow" w:hAnsi="Arial Narrow"/>
          <w:sz w:val="24"/>
          <w:szCs w:val="24"/>
        </w:rPr>
        <w:t>reportada</w:t>
      </w:r>
      <w:bookmarkEnd w:id="158"/>
    </w:p>
    <w:p w14:paraId="7AAA8082" w14:textId="77777777" w:rsidR="00696422" w:rsidRPr="00CC279A" w:rsidRDefault="00696422" w:rsidP="00CC279A"/>
    <w:tbl>
      <w:tblPr>
        <w:tblStyle w:val="Tablaconcuadrcula"/>
        <w:tblW w:w="0" w:type="auto"/>
        <w:tblInd w:w="720" w:type="dxa"/>
        <w:tblLook w:val="04A0" w:firstRow="1" w:lastRow="0" w:firstColumn="1" w:lastColumn="0" w:noHBand="0" w:noVBand="1"/>
      </w:tblPr>
      <w:tblGrid>
        <w:gridCol w:w="4240"/>
        <w:gridCol w:w="4243"/>
      </w:tblGrid>
      <w:tr w:rsidR="006F3725" w:rsidRPr="00D01E09" w14:paraId="0585D241" w14:textId="77777777" w:rsidTr="00F15081">
        <w:tc>
          <w:tcPr>
            <w:tcW w:w="4601" w:type="dxa"/>
            <w:vAlign w:val="center"/>
          </w:tcPr>
          <w:p w14:paraId="16B72D7A" w14:textId="77777777" w:rsidR="00C801FF" w:rsidRDefault="00C801FF" w:rsidP="00CC279A">
            <w:pPr>
              <w:pStyle w:val="Textoindependiente2"/>
              <w:spacing w:line="360" w:lineRule="auto"/>
              <w:jc w:val="center"/>
              <w:rPr>
                <w:rFonts w:ascii="Arial Narrow" w:hAnsi="Arial Narrow"/>
                <w:b w:val="0"/>
                <w:bCs w:val="0"/>
                <w:noProof/>
              </w:rPr>
            </w:pPr>
            <w:r w:rsidRPr="00E067CE">
              <w:rPr>
                <w:rFonts w:ascii="Arial Narrow" w:hAnsi="Arial Narrow"/>
                <w:noProof/>
                <w:u w:val="single"/>
              </w:rPr>
              <w:t>Desafíos:</w:t>
            </w:r>
          </w:p>
        </w:tc>
        <w:tc>
          <w:tcPr>
            <w:tcW w:w="4602" w:type="dxa"/>
            <w:vAlign w:val="center"/>
          </w:tcPr>
          <w:p w14:paraId="0C585DDE" w14:textId="77777777" w:rsidR="00C801FF" w:rsidRPr="00CC279A" w:rsidRDefault="00C801FF" w:rsidP="00CC279A">
            <w:pPr>
              <w:pStyle w:val="Textoindependiente2"/>
              <w:spacing w:line="360" w:lineRule="auto"/>
              <w:jc w:val="center"/>
              <w:rPr>
                <w:rFonts w:ascii="Arial Narrow" w:hAnsi="Arial Narrow"/>
                <w:b w:val="0"/>
                <w:bCs w:val="0"/>
                <w:noProof/>
              </w:rPr>
            </w:pPr>
            <w:r w:rsidRPr="00CC279A">
              <w:rPr>
                <w:rFonts w:ascii="Arial Narrow" w:hAnsi="Arial Narrow"/>
                <w:noProof/>
              </w:rPr>
              <w:t>Responsable estratégico</w:t>
            </w:r>
            <w:r w:rsidRPr="00CC279A">
              <w:rPr>
                <w:rFonts w:ascii="Arial Narrow" w:hAnsi="Arial Narrow"/>
                <w:b w:val="0"/>
                <w:bCs w:val="0"/>
                <w:noProof/>
              </w:rPr>
              <w:t>:</w:t>
            </w:r>
          </w:p>
        </w:tc>
      </w:tr>
      <w:tr w:rsidR="006F3725" w:rsidRPr="00D01E09" w14:paraId="2AB07FA7" w14:textId="77777777" w:rsidTr="00F15081">
        <w:tc>
          <w:tcPr>
            <w:tcW w:w="4601" w:type="dxa"/>
            <w:vAlign w:val="center"/>
          </w:tcPr>
          <w:p w14:paraId="20B8421D" w14:textId="725E45A0" w:rsidR="00C801FF" w:rsidRDefault="00F15081" w:rsidP="00CC279A">
            <w:pPr>
              <w:pStyle w:val="Textoindependiente2"/>
              <w:spacing w:line="360" w:lineRule="auto"/>
              <w:jc w:val="center"/>
              <w:rPr>
                <w:rFonts w:ascii="Arial Narrow" w:hAnsi="Arial Narrow"/>
                <w:b w:val="0"/>
                <w:bCs w:val="0"/>
                <w:noProof/>
              </w:rPr>
            </w:pPr>
            <w:r>
              <w:rPr>
                <w:rFonts w:ascii="Arial Narrow" w:hAnsi="Arial Narrow"/>
                <w:b w:val="0"/>
                <w:bCs w:val="0"/>
                <w:noProof/>
              </w:rPr>
              <w:t xml:space="preserve">Si </w:t>
            </w:r>
            <w:r w:rsidRPr="00704B08">
              <w:rPr>
                <w:rFonts w:ascii="Arial Narrow" w:hAnsi="Arial Narrow" w:cs="Calibri"/>
                <w:b w:val="0"/>
                <w:bCs w:val="0"/>
                <w:color w:val="000000"/>
                <w:lang w:val="es-CR" w:eastAsia="es-CR"/>
              </w:rPr>
              <w:t xml:space="preserve">bien </w:t>
            </w:r>
            <w:r>
              <w:rPr>
                <w:rFonts w:ascii="Arial Narrow" w:hAnsi="Arial Narrow" w:cs="Calibri"/>
                <w:b w:val="0"/>
                <w:bCs w:val="0"/>
                <w:color w:val="000000"/>
                <w:lang w:val="es-CR" w:eastAsia="es-CR"/>
              </w:rPr>
              <w:t>e</w:t>
            </w:r>
            <w:r w:rsidRPr="00704B08">
              <w:rPr>
                <w:rFonts w:ascii="Arial Narrow" w:hAnsi="Arial Narrow" w:cs="Calibri"/>
                <w:b w:val="0"/>
                <w:bCs w:val="0"/>
                <w:color w:val="000000"/>
                <w:lang w:val="es-CR" w:eastAsia="es-CR"/>
              </w:rPr>
              <w:t xml:space="preserve">s cierto la meta se encuentra </w:t>
            </w:r>
            <w:r>
              <w:rPr>
                <w:rFonts w:ascii="Arial Narrow" w:hAnsi="Arial Narrow" w:cs="Calibri"/>
                <w:b w:val="0"/>
                <w:bCs w:val="0"/>
                <w:color w:val="000000"/>
                <w:lang w:val="es-CR" w:eastAsia="es-CR"/>
              </w:rPr>
              <w:t xml:space="preserve">debidamente </w:t>
            </w:r>
            <w:r w:rsidRPr="00704B08">
              <w:rPr>
                <w:rFonts w:ascii="Arial Narrow" w:hAnsi="Arial Narrow" w:cs="Calibri"/>
                <w:b w:val="0"/>
                <w:bCs w:val="0"/>
                <w:color w:val="000000"/>
                <w:lang w:val="es-CR" w:eastAsia="es-CR"/>
              </w:rPr>
              <w:t>justificada en su nivel de avance, el desaf</w:t>
            </w:r>
            <w:r>
              <w:rPr>
                <w:rFonts w:ascii="Arial Narrow" w:hAnsi="Arial Narrow" w:cs="Calibri"/>
                <w:b w:val="0"/>
                <w:bCs w:val="0"/>
                <w:color w:val="000000"/>
                <w:lang w:val="es-CR" w:eastAsia="es-CR"/>
              </w:rPr>
              <w:t>í</w:t>
            </w:r>
            <w:r w:rsidRPr="00704B08">
              <w:rPr>
                <w:rFonts w:ascii="Arial Narrow" w:hAnsi="Arial Narrow" w:cs="Calibri"/>
                <w:b w:val="0"/>
                <w:bCs w:val="0"/>
                <w:color w:val="000000"/>
                <w:lang w:val="es-CR" w:eastAsia="es-CR"/>
              </w:rPr>
              <w:t>o representa el desarrollo de m</w:t>
            </w:r>
            <w:r>
              <w:rPr>
                <w:rFonts w:ascii="Arial Narrow" w:hAnsi="Arial Narrow" w:cs="Calibri"/>
                <w:b w:val="0"/>
                <w:bCs w:val="0"/>
                <w:color w:val="000000"/>
                <w:lang w:val="es-CR" w:eastAsia="es-CR"/>
              </w:rPr>
              <w:t>ó</w:t>
            </w:r>
            <w:r w:rsidRPr="00704B08">
              <w:rPr>
                <w:rFonts w:ascii="Arial Narrow" w:hAnsi="Arial Narrow" w:cs="Calibri"/>
                <w:b w:val="0"/>
                <w:bCs w:val="0"/>
                <w:color w:val="000000"/>
                <w:lang w:val="es-CR" w:eastAsia="es-CR"/>
              </w:rPr>
              <w:t>dulo de servicios de protecci</w:t>
            </w:r>
            <w:r>
              <w:rPr>
                <w:rFonts w:ascii="Arial Narrow" w:hAnsi="Arial Narrow" w:cs="Calibri"/>
                <w:b w:val="0"/>
                <w:bCs w:val="0"/>
                <w:color w:val="000000"/>
                <w:lang w:val="es-CR" w:eastAsia="es-CR"/>
              </w:rPr>
              <w:t>ó</w:t>
            </w:r>
            <w:r w:rsidRPr="00704B08">
              <w:rPr>
                <w:rFonts w:ascii="Arial Narrow" w:hAnsi="Arial Narrow" w:cs="Calibri"/>
                <w:b w:val="0"/>
                <w:bCs w:val="0"/>
                <w:color w:val="000000"/>
                <w:lang w:val="es-CR" w:eastAsia="es-CR"/>
              </w:rPr>
              <w:t>n y atenci</w:t>
            </w:r>
            <w:r>
              <w:rPr>
                <w:rFonts w:ascii="Arial Narrow" w:hAnsi="Arial Narrow" w:cs="Calibri"/>
                <w:b w:val="0"/>
                <w:bCs w:val="0"/>
                <w:color w:val="000000"/>
                <w:lang w:val="es-CR" w:eastAsia="es-CR"/>
              </w:rPr>
              <w:t>ó</w:t>
            </w:r>
            <w:r w:rsidRPr="00704B08">
              <w:rPr>
                <w:rFonts w:ascii="Arial Narrow" w:hAnsi="Arial Narrow" w:cs="Calibri"/>
                <w:b w:val="0"/>
                <w:bCs w:val="0"/>
                <w:color w:val="000000"/>
                <w:lang w:val="es-CR" w:eastAsia="es-CR"/>
              </w:rPr>
              <w:t xml:space="preserve">n, en alianza con la Escuela Judicial, de ahí el reto de seguir avanzando en el desarrollo de </w:t>
            </w:r>
            <w:r w:rsidRPr="00704B08">
              <w:rPr>
                <w:rFonts w:ascii="Arial Narrow" w:hAnsi="Arial Narrow" w:cs="Calibri"/>
                <w:b w:val="0"/>
                <w:bCs w:val="0"/>
                <w:color w:val="000000"/>
                <w:lang w:val="es-CR" w:eastAsia="es-CR"/>
              </w:rPr>
              <w:lastRenderedPageBreak/>
              <w:t xml:space="preserve">la propuesta </w:t>
            </w:r>
            <w:r w:rsidRPr="00B62D61">
              <w:rPr>
                <w:rFonts w:ascii="Arial Narrow" w:hAnsi="Arial Narrow" w:cs="Calibri"/>
                <w:b w:val="0"/>
                <w:bCs w:val="0"/>
                <w:color w:val="000000"/>
                <w:lang w:val="es-CR" w:eastAsia="es-CR"/>
              </w:rPr>
              <w:t>y tomando</w:t>
            </w:r>
            <w:r w:rsidRPr="00704B08">
              <w:rPr>
                <w:rFonts w:ascii="Arial Narrow" w:hAnsi="Arial Narrow" w:cs="Calibri"/>
                <w:b w:val="0"/>
                <w:bCs w:val="0"/>
                <w:color w:val="000000"/>
                <w:lang w:val="es-CR" w:eastAsia="es-CR"/>
              </w:rPr>
              <w:t xml:space="preserve"> </w:t>
            </w:r>
            <w:r w:rsidRPr="00B62D61">
              <w:rPr>
                <w:rFonts w:ascii="Arial Narrow" w:hAnsi="Arial Narrow" w:cs="Calibri"/>
                <w:b w:val="0"/>
                <w:bCs w:val="0"/>
                <w:color w:val="000000"/>
                <w:lang w:val="es-CR" w:eastAsia="es-CR"/>
              </w:rPr>
              <w:t>en cuenta el impacto del COVID-19, con el fin de cumplir a cabalidad</w:t>
            </w:r>
            <w:r w:rsidRPr="002E0B96">
              <w:rPr>
                <w:rFonts w:ascii="Arial Narrow" w:hAnsi="Arial Narrow" w:cs="Calibri"/>
                <w:b w:val="0"/>
                <w:bCs w:val="0"/>
                <w:color w:val="000000"/>
                <w:lang w:val="es-CR" w:eastAsia="es-CR"/>
              </w:rPr>
              <w:t xml:space="preserve"> </w:t>
            </w:r>
            <w:r>
              <w:rPr>
                <w:rFonts w:ascii="Arial Narrow" w:hAnsi="Arial Narrow" w:cs="Calibri"/>
                <w:b w:val="0"/>
                <w:bCs w:val="0"/>
                <w:color w:val="000000"/>
                <w:lang w:val="es-CR" w:eastAsia="es-CR"/>
              </w:rPr>
              <w:t>con lo</w:t>
            </w:r>
            <w:r w:rsidRPr="002E0B96">
              <w:rPr>
                <w:rFonts w:ascii="Arial Narrow" w:hAnsi="Arial Narrow" w:cs="Calibri"/>
                <w:b w:val="0"/>
                <w:bCs w:val="0"/>
                <w:color w:val="000000"/>
                <w:lang w:val="es-CR" w:eastAsia="es-CR"/>
              </w:rPr>
              <w:t xml:space="preserve"> establecido en esta meta</w:t>
            </w:r>
            <w:r w:rsidR="009B24F8">
              <w:rPr>
                <w:rFonts w:ascii="Arial Narrow" w:hAnsi="Arial Narrow" w:cs="Calibri"/>
                <w:b w:val="0"/>
                <w:bCs w:val="0"/>
                <w:color w:val="000000"/>
                <w:lang w:val="es-CR" w:eastAsia="es-CR"/>
              </w:rPr>
              <w:t xml:space="preserve"> </w:t>
            </w:r>
            <w:r>
              <w:rPr>
                <w:rFonts w:ascii="Arial Narrow" w:hAnsi="Arial Narrow"/>
                <w:b w:val="0"/>
                <w:bCs w:val="0"/>
                <w:noProof/>
              </w:rPr>
              <w:t xml:space="preserve">y </w:t>
            </w:r>
            <w:r w:rsidRPr="00D35E26">
              <w:rPr>
                <w:rFonts w:ascii="Arial Narrow" w:hAnsi="Arial Narrow" w:cs="Calibri"/>
                <w:b w:val="0"/>
                <w:bCs w:val="0"/>
                <w:color w:val="000000"/>
                <w:lang w:val="es-CR" w:eastAsia="es-CR"/>
              </w:rPr>
              <w:t>determinar las tareas del 20</w:t>
            </w:r>
            <w:r>
              <w:rPr>
                <w:rFonts w:ascii="Arial Narrow" w:hAnsi="Arial Narrow" w:cs="Calibri"/>
                <w:b w:val="0"/>
                <w:bCs w:val="0"/>
                <w:color w:val="000000"/>
                <w:lang w:val="es-CR" w:eastAsia="es-CR"/>
              </w:rPr>
              <w:t xml:space="preserve">20 </w:t>
            </w:r>
            <w:r w:rsidRPr="00D35E26">
              <w:rPr>
                <w:rFonts w:ascii="Arial Narrow" w:hAnsi="Arial Narrow" w:cs="Calibri"/>
                <w:b w:val="0"/>
                <w:bCs w:val="0"/>
                <w:color w:val="000000"/>
                <w:lang w:val="es-CR" w:eastAsia="es-CR"/>
              </w:rPr>
              <w:t>que no lograron ser completadas si deben ser retomadas en los años subsiguientes para cumplir con la meta estratégica.</w:t>
            </w:r>
          </w:p>
        </w:tc>
        <w:tc>
          <w:tcPr>
            <w:tcW w:w="4602" w:type="dxa"/>
            <w:vAlign w:val="center"/>
          </w:tcPr>
          <w:p w14:paraId="57CD288D" w14:textId="0BF8D51A" w:rsidR="00C801FF" w:rsidRPr="00CC279A" w:rsidRDefault="00F15081" w:rsidP="00CC279A">
            <w:pPr>
              <w:pStyle w:val="Textoindependiente2"/>
              <w:spacing w:line="360" w:lineRule="auto"/>
              <w:jc w:val="center"/>
              <w:rPr>
                <w:rFonts w:ascii="Arial Narrow" w:hAnsi="Arial Narrow"/>
                <w:b w:val="0"/>
                <w:bCs w:val="0"/>
                <w:noProof/>
              </w:rPr>
            </w:pPr>
            <w:r w:rsidRPr="00CC279A">
              <w:rPr>
                <w:rFonts w:ascii="Arial Narrow" w:hAnsi="Arial Narrow"/>
                <w:b w:val="0"/>
                <w:bCs w:val="0"/>
                <w:noProof/>
              </w:rPr>
              <w:lastRenderedPageBreak/>
              <w:t>Escuela Judicial</w:t>
            </w:r>
          </w:p>
        </w:tc>
      </w:tr>
    </w:tbl>
    <w:p w14:paraId="282B0633" w14:textId="77777777" w:rsidR="00B62D61" w:rsidRDefault="00B62D61" w:rsidP="00983CC9">
      <w:pPr>
        <w:pStyle w:val="Textoindependiente2"/>
        <w:spacing w:line="360" w:lineRule="auto"/>
        <w:ind w:left="720"/>
        <w:rPr>
          <w:rFonts w:ascii="Arial Narrow" w:hAnsi="Arial Narrow" w:cs="Calibri"/>
          <w:b w:val="0"/>
          <w:bCs w:val="0"/>
          <w:color w:val="000000"/>
          <w:lang w:val="es-CR" w:eastAsia="es-CR"/>
        </w:rPr>
      </w:pPr>
    </w:p>
    <w:p w14:paraId="42873134" w14:textId="4B220F23" w:rsidR="00983CC9" w:rsidRDefault="00A008D4" w:rsidP="00CC279A">
      <w:pPr>
        <w:pStyle w:val="Textoindependiente2"/>
        <w:numPr>
          <w:ilvl w:val="0"/>
          <w:numId w:val="127"/>
        </w:numPr>
        <w:spacing w:line="360" w:lineRule="auto"/>
        <w:rPr>
          <w:rFonts w:ascii="Arial Narrow" w:hAnsi="Arial Narrow"/>
          <w:b w:val="0"/>
          <w:bCs w:val="0"/>
          <w:noProof/>
        </w:rPr>
      </w:pPr>
      <w:r w:rsidRPr="00F85A5C">
        <w:rPr>
          <w:rFonts w:ascii="Arial Narrow" w:hAnsi="Arial Narrow"/>
          <w:noProof/>
          <w:u w:val="single"/>
        </w:rPr>
        <w:t>Meta estrat</w:t>
      </w:r>
      <w:r>
        <w:rPr>
          <w:rFonts w:ascii="Arial Narrow" w:hAnsi="Arial Narrow"/>
          <w:noProof/>
          <w:u w:val="single"/>
        </w:rPr>
        <w:t>é</w:t>
      </w:r>
      <w:r w:rsidRPr="00F85A5C">
        <w:rPr>
          <w:rFonts w:ascii="Arial Narrow" w:hAnsi="Arial Narrow"/>
          <w:noProof/>
          <w:u w:val="single"/>
        </w:rPr>
        <w:t xml:space="preserve">gica con cumplimiento </w:t>
      </w:r>
      <w:r>
        <w:rPr>
          <w:rFonts w:ascii="Arial Narrow" w:hAnsi="Arial Narrow"/>
          <w:noProof/>
          <w:u w:val="single"/>
        </w:rPr>
        <w:t>medio</w:t>
      </w:r>
      <w:r w:rsidR="00983CC9" w:rsidRPr="002E0B96">
        <w:rPr>
          <w:rFonts w:ascii="Arial Narrow" w:hAnsi="Arial Narrow"/>
          <w:u w:val="single"/>
          <w:lang w:eastAsia="en-US"/>
        </w:rPr>
        <w:t>:</w:t>
      </w:r>
      <w:r w:rsidR="00983CC9" w:rsidRPr="002E0B96">
        <w:rPr>
          <w:rFonts w:ascii="Arial Narrow" w:hAnsi="Arial Narrow"/>
          <w:lang w:eastAsia="en-US"/>
        </w:rPr>
        <w:t xml:space="preserve"> </w:t>
      </w:r>
      <w:r w:rsidR="00983CC9" w:rsidRPr="00983CC9">
        <w:rPr>
          <w:rFonts w:ascii="Arial Narrow" w:hAnsi="Arial Narrow"/>
          <w:b w:val="0"/>
          <w:bCs w:val="0"/>
          <w:noProof/>
        </w:rPr>
        <w:t>Que al finalizar el 2024 se haya incorporado de manera integral los valores y ejes transversales institucionales, en al menos 10 actividades de capacitación de la Unidad de Capacitación del Organismo de Investigación Judicial</w:t>
      </w:r>
      <w:r w:rsidR="00983CC9">
        <w:rPr>
          <w:rFonts w:ascii="Arial Narrow" w:hAnsi="Arial Narrow"/>
          <w:b w:val="0"/>
          <w:bCs w:val="0"/>
          <w:noProof/>
        </w:rPr>
        <w:t xml:space="preserve"> (cumplimiento de 66% para 2020).</w:t>
      </w:r>
    </w:p>
    <w:p w14:paraId="1E21EEBA" w14:textId="77777777" w:rsidR="00F15081" w:rsidRPr="002E0B96" w:rsidRDefault="00F15081" w:rsidP="00983CC9">
      <w:pPr>
        <w:pStyle w:val="Textoindependiente2"/>
        <w:spacing w:line="360" w:lineRule="auto"/>
        <w:ind w:left="720"/>
        <w:rPr>
          <w:rFonts w:ascii="Arial Narrow" w:hAnsi="Arial Narrow"/>
          <w:b w:val="0"/>
          <w:bCs w:val="0"/>
          <w:noProof/>
        </w:rPr>
      </w:pPr>
    </w:p>
    <w:p w14:paraId="57777B3F" w14:textId="63FC715D" w:rsidR="00983CC9" w:rsidRDefault="00983CC9" w:rsidP="00983CC9">
      <w:pPr>
        <w:pStyle w:val="Textoindependiente2"/>
        <w:spacing w:line="360" w:lineRule="auto"/>
        <w:ind w:left="720"/>
        <w:rPr>
          <w:rFonts w:ascii="Arial Narrow" w:eastAsia="Calibri" w:hAnsi="Arial Narrow"/>
          <w:b w:val="0"/>
          <w:bCs w:val="0"/>
        </w:rPr>
      </w:pPr>
    </w:p>
    <w:p w14:paraId="7537EB31" w14:textId="00328A00" w:rsidR="00696422" w:rsidRDefault="00696422" w:rsidP="00696422">
      <w:pPr>
        <w:pStyle w:val="Descripcin"/>
        <w:jc w:val="center"/>
        <w:rPr>
          <w:rFonts w:ascii="Arial Narrow" w:hAnsi="Arial Narrow"/>
          <w:sz w:val="24"/>
          <w:szCs w:val="24"/>
        </w:rPr>
      </w:pPr>
      <w:bookmarkStart w:id="159" w:name="_Toc84919471"/>
      <w:r w:rsidRPr="00CC279A">
        <w:rPr>
          <w:rFonts w:ascii="Arial Narrow" w:hAnsi="Arial Narrow"/>
          <w:sz w:val="24"/>
          <w:szCs w:val="24"/>
        </w:rPr>
        <w:t xml:space="preserve">Tabla </w:t>
      </w:r>
      <w:r w:rsidRPr="00CC279A">
        <w:rPr>
          <w:rFonts w:ascii="Arial Narrow" w:hAnsi="Arial Narrow"/>
          <w:sz w:val="24"/>
          <w:szCs w:val="24"/>
        </w:rPr>
        <w:fldChar w:fldCharType="begin"/>
      </w:r>
      <w:r w:rsidRPr="00CC279A">
        <w:rPr>
          <w:rFonts w:ascii="Arial Narrow" w:hAnsi="Arial Narrow"/>
          <w:sz w:val="24"/>
          <w:szCs w:val="24"/>
        </w:rPr>
        <w:instrText xml:space="preserve"> SEQ Tabla \* ARABIC </w:instrText>
      </w:r>
      <w:r w:rsidRPr="00CC279A">
        <w:rPr>
          <w:rFonts w:ascii="Arial Narrow" w:hAnsi="Arial Narrow"/>
          <w:sz w:val="24"/>
          <w:szCs w:val="24"/>
        </w:rPr>
        <w:fldChar w:fldCharType="separate"/>
      </w:r>
      <w:r w:rsidRPr="00CC279A">
        <w:rPr>
          <w:rFonts w:ascii="Arial Narrow" w:hAnsi="Arial Narrow"/>
          <w:noProof/>
          <w:sz w:val="24"/>
          <w:szCs w:val="24"/>
        </w:rPr>
        <w:t>13</w:t>
      </w:r>
      <w:r w:rsidRPr="00CC279A">
        <w:rPr>
          <w:rFonts w:ascii="Arial Narrow" w:hAnsi="Arial Narrow"/>
          <w:sz w:val="24"/>
          <w:szCs w:val="24"/>
        </w:rPr>
        <w:fldChar w:fldCharType="end"/>
      </w:r>
      <w:r w:rsidRPr="00CC279A">
        <w:rPr>
          <w:rFonts w:ascii="Arial Narrow" w:hAnsi="Arial Narrow"/>
          <w:sz w:val="24"/>
          <w:szCs w:val="24"/>
        </w:rPr>
        <w:t xml:space="preserve"> </w:t>
      </w:r>
      <w:r w:rsidRPr="00696422">
        <w:rPr>
          <w:rFonts w:ascii="Arial Narrow" w:hAnsi="Arial Narrow"/>
          <w:sz w:val="24"/>
          <w:szCs w:val="24"/>
        </w:rPr>
        <w:t>Desafío Acción Estratégica Capacitación según meta 3 reportada</w:t>
      </w:r>
      <w:bookmarkEnd w:id="159"/>
    </w:p>
    <w:p w14:paraId="2DE4E31D" w14:textId="77777777" w:rsidR="00696422" w:rsidRPr="00CC279A" w:rsidRDefault="00696422" w:rsidP="00CC279A">
      <w:pPr>
        <w:rPr>
          <w:rFonts w:eastAsia="Calibri"/>
          <w:b/>
          <w:bCs/>
        </w:rPr>
      </w:pPr>
    </w:p>
    <w:tbl>
      <w:tblPr>
        <w:tblStyle w:val="Tablaconcuadrcula"/>
        <w:tblW w:w="0" w:type="auto"/>
        <w:tblInd w:w="720" w:type="dxa"/>
        <w:tblLook w:val="04A0" w:firstRow="1" w:lastRow="0" w:firstColumn="1" w:lastColumn="0" w:noHBand="0" w:noVBand="1"/>
      </w:tblPr>
      <w:tblGrid>
        <w:gridCol w:w="4241"/>
        <w:gridCol w:w="4242"/>
      </w:tblGrid>
      <w:tr w:rsidR="006F3725" w:rsidRPr="00D01E09" w14:paraId="1D409CB8" w14:textId="77777777" w:rsidTr="00F15081">
        <w:tc>
          <w:tcPr>
            <w:tcW w:w="4601" w:type="dxa"/>
            <w:vAlign w:val="center"/>
          </w:tcPr>
          <w:p w14:paraId="45AB00FF" w14:textId="77777777" w:rsidR="00C801FF" w:rsidRPr="00F15081" w:rsidRDefault="00C801FF" w:rsidP="00CC279A">
            <w:pPr>
              <w:pStyle w:val="Textoindependiente2"/>
              <w:spacing w:line="360" w:lineRule="auto"/>
              <w:jc w:val="center"/>
              <w:rPr>
                <w:rFonts w:ascii="Arial Narrow" w:hAnsi="Arial Narrow"/>
                <w:b w:val="0"/>
                <w:bCs w:val="0"/>
                <w:noProof/>
              </w:rPr>
            </w:pPr>
            <w:r w:rsidRPr="00F15081">
              <w:rPr>
                <w:rFonts w:ascii="Arial Narrow" w:hAnsi="Arial Narrow"/>
                <w:noProof/>
                <w:u w:val="single"/>
              </w:rPr>
              <w:t>Desafíos:</w:t>
            </w:r>
          </w:p>
        </w:tc>
        <w:tc>
          <w:tcPr>
            <w:tcW w:w="4602" w:type="dxa"/>
            <w:vAlign w:val="center"/>
          </w:tcPr>
          <w:p w14:paraId="4C52096F" w14:textId="77777777" w:rsidR="00C801FF" w:rsidRPr="00CC279A" w:rsidRDefault="00C801FF" w:rsidP="00CC279A">
            <w:pPr>
              <w:pStyle w:val="Textoindependiente2"/>
              <w:spacing w:line="360" w:lineRule="auto"/>
              <w:jc w:val="center"/>
              <w:rPr>
                <w:rFonts w:ascii="Arial Narrow" w:hAnsi="Arial Narrow"/>
                <w:b w:val="0"/>
                <w:bCs w:val="0"/>
                <w:noProof/>
              </w:rPr>
            </w:pPr>
            <w:r w:rsidRPr="00CC279A">
              <w:rPr>
                <w:rFonts w:ascii="Arial Narrow" w:hAnsi="Arial Narrow"/>
                <w:noProof/>
              </w:rPr>
              <w:t>Responsable estratégico</w:t>
            </w:r>
            <w:r w:rsidRPr="00CC279A">
              <w:rPr>
                <w:rFonts w:ascii="Arial Narrow" w:hAnsi="Arial Narrow"/>
                <w:b w:val="0"/>
                <w:bCs w:val="0"/>
                <w:noProof/>
              </w:rPr>
              <w:t>:</w:t>
            </w:r>
          </w:p>
        </w:tc>
      </w:tr>
      <w:tr w:rsidR="006F3725" w:rsidRPr="00D01E09" w14:paraId="63B4CD85" w14:textId="77777777" w:rsidTr="00F15081">
        <w:tc>
          <w:tcPr>
            <w:tcW w:w="4601" w:type="dxa"/>
            <w:vAlign w:val="center"/>
          </w:tcPr>
          <w:p w14:paraId="0798ACF2" w14:textId="1E39B175" w:rsidR="00C801FF" w:rsidRPr="0038143C" w:rsidRDefault="00F15081" w:rsidP="00CC279A">
            <w:pPr>
              <w:pStyle w:val="Textoindependiente2"/>
              <w:spacing w:line="360" w:lineRule="auto"/>
              <w:jc w:val="center"/>
              <w:rPr>
                <w:rFonts w:ascii="Arial Narrow" w:hAnsi="Arial Narrow"/>
                <w:b w:val="0"/>
                <w:bCs w:val="0"/>
                <w:noProof/>
              </w:rPr>
            </w:pPr>
            <w:r w:rsidRPr="00F15081">
              <w:rPr>
                <w:rFonts w:ascii="Arial Narrow" w:hAnsi="Arial Narrow"/>
                <w:b w:val="0"/>
                <w:bCs w:val="0"/>
                <w:noProof/>
              </w:rPr>
              <w:t xml:space="preserve">Conviene analizar el cumplimiento de las metas operativas del PAO y su impacto en la estrategia, dado que al no reportarse nivel de avance en una meta especifica como  la ejecucion de </w:t>
            </w:r>
            <w:r w:rsidRPr="009B24F8">
              <w:rPr>
                <w:rFonts w:ascii="Arial Narrow" w:eastAsia="Calibri" w:hAnsi="Arial Narrow"/>
                <w:b w:val="0"/>
                <w:bCs w:val="0"/>
              </w:rPr>
              <w:t xml:space="preserve">dos actividades de capacitación que integren los valores y ejes transversales, de acuerdo con las medidas sanitarias </w:t>
            </w:r>
            <w:r w:rsidRPr="0053265A">
              <w:rPr>
                <w:rFonts w:ascii="Arial Narrow" w:eastAsia="Calibri" w:hAnsi="Arial Narrow"/>
                <w:b w:val="0"/>
                <w:bCs w:val="0"/>
              </w:rPr>
              <w:t xml:space="preserve">para el 2020, afectó </w:t>
            </w:r>
            <w:r w:rsidRPr="00DF1162">
              <w:rPr>
                <w:rFonts w:ascii="Arial Narrow" w:eastAsia="Calibri" w:hAnsi="Arial Narrow"/>
                <w:b w:val="0"/>
                <w:bCs w:val="0"/>
              </w:rPr>
              <w:t>el cumplimiento general de la meta.</w:t>
            </w:r>
          </w:p>
        </w:tc>
        <w:tc>
          <w:tcPr>
            <w:tcW w:w="4602" w:type="dxa"/>
            <w:vAlign w:val="center"/>
          </w:tcPr>
          <w:p w14:paraId="072F6AEE" w14:textId="73FEAD6E" w:rsidR="00C801FF" w:rsidRPr="00CC279A" w:rsidRDefault="00F15081" w:rsidP="00CC279A">
            <w:pPr>
              <w:pStyle w:val="Textoindependiente2"/>
              <w:spacing w:line="360" w:lineRule="auto"/>
              <w:jc w:val="center"/>
              <w:rPr>
                <w:rFonts w:ascii="Arial Narrow" w:hAnsi="Arial Narrow"/>
                <w:b w:val="0"/>
                <w:bCs w:val="0"/>
                <w:noProof/>
              </w:rPr>
            </w:pPr>
            <w:r w:rsidRPr="0038143C">
              <w:rPr>
                <w:rFonts w:ascii="Arial Narrow" w:hAnsi="Arial Narrow"/>
                <w:b w:val="0"/>
                <w:bCs w:val="0"/>
                <w:noProof/>
              </w:rPr>
              <w:t>Organismo de Investigación Judicial</w:t>
            </w:r>
          </w:p>
        </w:tc>
      </w:tr>
    </w:tbl>
    <w:p w14:paraId="42A75C8F" w14:textId="77777777" w:rsidR="00E16960" w:rsidRDefault="00E16960" w:rsidP="00983CC9">
      <w:pPr>
        <w:pStyle w:val="Textoindependiente2"/>
        <w:spacing w:line="360" w:lineRule="auto"/>
        <w:ind w:left="720"/>
        <w:rPr>
          <w:rFonts w:ascii="Arial Narrow" w:hAnsi="Arial Narrow" w:cs="Calibri"/>
          <w:b w:val="0"/>
          <w:bCs w:val="0"/>
          <w:color w:val="000000"/>
          <w:lang w:val="es-CR" w:eastAsia="es-CR"/>
        </w:rPr>
      </w:pPr>
    </w:p>
    <w:p w14:paraId="67D3CC91" w14:textId="71733576" w:rsidR="00983CC9" w:rsidRPr="002E0B96" w:rsidRDefault="00A008D4" w:rsidP="00CC279A">
      <w:pPr>
        <w:pStyle w:val="Textoindependiente2"/>
        <w:numPr>
          <w:ilvl w:val="0"/>
          <w:numId w:val="127"/>
        </w:numPr>
        <w:spacing w:line="360" w:lineRule="auto"/>
        <w:rPr>
          <w:rFonts w:ascii="Arial Narrow" w:hAnsi="Arial Narrow"/>
          <w:b w:val="0"/>
          <w:bCs w:val="0"/>
          <w:noProof/>
        </w:rPr>
      </w:pPr>
      <w:r w:rsidRPr="00F85A5C">
        <w:rPr>
          <w:rFonts w:ascii="Arial Narrow" w:hAnsi="Arial Narrow"/>
          <w:noProof/>
          <w:u w:val="single"/>
        </w:rPr>
        <w:t>Meta estrat</w:t>
      </w:r>
      <w:r>
        <w:rPr>
          <w:rFonts w:ascii="Arial Narrow" w:hAnsi="Arial Narrow"/>
          <w:noProof/>
          <w:u w:val="single"/>
        </w:rPr>
        <w:t>é</w:t>
      </w:r>
      <w:r w:rsidRPr="00F85A5C">
        <w:rPr>
          <w:rFonts w:ascii="Arial Narrow" w:hAnsi="Arial Narrow"/>
          <w:noProof/>
          <w:u w:val="single"/>
        </w:rPr>
        <w:t xml:space="preserve">gica con cumplimiento </w:t>
      </w:r>
      <w:r>
        <w:rPr>
          <w:rFonts w:ascii="Arial Narrow" w:hAnsi="Arial Narrow"/>
          <w:noProof/>
          <w:u w:val="single"/>
        </w:rPr>
        <w:t>medio</w:t>
      </w:r>
      <w:r w:rsidR="00983CC9" w:rsidRPr="002E0B96">
        <w:rPr>
          <w:rFonts w:ascii="Arial Narrow" w:hAnsi="Arial Narrow"/>
          <w:u w:val="single"/>
          <w:lang w:eastAsia="en-US"/>
        </w:rPr>
        <w:t>:</w:t>
      </w:r>
      <w:r w:rsidR="00983CC9" w:rsidRPr="002E0B96">
        <w:rPr>
          <w:rFonts w:ascii="Arial Narrow" w:hAnsi="Arial Narrow"/>
          <w:lang w:eastAsia="en-US"/>
        </w:rPr>
        <w:t xml:space="preserve"> </w:t>
      </w:r>
      <w:r w:rsidR="00983CC9" w:rsidRPr="00983CC9">
        <w:rPr>
          <w:rFonts w:ascii="Arial Narrow" w:hAnsi="Arial Narrow"/>
          <w:b w:val="0"/>
          <w:bCs w:val="0"/>
          <w:noProof/>
        </w:rPr>
        <w:t xml:space="preserve">Que al finalizar el 2024, se haya implementado una estrategia de regionalización de la capacitación que permita atender las necesidades </w:t>
      </w:r>
      <w:r w:rsidR="00983CC9" w:rsidRPr="00983CC9">
        <w:rPr>
          <w:rFonts w:ascii="Arial Narrow" w:hAnsi="Arial Narrow"/>
          <w:b w:val="0"/>
          <w:bCs w:val="0"/>
          <w:noProof/>
        </w:rPr>
        <w:lastRenderedPageBreak/>
        <w:t>regionales de personal judicial, de manera continua</w:t>
      </w:r>
      <w:r w:rsidR="00983CC9">
        <w:rPr>
          <w:rFonts w:ascii="Arial Narrow" w:hAnsi="Arial Narrow"/>
          <w:b w:val="0"/>
          <w:bCs w:val="0"/>
          <w:noProof/>
        </w:rPr>
        <w:t xml:space="preserve"> (Escuela Judicial 50% de cumplimiento en 2020</w:t>
      </w:r>
      <w:r w:rsidR="009B24F8">
        <w:rPr>
          <w:rFonts w:ascii="Arial Narrow" w:hAnsi="Arial Narrow"/>
          <w:b w:val="0"/>
          <w:bCs w:val="0"/>
          <w:noProof/>
        </w:rPr>
        <w:t xml:space="preserve"> lo que equivale a un 15% acumulado</w:t>
      </w:r>
      <w:r w:rsidR="00983CC9">
        <w:rPr>
          <w:rFonts w:ascii="Arial Narrow" w:hAnsi="Arial Narrow"/>
          <w:b w:val="0"/>
          <w:bCs w:val="0"/>
          <w:noProof/>
        </w:rPr>
        <w:t>).</w:t>
      </w:r>
    </w:p>
    <w:p w14:paraId="435BD767" w14:textId="486AA63A" w:rsidR="00983CC9" w:rsidRDefault="00983CC9" w:rsidP="00983CC9">
      <w:pPr>
        <w:pStyle w:val="Textoindependiente2"/>
        <w:spacing w:line="360" w:lineRule="auto"/>
        <w:ind w:left="720"/>
        <w:rPr>
          <w:rFonts w:ascii="Arial Narrow" w:hAnsi="Arial Narrow"/>
          <w:b w:val="0"/>
          <w:bCs w:val="0"/>
          <w:noProof/>
        </w:rPr>
      </w:pPr>
    </w:p>
    <w:p w14:paraId="2E63241F" w14:textId="2C6D7488" w:rsidR="00696422" w:rsidRDefault="00696422" w:rsidP="00CC279A">
      <w:pPr>
        <w:pStyle w:val="Textoindependiente2"/>
        <w:spacing w:line="360" w:lineRule="auto"/>
        <w:ind w:left="720"/>
        <w:jc w:val="center"/>
        <w:rPr>
          <w:rFonts w:ascii="Arial Narrow" w:hAnsi="Arial Narrow" w:cs="Calibri"/>
          <w:color w:val="000000"/>
          <w:lang w:val="es-CR" w:eastAsia="es-CR"/>
        </w:rPr>
      </w:pPr>
    </w:p>
    <w:p w14:paraId="7E1C52E1" w14:textId="3D273BC1" w:rsidR="00696422" w:rsidRDefault="00696422" w:rsidP="00696422">
      <w:pPr>
        <w:pStyle w:val="Descripcin"/>
        <w:jc w:val="center"/>
        <w:rPr>
          <w:rFonts w:ascii="Arial Narrow" w:hAnsi="Arial Narrow"/>
          <w:sz w:val="24"/>
          <w:szCs w:val="24"/>
        </w:rPr>
      </w:pPr>
      <w:bookmarkStart w:id="160" w:name="_Toc84919472"/>
      <w:r w:rsidRPr="00CC279A">
        <w:rPr>
          <w:rFonts w:ascii="Arial Narrow" w:hAnsi="Arial Narrow"/>
          <w:sz w:val="24"/>
          <w:szCs w:val="24"/>
        </w:rPr>
        <w:t xml:space="preserve">Tabla </w:t>
      </w:r>
      <w:r w:rsidRPr="00CC279A">
        <w:rPr>
          <w:rFonts w:ascii="Arial Narrow" w:hAnsi="Arial Narrow"/>
          <w:sz w:val="24"/>
          <w:szCs w:val="24"/>
        </w:rPr>
        <w:fldChar w:fldCharType="begin"/>
      </w:r>
      <w:r w:rsidRPr="00CC279A">
        <w:rPr>
          <w:rFonts w:ascii="Arial Narrow" w:hAnsi="Arial Narrow"/>
          <w:sz w:val="24"/>
          <w:szCs w:val="24"/>
        </w:rPr>
        <w:instrText xml:space="preserve"> SEQ Tabla \* ARABIC </w:instrText>
      </w:r>
      <w:r w:rsidRPr="00CC279A">
        <w:rPr>
          <w:rFonts w:ascii="Arial Narrow" w:hAnsi="Arial Narrow"/>
          <w:sz w:val="24"/>
          <w:szCs w:val="24"/>
        </w:rPr>
        <w:fldChar w:fldCharType="separate"/>
      </w:r>
      <w:r w:rsidRPr="00CC279A">
        <w:rPr>
          <w:rFonts w:ascii="Arial Narrow" w:hAnsi="Arial Narrow"/>
          <w:sz w:val="24"/>
          <w:szCs w:val="24"/>
        </w:rPr>
        <w:t>14</w:t>
      </w:r>
      <w:r w:rsidRPr="00CC279A">
        <w:rPr>
          <w:rFonts w:ascii="Arial Narrow" w:hAnsi="Arial Narrow"/>
          <w:sz w:val="24"/>
          <w:szCs w:val="24"/>
        </w:rPr>
        <w:fldChar w:fldCharType="end"/>
      </w:r>
      <w:r w:rsidRPr="00CC279A">
        <w:rPr>
          <w:rFonts w:ascii="Arial Narrow" w:hAnsi="Arial Narrow"/>
          <w:sz w:val="24"/>
          <w:szCs w:val="24"/>
        </w:rPr>
        <w:t xml:space="preserve"> </w:t>
      </w:r>
      <w:r w:rsidRPr="00696422">
        <w:rPr>
          <w:rFonts w:ascii="Arial Narrow" w:hAnsi="Arial Narrow"/>
          <w:sz w:val="24"/>
          <w:szCs w:val="24"/>
        </w:rPr>
        <w:t>Desafío</w:t>
      </w:r>
      <w:r w:rsidRPr="00444856">
        <w:rPr>
          <w:rFonts w:ascii="Arial Narrow" w:hAnsi="Arial Narrow"/>
          <w:sz w:val="24"/>
          <w:szCs w:val="24"/>
        </w:rPr>
        <w:t xml:space="preserve"> </w:t>
      </w:r>
      <w:r w:rsidRPr="00696422">
        <w:rPr>
          <w:rFonts w:ascii="Arial Narrow" w:hAnsi="Arial Narrow"/>
          <w:sz w:val="24"/>
          <w:szCs w:val="24"/>
        </w:rPr>
        <w:t>Acción</w:t>
      </w:r>
      <w:r w:rsidRPr="00444856">
        <w:rPr>
          <w:rFonts w:ascii="Arial Narrow" w:hAnsi="Arial Narrow"/>
          <w:sz w:val="24"/>
          <w:szCs w:val="24"/>
        </w:rPr>
        <w:t xml:space="preserve"> Estratégica Capacitación según meta </w:t>
      </w:r>
      <w:r>
        <w:rPr>
          <w:rFonts w:ascii="Arial Narrow" w:hAnsi="Arial Narrow"/>
          <w:sz w:val="24"/>
          <w:szCs w:val="24"/>
        </w:rPr>
        <w:t>4</w:t>
      </w:r>
      <w:r w:rsidRPr="00444856">
        <w:rPr>
          <w:rFonts w:ascii="Arial Narrow" w:hAnsi="Arial Narrow"/>
          <w:sz w:val="24"/>
          <w:szCs w:val="24"/>
        </w:rPr>
        <w:t xml:space="preserve"> reportada</w:t>
      </w:r>
      <w:bookmarkEnd w:id="160"/>
    </w:p>
    <w:p w14:paraId="252C2213" w14:textId="77777777" w:rsidR="00696422" w:rsidRPr="00CC279A" w:rsidRDefault="00696422" w:rsidP="00CC279A"/>
    <w:tbl>
      <w:tblPr>
        <w:tblStyle w:val="Tablaconcuadrcula"/>
        <w:tblW w:w="0" w:type="auto"/>
        <w:tblInd w:w="720" w:type="dxa"/>
        <w:tblLook w:val="04A0" w:firstRow="1" w:lastRow="0" w:firstColumn="1" w:lastColumn="0" w:noHBand="0" w:noVBand="1"/>
      </w:tblPr>
      <w:tblGrid>
        <w:gridCol w:w="4235"/>
        <w:gridCol w:w="4248"/>
      </w:tblGrid>
      <w:tr w:rsidR="006F3725" w:rsidRPr="00D01E09" w14:paraId="12ED19FA" w14:textId="77777777" w:rsidTr="009B24F8">
        <w:tc>
          <w:tcPr>
            <w:tcW w:w="4601" w:type="dxa"/>
            <w:vAlign w:val="center"/>
          </w:tcPr>
          <w:p w14:paraId="4B1AAED9" w14:textId="77777777" w:rsidR="00C801FF" w:rsidRDefault="00C801FF" w:rsidP="009B24F8">
            <w:pPr>
              <w:pStyle w:val="Textoindependiente2"/>
              <w:spacing w:line="360" w:lineRule="auto"/>
              <w:rPr>
                <w:rFonts w:ascii="Arial Narrow" w:hAnsi="Arial Narrow"/>
                <w:b w:val="0"/>
                <w:bCs w:val="0"/>
                <w:noProof/>
              </w:rPr>
            </w:pPr>
            <w:r w:rsidRPr="00E067CE">
              <w:rPr>
                <w:rFonts w:ascii="Arial Narrow" w:hAnsi="Arial Narrow"/>
                <w:noProof/>
                <w:u w:val="single"/>
              </w:rPr>
              <w:t>Desafíos:</w:t>
            </w:r>
          </w:p>
        </w:tc>
        <w:tc>
          <w:tcPr>
            <w:tcW w:w="4602" w:type="dxa"/>
            <w:vAlign w:val="center"/>
          </w:tcPr>
          <w:p w14:paraId="59B2A8C0" w14:textId="77777777" w:rsidR="00C801FF" w:rsidRPr="00CC279A" w:rsidRDefault="00C801FF" w:rsidP="009B24F8">
            <w:pPr>
              <w:pStyle w:val="Textoindependiente2"/>
              <w:spacing w:line="360" w:lineRule="auto"/>
              <w:rPr>
                <w:rFonts w:ascii="Arial Narrow" w:hAnsi="Arial Narrow"/>
                <w:b w:val="0"/>
                <w:bCs w:val="0"/>
                <w:noProof/>
              </w:rPr>
            </w:pPr>
            <w:r w:rsidRPr="00CC279A">
              <w:rPr>
                <w:rFonts w:ascii="Arial Narrow" w:hAnsi="Arial Narrow"/>
                <w:noProof/>
              </w:rPr>
              <w:t>Responsable estratégico</w:t>
            </w:r>
            <w:r w:rsidRPr="00CC279A">
              <w:rPr>
                <w:rFonts w:ascii="Arial Narrow" w:hAnsi="Arial Narrow"/>
                <w:b w:val="0"/>
                <w:bCs w:val="0"/>
                <w:noProof/>
              </w:rPr>
              <w:t>:</w:t>
            </w:r>
          </w:p>
        </w:tc>
      </w:tr>
      <w:tr w:rsidR="006F3725" w:rsidRPr="00D01E09" w14:paraId="010A08EA" w14:textId="77777777" w:rsidTr="009B24F8">
        <w:tc>
          <w:tcPr>
            <w:tcW w:w="4601" w:type="dxa"/>
            <w:vAlign w:val="center"/>
          </w:tcPr>
          <w:p w14:paraId="54D91E9E" w14:textId="7A6499F2" w:rsidR="00C801FF" w:rsidRDefault="009B24F8" w:rsidP="009B24F8">
            <w:pPr>
              <w:pStyle w:val="Textoindependiente2"/>
              <w:spacing w:line="360" w:lineRule="auto"/>
              <w:rPr>
                <w:rFonts w:ascii="Arial Narrow" w:hAnsi="Arial Narrow"/>
                <w:b w:val="0"/>
                <w:bCs w:val="0"/>
                <w:noProof/>
              </w:rPr>
            </w:pPr>
            <w:r>
              <w:rPr>
                <w:rFonts w:ascii="Arial Narrow" w:hAnsi="Arial Narrow"/>
                <w:b w:val="0"/>
                <w:bCs w:val="0"/>
                <w:noProof/>
              </w:rPr>
              <w:t xml:space="preserve">Si bien es cierto la meta se justifica de manera apropiada en el Sistema PAO, </w:t>
            </w:r>
            <w:r w:rsidRPr="00704B08">
              <w:rPr>
                <w:rFonts w:ascii="Arial Narrow" w:hAnsi="Arial Narrow"/>
                <w:b w:val="0"/>
                <w:bCs w:val="0"/>
                <w:noProof/>
              </w:rPr>
              <w:t xml:space="preserve">y que por motivos de la pandemia hubo afectación para lograr la meta por lo que estaban en proceso de definición de sedes a diagnosticar, </w:t>
            </w:r>
            <w:r>
              <w:rPr>
                <w:rFonts w:ascii="Arial Narrow" w:hAnsi="Arial Narrow"/>
                <w:b w:val="0"/>
                <w:bCs w:val="0"/>
                <w:noProof/>
              </w:rPr>
              <w:t>y</w:t>
            </w:r>
            <w:r w:rsidRPr="00704B08">
              <w:rPr>
                <w:rFonts w:ascii="Arial Narrow" w:hAnsi="Arial Narrow"/>
                <w:b w:val="0"/>
                <w:bCs w:val="0"/>
                <w:noProof/>
              </w:rPr>
              <w:t xml:space="preserve"> no se realizó ningún diagnóstico de zonas regionales, </w:t>
            </w:r>
            <w:r>
              <w:rPr>
                <w:rFonts w:ascii="Arial Narrow" w:hAnsi="Arial Narrow"/>
                <w:b w:val="0"/>
                <w:bCs w:val="0"/>
                <w:noProof/>
              </w:rPr>
              <w:t xml:space="preserve">se propone seguir los esfuerzos para desarrollar </w:t>
            </w:r>
            <w:r w:rsidRPr="00704B08">
              <w:rPr>
                <w:rFonts w:ascii="Arial Narrow" w:hAnsi="Arial Narrow"/>
                <w:b w:val="0"/>
                <w:bCs w:val="0"/>
                <w:noProof/>
              </w:rPr>
              <w:t xml:space="preserve">varias actividades de capacitación </w:t>
            </w:r>
            <w:r>
              <w:rPr>
                <w:rFonts w:ascii="Arial Narrow" w:hAnsi="Arial Narrow"/>
                <w:b w:val="0"/>
                <w:bCs w:val="0"/>
                <w:noProof/>
              </w:rPr>
              <w:t xml:space="preserve">con el fin de </w:t>
            </w:r>
            <w:r w:rsidRPr="00704B08">
              <w:rPr>
                <w:rFonts w:ascii="Arial Narrow" w:hAnsi="Arial Narrow"/>
                <w:b w:val="0"/>
                <w:bCs w:val="0"/>
                <w:noProof/>
              </w:rPr>
              <w:t xml:space="preserve"> ejecutar</w:t>
            </w:r>
            <w:r>
              <w:rPr>
                <w:rFonts w:ascii="Arial Narrow" w:hAnsi="Arial Narrow"/>
                <w:b w:val="0"/>
                <w:bCs w:val="0"/>
                <w:noProof/>
              </w:rPr>
              <w:t>las en años posteriores.</w:t>
            </w:r>
          </w:p>
        </w:tc>
        <w:tc>
          <w:tcPr>
            <w:tcW w:w="4602" w:type="dxa"/>
            <w:vAlign w:val="center"/>
          </w:tcPr>
          <w:p w14:paraId="2878794D" w14:textId="2FDBA10F" w:rsidR="00C801FF" w:rsidRPr="00CC279A" w:rsidRDefault="009B24F8" w:rsidP="009B24F8">
            <w:pPr>
              <w:pStyle w:val="Textoindependiente2"/>
              <w:spacing w:line="360" w:lineRule="auto"/>
              <w:rPr>
                <w:rFonts w:ascii="Arial Narrow" w:hAnsi="Arial Narrow"/>
                <w:b w:val="0"/>
                <w:bCs w:val="0"/>
                <w:noProof/>
              </w:rPr>
            </w:pPr>
            <w:r>
              <w:rPr>
                <w:rFonts w:ascii="Arial Narrow" w:hAnsi="Arial Narrow"/>
                <w:b w:val="0"/>
                <w:bCs w:val="0"/>
                <w:noProof/>
              </w:rPr>
              <w:t>Escuela Judicial</w:t>
            </w:r>
          </w:p>
        </w:tc>
      </w:tr>
    </w:tbl>
    <w:p w14:paraId="584F7925" w14:textId="77777777" w:rsidR="00FD7BA1" w:rsidRDefault="00FD7BA1" w:rsidP="00983CC9">
      <w:pPr>
        <w:pStyle w:val="Textoindependiente2"/>
        <w:spacing w:line="360" w:lineRule="auto"/>
        <w:ind w:left="720"/>
        <w:rPr>
          <w:rFonts w:ascii="Arial Narrow" w:hAnsi="Arial Narrow"/>
          <w:noProof/>
          <w:u w:val="single"/>
        </w:rPr>
      </w:pPr>
    </w:p>
    <w:p w14:paraId="35636681" w14:textId="34E5B4EA" w:rsidR="00983CC9" w:rsidRPr="002E0B96" w:rsidRDefault="00A008D4" w:rsidP="00CC279A">
      <w:pPr>
        <w:pStyle w:val="Textoindependiente2"/>
        <w:numPr>
          <w:ilvl w:val="0"/>
          <w:numId w:val="127"/>
        </w:numPr>
        <w:spacing w:line="360" w:lineRule="auto"/>
        <w:rPr>
          <w:rFonts w:ascii="Arial Narrow" w:hAnsi="Arial Narrow"/>
          <w:b w:val="0"/>
          <w:bCs w:val="0"/>
          <w:noProof/>
        </w:rPr>
      </w:pPr>
      <w:r w:rsidRPr="00F85A5C">
        <w:rPr>
          <w:rFonts w:ascii="Arial Narrow" w:hAnsi="Arial Narrow"/>
          <w:noProof/>
          <w:u w:val="single"/>
        </w:rPr>
        <w:t>Meta estrat</w:t>
      </w:r>
      <w:r>
        <w:rPr>
          <w:rFonts w:ascii="Arial Narrow" w:hAnsi="Arial Narrow"/>
          <w:noProof/>
          <w:u w:val="single"/>
        </w:rPr>
        <w:t>é</w:t>
      </w:r>
      <w:r w:rsidRPr="00F85A5C">
        <w:rPr>
          <w:rFonts w:ascii="Arial Narrow" w:hAnsi="Arial Narrow"/>
          <w:noProof/>
          <w:u w:val="single"/>
        </w:rPr>
        <w:t xml:space="preserve">gica con cumplimiento </w:t>
      </w:r>
      <w:r>
        <w:rPr>
          <w:rFonts w:ascii="Arial Narrow" w:hAnsi="Arial Narrow"/>
          <w:noProof/>
          <w:u w:val="single"/>
        </w:rPr>
        <w:t>medio</w:t>
      </w:r>
      <w:r w:rsidR="00983CC9" w:rsidRPr="002E0B96">
        <w:rPr>
          <w:rFonts w:ascii="Arial Narrow" w:hAnsi="Arial Narrow"/>
          <w:u w:val="single"/>
          <w:lang w:eastAsia="en-US"/>
        </w:rPr>
        <w:t>:</w:t>
      </w:r>
      <w:r w:rsidR="00983CC9" w:rsidRPr="002E0B96">
        <w:rPr>
          <w:rFonts w:ascii="Arial Narrow" w:hAnsi="Arial Narrow"/>
          <w:lang w:eastAsia="en-US"/>
        </w:rPr>
        <w:t xml:space="preserve"> </w:t>
      </w:r>
      <w:r w:rsidR="00983CC9" w:rsidRPr="00983CC9">
        <w:rPr>
          <w:rFonts w:ascii="Arial Narrow" w:hAnsi="Arial Narrow"/>
          <w:b w:val="0"/>
          <w:bCs w:val="0"/>
          <w:noProof/>
        </w:rPr>
        <w:t>Que al finalizar el 2024, se hayan diseñado e implementado, al menos  5 actividades de capacitación anuales por parte de la Unidad de Capacitación del Organismo de Investigación Judicial, acorde a  los perfiles competenciales de la población meta que se desea capacitar, con el fin de alcanzar  el desempeño deseado en la función</w:t>
      </w:r>
      <w:r w:rsidR="00983CC9">
        <w:rPr>
          <w:rFonts w:ascii="Arial Narrow" w:hAnsi="Arial Narrow"/>
          <w:b w:val="0"/>
          <w:bCs w:val="0"/>
          <w:noProof/>
        </w:rPr>
        <w:t xml:space="preserve"> (cumplimiento 60% para 2020</w:t>
      </w:r>
      <w:r w:rsidR="009B24F8">
        <w:rPr>
          <w:rFonts w:ascii="Arial Narrow" w:hAnsi="Arial Narrow"/>
          <w:b w:val="0"/>
          <w:bCs w:val="0"/>
          <w:noProof/>
        </w:rPr>
        <w:t xml:space="preserve"> y para 2019 se reportó un 0%</w:t>
      </w:r>
      <w:r w:rsidR="00983CC9">
        <w:rPr>
          <w:rFonts w:ascii="Arial Narrow" w:hAnsi="Arial Narrow"/>
          <w:b w:val="0"/>
          <w:bCs w:val="0"/>
          <w:noProof/>
        </w:rPr>
        <w:t>).</w:t>
      </w:r>
    </w:p>
    <w:p w14:paraId="416045C5" w14:textId="4C46A49F" w:rsidR="00983CC9" w:rsidRDefault="008317B1" w:rsidP="00983CC9">
      <w:pPr>
        <w:pStyle w:val="Textoindependiente2"/>
        <w:spacing w:line="360" w:lineRule="auto"/>
        <w:ind w:left="720"/>
        <w:rPr>
          <w:rFonts w:ascii="Arial Narrow" w:hAnsi="Arial Narrow"/>
          <w:b w:val="0"/>
          <w:bCs w:val="0"/>
          <w:noProof/>
        </w:rPr>
      </w:pPr>
      <w:r>
        <w:rPr>
          <w:rFonts w:ascii="Arial Narrow" w:hAnsi="Arial Narrow"/>
          <w:b w:val="0"/>
          <w:bCs w:val="0"/>
          <w:noProof/>
        </w:rPr>
        <w:t>.</w:t>
      </w:r>
    </w:p>
    <w:p w14:paraId="02842D06" w14:textId="0B939D74" w:rsidR="00696422" w:rsidRDefault="00696422" w:rsidP="00696422">
      <w:pPr>
        <w:pStyle w:val="Descripcin"/>
        <w:jc w:val="center"/>
        <w:rPr>
          <w:rFonts w:ascii="Arial Narrow" w:hAnsi="Arial Narrow"/>
          <w:sz w:val="24"/>
          <w:szCs w:val="24"/>
        </w:rPr>
      </w:pPr>
      <w:bookmarkStart w:id="161" w:name="_Toc84919473"/>
      <w:r w:rsidRPr="00CC279A">
        <w:rPr>
          <w:rFonts w:ascii="Arial Narrow" w:hAnsi="Arial Narrow"/>
          <w:sz w:val="24"/>
          <w:szCs w:val="24"/>
        </w:rPr>
        <w:t xml:space="preserve">Tabla </w:t>
      </w:r>
      <w:r w:rsidRPr="00CC279A">
        <w:rPr>
          <w:rFonts w:ascii="Arial Narrow" w:hAnsi="Arial Narrow"/>
          <w:sz w:val="24"/>
          <w:szCs w:val="24"/>
        </w:rPr>
        <w:fldChar w:fldCharType="begin"/>
      </w:r>
      <w:r w:rsidRPr="00CC279A">
        <w:rPr>
          <w:rFonts w:ascii="Arial Narrow" w:hAnsi="Arial Narrow"/>
          <w:sz w:val="24"/>
          <w:szCs w:val="24"/>
        </w:rPr>
        <w:instrText xml:space="preserve"> SEQ Tabla \* ARABIC </w:instrText>
      </w:r>
      <w:r w:rsidRPr="00CC279A">
        <w:rPr>
          <w:rFonts w:ascii="Arial Narrow" w:hAnsi="Arial Narrow"/>
          <w:sz w:val="24"/>
          <w:szCs w:val="24"/>
        </w:rPr>
        <w:fldChar w:fldCharType="separate"/>
      </w:r>
      <w:r w:rsidRPr="00CC279A">
        <w:rPr>
          <w:rFonts w:ascii="Arial Narrow" w:hAnsi="Arial Narrow"/>
          <w:sz w:val="24"/>
          <w:szCs w:val="24"/>
        </w:rPr>
        <w:t>15</w:t>
      </w:r>
      <w:r w:rsidRPr="00CC279A">
        <w:rPr>
          <w:rFonts w:ascii="Arial Narrow" w:hAnsi="Arial Narrow"/>
          <w:sz w:val="24"/>
          <w:szCs w:val="24"/>
        </w:rPr>
        <w:fldChar w:fldCharType="end"/>
      </w:r>
      <w:r w:rsidRPr="00CC279A">
        <w:rPr>
          <w:rFonts w:ascii="Arial Narrow" w:hAnsi="Arial Narrow"/>
          <w:sz w:val="24"/>
          <w:szCs w:val="24"/>
        </w:rPr>
        <w:t xml:space="preserve"> </w:t>
      </w:r>
      <w:r w:rsidRPr="00696422">
        <w:rPr>
          <w:rFonts w:ascii="Arial Narrow" w:hAnsi="Arial Narrow"/>
          <w:sz w:val="24"/>
          <w:szCs w:val="24"/>
        </w:rPr>
        <w:t>Desafío</w:t>
      </w:r>
      <w:r w:rsidRPr="00444856">
        <w:rPr>
          <w:rFonts w:ascii="Arial Narrow" w:hAnsi="Arial Narrow"/>
          <w:sz w:val="24"/>
          <w:szCs w:val="24"/>
        </w:rPr>
        <w:t xml:space="preserve"> </w:t>
      </w:r>
      <w:r w:rsidRPr="00696422">
        <w:rPr>
          <w:rFonts w:ascii="Arial Narrow" w:hAnsi="Arial Narrow"/>
          <w:sz w:val="24"/>
          <w:szCs w:val="24"/>
        </w:rPr>
        <w:t>Acción</w:t>
      </w:r>
      <w:r w:rsidRPr="00444856">
        <w:rPr>
          <w:rFonts w:ascii="Arial Narrow" w:hAnsi="Arial Narrow"/>
          <w:sz w:val="24"/>
          <w:szCs w:val="24"/>
        </w:rPr>
        <w:t xml:space="preserve"> Estratégica Capacitación según meta </w:t>
      </w:r>
      <w:r>
        <w:rPr>
          <w:rFonts w:ascii="Arial Narrow" w:hAnsi="Arial Narrow"/>
          <w:sz w:val="24"/>
          <w:szCs w:val="24"/>
        </w:rPr>
        <w:t>1</w:t>
      </w:r>
      <w:r w:rsidRPr="00444856">
        <w:rPr>
          <w:rFonts w:ascii="Arial Narrow" w:hAnsi="Arial Narrow"/>
          <w:sz w:val="24"/>
          <w:szCs w:val="24"/>
        </w:rPr>
        <w:t xml:space="preserve"> reportada</w:t>
      </w:r>
      <w:bookmarkEnd w:id="161"/>
    </w:p>
    <w:p w14:paraId="390C1088" w14:textId="77777777" w:rsidR="00696422" w:rsidRPr="00CC279A" w:rsidRDefault="00696422" w:rsidP="00CC279A">
      <w:pPr>
        <w:rPr>
          <w:b/>
          <w:bCs/>
        </w:rPr>
      </w:pPr>
    </w:p>
    <w:tbl>
      <w:tblPr>
        <w:tblStyle w:val="Tablaconcuadrcula"/>
        <w:tblW w:w="0" w:type="auto"/>
        <w:tblInd w:w="720" w:type="dxa"/>
        <w:tblLook w:val="04A0" w:firstRow="1" w:lastRow="0" w:firstColumn="1" w:lastColumn="0" w:noHBand="0" w:noVBand="1"/>
      </w:tblPr>
      <w:tblGrid>
        <w:gridCol w:w="4237"/>
        <w:gridCol w:w="4246"/>
      </w:tblGrid>
      <w:tr w:rsidR="006F3725" w:rsidRPr="00D01E09" w14:paraId="23B2E7C7" w14:textId="77777777" w:rsidTr="009B24F8">
        <w:tc>
          <w:tcPr>
            <w:tcW w:w="4601" w:type="dxa"/>
            <w:vAlign w:val="center"/>
          </w:tcPr>
          <w:p w14:paraId="47E07AE8" w14:textId="77777777" w:rsidR="00C801FF" w:rsidRPr="009B24F8" w:rsidRDefault="00C801FF" w:rsidP="009B24F8">
            <w:pPr>
              <w:pStyle w:val="Textoindependiente2"/>
              <w:spacing w:line="360" w:lineRule="auto"/>
              <w:rPr>
                <w:rFonts w:ascii="Arial Narrow" w:hAnsi="Arial Narrow"/>
                <w:b w:val="0"/>
                <w:bCs w:val="0"/>
                <w:noProof/>
              </w:rPr>
            </w:pPr>
            <w:r w:rsidRPr="009B24F8">
              <w:rPr>
                <w:rFonts w:ascii="Arial Narrow" w:hAnsi="Arial Narrow"/>
                <w:noProof/>
                <w:u w:val="single"/>
              </w:rPr>
              <w:t>Desafíos:</w:t>
            </w:r>
          </w:p>
        </w:tc>
        <w:tc>
          <w:tcPr>
            <w:tcW w:w="4602" w:type="dxa"/>
            <w:vAlign w:val="center"/>
          </w:tcPr>
          <w:p w14:paraId="09D7F66B" w14:textId="77777777" w:rsidR="00C801FF" w:rsidRPr="00CC279A" w:rsidRDefault="00C801FF" w:rsidP="009B24F8">
            <w:pPr>
              <w:pStyle w:val="Textoindependiente2"/>
              <w:spacing w:line="360" w:lineRule="auto"/>
              <w:rPr>
                <w:rFonts w:ascii="Arial Narrow" w:hAnsi="Arial Narrow"/>
                <w:b w:val="0"/>
                <w:bCs w:val="0"/>
                <w:noProof/>
              </w:rPr>
            </w:pPr>
            <w:r w:rsidRPr="00CC279A">
              <w:rPr>
                <w:rFonts w:ascii="Arial Narrow" w:hAnsi="Arial Narrow"/>
                <w:noProof/>
              </w:rPr>
              <w:t>Responsable estratégico</w:t>
            </w:r>
            <w:r w:rsidRPr="00CC279A">
              <w:rPr>
                <w:rFonts w:ascii="Arial Narrow" w:hAnsi="Arial Narrow"/>
                <w:b w:val="0"/>
                <w:bCs w:val="0"/>
                <w:noProof/>
              </w:rPr>
              <w:t>:</w:t>
            </w:r>
          </w:p>
        </w:tc>
      </w:tr>
      <w:tr w:rsidR="006F3725" w:rsidRPr="00D01E09" w14:paraId="1F79FF36" w14:textId="77777777" w:rsidTr="009B24F8">
        <w:tc>
          <w:tcPr>
            <w:tcW w:w="4601" w:type="dxa"/>
            <w:vAlign w:val="center"/>
          </w:tcPr>
          <w:p w14:paraId="6DE2B707" w14:textId="70F0DC75" w:rsidR="00C801FF" w:rsidRPr="009B24F8" w:rsidRDefault="00824D55" w:rsidP="009B24F8">
            <w:pPr>
              <w:pStyle w:val="Textoindependiente2"/>
              <w:spacing w:line="360" w:lineRule="auto"/>
              <w:rPr>
                <w:rFonts w:ascii="Arial Narrow" w:hAnsi="Arial Narrow"/>
                <w:b w:val="0"/>
                <w:bCs w:val="0"/>
                <w:noProof/>
              </w:rPr>
            </w:pPr>
            <w:r w:rsidRPr="009B24F8">
              <w:rPr>
                <w:rFonts w:ascii="Arial Narrow" w:hAnsi="Arial Narrow"/>
                <w:b w:val="0"/>
                <w:bCs w:val="0"/>
                <w:noProof/>
              </w:rPr>
              <w:t xml:space="preserve">Se informa que para el 2020, las actividades académicas se ejecutarán con base en el mapa funcional que emite la Dirección de </w:t>
            </w:r>
            <w:r w:rsidRPr="009B24F8">
              <w:rPr>
                <w:rFonts w:ascii="Arial Narrow" w:hAnsi="Arial Narrow"/>
                <w:b w:val="0"/>
                <w:bCs w:val="0"/>
                <w:noProof/>
              </w:rPr>
              <w:lastRenderedPageBreak/>
              <w:t>Gestión Humana con el Programa de Formación Básica en Investigación Criminal, por lo que resulta conveniente el analisis de la meta estrategica en</w:t>
            </w:r>
            <w:r w:rsidRPr="0053265A">
              <w:rPr>
                <w:rFonts w:ascii="Arial Narrow" w:hAnsi="Arial Narrow"/>
                <w:b w:val="0"/>
                <w:bCs w:val="0"/>
                <w:noProof/>
              </w:rPr>
              <w:t xml:space="preserve"> la que figura como responsable la </w:t>
            </w:r>
            <w:r w:rsidRPr="00DF1162">
              <w:rPr>
                <w:rFonts w:ascii="Arial Narrow" w:hAnsi="Arial Narrow"/>
                <w:b w:val="0"/>
                <w:bCs w:val="0"/>
                <w:noProof/>
              </w:rPr>
              <w:t>Unidad de Capacitación del Organismo de Investigación Judicial</w:t>
            </w:r>
          </w:p>
        </w:tc>
        <w:tc>
          <w:tcPr>
            <w:tcW w:w="4602" w:type="dxa"/>
            <w:vAlign w:val="center"/>
          </w:tcPr>
          <w:p w14:paraId="2D94753D" w14:textId="72398795" w:rsidR="00C801FF" w:rsidRPr="00CC279A" w:rsidRDefault="009B24F8" w:rsidP="009B24F8">
            <w:pPr>
              <w:pStyle w:val="Textoindependiente2"/>
              <w:spacing w:line="360" w:lineRule="auto"/>
              <w:rPr>
                <w:rFonts w:ascii="Arial Narrow" w:hAnsi="Arial Narrow"/>
                <w:b w:val="0"/>
                <w:bCs w:val="0"/>
                <w:noProof/>
              </w:rPr>
            </w:pPr>
            <w:r w:rsidRPr="009B24F8">
              <w:rPr>
                <w:rFonts w:ascii="Arial Narrow" w:hAnsi="Arial Narrow"/>
                <w:b w:val="0"/>
                <w:bCs w:val="0"/>
                <w:noProof/>
              </w:rPr>
              <w:lastRenderedPageBreak/>
              <w:t>Escuela Judicial</w:t>
            </w:r>
          </w:p>
        </w:tc>
      </w:tr>
    </w:tbl>
    <w:p w14:paraId="3B8011CA" w14:textId="56282C38" w:rsidR="008317B1" w:rsidRDefault="008317B1" w:rsidP="00983CC9">
      <w:pPr>
        <w:pStyle w:val="Textoindependiente2"/>
        <w:spacing w:line="360" w:lineRule="auto"/>
        <w:ind w:left="720"/>
        <w:rPr>
          <w:rFonts w:ascii="Arial Narrow" w:hAnsi="Arial Narrow" w:cs="Calibri"/>
          <w:color w:val="000000"/>
          <w:lang w:val="es-CR" w:eastAsia="es-CR"/>
        </w:rPr>
      </w:pPr>
    </w:p>
    <w:p w14:paraId="5E353769" w14:textId="77777777" w:rsidR="009B24F8" w:rsidRPr="009D5823" w:rsidRDefault="009B24F8" w:rsidP="00983CC9">
      <w:pPr>
        <w:pStyle w:val="Textoindependiente2"/>
        <w:spacing w:line="360" w:lineRule="auto"/>
        <w:ind w:left="720"/>
        <w:rPr>
          <w:rFonts w:ascii="Arial Narrow" w:hAnsi="Arial Narrow" w:cs="Calibri"/>
          <w:color w:val="000000"/>
          <w:lang w:val="es-CR" w:eastAsia="es-CR"/>
        </w:rPr>
      </w:pPr>
    </w:p>
    <w:p w14:paraId="4BBE50F3" w14:textId="282CB652" w:rsidR="00983CC9" w:rsidRDefault="00A008D4" w:rsidP="00CC279A">
      <w:pPr>
        <w:pStyle w:val="Textoindependiente2"/>
        <w:numPr>
          <w:ilvl w:val="0"/>
          <w:numId w:val="127"/>
        </w:numPr>
        <w:spacing w:line="360" w:lineRule="auto"/>
        <w:rPr>
          <w:rFonts w:ascii="Arial Narrow" w:hAnsi="Arial Narrow"/>
          <w:b w:val="0"/>
          <w:bCs w:val="0"/>
          <w:noProof/>
        </w:rPr>
      </w:pPr>
      <w:r w:rsidRPr="00F85A5C">
        <w:rPr>
          <w:rFonts w:ascii="Arial Narrow" w:hAnsi="Arial Narrow"/>
          <w:noProof/>
          <w:u w:val="single"/>
        </w:rPr>
        <w:t>Meta estrat</w:t>
      </w:r>
      <w:r>
        <w:rPr>
          <w:rFonts w:ascii="Arial Narrow" w:hAnsi="Arial Narrow"/>
          <w:noProof/>
          <w:u w:val="single"/>
        </w:rPr>
        <w:t>é</w:t>
      </w:r>
      <w:r w:rsidRPr="00F85A5C">
        <w:rPr>
          <w:rFonts w:ascii="Arial Narrow" w:hAnsi="Arial Narrow"/>
          <w:noProof/>
          <w:u w:val="single"/>
        </w:rPr>
        <w:t xml:space="preserve">gica con cumplimiento </w:t>
      </w:r>
      <w:r>
        <w:rPr>
          <w:rFonts w:ascii="Arial Narrow" w:hAnsi="Arial Narrow"/>
          <w:noProof/>
          <w:u w:val="single"/>
        </w:rPr>
        <w:t>medio</w:t>
      </w:r>
      <w:r w:rsidR="00983CC9" w:rsidRPr="002E0B96">
        <w:rPr>
          <w:rFonts w:ascii="Arial Narrow" w:hAnsi="Arial Narrow"/>
          <w:u w:val="single"/>
          <w:lang w:eastAsia="en-US"/>
        </w:rPr>
        <w:t>:</w:t>
      </w:r>
      <w:r w:rsidR="00983CC9" w:rsidRPr="002E0B96">
        <w:rPr>
          <w:rFonts w:ascii="Arial Narrow" w:hAnsi="Arial Narrow"/>
          <w:lang w:eastAsia="en-US"/>
        </w:rPr>
        <w:t xml:space="preserve"> </w:t>
      </w:r>
      <w:r w:rsidR="00983CC9" w:rsidRPr="00983CC9">
        <w:rPr>
          <w:rFonts w:ascii="Arial Narrow" w:hAnsi="Arial Narrow"/>
          <w:b w:val="0"/>
          <w:bCs w:val="0"/>
          <w:noProof/>
        </w:rPr>
        <w:t>Que al finalizar el 2024, se hayan  implementado programas de cooperación con universidades que imparten la carrera de Derecho y otras carreras de interés, para el desarrollo de enfoques o especialidades acordes con las competencias requeridas por el Poder Judicial</w:t>
      </w:r>
      <w:r w:rsidR="00983CC9">
        <w:rPr>
          <w:rFonts w:ascii="Arial Narrow" w:hAnsi="Arial Narrow"/>
          <w:b w:val="0"/>
          <w:bCs w:val="0"/>
          <w:noProof/>
        </w:rPr>
        <w:t xml:space="preserve"> (cumplimiento bajo en 2019 de 0%).</w:t>
      </w:r>
    </w:p>
    <w:p w14:paraId="7D77A0D1" w14:textId="77777777" w:rsidR="009B24F8" w:rsidRPr="002E0B96" w:rsidRDefault="009B24F8" w:rsidP="00983CC9">
      <w:pPr>
        <w:pStyle w:val="Textoindependiente2"/>
        <w:spacing w:line="360" w:lineRule="auto"/>
        <w:ind w:left="720"/>
        <w:rPr>
          <w:rFonts w:ascii="Arial Narrow" w:hAnsi="Arial Narrow"/>
          <w:b w:val="0"/>
          <w:bCs w:val="0"/>
          <w:noProof/>
        </w:rPr>
      </w:pPr>
    </w:p>
    <w:p w14:paraId="5F3458E9" w14:textId="30FC28B9" w:rsidR="00983CC9" w:rsidRDefault="00983CC9" w:rsidP="00983CC9">
      <w:pPr>
        <w:pStyle w:val="Textoindependiente2"/>
        <w:spacing w:line="360" w:lineRule="auto"/>
        <w:ind w:left="720"/>
        <w:rPr>
          <w:rFonts w:ascii="Arial Narrow" w:hAnsi="Arial Narrow" w:cs="Calibri"/>
          <w:color w:val="000000"/>
          <w:lang w:val="es-CR" w:eastAsia="es-CR"/>
        </w:rPr>
      </w:pPr>
    </w:p>
    <w:p w14:paraId="19C676A4" w14:textId="6DC22247" w:rsidR="00DD6B33" w:rsidRDefault="00DD6B33" w:rsidP="00983CC9">
      <w:pPr>
        <w:pStyle w:val="Textoindependiente2"/>
        <w:spacing w:line="360" w:lineRule="auto"/>
        <w:ind w:left="720"/>
        <w:rPr>
          <w:rFonts w:ascii="Arial Narrow" w:hAnsi="Arial Narrow" w:cs="Calibri"/>
          <w:color w:val="000000"/>
          <w:lang w:val="es-CR" w:eastAsia="es-CR"/>
        </w:rPr>
      </w:pPr>
    </w:p>
    <w:p w14:paraId="4BAA008B" w14:textId="28A59885" w:rsidR="00DD6B33" w:rsidRDefault="00DD6B33" w:rsidP="00DD6B33">
      <w:pPr>
        <w:pStyle w:val="Descripcin"/>
        <w:jc w:val="center"/>
        <w:rPr>
          <w:rFonts w:ascii="Arial Narrow" w:hAnsi="Arial Narrow"/>
          <w:sz w:val="24"/>
          <w:szCs w:val="24"/>
        </w:rPr>
      </w:pPr>
      <w:bookmarkStart w:id="162" w:name="_Toc84919474"/>
      <w:r w:rsidRPr="00CC279A">
        <w:rPr>
          <w:rFonts w:ascii="Arial Narrow" w:hAnsi="Arial Narrow"/>
          <w:sz w:val="24"/>
          <w:szCs w:val="24"/>
        </w:rPr>
        <w:t xml:space="preserve">Tabla </w:t>
      </w:r>
      <w:r w:rsidRPr="00CC279A">
        <w:rPr>
          <w:rFonts w:ascii="Arial Narrow" w:hAnsi="Arial Narrow"/>
          <w:sz w:val="24"/>
          <w:szCs w:val="24"/>
        </w:rPr>
        <w:fldChar w:fldCharType="begin"/>
      </w:r>
      <w:r w:rsidRPr="00CC279A">
        <w:rPr>
          <w:rFonts w:ascii="Arial Narrow" w:hAnsi="Arial Narrow"/>
          <w:sz w:val="24"/>
          <w:szCs w:val="24"/>
        </w:rPr>
        <w:instrText xml:space="preserve"> SEQ Tabla \* ARABIC </w:instrText>
      </w:r>
      <w:r w:rsidRPr="00CC279A">
        <w:rPr>
          <w:rFonts w:ascii="Arial Narrow" w:hAnsi="Arial Narrow"/>
          <w:sz w:val="24"/>
          <w:szCs w:val="24"/>
        </w:rPr>
        <w:fldChar w:fldCharType="separate"/>
      </w:r>
      <w:r w:rsidRPr="00CC279A">
        <w:rPr>
          <w:rFonts w:ascii="Arial Narrow" w:hAnsi="Arial Narrow"/>
          <w:sz w:val="24"/>
          <w:szCs w:val="24"/>
        </w:rPr>
        <w:t>16</w:t>
      </w:r>
      <w:r w:rsidRPr="00CC279A">
        <w:rPr>
          <w:rFonts w:ascii="Arial Narrow" w:hAnsi="Arial Narrow"/>
          <w:sz w:val="24"/>
          <w:szCs w:val="24"/>
        </w:rPr>
        <w:fldChar w:fldCharType="end"/>
      </w:r>
      <w:r w:rsidRPr="00CC279A">
        <w:rPr>
          <w:rFonts w:ascii="Arial Narrow" w:hAnsi="Arial Narrow"/>
          <w:sz w:val="24"/>
          <w:szCs w:val="24"/>
        </w:rPr>
        <w:t xml:space="preserve"> </w:t>
      </w:r>
      <w:r w:rsidRPr="00DD6B33">
        <w:rPr>
          <w:rFonts w:ascii="Arial Narrow" w:hAnsi="Arial Narrow"/>
          <w:sz w:val="24"/>
          <w:szCs w:val="24"/>
        </w:rPr>
        <w:t xml:space="preserve"> </w:t>
      </w:r>
      <w:r w:rsidRPr="00696422">
        <w:rPr>
          <w:rFonts w:ascii="Arial Narrow" w:hAnsi="Arial Narrow"/>
          <w:sz w:val="24"/>
          <w:szCs w:val="24"/>
        </w:rPr>
        <w:t>Desafío</w:t>
      </w:r>
      <w:r w:rsidRPr="00444856">
        <w:rPr>
          <w:rFonts w:ascii="Arial Narrow" w:hAnsi="Arial Narrow"/>
          <w:sz w:val="24"/>
          <w:szCs w:val="24"/>
        </w:rPr>
        <w:t xml:space="preserve"> </w:t>
      </w:r>
      <w:r w:rsidRPr="00696422">
        <w:rPr>
          <w:rFonts w:ascii="Arial Narrow" w:hAnsi="Arial Narrow"/>
          <w:sz w:val="24"/>
          <w:szCs w:val="24"/>
        </w:rPr>
        <w:t>Acción</w:t>
      </w:r>
      <w:r w:rsidRPr="00444856">
        <w:rPr>
          <w:rFonts w:ascii="Arial Narrow" w:hAnsi="Arial Narrow"/>
          <w:sz w:val="24"/>
          <w:szCs w:val="24"/>
        </w:rPr>
        <w:t xml:space="preserve"> Estratégica Capacitación según meta </w:t>
      </w:r>
      <w:r>
        <w:rPr>
          <w:rFonts w:ascii="Arial Narrow" w:hAnsi="Arial Narrow"/>
          <w:sz w:val="24"/>
          <w:szCs w:val="24"/>
        </w:rPr>
        <w:t>6</w:t>
      </w:r>
      <w:r w:rsidRPr="00444856">
        <w:rPr>
          <w:rFonts w:ascii="Arial Narrow" w:hAnsi="Arial Narrow"/>
          <w:sz w:val="24"/>
          <w:szCs w:val="24"/>
        </w:rPr>
        <w:t xml:space="preserve"> reportada</w:t>
      </w:r>
      <w:bookmarkEnd w:id="162"/>
    </w:p>
    <w:p w14:paraId="73D8F224" w14:textId="77777777" w:rsidR="00DD6B33" w:rsidRPr="00CC279A" w:rsidRDefault="00DD6B33" w:rsidP="00CC279A"/>
    <w:tbl>
      <w:tblPr>
        <w:tblStyle w:val="Tablaconcuadrcula"/>
        <w:tblW w:w="0" w:type="auto"/>
        <w:tblInd w:w="720" w:type="dxa"/>
        <w:tblLook w:val="04A0" w:firstRow="1" w:lastRow="0" w:firstColumn="1" w:lastColumn="0" w:noHBand="0" w:noVBand="1"/>
      </w:tblPr>
      <w:tblGrid>
        <w:gridCol w:w="4240"/>
        <w:gridCol w:w="4243"/>
      </w:tblGrid>
      <w:tr w:rsidR="006F3725" w:rsidRPr="00D01E09" w14:paraId="2BCDE127" w14:textId="77777777" w:rsidTr="009B24F8">
        <w:tc>
          <w:tcPr>
            <w:tcW w:w="4601" w:type="dxa"/>
            <w:vAlign w:val="center"/>
          </w:tcPr>
          <w:p w14:paraId="73652E7D" w14:textId="77777777" w:rsidR="00C801FF" w:rsidRDefault="00C801FF" w:rsidP="009B24F8">
            <w:pPr>
              <w:pStyle w:val="Textoindependiente2"/>
              <w:spacing w:line="360" w:lineRule="auto"/>
              <w:rPr>
                <w:rFonts w:ascii="Arial Narrow" w:hAnsi="Arial Narrow"/>
                <w:b w:val="0"/>
                <w:bCs w:val="0"/>
                <w:noProof/>
              </w:rPr>
            </w:pPr>
            <w:r w:rsidRPr="00E067CE">
              <w:rPr>
                <w:rFonts w:ascii="Arial Narrow" w:hAnsi="Arial Narrow"/>
                <w:noProof/>
                <w:u w:val="single"/>
              </w:rPr>
              <w:t>Desafíos:</w:t>
            </w:r>
          </w:p>
        </w:tc>
        <w:tc>
          <w:tcPr>
            <w:tcW w:w="4602" w:type="dxa"/>
            <w:vAlign w:val="center"/>
          </w:tcPr>
          <w:p w14:paraId="0BB556F1" w14:textId="77777777" w:rsidR="00C801FF" w:rsidRPr="00CC279A" w:rsidRDefault="00C801FF" w:rsidP="009B24F8">
            <w:pPr>
              <w:pStyle w:val="Textoindependiente2"/>
              <w:spacing w:line="360" w:lineRule="auto"/>
              <w:rPr>
                <w:rFonts w:ascii="Arial Narrow" w:hAnsi="Arial Narrow"/>
                <w:b w:val="0"/>
                <w:bCs w:val="0"/>
                <w:noProof/>
              </w:rPr>
            </w:pPr>
            <w:r w:rsidRPr="00CC279A">
              <w:rPr>
                <w:rFonts w:ascii="Arial Narrow" w:hAnsi="Arial Narrow"/>
                <w:noProof/>
              </w:rPr>
              <w:t>Responsable estratégico</w:t>
            </w:r>
            <w:r w:rsidRPr="00CC279A">
              <w:rPr>
                <w:rFonts w:ascii="Arial Narrow" w:hAnsi="Arial Narrow"/>
                <w:b w:val="0"/>
                <w:bCs w:val="0"/>
                <w:noProof/>
              </w:rPr>
              <w:t>:</w:t>
            </w:r>
          </w:p>
        </w:tc>
      </w:tr>
      <w:tr w:rsidR="006F3725" w:rsidRPr="00D01E09" w14:paraId="568B9BAD" w14:textId="77777777" w:rsidTr="009B24F8">
        <w:tc>
          <w:tcPr>
            <w:tcW w:w="4601" w:type="dxa"/>
            <w:vAlign w:val="center"/>
          </w:tcPr>
          <w:p w14:paraId="776648EF" w14:textId="476FF6F4" w:rsidR="00C801FF" w:rsidRDefault="009B24F8" w:rsidP="009B24F8">
            <w:pPr>
              <w:pStyle w:val="Textoindependiente2"/>
              <w:spacing w:line="360" w:lineRule="auto"/>
              <w:rPr>
                <w:rFonts w:ascii="Arial Narrow" w:hAnsi="Arial Narrow"/>
                <w:b w:val="0"/>
                <w:bCs w:val="0"/>
                <w:noProof/>
              </w:rPr>
            </w:pPr>
            <w:r>
              <w:rPr>
                <w:rFonts w:ascii="Arial Narrow" w:hAnsi="Arial Narrow"/>
                <w:b w:val="0"/>
                <w:bCs w:val="0"/>
                <w:noProof/>
              </w:rPr>
              <w:t xml:space="preserve">Por parte de las oficinas y despachos judiciales, se deben mapear e indentifiar las metas operativas que aportan directamente al Plan Estratégico, con el fin de analizar si los avances son realmente nulos o por una omisión, no se registran avances que impactan el cumplimiento y </w:t>
            </w:r>
            <w:r w:rsidRPr="00D35E26">
              <w:rPr>
                <w:rFonts w:ascii="Arial Narrow" w:hAnsi="Arial Narrow" w:cs="Calibri"/>
                <w:b w:val="0"/>
                <w:bCs w:val="0"/>
                <w:color w:val="000000"/>
                <w:lang w:val="es-CR" w:eastAsia="es-CR"/>
              </w:rPr>
              <w:t>determinar las tareas del 20</w:t>
            </w:r>
            <w:r>
              <w:rPr>
                <w:rFonts w:ascii="Arial Narrow" w:hAnsi="Arial Narrow" w:cs="Calibri"/>
                <w:b w:val="0"/>
                <w:bCs w:val="0"/>
                <w:color w:val="000000"/>
                <w:lang w:val="es-CR" w:eastAsia="es-CR"/>
              </w:rPr>
              <w:t xml:space="preserve">19 </w:t>
            </w:r>
            <w:r w:rsidRPr="00D35E26">
              <w:rPr>
                <w:rFonts w:ascii="Arial Narrow" w:hAnsi="Arial Narrow" w:cs="Calibri"/>
                <w:b w:val="0"/>
                <w:bCs w:val="0"/>
                <w:color w:val="000000"/>
                <w:lang w:val="es-CR" w:eastAsia="es-CR"/>
              </w:rPr>
              <w:t>que no lograron ser completadas si deben ser retomadas en los años subsiguientes para cumplir con la meta estratégica.</w:t>
            </w:r>
          </w:p>
        </w:tc>
        <w:tc>
          <w:tcPr>
            <w:tcW w:w="4602" w:type="dxa"/>
            <w:vAlign w:val="center"/>
          </w:tcPr>
          <w:p w14:paraId="2A08FD60" w14:textId="5D5FD119" w:rsidR="00C801FF" w:rsidRPr="00CC279A" w:rsidRDefault="009B24F8" w:rsidP="009B24F8">
            <w:pPr>
              <w:pStyle w:val="Textoindependiente2"/>
              <w:spacing w:line="360" w:lineRule="auto"/>
              <w:rPr>
                <w:rFonts w:ascii="Arial Narrow" w:hAnsi="Arial Narrow"/>
                <w:b w:val="0"/>
                <w:bCs w:val="0"/>
                <w:noProof/>
              </w:rPr>
            </w:pPr>
            <w:r w:rsidRPr="009B24F8">
              <w:rPr>
                <w:rFonts w:ascii="Arial Narrow" w:hAnsi="Arial Narrow"/>
                <w:b w:val="0"/>
                <w:bCs w:val="0"/>
                <w:noProof/>
              </w:rPr>
              <w:t>Escuela Judicial</w:t>
            </w:r>
          </w:p>
        </w:tc>
      </w:tr>
    </w:tbl>
    <w:p w14:paraId="3B013347" w14:textId="77777777" w:rsidR="00F90575" w:rsidRPr="009D5823" w:rsidRDefault="00F90575" w:rsidP="00983CC9">
      <w:pPr>
        <w:pStyle w:val="Textoindependiente2"/>
        <w:spacing w:line="360" w:lineRule="auto"/>
        <w:ind w:left="720"/>
        <w:rPr>
          <w:rFonts w:ascii="Arial Narrow" w:hAnsi="Arial Narrow" w:cs="Calibri"/>
          <w:color w:val="000000"/>
          <w:lang w:val="es-CR" w:eastAsia="es-CR"/>
        </w:rPr>
      </w:pPr>
    </w:p>
    <w:p w14:paraId="20A27840" w14:textId="61EA1BE6" w:rsidR="00F0386C" w:rsidRDefault="00F0386C" w:rsidP="00704B08">
      <w:pPr>
        <w:spacing w:line="360" w:lineRule="auto"/>
        <w:jc w:val="both"/>
        <w:rPr>
          <w:rFonts w:ascii="Arial Narrow" w:hAnsi="Arial Narrow"/>
          <w:b/>
          <w:bCs/>
          <w:lang w:val="es-CR" w:eastAsia="es-CR"/>
        </w:rPr>
      </w:pPr>
    </w:p>
    <w:p w14:paraId="6D3D2663" w14:textId="77777777" w:rsidR="00C801FF" w:rsidRPr="009D5823" w:rsidRDefault="00C801FF" w:rsidP="00704B08">
      <w:pPr>
        <w:spacing w:line="360" w:lineRule="auto"/>
        <w:jc w:val="both"/>
        <w:rPr>
          <w:rFonts w:ascii="Arial Narrow" w:hAnsi="Arial Narrow"/>
          <w:b/>
          <w:bCs/>
          <w:lang w:val="es-CR" w:eastAsia="es-CR"/>
        </w:rPr>
      </w:pPr>
    </w:p>
    <w:p w14:paraId="7A0C8288" w14:textId="28326EC2" w:rsidR="00E608F6" w:rsidRPr="00704B08" w:rsidRDefault="00BA6461" w:rsidP="00704B08">
      <w:pPr>
        <w:pStyle w:val="Ttulo3"/>
        <w:numPr>
          <w:ilvl w:val="1"/>
          <w:numId w:val="105"/>
        </w:numPr>
        <w:rPr>
          <w:rFonts w:ascii="Arial Narrow" w:hAnsi="Arial Narrow"/>
        </w:rPr>
      </w:pPr>
      <w:bookmarkStart w:id="163" w:name="_Toc84919363"/>
      <w:r w:rsidRPr="00704B08">
        <w:rPr>
          <w:rFonts w:ascii="Arial Narrow" w:hAnsi="Arial Narrow"/>
        </w:rPr>
        <w:t xml:space="preserve">Tema estratégico: </w:t>
      </w:r>
      <w:r w:rsidR="00E608F6" w:rsidRPr="00704B08">
        <w:rPr>
          <w:rFonts w:ascii="Arial Narrow" w:hAnsi="Arial Narrow"/>
        </w:rPr>
        <w:t>Planificación Institucional</w:t>
      </w:r>
      <w:bookmarkEnd w:id="163"/>
    </w:p>
    <w:p w14:paraId="44916F8A" w14:textId="1A70D115" w:rsidR="00E608F6" w:rsidRPr="00704B08" w:rsidRDefault="00E608F6" w:rsidP="00704B08">
      <w:pPr>
        <w:spacing w:line="360" w:lineRule="auto"/>
        <w:jc w:val="both"/>
        <w:rPr>
          <w:rFonts w:ascii="Arial Narrow" w:eastAsia="Calibri" w:hAnsi="Arial Narrow"/>
          <w:b/>
          <w:bCs/>
          <w:lang w:val="es-CR"/>
        </w:rPr>
      </w:pPr>
    </w:p>
    <w:p w14:paraId="7511E532" w14:textId="20A48286" w:rsidR="00E608F6" w:rsidRPr="009D5823" w:rsidRDefault="00E608F6" w:rsidP="00704B08">
      <w:pPr>
        <w:pStyle w:val="Textoindependiente2"/>
        <w:numPr>
          <w:ilvl w:val="0"/>
          <w:numId w:val="100"/>
        </w:numPr>
        <w:spacing w:line="360" w:lineRule="auto"/>
        <w:rPr>
          <w:rFonts w:ascii="Arial Narrow" w:eastAsia="Calibri" w:hAnsi="Arial Narrow"/>
          <w:lang w:val="es-CR"/>
        </w:rPr>
      </w:pPr>
      <w:r w:rsidRPr="009D5823">
        <w:rPr>
          <w:rFonts w:ascii="Arial Narrow" w:eastAsia="Calibri" w:hAnsi="Arial Narrow"/>
          <w:lang w:val="es-CR"/>
        </w:rPr>
        <w:t>Acción</w:t>
      </w:r>
      <w:r w:rsidR="00A008D4">
        <w:rPr>
          <w:rFonts w:ascii="Arial Narrow" w:eastAsia="Calibri" w:hAnsi="Arial Narrow"/>
          <w:lang w:val="es-CR"/>
        </w:rPr>
        <w:t xml:space="preserve"> </w:t>
      </w:r>
      <w:r w:rsidR="00A008D4">
        <w:rPr>
          <w:rFonts w:ascii="Arial Narrow" w:hAnsi="Arial Narrow"/>
          <w:lang w:eastAsia="en-US"/>
        </w:rPr>
        <w:t>estratégica</w:t>
      </w:r>
      <w:r w:rsidRPr="009D5823">
        <w:rPr>
          <w:rFonts w:ascii="Arial Narrow" w:eastAsia="Calibri" w:hAnsi="Arial Narrow"/>
          <w:lang w:val="es-CR"/>
        </w:rPr>
        <w:t xml:space="preserve">: Gestión </w:t>
      </w:r>
      <w:r w:rsidR="00BA6461" w:rsidRPr="00983CC9">
        <w:rPr>
          <w:rFonts w:ascii="Arial Narrow" w:eastAsia="Calibri" w:hAnsi="Arial Narrow"/>
          <w:lang w:val="es-CR"/>
        </w:rPr>
        <w:t>Estratégica</w:t>
      </w:r>
      <w:r w:rsidRPr="009D5823">
        <w:rPr>
          <w:rFonts w:ascii="Arial Narrow" w:eastAsia="Calibri" w:hAnsi="Arial Narrow"/>
          <w:lang w:val="es-CR"/>
        </w:rPr>
        <w:t xml:space="preserve"> institucional</w:t>
      </w:r>
    </w:p>
    <w:p w14:paraId="2AC82A9F" w14:textId="73569F3D" w:rsidR="00F90575" w:rsidRDefault="00A008D4" w:rsidP="00CC279A">
      <w:pPr>
        <w:pStyle w:val="Textoindependiente2"/>
        <w:numPr>
          <w:ilvl w:val="0"/>
          <w:numId w:val="128"/>
        </w:numPr>
        <w:spacing w:line="360" w:lineRule="auto"/>
        <w:rPr>
          <w:rFonts w:ascii="Arial Narrow" w:hAnsi="Arial Narrow" w:cs="Arial"/>
          <w:b w:val="0"/>
          <w:bCs w:val="0"/>
          <w:color w:val="000000"/>
          <w:lang w:val="es-CR" w:eastAsia="es-CR"/>
        </w:rPr>
      </w:pPr>
      <w:r w:rsidRPr="00F85A5C">
        <w:rPr>
          <w:rFonts w:ascii="Arial Narrow" w:hAnsi="Arial Narrow"/>
          <w:noProof/>
          <w:u w:val="single"/>
        </w:rPr>
        <w:t>Meta estrat</w:t>
      </w:r>
      <w:r>
        <w:rPr>
          <w:rFonts w:ascii="Arial Narrow" w:hAnsi="Arial Narrow"/>
          <w:noProof/>
          <w:u w:val="single"/>
        </w:rPr>
        <w:t>é</w:t>
      </w:r>
      <w:r w:rsidRPr="00F85A5C">
        <w:rPr>
          <w:rFonts w:ascii="Arial Narrow" w:hAnsi="Arial Narrow"/>
          <w:noProof/>
          <w:u w:val="single"/>
        </w:rPr>
        <w:t xml:space="preserve">gica con cumplimiento </w:t>
      </w:r>
      <w:r>
        <w:rPr>
          <w:rFonts w:ascii="Arial Narrow" w:hAnsi="Arial Narrow"/>
          <w:noProof/>
          <w:u w:val="single"/>
        </w:rPr>
        <w:t>medio</w:t>
      </w:r>
      <w:r w:rsidR="00E608F6" w:rsidRPr="00704B08">
        <w:rPr>
          <w:rFonts w:ascii="Arial Narrow" w:hAnsi="Arial Narrow" w:cs="Arial"/>
          <w:b w:val="0"/>
          <w:bCs w:val="0"/>
          <w:color w:val="000000"/>
          <w:u w:val="single"/>
          <w:lang w:val="es-CR" w:eastAsia="es-CR"/>
        </w:rPr>
        <w:t>:</w:t>
      </w:r>
      <w:r w:rsidR="00E608F6" w:rsidRPr="00704B08">
        <w:rPr>
          <w:rFonts w:ascii="Arial Narrow" w:hAnsi="Arial Narrow" w:cs="Arial"/>
          <w:b w:val="0"/>
          <w:bCs w:val="0"/>
          <w:color w:val="000000"/>
          <w:lang w:val="es-CR" w:eastAsia="es-CR"/>
        </w:rPr>
        <w:t xml:space="preserve"> Que al finalizar el 2024, se haya implementado el plan de ejecución de construcciones definido, que considere el diseño universal y certificación básica LEED; que contemple espacios compartidos y oficinas satélite ("coworking"), acorde a las modalidades alternativas de trabajo; así como aulas acondicionadas para capacitaciones y espacio para uso de bicicletas.</w:t>
      </w:r>
    </w:p>
    <w:p w14:paraId="79172471" w14:textId="77777777" w:rsidR="00FD7BA1" w:rsidRPr="00704B08" w:rsidRDefault="00FD7BA1" w:rsidP="00704B08">
      <w:pPr>
        <w:pStyle w:val="Textoindependiente2"/>
        <w:spacing w:line="360" w:lineRule="auto"/>
        <w:ind w:left="720"/>
        <w:rPr>
          <w:rFonts w:ascii="Arial Narrow" w:hAnsi="Arial Narrow" w:cs="Arial"/>
          <w:b w:val="0"/>
          <w:bCs w:val="0"/>
          <w:color w:val="000000"/>
          <w:lang w:val="es-CR" w:eastAsia="es-CR"/>
        </w:rPr>
      </w:pPr>
    </w:p>
    <w:p w14:paraId="2DABD99F" w14:textId="411ED9BC" w:rsidR="00F90575" w:rsidRDefault="00F90575" w:rsidP="00704B08">
      <w:pPr>
        <w:pStyle w:val="Textoindependiente2"/>
        <w:spacing w:line="360" w:lineRule="auto"/>
        <w:ind w:left="720"/>
        <w:rPr>
          <w:rFonts w:ascii="Arial Narrow" w:hAnsi="Arial Narrow" w:cs="Arial"/>
          <w:b w:val="0"/>
          <w:bCs w:val="0"/>
          <w:color w:val="000000"/>
          <w:lang w:val="es-CR" w:eastAsia="es-CR"/>
        </w:rPr>
      </w:pPr>
    </w:p>
    <w:p w14:paraId="5714B2A0" w14:textId="50C9FEB8" w:rsidR="00DD6B33" w:rsidRPr="00CC279A" w:rsidRDefault="00DD6B33" w:rsidP="00CC279A">
      <w:pPr>
        <w:pStyle w:val="Descripcin"/>
        <w:jc w:val="center"/>
        <w:rPr>
          <w:rFonts w:ascii="Arial Narrow" w:hAnsi="Arial Narrow"/>
          <w:sz w:val="24"/>
          <w:szCs w:val="24"/>
        </w:rPr>
      </w:pPr>
      <w:bookmarkStart w:id="164" w:name="_Toc84919475"/>
      <w:r w:rsidRPr="00CC279A">
        <w:rPr>
          <w:rFonts w:ascii="Arial Narrow" w:hAnsi="Arial Narrow"/>
          <w:sz w:val="24"/>
          <w:szCs w:val="24"/>
        </w:rPr>
        <w:t xml:space="preserve">Tabla </w:t>
      </w:r>
      <w:r w:rsidRPr="00CC279A">
        <w:rPr>
          <w:rFonts w:ascii="Arial Narrow" w:hAnsi="Arial Narrow"/>
          <w:sz w:val="24"/>
          <w:szCs w:val="24"/>
        </w:rPr>
        <w:fldChar w:fldCharType="begin"/>
      </w:r>
      <w:r w:rsidRPr="00CC279A">
        <w:rPr>
          <w:rFonts w:ascii="Arial Narrow" w:hAnsi="Arial Narrow"/>
          <w:sz w:val="24"/>
          <w:szCs w:val="24"/>
        </w:rPr>
        <w:instrText xml:space="preserve"> SEQ Tabla \* ARABIC </w:instrText>
      </w:r>
      <w:r w:rsidRPr="00CC279A">
        <w:rPr>
          <w:rFonts w:ascii="Arial Narrow" w:hAnsi="Arial Narrow"/>
          <w:sz w:val="24"/>
          <w:szCs w:val="24"/>
        </w:rPr>
        <w:fldChar w:fldCharType="separate"/>
      </w:r>
      <w:r w:rsidRPr="00CC279A">
        <w:rPr>
          <w:rFonts w:ascii="Arial Narrow" w:hAnsi="Arial Narrow"/>
          <w:noProof/>
          <w:sz w:val="24"/>
          <w:szCs w:val="24"/>
        </w:rPr>
        <w:t>17</w:t>
      </w:r>
      <w:r w:rsidRPr="00CC279A">
        <w:rPr>
          <w:rFonts w:ascii="Arial Narrow" w:hAnsi="Arial Narrow"/>
          <w:sz w:val="24"/>
          <w:szCs w:val="24"/>
        </w:rPr>
        <w:fldChar w:fldCharType="end"/>
      </w:r>
      <w:r w:rsidRPr="00CC279A">
        <w:rPr>
          <w:rFonts w:ascii="Arial Narrow" w:hAnsi="Arial Narrow"/>
          <w:sz w:val="24"/>
          <w:szCs w:val="24"/>
        </w:rPr>
        <w:t xml:space="preserve"> Desafío Acción Estratégica Gestión Estratégica Institucional según meta 1 reportada.</w:t>
      </w:r>
      <w:bookmarkEnd w:id="164"/>
    </w:p>
    <w:p w14:paraId="16588026" w14:textId="77777777" w:rsidR="00DD6B33" w:rsidRPr="00CC279A" w:rsidRDefault="00DD6B33" w:rsidP="00CC279A"/>
    <w:tbl>
      <w:tblPr>
        <w:tblStyle w:val="Tablaconcuadrcula"/>
        <w:tblW w:w="0" w:type="auto"/>
        <w:tblInd w:w="720" w:type="dxa"/>
        <w:tblLook w:val="04A0" w:firstRow="1" w:lastRow="0" w:firstColumn="1" w:lastColumn="0" w:noHBand="0" w:noVBand="1"/>
      </w:tblPr>
      <w:tblGrid>
        <w:gridCol w:w="4242"/>
        <w:gridCol w:w="4241"/>
      </w:tblGrid>
      <w:tr w:rsidR="006F3725" w:rsidRPr="00D01E09" w14:paraId="18E571C6" w14:textId="77777777" w:rsidTr="009B24F8">
        <w:tc>
          <w:tcPr>
            <w:tcW w:w="4601" w:type="dxa"/>
            <w:vAlign w:val="center"/>
          </w:tcPr>
          <w:p w14:paraId="30CB9589" w14:textId="77777777" w:rsidR="00C801FF" w:rsidRDefault="00C801FF" w:rsidP="009B24F8">
            <w:pPr>
              <w:pStyle w:val="Textoindependiente2"/>
              <w:spacing w:line="360" w:lineRule="auto"/>
              <w:rPr>
                <w:rFonts w:ascii="Arial Narrow" w:hAnsi="Arial Narrow"/>
                <w:b w:val="0"/>
                <w:bCs w:val="0"/>
                <w:noProof/>
              </w:rPr>
            </w:pPr>
            <w:r w:rsidRPr="00E067CE">
              <w:rPr>
                <w:rFonts w:ascii="Arial Narrow" w:hAnsi="Arial Narrow"/>
                <w:noProof/>
                <w:u w:val="single"/>
              </w:rPr>
              <w:t>Desafíos:</w:t>
            </w:r>
          </w:p>
        </w:tc>
        <w:tc>
          <w:tcPr>
            <w:tcW w:w="4602" w:type="dxa"/>
            <w:vAlign w:val="center"/>
          </w:tcPr>
          <w:p w14:paraId="0D348576" w14:textId="77777777" w:rsidR="00C801FF" w:rsidRPr="00D01E09" w:rsidRDefault="00C801FF" w:rsidP="009B24F8">
            <w:pPr>
              <w:pStyle w:val="Textoindependiente2"/>
              <w:spacing w:line="360" w:lineRule="auto"/>
              <w:rPr>
                <w:rFonts w:ascii="Arial Narrow" w:hAnsi="Arial Narrow"/>
                <w:b w:val="0"/>
                <w:bCs w:val="0"/>
                <w:noProof/>
                <w:highlight w:val="yellow"/>
              </w:rPr>
            </w:pPr>
            <w:r w:rsidRPr="00CC279A">
              <w:rPr>
                <w:rFonts w:ascii="Arial Narrow" w:hAnsi="Arial Narrow"/>
                <w:noProof/>
              </w:rPr>
              <w:t>Responsable estratégico</w:t>
            </w:r>
            <w:r w:rsidRPr="00CC279A">
              <w:rPr>
                <w:rFonts w:ascii="Arial Narrow" w:hAnsi="Arial Narrow"/>
                <w:b w:val="0"/>
                <w:bCs w:val="0"/>
                <w:noProof/>
              </w:rPr>
              <w:t>:</w:t>
            </w:r>
          </w:p>
        </w:tc>
      </w:tr>
      <w:tr w:rsidR="006F3725" w:rsidRPr="00D01E09" w14:paraId="66DBB5F2" w14:textId="77777777" w:rsidTr="009B24F8">
        <w:tc>
          <w:tcPr>
            <w:tcW w:w="4601" w:type="dxa"/>
            <w:vAlign w:val="center"/>
          </w:tcPr>
          <w:p w14:paraId="5553FD34" w14:textId="7E36B667" w:rsidR="00C801FF" w:rsidRDefault="009B24F8" w:rsidP="009B24F8">
            <w:pPr>
              <w:pStyle w:val="Textoindependiente2"/>
              <w:spacing w:line="360" w:lineRule="auto"/>
              <w:rPr>
                <w:rFonts w:ascii="Arial Narrow" w:hAnsi="Arial Narrow"/>
                <w:b w:val="0"/>
                <w:bCs w:val="0"/>
                <w:noProof/>
              </w:rPr>
            </w:pPr>
            <w:r>
              <w:rPr>
                <w:rFonts w:ascii="Arial Narrow" w:hAnsi="Arial Narrow" w:cs="Arial"/>
                <w:b w:val="0"/>
                <w:bCs w:val="0"/>
                <w:color w:val="000000"/>
                <w:lang w:val="es-CR" w:eastAsia="es-CR"/>
              </w:rPr>
              <w:t>Analizar</w:t>
            </w:r>
            <w:r w:rsidRPr="00704B08">
              <w:rPr>
                <w:rFonts w:ascii="Arial Narrow" w:hAnsi="Arial Narrow" w:cs="Arial"/>
                <w:b w:val="0"/>
                <w:bCs w:val="0"/>
                <w:color w:val="000000"/>
                <w:lang w:val="es-CR" w:eastAsia="es-CR"/>
              </w:rPr>
              <w:t xml:space="preserve"> los planes de ejecución de </w:t>
            </w:r>
            <w:r>
              <w:rPr>
                <w:rFonts w:ascii="Arial Narrow" w:hAnsi="Arial Narrow" w:cs="Arial"/>
                <w:b w:val="0"/>
                <w:bCs w:val="0"/>
                <w:color w:val="000000"/>
                <w:lang w:val="es-CR" w:eastAsia="es-CR"/>
              </w:rPr>
              <w:t>construcciones</w:t>
            </w:r>
            <w:r w:rsidRPr="00704B08">
              <w:rPr>
                <w:rFonts w:ascii="Arial Narrow" w:hAnsi="Arial Narrow" w:cs="Arial"/>
                <w:b w:val="0"/>
                <w:bCs w:val="0"/>
                <w:color w:val="000000"/>
                <w:lang w:val="es-CR" w:eastAsia="es-CR"/>
              </w:rPr>
              <w:t xml:space="preserve"> establecidas en los cronogramas de Trabajo de cada año</w:t>
            </w:r>
            <w:r>
              <w:rPr>
                <w:rFonts w:ascii="Arial Narrow" w:hAnsi="Arial Narrow" w:cs="Arial"/>
                <w:b w:val="0"/>
                <w:bCs w:val="0"/>
                <w:color w:val="000000"/>
                <w:lang w:val="es-CR" w:eastAsia="es-CR"/>
              </w:rPr>
              <w:t xml:space="preserve"> por parte de la Dirección Ejecutiva, con el fin de establecer la atención de los</w:t>
            </w:r>
            <w:r w:rsidRPr="00704B08">
              <w:rPr>
                <w:rFonts w:ascii="Arial Narrow" w:hAnsi="Arial Narrow" w:cs="Arial"/>
                <w:b w:val="0"/>
                <w:bCs w:val="0"/>
                <w:color w:val="000000"/>
                <w:lang w:val="es-CR" w:eastAsia="es-CR"/>
              </w:rPr>
              <w:t xml:space="preserve"> dos proyectos (Anexo E y Puntarenas) y </w:t>
            </w:r>
            <w:r>
              <w:rPr>
                <w:rFonts w:ascii="Arial Narrow" w:hAnsi="Arial Narrow" w:cs="Arial"/>
                <w:b w:val="0"/>
                <w:bCs w:val="0"/>
                <w:color w:val="000000"/>
                <w:lang w:val="es-CR" w:eastAsia="es-CR"/>
              </w:rPr>
              <w:t xml:space="preserve">los proyectos </w:t>
            </w:r>
            <w:r w:rsidRPr="00704B08">
              <w:rPr>
                <w:rFonts w:ascii="Arial Narrow" w:hAnsi="Arial Narrow" w:cs="Arial"/>
                <w:b w:val="0"/>
                <w:bCs w:val="0"/>
                <w:color w:val="000000"/>
                <w:lang w:val="es-CR" w:eastAsia="es-CR"/>
              </w:rPr>
              <w:t xml:space="preserve">para diseño (Quepos y Cañas), </w:t>
            </w:r>
            <w:r>
              <w:rPr>
                <w:rFonts w:ascii="Arial Narrow" w:hAnsi="Arial Narrow" w:cs="Arial"/>
                <w:b w:val="0"/>
                <w:bCs w:val="0"/>
                <w:color w:val="000000"/>
                <w:lang w:val="es-CR" w:eastAsia="es-CR"/>
              </w:rPr>
              <w:t>así como el análisis del</w:t>
            </w:r>
            <w:r w:rsidRPr="00704B08">
              <w:rPr>
                <w:rFonts w:ascii="Arial Narrow" w:hAnsi="Arial Narrow" w:cs="Arial"/>
                <w:b w:val="0"/>
                <w:bCs w:val="0"/>
                <w:color w:val="000000"/>
                <w:lang w:val="es-CR" w:eastAsia="es-CR"/>
              </w:rPr>
              <w:t xml:space="preserve"> proyecto constructivo del Organismo de Investigación Judicial (San José) el cual al cierre del mes de diciembre 2020 reportó un 75% de avance en el proyecto, debido a que el procedimiento inicial fue apelado y se debió tramitar nuevamente</w:t>
            </w:r>
            <w:r>
              <w:rPr>
                <w:rFonts w:ascii="Arial Narrow" w:hAnsi="Arial Narrow" w:cs="Arial"/>
                <w:b w:val="0"/>
                <w:bCs w:val="0"/>
                <w:color w:val="000000"/>
                <w:lang w:val="es-CR" w:eastAsia="es-CR"/>
              </w:rPr>
              <w:t xml:space="preserve">, lo anterior con el fin de diseñar </w:t>
            </w:r>
            <w:r w:rsidRPr="00EC0D72">
              <w:rPr>
                <w:rFonts w:ascii="Arial Narrow" w:hAnsi="Arial Narrow" w:cs="Arial"/>
                <w:b w:val="0"/>
                <w:bCs w:val="0"/>
                <w:color w:val="000000"/>
                <w:lang w:val="es-CR" w:eastAsia="es-CR"/>
              </w:rPr>
              <w:t xml:space="preserve">espacios compartidos y oficinas </w:t>
            </w:r>
            <w:r w:rsidRPr="00EC0D72">
              <w:rPr>
                <w:rFonts w:ascii="Arial Narrow" w:hAnsi="Arial Narrow" w:cs="Arial"/>
                <w:b w:val="0"/>
                <w:bCs w:val="0"/>
                <w:color w:val="000000"/>
                <w:lang w:val="es-CR" w:eastAsia="es-CR"/>
              </w:rPr>
              <w:lastRenderedPageBreak/>
              <w:t>satélite ("coworking"), acorde a las modalidades alternativas de trabajo; así como aulas acondicionadas para capacitaciones y espacio para uso de bicicletas</w:t>
            </w:r>
            <w:r>
              <w:rPr>
                <w:rFonts w:ascii="Arial Narrow" w:hAnsi="Arial Narrow" w:cs="Arial"/>
                <w:b w:val="0"/>
                <w:bCs w:val="0"/>
                <w:color w:val="000000"/>
                <w:lang w:val="es-CR" w:eastAsia="es-CR"/>
              </w:rPr>
              <w:t>.</w:t>
            </w:r>
          </w:p>
        </w:tc>
        <w:tc>
          <w:tcPr>
            <w:tcW w:w="4602" w:type="dxa"/>
            <w:vAlign w:val="center"/>
          </w:tcPr>
          <w:p w14:paraId="1225905B" w14:textId="6002C6A9" w:rsidR="00C801FF" w:rsidRPr="00D01E09" w:rsidRDefault="009B24F8" w:rsidP="003B6457">
            <w:pPr>
              <w:pStyle w:val="Textoindependiente2"/>
              <w:spacing w:line="360" w:lineRule="auto"/>
              <w:rPr>
                <w:rFonts w:ascii="Arial Narrow" w:hAnsi="Arial Narrow"/>
                <w:b w:val="0"/>
                <w:bCs w:val="0"/>
                <w:noProof/>
                <w:highlight w:val="yellow"/>
              </w:rPr>
            </w:pPr>
            <w:r w:rsidRPr="00CC279A">
              <w:rPr>
                <w:rFonts w:ascii="Arial Narrow" w:hAnsi="Arial Narrow" w:cs="Arial"/>
                <w:b w:val="0"/>
                <w:bCs w:val="0"/>
                <w:color w:val="000000"/>
                <w:lang w:val="es-CR" w:eastAsia="es-CR"/>
              </w:rPr>
              <w:lastRenderedPageBreak/>
              <w:t>Consejo Superior y Comisión de Construcciones Corte Plena</w:t>
            </w:r>
          </w:p>
        </w:tc>
      </w:tr>
    </w:tbl>
    <w:p w14:paraId="6DFBA4A7" w14:textId="69E8982C" w:rsidR="006F29AA" w:rsidRDefault="006F29AA" w:rsidP="000470B4">
      <w:pPr>
        <w:rPr>
          <w:lang w:eastAsia="en-US"/>
        </w:rPr>
      </w:pPr>
    </w:p>
    <w:p w14:paraId="1B22B36B" w14:textId="524F81D9" w:rsidR="00FD7BA1" w:rsidRDefault="00FD7BA1">
      <w:pPr>
        <w:rPr>
          <w:lang w:eastAsia="en-US"/>
        </w:rPr>
      </w:pPr>
    </w:p>
    <w:p w14:paraId="127A1605" w14:textId="77777777" w:rsidR="006F29AA" w:rsidRDefault="006F29AA" w:rsidP="000470B4">
      <w:pPr>
        <w:rPr>
          <w:lang w:eastAsia="en-US"/>
        </w:rPr>
      </w:pPr>
    </w:p>
    <w:p w14:paraId="5E988D3D" w14:textId="33B678E0" w:rsidR="00C801FF" w:rsidRPr="00CC279A" w:rsidRDefault="00C801FF">
      <w:pPr>
        <w:pStyle w:val="Ttulo2"/>
      </w:pPr>
      <w:bookmarkStart w:id="165" w:name="_Toc76061955"/>
      <w:bookmarkStart w:id="166" w:name="_Toc76062183"/>
      <w:bookmarkStart w:id="167" w:name="_Toc76066141"/>
      <w:bookmarkStart w:id="168" w:name="_Toc76069209"/>
      <w:bookmarkStart w:id="169" w:name="_Toc76061956"/>
      <w:bookmarkStart w:id="170" w:name="_Toc76062184"/>
      <w:bookmarkStart w:id="171" w:name="_Toc76066142"/>
      <w:bookmarkStart w:id="172" w:name="_Toc76069210"/>
      <w:bookmarkStart w:id="173" w:name="_Toc84919364"/>
      <w:bookmarkEnd w:id="165"/>
      <w:bookmarkEnd w:id="166"/>
      <w:bookmarkEnd w:id="167"/>
      <w:bookmarkEnd w:id="168"/>
      <w:bookmarkEnd w:id="169"/>
      <w:bookmarkEnd w:id="170"/>
      <w:bookmarkEnd w:id="171"/>
      <w:bookmarkEnd w:id="172"/>
      <w:r w:rsidRPr="00544696">
        <w:t>Resultados del PEI por responsables estratégicos</w:t>
      </w:r>
      <w:bookmarkEnd w:id="173"/>
    </w:p>
    <w:p w14:paraId="1D6F5785" w14:textId="77777777" w:rsidR="00C801FF" w:rsidRPr="00544696" w:rsidRDefault="00C801FF" w:rsidP="00C801FF">
      <w:pPr>
        <w:spacing w:line="360" w:lineRule="auto"/>
        <w:jc w:val="both"/>
        <w:rPr>
          <w:rFonts w:ascii="Arial Narrow" w:eastAsia="Calibri" w:hAnsi="Arial Narrow"/>
          <w:lang w:eastAsia="en-US"/>
        </w:rPr>
      </w:pPr>
    </w:p>
    <w:p w14:paraId="0879075A" w14:textId="4A0B1541" w:rsidR="009D555E" w:rsidRPr="00C9711A" w:rsidRDefault="009D555E" w:rsidP="00C9711A">
      <w:pPr>
        <w:spacing w:line="360" w:lineRule="auto"/>
        <w:jc w:val="both"/>
        <w:rPr>
          <w:rFonts w:ascii="Arial Narrow" w:eastAsia="Calibri" w:hAnsi="Arial Narrow"/>
          <w:lang w:eastAsia="en-US"/>
        </w:rPr>
      </w:pPr>
      <w:r w:rsidRPr="000F6A3E">
        <w:rPr>
          <w:rFonts w:ascii="Arial Narrow" w:eastAsia="Calibri" w:hAnsi="Arial Narrow"/>
          <w:lang w:eastAsia="en-US"/>
        </w:rPr>
        <w:t xml:space="preserve">Se define como </w:t>
      </w:r>
      <w:r w:rsidRPr="00C9711A">
        <w:rPr>
          <w:rFonts w:ascii="Arial Narrow" w:eastAsia="Calibri" w:hAnsi="Arial Narrow"/>
          <w:b/>
          <w:bCs/>
          <w:lang w:eastAsia="en-US"/>
        </w:rPr>
        <w:t>responsable estratégico</w:t>
      </w:r>
      <w:r w:rsidRPr="00C9711A">
        <w:rPr>
          <w:rFonts w:ascii="Arial Narrow" w:eastAsia="Calibri" w:hAnsi="Arial Narrow"/>
          <w:lang w:eastAsia="en-US"/>
        </w:rPr>
        <w:t xml:space="preserve"> a la oficina, despacho, comisión, o comité responsable de la rendición de cuentas sobre la planificación, ejecución, seguimiento y control de la acción estratégica ante la Dirección de Planificación. </w:t>
      </w:r>
      <w:r w:rsidRPr="000F6A3E">
        <w:rPr>
          <w:rFonts w:ascii="Arial Narrow" w:eastAsia="Calibri" w:hAnsi="Arial Narrow"/>
          <w:lang w:eastAsia="en-US"/>
        </w:rPr>
        <w:t>Es quien d</w:t>
      </w:r>
      <w:r w:rsidRPr="00C9711A">
        <w:rPr>
          <w:rFonts w:ascii="Arial Narrow" w:eastAsia="Calibri" w:hAnsi="Arial Narrow"/>
          <w:lang w:eastAsia="en-US"/>
        </w:rPr>
        <w:t xml:space="preserve">eberá promover la debida coordinación con las oficinas </w:t>
      </w:r>
      <w:r w:rsidRPr="000F6A3E">
        <w:rPr>
          <w:rFonts w:ascii="Arial Narrow" w:eastAsia="Calibri" w:hAnsi="Arial Narrow"/>
          <w:lang w:eastAsia="en-US"/>
        </w:rPr>
        <w:t>involucradas. En</w:t>
      </w:r>
      <w:r w:rsidRPr="00C9711A">
        <w:rPr>
          <w:rFonts w:ascii="Arial Narrow" w:eastAsia="Calibri" w:hAnsi="Arial Narrow"/>
          <w:lang w:eastAsia="en-US"/>
        </w:rPr>
        <w:t xml:space="preserve"> el caso de las comisiones se incorpora a la Secretaría de dicha Comisión o bien al órgano técnico relacionado, ya que el Sistema PEI incorpora únicamente oficinas presupuestarias.</w:t>
      </w:r>
    </w:p>
    <w:p w14:paraId="39491ABB" w14:textId="77777777" w:rsidR="009D555E" w:rsidRDefault="009D555E" w:rsidP="00C801FF">
      <w:pPr>
        <w:spacing w:line="360" w:lineRule="auto"/>
        <w:jc w:val="both"/>
        <w:rPr>
          <w:rFonts w:ascii="Arial Narrow" w:eastAsia="Calibri" w:hAnsi="Arial Narrow"/>
          <w:lang w:eastAsia="en-US"/>
        </w:rPr>
      </w:pPr>
    </w:p>
    <w:p w14:paraId="537D548B" w14:textId="207B67C8" w:rsidR="00C801FF" w:rsidRDefault="00C801FF" w:rsidP="00C801FF">
      <w:pPr>
        <w:spacing w:line="360" w:lineRule="auto"/>
        <w:jc w:val="both"/>
        <w:rPr>
          <w:rFonts w:ascii="Arial Narrow" w:eastAsia="Calibri" w:hAnsi="Arial Narrow"/>
          <w:lang w:eastAsia="en-US"/>
        </w:rPr>
      </w:pPr>
      <w:r w:rsidRPr="00544696">
        <w:rPr>
          <w:rFonts w:ascii="Arial Narrow" w:eastAsia="Calibri" w:hAnsi="Arial Narrow"/>
          <w:lang w:eastAsia="en-US"/>
        </w:rPr>
        <w:t>En la siguiente tabla se muestran las 187 metas estratégicas detalladas por porcentaje de cumplimiento para el año 2019, de acuerdo con el responsable estratégico asignado.</w:t>
      </w:r>
    </w:p>
    <w:p w14:paraId="4C2A3A05" w14:textId="77777777" w:rsidR="00356026" w:rsidRDefault="00356026" w:rsidP="00DD6B33">
      <w:pPr>
        <w:pStyle w:val="Descripcin"/>
        <w:jc w:val="center"/>
        <w:rPr>
          <w:rFonts w:ascii="Arial Narrow" w:eastAsia="Calibri" w:hAnsi="Arial Narrow"/>
          <w:sz w:val="24"/>
          <w:szCs w:val="24"/>
          <w:lang w:eastAsia="en-US"/>
        </w:rPr>
      </w:pPr>
      <w:bookmarkStart w:id="174" w:name="_Toc84919476"/>
    </w:p>
    <w:p w14:paraId="06DE5F3F" w14:textId="695BAD6E" w:rsidR="00DD6B33" w:rsidRDefault="00DD6B33" w:rsidP="00DD6B33">
      <w:pPr>
        <w:pStyle w:val="Descripcin"/>
        <w:jc w:val="center"/>
        <w:rPr>
          <w:rFonts w:ascii="Arial Narrow" w:eastAsia="Calibri" w:hAnsi="Arial Narrow"/>
          <w:sz w:val="24"/>
          <w:szCs w:val="24"/>
          <w:lang w:eastAsia="en-US"/>
        </w:rPr>
      </w:pPr>
      <w:r w:rsidRPr="00CC279A">
        <w:rPr>
          <w:rFonts w:ascii="Arial Narrow" w:eastAsia="Calibri" w:hAnsi="Arial Narrow"/>
          <w:sz w:val="24"/>
          <w:szCs w:val="24"/>
          <w:lang w:eastAsia="en-US"/>
        </w:rPr>
        <w:t xml:space="preserve">Tabla </w:t>
      </w:r>
      <w:r w:rsidRPr="00CC279A">
        <w:rPr>
          <w:rFonts w:ascii="Arial Narrow" w:eastAsia="Calibri" w:hAnsi="Arial Narrow"/>
          <w:sz w:val="24"/>
          <w:szCs w:val="24"/>
          <w:lang w:eastAsia="en-US"/>
        </w:rPr>
        <w:fldChar w:fldCharType="begin"/>
      </w:r>
      <w:r w:rsidRPr="00CC279A">
        <w:rPr>
          <w:rFonts w:ascii="Arial Narrow" w:eastAsia="Calibri" w:hAnsi="Arial Narrow"/>
          <w:sz w:val="24"/>
          <w:szCs w:val="24"/>
          <w:lang w:eastAsia="en-US"/>
        </w:rPr>
        <w:instrText xml:space="preserve"> SEQ Tabla \* ARABIC </w:instrText>
      </w:r>
      <w:r w:rsidRPr="00CC279A">
        <w:rPr>
          <w:rFonts w:ascii="Arial Narrow" w:eastAsia="Calibri" w:hAnsi="Arial Narrow"/>
          <w:sz w:val="24"/>
          <w:szCs w:val="24"/>
          <w:lang w:eastAsia="en-US"/>
        </w:rPr>
        <w:fldChar w:fldCharType="separate"/>
      </w:r>
      <w:r w:rsidR="003615B4">
        <w:rPr>
          <w:rFonts w:ascii="Arial Narrow" w:eastAsia="Calibri" w:hAnsi="Arial Narrow"/>
          <w:noProof/>
          <w:sz w:val="24"/>
          <w:szCs w:val="24"/>
          <w:lang w:eastAsia="en-US"/>
        </w:rPr>
        <w:t>18</w:t>
      </w:r>
      <w:r w:rsidRPr="00CC279A">
        <w:rPr>
          <w:rFonts w:ascii="Arial Narrow" w:eastAsia="Calibri" w:hAnsi="Arial Narrow"/>
          <w:sz w:val="24"/>
          <w:szCs w:val="24"/>
          <w:lang w:eastAsia="en-US"/>
        </w:rPr>
        <w:fldChar w:fldCharType="end"/>
      </w:r>
      <w:r w:rsidRPr="00CC279A">
        <w:rPr>
          <w:rFonts w:ascii="Arial Narrow" w:eastAsia="Calibri" w:hAnsi="Arial Narrow"/>
          <w:sz w:val="24"/>
          <w:szCs w:val="24"/>
          <w:lang w:eastAsia="en-US"/>
        </w:rPr>
        <w:t xml:space="preserve"> Cumplimiento</w:t>
      </w:r>
      <w:r w:rsidRPr="00DD6B33">
        <w:rPr>
          <w:rFonts w:ascii="Arial Narrow" w:eastAsia="Calibri" w:hAnsi="Arial Narrow"/>
          <w:sz w:val="24"/>
          <w:szCs w:val="24"/>
          <w:lang w:eastAsia="en-US"/>
        </w:rPr>
        <w:t xml:space="preserve"> </w:t>
      </w:r>
      <w:r w:rsidRPr="0029096E">
        <w:rPr>
          <w:rFonts w:ascii="Arial Narrow" w:eastAsia="Calibri" w:hAnsi="Arial Narrow"/>
          <w:sz w:val="24"/>
          <w:szCs w:val="24"/>
          <w:lang w:eastAsia="en-US"/>
        </w:rPr>
        <w:t>porcentual de las metas estratégicas del 2019</w:t>
      </w:r>
      <w:r>
        <w:rPr>
          <w:rFonts w:ascii="Arial Narrow" w:eastAsia="Calibri" w:hAnsi="Arial Narrow"/>
          <w:sz w:val="24"/>
          <w:szCs w:val="24"/>
          <w:lang w:eastAsia="en-US"/>
        </w:rPr>
        <w:t>,</w:t>
      </w:r>
      <w:bookmarkEnd w:id="174"/>
    </w:p>
    <w:p w14:paraId="1BF8B560" w14:textId="14054B04" w:rsidR="00DD6B33" w:rsidRDefault="00DD6B33" w:rsidP="00DD6B33">
      <w:pPr>
        <w:pStyle w:val="Descripcin"/>
        <w:jc w:val="center"/>
        <w:rPr>
          <w:rFonts w:ascii="Arial Narrow" w:eastAsia="Calibri" w:hAnsi="Arial Narrow"/>
          <w:sz w:val="24"/>
          <w:szCs w:val="24"/>
          <w:lang w:eastAsia="en-US"/>
        </w:rPr>
      </w:pPr>
      <w:r w:rsidRPr="0029096E">
        <w:rPr>
          <w:rFonts w:ascii="Arial Narrow" w:eastAsia="Calibri" w:hAnsi="Arial Narrow"/>
          <w:sz w:val="24"/>
          <w:szCs w:val="24"/>
          <w:lang w:eastAsia="en-US"/>
        </w:rPr>
        <w:t xml:space="preserve"> según </w:t>
      </w:r>
      <w:r w:rsidR="00191F44" w:rsidRPr="0029096E">
        <w:rPr>
          <w:rFonts w:ascii="Arial Narrow" w:eastAsia="Calibri" w:hAnsi="Arial Narrow"/>
          <w:sz w:val="24"/>
          <w:szCs w:val="24"/>
          <w:lang w:eastAsia="en-US"/>
        </w:rPr>
        <w:t>responsable</w:t>
      </w:r>
      <w:r w:rsidRPr="0029096E">
        <w:rPr>
          <w:rFonts w:ascii="Arial Narrow" w:eastAsia="Calibri" w:hAnsi="Arial Narrow"/>
          <w:sz w:val="24"/>
          <w:szCs w:val="24"/>
          <w:lang w:eastAsia="en-US"/>
        </w:rPr>
        <w:t xml:space="preserve"> Estratégico</w:t>
      </w:r>
    </w:p>
    <w:p w14:paraId="0742D56D" w14:textId="2F52F446" w:rsidR="00DD6B33" w:rsidRPr="00CC279A" w:rsidRDefault="00DD6B33" w:rsidP="00CC279A">
      <w:pPr>
        <w:pStyle w:val="Descripcin"/>
        <w:rPr>
          <w:rFonts w:eastAsia="Calibri"/>
          <w:lang w:eastAsia="en-US"/>
        </w:rPr>
      </w:pPr>
    </w:p>
    <w:p w14:paraId="69134D66" w14:textId="77777777" w:rsidR="00C801FF" w:rsidRPr="000B4845" w:rsidRDefault="00C801FF" w:rsidP="00C801FF">
      <w:pPr>
        <w:rPr>
          <w:rFonts w:eastAsia="Calibri"/>
          <w:lang w:eastAsia="en-US"/>
        </w:rPr>
      </w:pPr>
    </w:p>
    <w:tbl>
      <w:tblPr>
        <w:tblW w:w="7933" w:type="dxa"/>
        <w:jc w:val="center"/>
        <w:tblCellMar>
          <w:left w:w="70" w:type="dxa"/>
          <w:right w:w="70" w:type="dxa"/>
        </w:tblCellMar>
        <w:tblLook w:val="04A0" w:firstRow="1" w:lastRow="0" w:firstColumn="1" w:lastColumn="0" w:noHBand="0" w:noVBand="1"/>
      </w:tblPr>
      <w:tblGrid>
        <w:gridCol w:w="622"/>
        <w:gridCol w:w="4580"/>
        <w:gridCol w:w="1311"/>
        <w:gridCol w:w="1420"/>
      </w:tblGrid>
      <w:tr w:rsidR="006F3725" w:rsidRPr="000B4845" w14:paraId="6CA0F157" w14:textId="77777777" w:rsidTr="00FA48AC">
        <w:trPr>
          <w:trHeight w:val="713"/>
          <w:jc w:val="center"/>
        </w:trPr>
        <w:tc>
          <w:tcPr>
            <w:tcW w:w="638" w:type="dxa"/>
            <w:tcBorders>
              <w:top w:val="single" w:sz="4" w:space="0" w:color="auto"/>
              <w:left w:val="single" w:sz="4" w:space="0" w:color="auto"/>
              <w:bottom w:val="single" w:sz="4" w:space="0" w:color="auto"/>
              <w:right w:val="single" w:sz="4" w:space="0" w:color="auto"/>
            </w:tcBorders>
            <w:shd w:val="clear" w:color="auto" w:fill="DEEAF6" w:themeFill="accent5" w:themeFillTint="33"/>
            <w:vAlign w:val="center"/>
            <w:hideMark/>
          </w:tcPr>
          <w:p w14:paraId="248D2A48" w14:textId="77777777" w:rsidR="00C801FF" w:rsidRPr="000B4845" w:rsidRDefault="00C801FF" w:rsidP="00FA48AC">
            <w:pPr>
              <w:jc w:val="center"/>
              <w:rPr>
                <w:rFonts w:ascii="Arial Narrow" w:hAnsi="Arial Narrow" w:cs="Segoe UI"/>
                <w:b/>
                <w:bCs/>
                <w:color w:val="000000"/>
                <w:lang w:eastAsia="es-CR"/>
              </w:rPr>
            </w:pPr>
          </w:p>
        </w:tc>
        <w:tc>
          <w:tcPr>
            <w:tcW w:w="4744" w:type="dxa"/>
            <w:tcBorders>
              <w:top w:val="single" w:sz="4" w:space="0" w:color="auto"/>
              <w:left w:val="nil"/>
              <w:bottom w:val="single" w:sz="4" w:space="0" w:color="auto"/>
              <w:right w:val="single" w:sz="4" w:space="0" w:color="auto"/>
            </w:tcBorders>
            <w:shd w:val="clear" w:color="auto" w:fill="DEEAF6" w:themeFill="accent5" w:themeFillTint="33"/>
            <w:vAlign w:val="center"/>
            <w:hideMark/>
          </w:tcPr>
          <w:p w14:paraId="569BD908" w14:textId="77777777" w:rsidR="00C801FF" w:rsidRPr="00E07A24" w:rsidRDefault="00C801FF" w:rsidP="00FA48AC">
            <w:pPr>
              <w:jc w:val="center"/>
              <w:rPr>
                <w:rFonts w:ascii="Arial Narrow" w:hAnsi="Arial Narrow" w:cs="Segoe UI"/>
                <w:b/>
                <w:bCs/>
                <w:color w:val="000000"/>
                <w:lang w:eastAsia="es-CR"/>
              </w:rPr>
            </w:pPr>
            <w:r w:rsidRPr="00484CC1">
              <w:rPr>
                <w:rFonts w:ascii="Arial Narrow" w:eastAsia="Calibri" w:hAnsi="Arial Narrow"/>
                <w:b/>
                <w:bCs/>
                <w:lang w:eastAsia="en-US"/>
              </w:rPr>
              <w:t>Instancia Responsable</w:t>
            </w:r>
          </w:p>
        </w:tc>
        <w:tc>
          <w:tcPr>
            <w:tcW w:w="1131" w:type="dxa"/>
            <w:tcBorders>
              <w:top w:val="single" w:sz="4" w:space="0" w:color="auto"/>
              <w:left w:val="nil"/>
              <w:bottom w:val="single" w:sz="4" w:space="0" w:color="auto"/>
              <w:right w:val="single" w:sz="4" w:space="0" w:color="auto"/>
            </w:tcBorders>
            <w:shd w:val="clear" w:color="auto" w:fill="DEEAF6" w:themeFill="accent5" w:themeFillTint="33"/>
            <w:vAlign w:val="center"/>
            <w:hideMark/>
          </w:tcPr>
          <w:p w14:paraId="33E1EFAF" w14:textId="77777777" w:rsidR="00C801FF" w:rsidRPr="000B4845" w:rsidRDefault="00C801FF" w:rsidP="00FA48AC">
            <w:pPr>
              <w:jc w:val="center"/>
              <w:rPr>
                <w:rFonts w:ascii="Arial Narrow" w:hAnsi="Arial Narrow" w:cs="Segoe UI"/>
                <w:b/>
                <w:bCs/>
                <w:color w:val="000000"/>
                <w:lang w:eastAsia="es-CR"/>
              </w:rPr>
            </w:pPr>
            <w:r w:rsidRPr="000B4845">
              <w:rPr>
                <w:rFonts w:ascii="Arial Narrow" w:hAnsi="Arial Narrow" w:cs="Segoe UI"/>
                <w:b/>
                <w:bCs/>
                <w:color w:val="000000"/>
                <w:lang w:eastAsia="es-CR"/>
              </w:rPr>
              <w:t>Cantidad de Metas Estratégicas</w:t>
            </w:r>
          </w:p>
        </w:tc>
        <w:tc>
          <w:tcPr>
            <w:tcW w:w="1420" w:type="dxa"/>
            <w:tcBorders>
              <w:top w:val="single" w:sz="4" w:space="0" w:color="auto"/>
              <w:left w:val="nil"/>
              <w:bottom w:val="single" w:sz="4" w:space="0" w:color="auto"/>
              <w:right w:val="single" w:sz="4" w:space="0" w:color="auto"/>
            </w:tcBorders>
            <w:shd w:val="clear" w:color="auto" w:fill="DEEAF6" w:themeFill="accent5" w:themeFillTint="33"/>
            <w:vAlign w:val="center"/>
            <w:hideMark/>
          </w:tcPr>
          <w:p w14:paraId="7DB4D600" w14:textId="77777777" w:rsidR="00C801FF" w:rsidRPr="000B4845" w:rsidRDefault="00C801FF" w:rsidP="00FA48AC">
            <w:pPr>
              <w:jc w:val="center"/>
              <w:rPr>
                <w:rFonts w:ascii="Arial Narrow" w:hAnsi="Arial Narrow" w:cs="Segoe UI"/>
                <w:b/>
                <w:bCs/>
                <w:color w:val="000000"/>
                <w:lang w:eastAsia="es-CR"/>
              </w:rPr>
            </w:pPr>
            <w:r w:rsidRPr="000B4845">
              <w:rPr>
                <w:rFonts w:ascii="Arial Narrow" w:hAnsi="Arial Narrow" w:cs="Segoe UI"/>
                <w:b/>
                <w:bCs/>
                <w:color w:val="000000"/>
                <w:lang w:eastAsia="es-CR"/>
              </w:rPr>
              <w:t>Porcentaje</w:t>
            </w:r>
            <w:r>
              <w:rPr>
                <w:rFonts w:ascii="Arial Narrow" w:hAnsi="Arial Narrow" w:cs="Segoe UI"/>
                <w:b/>
                <w:bCs/>
                <w:color w:val="000000"/>
                <w:lang w:eastAsia="es-CR"/>
              </w:rPr>
              <w:t xml:space="preserve"> de cumplimiento</w:t>
            </w:r>
          </w:p>
        </w:tc>
      </w:tr>
      <w:tr w:rsidR="006F3725" w:rsidRPr="000B4845" w14:paraId="0FE8D498" w14:textId="77777777" w:rsidTr="00FA48AC">
        <w:trPr>
          <w:trHeight w:val="300"/>
          <w:jc w:val="center"/>
        </w:trPr>
        <w:tc>
          <w:tcPr>
            <w:tcW w:w="638" w:type="dxa"/>
            <w:tcBorders>
              <w:top w:val="single" w:sz="4" w:space="0" w:color="auto"/>
              <w:left w:val="single" w:sz="4" w:space="0" w:color="auto"/>
              <w:bottom w:val="single" w:sz="4" w:space="0" w:color="auto"/>
              <w:right w:val="single" w:sz="4" w:space="0" w:color="auto"/>
            </w:tcBorders>
            <w:shd w:val="clear" w:color="FFFFFF" w:fill="FFFFFF"/>
            <w:vAlign w:val="center"/>
            <w:hideMark/>
          </w:tcPr>
          <w:p w14:paraId="3BD3221F" w14:textId="77777777" w:rsidR="00C801FF" w:rsidRPr="000B4845" w:rsidRDefault="00C801FF" w:rsidP="00FA48AC">
            <w:pPr>
              <w:jc w:val="center"/>
              <w:rPr>
                <w:rFonts w:ascii="Arial Narrow" w:hAnsi="Arial Narrow" w:cs="Segoe UI"/>
                <w:color w:val="000000"/>
                <w:sz w:val="20"/>
                <w:szCs w:val="20"/>
                <w:lang w:eastAsia="es-CR"/>
              </w:rPr>
            </w:pPr>
            <w:r w:rsidRPr="000B4845">
              <w:rPr>
                <w:rFonts w:ascii="Arial Narrow" w:hAnsi="Arial Narrow" w:cs="Segoe UI"/>
                <w:color w:val="000000"/>
                <w:sz w:val="20"/>
                <w:szCs w:val="20"/>
                <w:lang w:eastAsia="es-CR"/>
              </w:rPr>
              <w:t>1</w:t>
            </w:r>
          </w:p>
        </w:tc>
        <w:tc>
          <w:tcPr>
            <w:tcW w:w="4744" w:type="dxa"/>
            <w:tcBorders>
              <w:top w:val="single" w:sz="4" w:space="0" w:color="auto"/>
              <w:left w:val="nil"/>
              <w:bottom w:val="single" w:sz="4" w:space="0" w:color="auto"/>
              <w:right w:val="single" w:sz="4" w:space="0" w:color="auto"/>
            </w:tcBorders>
            <w:shd w:val="clear" w:color="FFFFFF" w:fill="FFFFFF"/>
            <w:vAlign w:val="center"/>
            <w:hideMark/>
          </w:tcPr>
          <w:p w14:paraId="2DD0CF23" w14:textId="77777777" w:rsidR="00C801FF" w:rsidRPr="000B4845" w:rsidRDefault="001A60A6" w:rsidP="00FA48AC">
            <w:pPr>
              <w:jc w:val="center"/>
              <w:rPr>
                <w:rFonts w:ascii="Arial Narrow" w:hAnsi="Arial Narrow" w:cs="Segoe UI"/>
                <w:color w:val="000000"/>
                <w:sz w:val="20"/>
                <w:szCs w:val="20"/>
                <w:lang w:eastAsia="es-CR"/>
              </w:rPr>
            </w:pPr>
            <w:hyperlink r:id="rId150" w:history="1">
              <w:r w:rsidR="00C801FF" w:rsidRPr="000B4845">
                <w:rPr>
                  <w:rFonts w:ascii="Arial Narrow" w:hAnsi="Arial Narrow" w:cs="Segoe UI"/>
                  <w:color w:val="000000"/>
                  <w:sz w:val="20"/>
                  <w:szCs w:val="20"/>
                  <w:lang w:eastAsia="es-CR"/>
                </w:rPr>
                <w:t>COMISION NACIONAL PARA EL MEJORAMIENTO DE LA ADMINISTRACION DE JUSTICIA</w:t>
              </w:r>
            </w:hyperlink>
          </w:p>
        </w:tc>
        <w:tc>
          <w:tcPr>
            <w:tcW w:w="1131" w:type="dxa"/>
            <w:tcBorders>
              <w:top w:val="nil"/>
              <w:left w:val="nil"/>
              <w:bottom w:val="single" w:sz="4" w:space="0" w:color="auto"/>
              <w:right w:val="single" w:sz="4" w:space="0" w:color="auto"/>
            </w:tcBorders>
            <w:shd w:val="clear" w:color="FFFFFF" w:fill="FFFFFF"/>
            <w:vAlign w:val="center"/>
            <w:hideMark/>
          </w:tcPr>
          <w:p w14:paraId="3EA73D51" w14:textId="77777777" w:rsidR="00C801FF" w:rsidRPr="000B4845" w:rsidRDefault="00C801FF" w:rsidP="00FA48AC">
            <w:pPr>
              <w:jc w:val="center"/>
              <w:rPr>
                <w:rFonts w:ascii="Arial Narrow" w:hAnsi="Arial Narrow" w:cs="Segoe UI"/>
                <w:color w:val="000000"/>
                <w:sz w:val="20"/>
                <w:szCs w:val="20"/>
                <w:lang w:eastAsia="es-CR"/>
              </w:rPr>
            </w:pPr>
            <w:r w:rsidRPr="000B4845">
              <w:rPr>
                <w:rFonts w:ascii="Arial Narrow" w:hAnsi="Arial Narrow" w:cs="Segoe UI"/>
                <w:color w:val="000000"/>
                <w:sz w:val="20"/>
                <w:szCs w:val="20"/>
                <w:lang w:eastAsia="es-CR"/>
              </w:rPr>
              <w:t>3</w:t>
            </w:r>
          </w:p>
        </w:tc>
        <w:tc>
          <w:tcPr>
            <w:tcW w:w="1420" w:type="dxa"/>
            <w:tcBorders>
              <w:top w:val="single" w:sz="4" w:space="0" w:color="auto"/>
              <w:left w:val="nil"/>
              <w:bottom w:val="single" w:sz="4" w:space="0" w:color="auto"/>
              <w:right w:val="single" w:sz="4" w:space="0" w:color="auto"/>
            </w:tcBorders>
            <w:shd w:val="clear" w:color="auto" w:fill="70AD47" w:themeFill="accent6"/>
            <w:vAlign w:val="center"/>
            <w:hideMark/>
          </w:tcPr>
          <w:p w14:paraId="30E830D5" w14:textId="77777777" w:rsidR="00C801FF" w:rsidRPr="000B4845" w:rsidRDefault="00C801FF" w:rsidP="00FA48AC">
            <w:pPr>
              <w:jc w:val="center"/>
              <w:rPr>
                <w:rFonts w:ascii="Arial Narrow" w:hAnsi="Arial Narrow" w:cs="Segoe UI"/>
                <w:color w:val="000000"/>
                <w:sz w:val="20"/>
                <w:szCs w:val="20"/>
                <w:lang w:eastAsia="es-CR"/>
              </w:rPr>
            </w:pPr>
            <w:r w:rsidRPr="000B4845">
              <w:rPr>
                <w:rFonts w:ascii="Arial Narrow" w:hAnsi="Arial Narrow" w:cs="Segoe UI"/>
                <w:color w:val="000000"/>
                <w:sz w:val="20"/>
                <w:szCs w:val="20"/>
                <w:lang w:eastAsia="es-CR"/>
              </w:rPr>
              <w:t>100.00 %</w:t>
            </w:r>
          </w:p>
        </w:tc>
      </w:tr>
      <w:tr w:rsidR="006F3725" w:rsidRPr="000B4845" w14:paraId="2EAFC2E8" w14:textId="77777777" w:rsidTr="00FA48AC">
        <w:trPr>
          <w:trHeight w:val="300"/>
          <w:jc w:val="center"/>
        </w:trPr>
        <w:tc>
          <w:tcPr>
            <w:tcW w:w="638" w:type="dxa"/>
            <w:tcBorders>
              <w:top w:val="single" w:sz="4" w:space="0" w:color="auto"/>
              <w:left w:val="single" w:sz="4" w:space="0" w:color="auto"/>
              <w:bottom w:val="single" w:sz="4" w:space="0" w:color="auto"/>
              <w:right w:val="single" w:sz="4" w:space="0" w:color="auto"/>
            </w:tcBorders>
            <w:shd w:val="clear" w:color="D3D3D3" w:fill="FFFFFF"/>
            <w:vAlign w:val="center"/>
            <w:hideMark/>
          </w:tcPr>
          <w:p w14:paraId="3DDF1ED9" w14:textId="77777777" w:rsidR="00C801FF" w:rsidRPr="000B4845" w:rsidRDefault="00C801FF" w:rsidP="00FA48AC">
            <w:pPr>
              <w:jc w:val="center"/>
              <w:rPr>
                <w:rFonts w:ascii="Arial Narrow" w:hAnsi="Arial Narrow" w:cs="Segoe UI"/>
                <w:color w:val="000000"/>
                <w:sz w:val="20"/>
                <w:szCs w:val="20"/>
                <w:lang w:eastAsia="es-CR"/>
              </w:rPr>
            </w:pPr>
            <w:r w:rsidRPr="000B4845">
              <w:rPr>
                <w:rFonts w:ascii="Arial Narrow" w:hAnsi="Arial Narrow" w:cs="Segoe UI"/>
                <w:color w:val="000000"/>
                <w:sz w:val="20"/>
                <w:szCs w:val="20"/>
                <w:lang w:eastAsia="es-CR"/>
              </w:rPr>
              <w:t>2</w:t>
            </w:r>
          </w:p>
        </w:tc>
        <w:tc>
          <w:tcPr>
            <w:tcW w:w="4744" w:type="dxa"/>
            <w:tcBorders>
              <w:top w:val="single" w:sz="4" w:space="0" w:color="auto"/>
              <w:left w:val="nil"/>
              <w:bottom w:val="single" w:sz="4" w:space="0" w:color="auto"/>
              <w:right w:val="single" w:sz="4" w:space="0" w:color="auto"/>
            </w:tcBorders>
            <w:shd w:val="clear" w:color="D3D3D3" w:fill="FFFFFF"/>
            <w:vAlign w:val="center"/>
            <w:hideMark/>
          </w:tcPr>
          <w:p w14:paraId="33AF4785" w14:textId="77777777" w:rsidR="00C801FF" w:rsidRPr="000B4845" w:rsidRDefault="001A60A6" w:rsidP="00FA48AC">
            <w:pPr>
              <w:jc w:val="center"/>
              <w:rPr>
                <w:rFonts w:ascii="Arial Narrow" w:hAnsi="Arial Narrow" w:cs="Segoe UI"/>
                <w:color w:val="000000"/>
                <w:sz w:val="20"/>
                <w:szCs w:val="20"/>
                <w:lang w:eastAsia="es-CR"/>
              </w:rPr>
            </w:pPr>
            <w:hyperlink r:id="rId151" w:history="1">
              <w:r w:rsidR="00C801FF" w:rsidRPr="000B4845">
                <w:rPr>
                  <w:rFonts w:ascii="Arial Narrow" w:hAnsi="Arial Narrow" w:cs="Segoe UI"/>
                  <w:color w:val="000000"/>
                  <w:sz w:val="20"/>
                  <w:szCs w:val="20"/>
                  <w:lang w:eastAsia="es-CR"/>
                </w:rPr>
                <w:t>CONTRALORIA DE SERVICIOS (SEDE CENTRAL)</w:t>
              </w:r>
            </w:hyperlink>
          </w:p>
        </w:tc>
        <w:tc>
          <w:tcPr>
            <w:tcW w:w="1131" w:type="dxa"/>
            <w:tcBorders>
              <w:top w:val="nil"/>
              <w:left w:val="nil"/>
              <w:bottom w:val="single" w:sz="4" w:space="0" w:color="auto"/>
              <w:right w:val="single" w:sz="4" w:space="0" w:color="auto"/>
            </w:tcBorders>
            <w:shd w:val="clear" w:color="D3D3D3" w:fill="FFFFFF"/>
            <w:vAlign w:val="center"/>
            <w:hideMark/>
          </w:tcPr>
          <w:p w14:paraId="6657873D" w14:textId="77777777" w:rsidR="00C801FF" w:rsidRPr="000B4845" w:rsidRDefault="00C801FF" w:rsidP="00FA48AC">
            <w:pPr>
              <w:jc w:val="center"/>
              <w:rPr>
                <w:rFonts w:ascii="Arial Narrow" w:hAnsi="Arial Narrow" w:cs="Segoe UI"/>
                <w:color w:val="000000"/>
                <w:sz w:val="20"/>
                <w:szCs w:val="20"/>
                <w:lang w:eastAsia="es-CR"/>
              </w:rPr>
            </w:pPr>
            <w:r w:rsidRPr="000B4845">
              <w:rPr>
                <w:rFonts w:ascii="Arial Narrow" w:hAnsi="Arial Narrow" w:cs="Segoe UI"/>
                <w:color w:val="000000"/>
                <w:sz w:val="20"/>
                <w:szCs w:val="20"/>
                <w:lang w:eastAsia="es-CR"/>
              </w:rPr>
              <w:t>2</w:t>
            </w:r>
          </w:p>
        </w:tc>
        <w:tc>
          <w:tcPr>
            <w:tcW w:w="1420" w:type="dxa"/>
            <w:tcBorders>
              <w:top w:val="single" w:sz="4" w:space="0" w:color="auto"/>
              <w:left w:val="nil"/>
              <w:bottom w:val="single" w:sz="4" w:space="0" w:color="auto"/>
              <w:right w:val="single" w:sz="4" w:space="0" w:color="auto"/>
            </w:tcBorders>
            <w:shd w:val="clear" w:color="auto" w:fill="70AD47" w:themeFill="accent6"/>
            <w:vAlign w:val="center"/>
            <w:hideMark/>
          </w:tcPr>
          <w:p w14:paraId="46EC2BC4" w14:textId="77777777" w:rsidR="00C801FF" w:rsidRPr="000B4845" w:rsidRDefault="00C801FF" w:rsidP="00FA48AC">
            <w:pPr>
              <w:jc w:val="center"/>
              <w:rPr>
                <w:rFonts w:ascii="Arial Narrow" w:hAnsi="Arial Narrow" w:cs="Segoe UI"/>
                <w:color w:val="000000"/>
                <w:sz w:val="20"/>
                <w:szCs w:val="20"/>
                <w:lang w:eastAsia="es-CR"/>
              </w:rPr>
            </w:pPr>
            <w:r w:rsidRPr="000B4845">
              <w:rPr>
                <w:rFonts w:ascii="Arial Narrow" w:hAnsi="Arial Narrow" w:cs="Segoe UI"/>
                <w:color w:val="000000"/>
                <w:sz w:val="20"/>
                <w:szCs w:val="20"/>
                <w:lang w:eastAsia="es-CR"/>
              </w:rPr>
              <w:t>100.00 %</w:t>
            </w:r>
          </w:p>
        </w:tc>
      </w:tr>
      <w:tr w:rsidR="006F3725" w:rsidRPr="000B4845" w14:paraId="14E9035A" w14:textId="77777777" w:rsidTr="00FA48AC">
        <w:trPr>
          <w:trHeight w:val="300"/>
          <w:jc w:val="center"/>
        </w:trPr>
        <w:tc>
          <w:tcPr>
            <w:tcW w:w="638" w:type="dxa"/>
            <w:tcBorders>
              <w:top w:val="single" w:sz="4" w:space="0" w:color="auto"/>
              <w:left w:val="single" w:sz="4" w:space="0" w:color="auto"/>
              <w:bottom w:val="single" w:sz="4" w:space="0" w:color="auto"/>
              <w:right w:val="single" w:sz="4" w:space="0" w:color="auto"/>
            </w:tcBorders>
            <w:shd w:val="clear" w:color="FFFFFF" w:fill="FFFFFF"/>
            <w:vAlign w:val="center"/>
            <w:hideMark/>
          </w:tcPr>
          <w:p w14:paraId="5E6C8B24" w14:textId="77777777" w:rsidR="00C801FF" w:rsidRPr="000B4845" w:rsidRDefault="00C801FF" w:rsidP="00FA48AC">
            <w:pPr>
              <w:jc w:val="center"/>
              <w:rPr>
                <w:rFonts w:ascii="Arial Narrow" w:hAnsi="Arial Narrow" w:cs="Segoe UI"/>
                <w:color w:val="000000"/>
                <w:sz w:val="20"/>
                <w:szCs w:val="20"/>
                <w:lang w:eastAsia="es-CR"/>
              </w:rPr>
            </w:pPr>
            <w:r w:rsidRPr="000B4845">
              <w:rPr>
                <w:rFonts w:ascii="Arial Narrow" w:hAnsi="Arial Narrow" w:cs="Segoe UI"/>
                <w:color w:val="000000"/>
                <w:sz w:val="20"/>
                <w:szCs w:val="20"/>
                <w:lang w:eastAsia="es-CR"/>
              </w:rPr>
              <w:t>3</w:t>
            </w:r>
          </w:p>
        </w:tc>
        <w:tc>
          <w:tcPr>
            <w:tcW w:w="4744" w:type="dxa"/>
            <w:tcBorders>
              <w:top w:val="single" w:sz="4" w:space="0" w:color="auto"/>
              <w:left w:val="nil"/>
              <w:bottom w:val="single" w:sz="4" w:space="0" w:color="auto"/>
              <w:right w:val="single" w:sz="4" w:space="0" w:color="auto"/>
            </w:tcBorders>
            <w:shd w:val="clear" w:color="FFFFFF" w:fill="FFFFFF"/>
            <w:vAlign w:val="center"/>
            <w:hideMark/>
          </w:tcPr>
          <w:p w14:paraId="0522C6C3" w14:textId="77777777" w:rsidR="00C801FF" w:rsidRPr="000B4845" w:rsidRDefault="001A60A6" w:rsidP="00FA48AC">
            <w:pPr>
              <w:jc w:val="center"/>
              <w:rPr>
                <w:rFonts w:ascii="Arial Narrow" w:hAnsi="Arial Narrow" w:cs="Segoe UI"/>
                <w:color w:val="000000"/>
                <w:sz w:val="20"/>
                <w:szCs w:val="20"/>
                <w:lang w:eastAsia="es-CR"/>
              </w:rPr>
            </w:pPr>
            <w:hyperlink r:id="rId152" w:history="1">
              <w:r w:rsidR="00C801FF" w:rsidRPr="000B4845">
                <w:rPr>
                  <w:rFonts w:ascii="Arial Narrow" w:hAnsi="Arial Narrow" w:cs="Segoe UI"/>
                  <w:color w:val="000000"/>
                  <w:sz w:val="20"/>
                  <w:szCs w:val="20"/>
                  <w:lang w:eastAsia="es-CR"/>
                </w:rPr>
                <w:t>JEFATURA DEFENSA PUBLICA</w:t>
              </w:r>
            </w:hyperlink>
          </w:p>
        </w:tc>
        <w:tc>
          <w:tcPr>
            <w:tcW w:w="1131" w:type="dxa"/>
            <w:tcBorders>
              <w:top w:val="nil"/>
              <w:left w:val="nil"/>
              <w:bottom w:val="single" w:sz="4" w:space="0" w:color="auto"/>
              <w:right w:val="single" w:sz="4" w:space="0" w:color="auto"/>
            </w:tcBorders>
            <w:shd w:val="clear" w:color="FFFFFF" w:fill="FFFFFF"/>
            <w:vAlign w:val="center"/>
            <w:hideMark/>
          </w:tcPr>
          <w:p w14:paraId="222FE2C9" w14:textId="77777777" w:rsidR="00C801FF" w:rsidRPr="000B4845" w:rsidRDefault="00C801FF" w:rsidP="00FA48AC">
            <w:pPr>
              <w:jc w:val="center"/>
              <w:rPr>
                <w:rFonts w:ascii="Arial Narrow" w:hAnsi="Arial Narrow" w:cs="Segoe UI"/>
                <w:color w:val="000000"/>
                <w:sz w:val="20"/>
                <w:szCs w:val="20"/>
                <w:lang w:eastAsia="es-CR"/>
              </w:rPr>
            </w:pPr>
            <w:r w:rsidRPr="000B4845">
              <w:rPr>
                <w:rFonts w:ascii="Arial Narrow" w:hAnsi="Arial Narrow" w:cs="Segoe UI"/>
                <w:color w:val="000000"/>
                <w:sz w:val="20"/>
                <w:szCs w:val="20"/>
                <w:lang w:eastAsia="es-CR"/>
              </w:rPr>
              <w:t>9</w:t>
            </w:r>
          </w:p>
        </w:tc>
        <w:tc>
          <w:tcPr>
            <w:tcW w:w="1420" w:type="dxa"/>
            <w:tcBorders>
              <w:top w:val="single" w:sz="4" w:space="0" w:color="auto"/>
              <w:left w:val="nil"/>
              <w:bottom w:val="single" w:sz="4" w:space="0" w:color="auto"/>
              <w:right w:val="single" w:sz="4" w:space="0" w:color="auto"/>
            </w:tcBorders>
            <w:shd w:val="clear" w:color="auto" w:fill="70AD47" w:themeFill="accent6"/>
            <w:vAlign w:val="center"/>
            <w:hideMark/>
          </w:tcPr>
          <w:p w14:paraId="221BF87C" w14:textId="77777777" w:rsidR="00C801FF" w:rsidRPr="000B4845" w:rsidRDefault="00C801FF" w:rsidP="00FA48AC">
            <w:pPr>
              <w:jc w:val="center"/>
              <w:rPr>
                <w:rFonts w:ascii="Arial Narrow" w:hAnsi="Arial Narrow" w:cs="Segoe UI"/>
                <w:color w:val="000000"/>
                <w:sz w:val="20"/>
                <w:szCs w:val="20"/>
                <w:lang w:eastAsia="es-CR"/>
              </w:rPr>
            </w:pPr>
            <w:r w:rsidRPr="000B4845">
              <w:rPr>
                <w:rFonts w:ascii="Arial Narrow" w:hAnsi="Arial Narrow" w:cs="Segoe UI"/>
                <w:color w:val="000000"/>
                <w:sz w:val="20"/>
                <w:szCs w:val="20"/>
                <w:lang w:eastAsia="es-CR"/>
              </w:rPr>
              <w:t>100.00 %</w:t>
            </w:r>
          </w:p>
        </w:tc>
      </w:tr>
      <w:tr w:rsidR="006F3725" w:rsidRPr="000B4845" w14:paraId="446D0E28" w14:textId="77777777" w:rsidTr="00FA48AC">
        <w:trPr>
          <w:trHeight w:val="300"/>
          <w:jc w:val="center"/>
        </w:trPr>
        <w:tc>
          <w:tcPr>
            <w:tcW w:w="638" w:type="dxa"/>
            <w:tcBorders>
              <w:top w:val="single" w:sz="4" w:space="0" w:color="auto"/>
              <w:left w:val="single" w:sz="4" w:space="0" w:color="auto"/>
              <w:bottom w:val="single" w:sz="4" w:space="0" w:color="auto"/>
              <w:right w:val="single" w:sz="4" w:space="0" w:color="auto"/>
            </w:tcBorders>
            <w:shd w:val="clear" w:color="D3D3D3" w:fill="FFFFFF"/>
            <w:vAlign w:val="center"/>
            <w:hideMark/>
          </w:tcPr>
          <w:p w14:paraId="151E2E19" w14:textId="77777777" w:rsidR="00C801FF" w:rsidRPr="000B4845" w:rsidRDefault="00C801FF" w:rsidP="00FA48AC">
            <w:pPr>
              <w:jc w:val="center"/>
              <w:rPr>
                <w:rFonts w:ascii="Arial Narrow" w:hAnsi="Arial Narrow" w:cs="Segoe UI"/>
                <w:color w:val="000000"/>
                <w:sz w:val="20"/>
                <w:szCs w:val="20"/>
                <w:lang w:eastAsia="es-CR"/>
              </w:rPr>
            </w:pPr>
            <w:r w:rsidRPr="000B4845">
              <w:rPr>
                <w:rFonts w:ascii="Arial Narrow" w:hAnsi="Arial Narrow" w:cs="Segoe UI"/>
                <w:color w:val="000000"/>
                <w:sz w:val="20"/>
                <w:szCs w:val="20"/>
                <w:lang w:eastAsia="es-CR"/>
              </w:rPr>
              <w:t>4</w:t>
            </w:r>
          </w:p>
        </w:tc>
        <w:tc>
          <w:tcPr>
            <w:tcW w:w="4744" w:type="dxa"/>
            <w:tcBorders>
              <w:top w:val="single" w:sz="4" w:space="0" w:color="auto"/>
              <w:left w:val="nil"/>
              <w:bottom w:val="single" w:sz="4" w:space="0" w:color="auto"/>
              <w:right w:val="single" w:sz="4" w:space="0" w:color="auto"/>
            </w:tcBorders>
            <w:shd w:val="clear" w:color="D3D3D3" w:fill="FFFFFF"/>
            <w:vAlign w:val="center"/>
            <w:hideMark/>
          </w:tcPr>
          <w:p w14:paraId="41DB3286" w14:textId="77777777" w:rsidR="00C801FF" w:rsidRPr="000B4845" w:rsidRDefault="001A60A6" w:rsidP="00FA48AC">
            <w:pPr>
              <w:jc w:val="center"/>
              <w:rPr>
                <w:rFonts w:ascii="Arial Narrow" w:hAnsi="Arial Narrow" w:cs="Segoe UI"/>
                <w:color w:val="000000"/>
                <w:sz w:val="20"/>
                <w:szCs w:val="20"/>
                <w:lang w:eastAsia="es-CR"/>
              </w:rPr>
            </w:pPr>
            <w:hyperlink r:id="rId153" w:history="1">
              <w:r w:rsidR="00C801FF" w:rsidRPr="000B4845">
                <w:rPr>
                  <w:rFonts w:ascii="Arial Narrow" w:hAnsi="Arial Narrow" w:cs="Segoe UI"/>
                  <w:color w:val="000000"/>
                  <w:sz w:val="20"/>
                  <w:szCs w:val="20"/>
                  <w:lang w:eastAsia="es-CR"/>
                </w:rPr>
                <w:t>OFICINA DE INFORMACION Y PRENSA</w:t>
              </w:r>
            </w:hyperlink>
          </w:p>
        </w:tc>
        <w:tc>
          <w:tcPr>
            <w:tcW w:w="1131" w:type="dxa"/>
            <w:tcBorders>
              <w:top w:val="nil"/>
              <w:left w:val="nil"/>
              <w:bottom w:val="single" w:sz="4" w:space="0" w:color="auto"/>
              <w:right w:val="single" w:sz="4" w:space="0" w:color="auto"/>
            </w:tcBorders>
            <w:shd w:val="clear" w:color="D3D3D3" w:fill="FFFFFF"/>
            <w:vAlign w:val="center"/>
            <w:hideMark/>
          </w:tcPr>
          <w:p w14:paraId="112E166D" w14:textId="77777777" w:rsidR="00C801FF" w:rsidRPr="000B4845" w:rsidRDefault="00C801FF" w:rsidP="00FA48AC">
            <w:pPr>
              <w:jc w:val="center"/>
              <w:rPr>
                <w:rFonts w:ascii="Arial Narrow" w:hAnsi="Arial Narrow" w:cs="Segoe UI"/>
                <w:color w:val="000000"/>
                <w:sz w:val="20"/>
                <w:szCs w:val="20"/>
                <w:lang w:eastAsia="es-CR"/>
              </w:rPr>
            </w:pPr>
            <w:r w:rsidRPr="000B4845">
              <w:rPr>
                <w:rFonts w:ascii="Arial Narrow" w:hAnsi="Arial Narrow" w:cs="Segoe UI"/>
                <w:color w:val="000000"/>
                <w:sz w:val="20"/>
                <w:szCs w:val="20"/>
                <w:lang w:eastAsia="es-CR"/>
              </w:rPr>
              <w:t>1</w:t>
            </w:r>
          </w:p>
        </w:tc>
        <w:tc>
          <w:tcPr>
            <w:tcW w:w="1420" w:type="dxa"/>
            <w:tcBorders>
              <w:top w:val="single" w:sz="4" w:space="0" w:color="auto"/>
              <w:left w:val="nil"/>
              <w:bottom w:val="single" w:sz="4" w:space="0" w:color="auto"/>
              <w:right w:val="single" w:sz="4" w:space="0" w:color="auto"/>
            </w:tcBorders>
            <w:shd w:val="clear" w:color="auto" w:fill="70AD47" w:themeFill="accent6"/>
            <w:vAlign w:val="center"/>
            <w:hideMark/>
          </w:tcPr>
          <w:p w14:paraId="301EFB9C" w14:textId="77777777" w:rsidR="00C801FF" w:rsidRPr="000B4845" w:rsidRDefault="00C801FF" w:rsidP="00FA48AC">
            <w:pPr>
              <w:jc w:val="center"/>
              <w:rPr>
                <w:rFonts w:ascii="Arial Narrow" w:hAnsi="Arial Narrow" w:cs="Segoe UI"/>
                <w:color w:val="000000"/>
                <w:sz w:val="20"/>
                <w:szCs w:val="20"/>
                <w:lang w:eastAsia="es-CR"/>
              </w:rPr>
            </w:pPr>
            <w:r w:rsidRPr="000B4845">
              <w:rPr>
                <w:rFonts w:ascii="Arial Narrow" w:hAnsi="Arial Narrow" w:cs="Segoe UI"/>
                <w:color w:val="000000"/>
                <w:sz w:val="20"/>
                <w:szCs w:val="20"/>
                <w:lang w:eastAsia="es-CR"/>
              </w:rPr>
              <w:t>100.00 %</w:t>
            </w:r>
          </w:p>
        </w:tc>
      </w:tr>
      <w:tr w:rsidR="006F3725" w:rsidRPr="000B4845" w14:paraId="4A464CEF" w14:textId="77777777" w:rsidTr="00FA48AC">
        <w:trPr>
          <w:trHeight w:val="300"/>
          <w:jc w:val="center"/>
        </w:trPr>
        <w:tc>
          <w:tcPr>
            <w:tcW w:w="638" w:type="dxa"/>
            <w:tcBorders>
              <w:top w:val="single" w:sz="4" w:space="0" w:color="auto"/>
              <w:left w:val="single" w:sz="4" w:space="0" w:color="auto"/>
              <w:bottom w:val="single" w:sz="4" w:space="0" w:color="auto"/>
              <w:right w:val="single" w:sz="4" w:space="0" w:color="auto"/>
            </w:tcBorders>
            <w:shd w:val="clear" w:color="FFFFFF" w:fill="FFFFFF"/>
            <w:vAlign w:val="center"/>
            <w:hideMark/>
          </w:tcPr>
          <w:p w14:paraId="4481D885" w14:textId="77777777" w:rsidR="00C801FF" w:rsidRPr="000B4845" w:rsidRDefault="00C801FF" w:rsidP="00FA48AC">
            <w:pPr>
              <w:jc w:val="center"/>
              <w:rPr>
                <w:rFonts w:ascii="Arial Narrow" w:hAnsi="Arial Narrow" w:cs="Segoe UI"/>
                <w:color w:val="000000"/>
                <w:sz w:val="20"/>
                <w:szCs w:val="20"/>
                <w:lang w:eastAsia="es-CR"/>
              </w:rPr>
            </w:pPr>
            <w:r w:rsidRPr="000B4845">
              <w:rPr>
                <w:rFonts w:ascii="Arial Narrow" w:hAnsi="Arial Narrow" w:cs="Segoe UI"/>
                <w:color w:val="000000"/>
                <w:sz w:val="20"/>
                <w:szCs w:val="20"/>
                <w:lang w:eastAsia="es-CR"/>
              </w:rPr>
              <w:t>5</w:t>
            </w:r>
          </w:p>
        </w:tc>
        <w:tc>
          <w:tcPr>
            <w:tcW w:w="4744" w:type="dxa"/>
            <w:tcBorders>
              <w:top w:val="single" w:sz="4" w:space="0" w:color="auto"/>
              <w:left w:val="nil"/>
              <w:bottom w:val="single" w:sz="4" w:space="0" w:color="auto"/>
              <w:right w:val="single" w:sz="4" w:space="0" w:color="auto"/>
            </w:tcBorders>
            <w:shd w:val="clear" w:color="FFFFFF" w:fill="FFFFFF"/>
            <w:vAlign w:val="center"/>
            <w:hideMark/>
          </w:tcPr>
          <w:p w14:paraId="445C47F3" w14:textId="77777777" w:rsidR="00C801FF" w:rsidRPr="000B4845" w:rsidRDefault="001A60A6" w:rsidP="00FA48AC">
            <w:pPr>
              <w:jc w:val="center"/>
              <w:rPr>
                <w:rFonts w:ascii="Arial Narrow" w:hAnsi="Arial Narrow" w:cs="Segoe UI"/>
                <w:color w:val="000000"/>
                <w:sz w:val="20"/>
                <w:szCs w:val="20"/>
                <w:lang w:eastAsia="es-CR"/>
              </w:rPr>
            </w:pPr>
            <w:hyperlink r:id="rId154" w:history="1">
              <w:r w:rsidR="00C801FF" w:rsidRPr="000B4845">
                <w:rPr>
                  <w:rFonts w:ascii="Arial Narrow" w:hAnsi="Arial Narrow" w:cs="Segoe UI"/>
                  <w:color w:val="000000"/>
                  <w:sz w:val="20"/>
                  <w:szCs w:val="20"/>
                  <w:lang w:eastAsia="es-CR"/>
                </w:rPr>
                <w:t>SALA CONSTITUCIONAL</w:t>
              </w:r>
            </w:hyperlink>
          </w:p>
        </w:tc>
        <w:tc>
          <w:tcPr>
            <w:tcW w:w="1131" w:type="dxa"/>
            <w:tcBorders>
              <w:top w:val="nil"/>
              <w:left w:val="nil"/>
              <w:bottom w:val="single" w:sz="4" w:space="0" w:color="auto"/>
              <w:right w:val="single" w:sz="4" w:space="0" w:color="auto"/>
            </w:tcBorders>
            <w:shd w:val="clear" w:color="FFFFFF" w:fill="FFFFFF"/>
            <w:vAlign w:val="center"/>
            <w:hideMark/>
          </w:tcPr>
          <w:p w14:paraId="234102C1" w14:textId="77777777" w:rsidR="00C801FF" w:rsidRPr="000B4845" w:rsidRDefault="00C801FF" w:rsidP="00FA48AC">
            <w:pPr>
              <w:jc w:val="center"/>
              <w:rPr>
                <w:rFonts w:ascii="Arial Narrow" w:hAnsi="Arial Narrow" w:cs="Segoe UI"/>
                <w:color w:val="000000"/>
                <w:sz w:val="20"/>
                <w:szCs w:val="20"/>
                <w:lang w:eastAsia="es-CR"/>
              </w:rPr>
            </w:pPr>
            <w:r w:rsidRPr="000B4845">
              <w:rPr>
                <w:rFonts w:ascii="Arial Narrow" w:hAnsi="Arial Narrow" w:cs="Segoe UI"/>
                <w:color w:val="000000"/>
                <w:sz w:val="20"/>
                <w:szCs w:val="20"/>
                <w:lang w:eastAsia="es-CR"/>
              </w:rPr>
              <w:t>2</w:t>
            </w:r>
          </w:p>
        </w:tc>
        <w:tc>
          <w:tcPr>
            <w:tcW w:w="1420" w:type="dxa"/>
            <w:tcBorders>
              <w:top w:val="single" w:sz="4" w:space="0" w:color="auto"/>
              <w:left w:val="nil"/>
              <w:bottom w:val="single" w:sz="4" w:space="0" w:color="auto"/>
              <w:right w:val="single" w:sz="4" w:space="0" w:color="auto"/>
            </w:tcBorders>
            <w:shd w:val="clear" w:color="auto" w:fill="70AD47" w:themeFill="accent6"/>
            <w:vAlign w:val="center"/>
            <w:hideMark/>
          </w:tcPr>
          <w:p w14:paraId="101378EA" w14:textId="77777777" w:rsidR="00C801FF" w:rsidRPr="000B4845" w:rsidRDefault="00C801FF" w:rsidP="00FA48AC">
            <w:pPr>
              <w:jc w:val="center"/>
              <w:rPr>
                <w:rFonts w:ascii="Arial Narrow" w:hAnsi="Arial Narrow" w:cs="Segoe UI"/>
                <w:color w:val="000000"/>
                <w:sz w:val="20"/>
                <w:szCs w:val="20"/>
                <w:lang w:eastAsia="es-CR"/>
              </w:rPr>
            </w:pPr>
            <w:r w:rsidRPr="000B4845">
              <w:rPr>
                <w:rFonts w:ascii="Arial Narrow" w:hAnsi="Arial Narrow" w:cs="Segoe UI"/>
                <w:color w:val="000000"/>
                <w:sz w:val="20"/>
                <w:szCs w:val="20"/>
                <w:lang w:eastAsia="es-CR"/>
              </w:rPr>
              <w:t>100.00 %</w:t>
            </w:r>
          </w:p>
        </w:tc>
      </w:tr>
      <w:tr w:rsidR="006F3725" w:rsidRPr="000B4845" w14:paraId="65FAF013" w14:textId="77777777" w:rsidTr="00FA48AC">
        <w:trPr>
          <w:trHeight w:val="300"/>
          <w:jc w:val="center"/>
        </w:trPr>
        <w:tc>
          <w:tcPr>
            <w:tcW w:w="638" w:type="dxa"/>
            <w:tcBorders>
              <w:top w:val="single" w:sz="4" w:space="0" w:color="auto"/>
              <w:left w:val="single" w:sz="4" w:space="0" w:color="auto"/>
              <w:bottom w:val="single" w:sz="4" w:space="0" w:color="auto"/>
              <w:right w:val="single" w:sz="4" w:space="0" w:color="auto"/>
            </w:tcBorders>
            <w:shd w:val="clear" w:color="D3D3D3" w:fill="FFFFFF"/>
            <w:vAlign w:val="center"/>
            <w:hideMark/>
          </w:tcPr>
          <w:p w14:paraId="17CC45BB" w14:textId="77777777" w:rsidR="00C801FF" w:rsidRPr="000B4845" w:rsidRDefault="00C801FF" w:rsidP="00FA48AC">
            <w:pPr>
              <w:jc w:val="center"/>
              <w:rPr>
                <w:rFonts w:ascii="Arial Narrow" w:hAnsi="Arial Narrow" w:cs="Segoe UI"/>
                <w:color w:val="000000"/>
                <w:sz w:val="20"/>
                <w:szCs w:val="20"/>
                <w:lang w:eastAsia="es-CR"/>
              </w:rPr>
            </w:pPr>
            <w:r w:rsidRPr="000B4845">
              <w:rPr>
                <w:rFonts w:ascii="Arial Narrow" w:hAnsi="Arial Narrow" w:cs="Segoe UI"/>
                <w:color w:val="000000"/>
                <w:sz w:val="20"/>
                <w:szCs w:val="20"/>
                <w:lang w:eastAsia="es-CR"/>
              </w:rPr>
              <w:t>6</w:t>
            </w:r>
          </w:p>
        </w:tc>
        <w:tc>
          <w:tcPr>
            <w:tcW w:w="4744" w:type="dxa"/>
            <w:tcBorders>
              <w:top w:val="single" w:sz="4" w:space="0" w:color="auto"/>
              <w:left w:val="nil"/>
              <w:bottom w:val="single" w:sz="4" w:space="0" w:color="auto"/>
              <w:right w:val="single" w:sz="4" w:space="0" w:color="auto"/>
            </w:tcBorders>
            <w:shd w:val="clear" w:color="D3D3D3" w:fill="FFFFFF"/>
            <w:vAlign w:val="center"/>
            <w:hideMark/>
          </w:tcPr>
          <w:p w14:paraId="129BE84F" w14:textId="77777777" w:rsidR="00C801FF" w:rsidRPr="000B4845" w:rsidRDefault="001A60A6" w:rsidP="00FA48AC">
            <w:pPr>
              <w:jc w:val="center"/>
              <w:rPr>
                <w:rFonts w:ascii="Arial Narrow" w:hAnsi="Arial Narrow" w:cs="Segoe UI"/>
                <w:color w:val="000000"/>
                <w:sz w:val="20"/>
                <w:szCs w:val="20"/>
                <w:lang w:eastAsia="es-CR"/>
              </w:rPr>
            </w:pPr>
            <w:hyperlink r:id="rId155" w:history="1">
              <w:r w:rsidR="00C801FF" w:rsidRPr="000B4845">
                <w:rPr>
                  <w:rFonts w:ascii="Arial Narrow" w:hAnsi="Arial Narrow" w:cs="Segoe UI"/>
                  <w:color w:val="000000"/>
                  <w:sz w:val="20"/>
                  <w:szCs w:val="20"/>
                  <w:lang w:eastAsia="es-CR"/>
                </w:rPr>
                <w:t>SALA PRIMERA</w:t>
              </w:r>
            </w:hyperlink>
          </w:p>
        </w:tc>
        <w:tc>
          <w:tcPr>
            <w:tcW w:w="1131" w:type="dxa"/>
            <w:tcBorders>
              <w:top w:val="nil"/>
              <w:left w:val="nil"/>
              <w:bottom w:val="single" w:sz="4" w:space="0" w:color="auto"/>
              <w:right w:val="single" w:sz="4" w:space="0" w:color="auto"/>
            </w:tcBorders>
            <w:shd w:val="clear" w:color="D3D3D3" w:fill="FFFFFF"/>
            <w:vAlign w:val="center"/>
            <w:hideMark/>
          </w:tcPr>
          <w:p w14:paraId="022BDC38" w14:textId="77777777" w:rsidR="00C801FF" w:rsidRPr="000B4845" w:rsidRDefault="00C801FF" w:rsidP="00FA48AC">
            <w:pPr>
              <w:jc w:val="center"/>
              <w:rPr>
                <w:rFonts w:ascii="Arial Narrow" w:hAnsi="Arial Narrow" w:cs="Segoe UI"/>
                <w:color w:val="000000"/>
                <w:sz w:val="20"/>
                <w:szCs w:val="20"/>
                <w:lang w:eastAsia="es-CR"/>
              </w:rPr>
            </w:pPr>
            <w:r w:rsidRPr="000B4845">
              <w:rPr>
                <w:rFonts w:ascii="Arial Narrow" w:hAnsi="Arial Narrow" w:cs="Segoe UI"/>
                <w:color w:val="000000"/>
                <w:sz w:val="20"/>
                <w:szCs w:val="20"/>
                <w:lang w:eastAsia="es-CR"/>
              </w:rPr>
              <w:t>2</w:t>
            </w:r>
          </w:p>
        </w:tc>
        <w:tc>
          <w:tcPr>
            <w:tcW w:w="1420" w:type="dxa"/>
            <w:tcBorders>
              <w:top w:val="single" w:sz="4" w:space="0" w:color="auto"/>
              <w:left w:val="nil"/>
              <w:bottom w:val="single" w:sz="4" w:space="0" w:color="auto"/>
              <w:right w:val="single" w:sz="4" w:space="0" w:color="auto"/>
            </w:tcBorders>
            <w:shd w:val="clear" w:color="auto" w:fill="70AD47" w:themeFill="accent6"/>
            <w:vAlign w:val="center"/>
            <w:hideMark/>
          </w:tcPr>
          <w:p w14:paraId="67AC08B0" w14:textId="77777777" w:rsidR="00C801FF" w:rsidRPr="000B4845" w:rsidRDefault="00C801FF" w:rsidP="00FA48AC">
            <w:pPr>
              <w:jc w:val="center"/>
              <w:rPr>
                <w:rFonts w:ascii="Arial Narrow" w:hAnsi="Arial Narrow" w:cs="Segoe UI"/>
                <w:color w:val="000000"/>
                <w:sz w:val="20"/>
                <w:szCs w:val="20"/>
                <w:lang w:eastAsia="es-CR"/>
              </w:rPr>
            </w:pPr>
            <w:r w:rsidRPr="000B4845">
              <w:rPr>
                <w:rFonts w:ascii="Arial Narrow" w:hAnsi="Arial Narrow" w:cs="Segoe UI"/>
                <w:color w:val="000000"/>
                <w:sz w:val="20"/>
                <w:szCs w:val="20"/>
                <w:lang w:eastAsia="es-CR"/>
              </w:rPr>
              <w:t>100.00 %</w:t>
            </w:r>
          </w:p>
        </w:tc>
      </w:tr>
      <w:tr w:rsidR="006F3725" w:rsidRPr="000B4845" w14:paraId="426FA1FB" w14:textId="77777777" w:rsidTr="00FA48AC">
        <w:trPr>
          <w:trHeight w:val="300"/>
          <w:jc w:val="center"/>
        </w:trPr>
        <w:tc>
          <w:tcPr>
            <w:tcW w:w="638" w:type="dxa"/>
            <w:tcBorders>
              <w:top w:val="single" w:sz="4" w:space="0" w:color="auto"/>
              <w:left w:val="single" w:sz="4" w:space="0" w:color="auto"/>
              <w:bottom w:val="single" w:sz="4" w:space="0" w:color="auto"/>
              <w:right w:val="single" w:sz="4" w:space="0" w:color="auto"/>
            </w:tcBorders>
            <w:shd w:val="clear" w:color="FFFFFF" w:fill="FFFFFF"/>
            <w:vAlign w:val="center"/>
            <w:hideMark/>
          </w:tcPr>
          <w:p w14:paraId="2E4490A7" w14:textId="77777777" w:rsidR="00C801FF" w:rsidRPr="000B4845" w:rsidRDefault="00C801FF" w:rsidP="00FA48AC">
            <w:pPr>
              <w:jc w:val="center"/>
              <w:rPr>
                <w:rFonts w:ascii="Arial Narrow" w:hAnsi="Arial Narrow" w:cs="Segoe UI"/>
                <w:color w:val="000000"/>
                <w:sz w:val="20"/>
                <w:szCs w:val="20"/>
                <w:lang w:eastAsia="es-CR"/>
              </w:rPr>
            </w:pPr>
            <w:r w:rsidRPr="000B4845">
              <w:rPr>
                <w:rFonts w:ascii="Arial Narrow" w:hAnsi="Arial Narrow" w:cs="Segoe UI"/>
                <w:color w:val="000000"/>
                <w:sz w:val="20"/>
                <w:szCs w:val="20"/>
                <w:lang w:eastAsia="es-CR"/>
              </w:rPr>
              <w:t>7</w:t>
            </w:r>
          </w:p>
        </w:tc>
        <w:tc>
          <w:tcPr>
            <w:tcW w:w="4744" w:type="dxa"/>
            <w:tcBorders>
              <w:top w:val="single" w:sz="4" w:space="0" w:color="auto"/>
              <w:left w:val="nil"/>
              <w:bottom w:val="single" w:sz="4" w:space="0" w:color="auto"/>
              <w:right w:val="single" w:sz="4" w:space="0" w:color="auto"/>
            </w:tcBorders>
            <w:shd w:val="clear" w:color="FFFFFF" w:fill="FFFFFF"/>
            <w:vAlign w:val="center"/>
            <w:hideMark/>
          </w:tcPr>
          <w:p w14:paraId="176E342E" w14:textId="77777777" w:rsidR="00C801FF" w:rsidRPr="000B4845" w:rsidRDefault="001A60A6" w:rsidP="00FA48AC">
            <w:pPr>
              <w:jc w:val="center"/>
              <w:rPr>
                <w:rFonts w:ascii="Arial Narrow" w:hAnsi="Arial Narrow" w:cs="Segoe UI"/>
                <w:color w:val="000000"/>
                <w:sz w:val="20"/>
                <w:szCs w:val="20"/>
                <w:lang w:eastAsia="es-CR"/>
              </w:rPr>
            </w:pPr>
            <w:hyperlink r:id="rId156" w:history="1">
              <w:r w:rsidR="00C801FF" w:rsidRPr="000B4845">
                <w:rPr>
                  <w:rFonts w:ascii="Arial Narrow" w:hAnsi="Arial Narrow" w:cs="Segoe UI"/>
                  <w:color w:val="000000"/>
                  <w:sz w:val="20"/>
                  <w:szCs w:val="20"/>
                  <w:lang w:eastAsia="es-CR"/>
                </w:rPr>
                <w:t>SALA SEGUNDA</w:t>
              </w:r>
            </w:hyperlink>
          </w:p>
        </w:tc>
        <w:tc>
          <w:tcPr>
            <w:tcW w:w="1131" w:type="dxa"/>
            <w:tcBorders>
              <w:top w:val="nil"/>
              <w:left w:val="nil"/>
              <w:bottom w:val="single" w:sz="4" w:space="0" w:color="auto"/>
              <w:right w:val="single" w:sz="4" w:space="0" w:color="auto"/>
            </w:tcBorders>
            <w:shd w:val="clear" w:color="FFFFFF" w:fill="FFFFFF"/>
            <w:vAlign w:val="center"/>
            <w:hideMark/>
          </w:tcPr>
          <w:p w14:paraId="79D4968F" w14:textId="77777777" w:rsidR="00C801FF" w:rsidRPr="000B4845" w:rsidRDefault="00C801FF" w:rsidP="00FA48AC">
            <w:pPr>
              <w:jc w:val="center"/>
              <w:rPr>
                <w:rFonts w:ascii="Arial Narrow" w:hAnsi="Arial Narrow" w:cs="Segoe UI"/>
                <w:color w:val="000000"/>
                <w:sz w:val="20"/>
                <w:szCs w:val="20"/>
                <w:lang w:eastAsia="es-CR"/>
              </w:rPr>
            </w:pPr>
            <w:r w:rsidRPr="000B4845">
              <w:rPr>
                <w:rFonts w:ascii="Arial Narrow" w:hAnsi="Arial Narrow" w:cs="Segoe UI"/>
                <w:color w:val="000000"/>
                <w:sz w:val="20"/>
                <w:szCs w:val="20"/>
                <w:lang w:eastAsia="es-CR"/>
              </w:rPr>
              <w:t>1</w:t>
            </w:r>
          </w:p>
        </w:tc>
        <w:tc>
          <w:tcPr>
            <w:tcW w:w="1420" w:type="dxa"/>
            <w:tcBorders>
              <w:top w:val="single" w:sz="4" w:space="0" w:color="auto"/>
              <w:left w:val="nil"/>
              <w:bottom w:val="single" w:sz="4" w:space="0" w:color="auto"/>
              <w:right w:val="single" w:sz="4" w:space="0" w:color="auto"/>
            </w:tcBorders>
            <w:shd w:val="clear" w:color="auto" w:fill="70AD47" w:themeFill="accent6"/>
            <w:vAlign w:val="center"/>
            <w:hideMark/>
          </w:tcPr>
          <w:p w14:paraId="6BA0E196" w14:textId="77777777" w:rsidR="00C801FF" w:rsidRPr="000B4845" w:rsidRDefault="00C801FF" w:rsidP="00FA48AC">
            <w:pPr>
              <w:jc w:val="center"/>
              <w:rPr>
                <w:rFonts w:ascii="Arial Narrow" w:hAnsi="Arial Narrow" w:cs="Segoe UI"/>
                <w:color w:val="000000"/>
                <w:sz w:val="20"/>
                <w:szCs w:val="20"/>
                <w:lang w:eastAsia="es-CR"/>
              </w:rPr>
            </w:pPr>
            <w:r w:rsidRPr="000B4845">
              <w:rPr>
                <w:rFonts w:ascii="Arial Narrow" w:hAnsi="Arial Narrow" w:cs="Segoe UI"/>
                <w:color w:val="000000"/>
                <w:sz w:val="20"/>
                <w:szCs w:val="20"/>
                <w:lang w:eastAsia="es-CR"/>
              </w:rPr>
              <w:t>100.00 %</w:t>
            </w:r>
          </w:p>
        </w:tc>
      </w:tr>
      <w:tr w:rsidR="006F3725" w:rsidRPr="000B4845" w14:paraId="33027EF1" w14:textId="77777777" w:rsidTr="00FA48AC">
        <w:trPr>
          <w:trHeight w:val="300"/>
          <w:jc w:val="center"/>
        </w:trPr>
        <w:tc>
          <w:tcPr>
            <w:tcW w:w="638" w:type="dxa"/>
            <w:tcBorders>
              <w:top w:val="single" w:sz="4" w:space="0" w:color="auto"/>
              <w:left w:val="single" w:sz="4" w:space="0" w:color="auto"/>
              <w:bottom w:val="single" w:sz="4" w:space="0" w:color="auto"/>
              <w:right w:val="single" w:sz="4" w:space="0" w:color="auto"/>
            </w:tcBorders>
            <w:shd w:val="clear" w:color="D3D3D3" w:fill="FFFFFF"/>
            <w:vAlign w:val="center"/>
            <w:hideMark/>
          </w:tcPr>
          <w:p w14:paraId="5CDD2FBA" w14:textId="77777777" w:rsidR="00C801FF" w:rsidRPr="000B4845" w:rsidRDefault="00C801FF" w:rsidP="00FA48AC">
            <w:pPr>
              <w:jc w:val="center"/>
              <w:rPr>
                <w:rFonts w:ascii="Arial Narrow" w:hAnsi="Arial Narrow" w:cs="Segoe UI"/>
                <w:color w:val="000000"/>
                <w:sz w:val="20"/>
                <w:szCs w:val="20"/>
                <w:lang w:eastAsia="es-CR"/>
              </w:rPr>
            </w:pPr>
            <w:r w:rsidRPr="000B4845">
              <w:rPr>
                <w:rFonts w:ascii="Arial Narrow" w:hAnsi="Arial Narrow" w:cs="Segoe UI"/>
                <w:color w:val="000000"/>
                <w:sz w:val="20"/>
                <w:szCs w:val="20"/>
                <w:lang w:eastAsia="es-CR"/>
              </w:rPr>
              <w:t>8</w:t>
            </w:r>
          </w:p>
        </w:tc>
        <w:tc>
          <w:tcPr>
            <w:tcW w:w="4744" w:type="dxa"/>
            <w:tcBorders>
              <w:top w:val="single" w:sz="4" w:space="0" w:color="auto"/>
              <w:left w:val="nil"/>
              <w:bottom w:val="single" w:sz="4" w:space="0" w:color="auto"/>
              <w:right w:val="single" w:sz="4" w:space="0" w:color="auto"/>
            </w:tcBorders>
            <w:shd w:val="clear" w:color="D3D3D3" w:fill="FFFFFF"/>
            <w:vAlign w:val="center"/>
            <w:hideMark/>
          </w:tcPr>
          <w:p w14:paraId="2C7CD76D" w14:textId="77777777" w:rsidR="00C801FF" w:rsidRPr="000B4845" w:rsidRDefault="001A60A6" w:rsidP="00FA48AC">
            <w:pPr>
              <w:jc w:val="center"/>
              <w:rPr>
                <w:rFonts w:ascii="Arial Narrow" w:hAnsi="Arial Narrow" w:cs="Segoe UI"/>
                <w:color w:val="000000"/>
                <w:sz w:val="20"/>
                <w:szCs w:val="20"/>
                <w:lang w:eastAsia="es-CR"/>
              </w:rPr>
            </w:pPr>
            <w:hyperlink r:id="rId157" w:history="1">
              <w:r w:rsidR="00C801FF" w:rsidRPr="000B4845">
                <w:rPr>
                  <w:rFonts w:ascii="Arial Narrow" w:hAnsi="Arial Narrow" w:cs="Segoe UI"/>
                  <w:color w:val="000000"/>
                  <w:sz w:val="20"/>
                  <w:szCs w:val="20"/>
                  <w:lang w:eastAsia="es-CR"/>
                </w:rPr>
                <w:t>SALA TERCERA</w:t>
              </w:r>
            </w:hyperlink>
          </w:p>
        </w:tc>
        <w:tc>
          <w:tcPr>
            <w:tcW w:w="1131" w:type="dxa"/>
            <w:tcBorders>
              <w:top w:val="nil"/>
              <w:left w:val="nil"/>
              <w:bottom w:val="single" w:sz="4" w:space="0" w:color="auto"/>
              <w:right w:val="single" w:sz="4" w:space="0" w:color="auto"/>
            </w:tcBorders>
            <w:shd w:val="clear" w:color="D3D3D3" w:fill="FFFFFF"/>
            <w:vAlign w:val="center"/>
            <w:hideMark/>
          </w:tcPr>
          <w:p w14:paraId="4C6136CE" w14:textId="77777777" w:rsidR="00C801FF" w:rsidRPr="000B4845" w:rsidRDefault="00C801FF" w:rsidP="00FA48AC">
            <w:pPr>
              <w:jc w:val="center"/>
              <w:rPr>
                <w:rFonts w:ascii="Arial Narrow" w:hAnsi="Arial Narrow" w:cs="Segoe UI"/>
                <w:color w:val="000000"/>
                <w:sz w:val="20"/>
                <w:szCs w:val="20"/>
                <w:lang w:eastAsia="es-CR"/>
              </w:rPr>
            </w:pPr>
            <w:r w:rsidRPr="000B4845">
              <w:rPr>
                <w:rFonts w:ascii="Arial Narrow" w:hAnsi="Arial Narrow" w:cs="Segoe UI"/>
                <w:color w:val="000000"/>
                <w:sz w:val="20"/>
                <w:szCs w:val="20"/>
                <w:lang w:eastAsia="es-CR"/>
              </w:rPr>
              <w:t>1</w:t>
            </w:r>
          </w:p>
        </w:tc>
        <w:tc>
          <w:tcPr>
            <w:tcW w:w="1420" w:type="dxa"/>
            <w:tcBorders>
              <w:top w:val="single" w:sz="4" w:space="0" w:color="auto"/>
              <w:left w:val="nil"/>
              <w:bottom w:val="single" w:sz="4" w:space="0" w:color="auto"/>
              <w:right w:val="single" w:sz="4" w:space="0" w:color="auto"/>
            </w:tcBorders>
            <w:shd w:val="clear" w:color="auto" w:fill="70AD47" w:themeFill="accent6"/>
            <w:vAlign w:val="center"/>
            <w:hideMark/>
          </w:tcPr>
          <w:p w14:paraId="48805E3E" w14:textId="77777777" w:rsidR="00C801FF" w:rsidRPr="000B4845" w:rsidRDefault="00C801FF" w:rsidP="00FA48AC">
            <w:pPr>
              <w:jc w:val="center"/>
              <w:rPr>
                <w:rFonts w:ascii="Arial Narrow" w:hAnsi="Arial Narrow" w:cs="Segoe UI"/>
                <w:color w:val="000000"/>
                <w:sz w:val="20"/>
                <w:szCs w:val="20"/>
                <w:lang w:eastAsia="es-CR"/>
              </w:rPr>
            </w:pPr>
            <w:r w:rsidRPr="000B4845">
              <w:rPr>
                <w:rFonts w:ascii="Arial Narrow" w:hAnsi="Arial Narrow" w:cs="Segoe UI"/>
                <w:color w:val="000000"/>
                <w:sz w:val="20"/>
                <w:szCs w:val="20"/>
                <w:lang w:eastAsia="es-CR"/>
              </w:rPr>
              <w:t>100.00 %</w:t>
            </w:r>
          </w:p>
        </w:tc>
      </w:tr>
      <w:tr w:rsidR="006F3725" w:rsidRPr="000B4845" w14:paraId="14EB996A" w14:textId="77777777" w:rsidTr="00FA48AC">
        <w:trPr>
          <w:trHeight w:val="300"/>
          <w:jc w:val="center"/>
        </w:trPr>
        <w:tc>
          <w:tcPr>
            <w:tcW w:w="638" w:type="dxa"/>
            <w:tcBorders>
              <w:top w:val="single" w:sz="4" w:space="0" w:color="auto"/>
              <w:left w:val="single" w:sz="4" w:space="0" w:color="auto"/>
              <w:bottom w:val="single" w:sz="4" w:space="0" w:color="auto"/>
              <w:right w:val="single" w:sz="4" w:space="0" w:color="auto"/>
            </w:tcBorders>
            <w:shd w:val="clear" w:color="FFFFFF" w:fill="FFFFFF"/>
            <w:vAlign w:val="center"/>
            <w:hideMark/>
          </w:tcPr>
          <w:p w14:paraId="10711AAB" w14:textId="77777777" w:rsidR="00C801FF" w:rsidRPr="000B4845" w:rsidRDefault="00C801FF" w:rsidP="00FA48AC">
            <w:pPr>
              <w:jc w:val="center"/>
              <w:rPr>
                <w:rFonts w:ascii="Arial Narrow" w:hAnsi="Arial Narrow" w:cs="Segoe UI"/>
                <w:color w:val="000000"/>
                <w:sz w:val="20"/>
                <w:szCs w:val="20"/>
                <w:lang w:eastAsia="es-CR"/>
              </w:rPr>
            </w:pPr>
            <w:r w:rsidRPr="000B4845">
              <w:rPr>
                <w:rFonts w:ascii="Arial Narrow" w:hAnsi="Arial Narrow" w:cs="Segoe UI"/>
                <w:color w:val="000000"/>
                <w:sz w:val="20"/>
                <w:szCs w:val="20"/>
                <w:lang w:eastAsia="es-CR"/>
              </w:rPr>
              <w:t>9</w:t>
            </w:r>
          </w:p>
        </w:tc>
        <w:tc>
          <w:tcPr>
            <w:tcW w:w="4744" w:type="dxa"/>
            <w:tcBorders>
              <w:top w:val="single" w:sz="4" w:space="0" w:color="auto"/>
              <w:left w:val="nil"/>
              <w:bottom w:val="single" w:sz="4" w:space="0" w:color="auto"/>
              <w:right w:val="single" w:sz="4" w:space="0" w:color="auto"/>
            </w:tcBorders>
            <w:shd w:val="clear" w:color="FFFFFF" w:fill="FFFFFF"/>
            <w:vAlign w:val="center"/>
            <w:hideMark/>
          </w:tcPr>
          <w:p w14:paraId="5E18B99B" w14:textId="77777777" w:rsidR="00C801FF" w:rsidRPr="000B4845" w:rsidRDefault="001A60A6" w:rsidP="00FA48AC">
            <w:pPr>
              <w:jc w:val="center"/>
              <w:rPr>
                <w:rFonts w:ascii="Arial Narrow" w:hAnsi="Arial Narrow" w:cs="Segoe UI"/>
                <w:color w:val="000000"/>
                <w:sz w:val="20"/>
                <w:szCs w:val="20"/>
                <w:lang w:eastAsia="es-CR"/>
              </w:rPr>
            </w:pPr>
            <w:hyperlink r:id="rId158" w:history="1">
              <w:r w:rsidR="00C801FF" w:rsidRPr="000B4845">
                <w:rPr>
                  <w:rFonts w:ascii="Arial Narrow" w:hAnsi="Arial Narrow" w:cs="Segoe UI"/>
                  <w:color w:val="000000"/>
                  <w:sz w:val="20"/>
                  <w:szCs w:val="20"/>
                  <w:lang w:eastAsia="es-CR"/>
                </w:rPr>
                <w:t>SECRETARIA TECNICA DE ETICA Y VALORES</w:t>
              </w:r>
            </w:hyperlink>
          </w:p>
        </w:tc>
        <w:tc>
          <w:tcPr>
            <w:tcW w:w="1131" w:type="dxa"/>
            <w:tcBorders>
              <w:top w:val="nil"/>
              <w:left w:val="nil"/>
              <w:bottom w:val="single" w:sz="4" w:space="0" w:color="auto"/>
              <w:right w:val="single" w:sz="4" w:space="0" w:color="auto"/>
            </w:tcBorders>
            <w:shd w:val="clear" w:color="FFFFFF" w:fill="FFFFFF"/>
            <w:vAlign w:val="center"/>
            <w:hideMark/>
          </w:tcPr>
          <w:p w14:paraId="759564F1" w14:textId="77777777" w:rsidR="00C801FF" w:rsidRPr="000B4845" w:rsidRDefault="00C801FF" w:rsidP="00FA48AC">
            <w:pPr>
              <w:jc w:val="center"/>
              <w:rPr>
                <w:rFonts w:ascii="Arial Narrow" w:hAnsi="Arial Narrow" w:cs="Segoe UI"/>
                <w:color w:val="000000"/>
                <w:sz w:val="20"/>
                <w:szCs w:val="20"/>
                <w:lang w:eastAsia="es-CR"/>
              </w:rPr>
            </w:pPr>
            <w:r w:rsidRPr="000B4845">
              <w:rPr>
                <w:rFonts w:ascii="Arial Narrow" w:hAnsi="Arial Narrow" w:cs="Segoe UI"/>
                <w:color w:val="000000"/>
                <w:sz w:val="20"/>
                <w:szCs w:val="20"/>
                <w:lang w:eastAsia="es-CR"/>
              </w:rPr>
              <w:t>1</w:t>
            </w:r>
          </w:p>
        </w:tc>
        <w:tc>
          <w:tcPr>
            <w:tcW w:w="1420" w:type="dxa"/>
            <w:tcBorders>
              <w:top w:val="single" w:sz="4" w:space="0" w:color="auto"/>
              <w:left w:val="nil"/>
              <w:bottom w:val="single" w:sz="4" w:space="0" w:color="auto"/>
              <w:right w:val="single" w:sz="4" w:space="0" w:color="auto"/>
            </w:tcBorders>
            <w:shd w:val="clear" w:color="auto" w:fill="70AD47" w:themeFill="accent6"/>
            <w:vAlign w:val="center"/>
            <w:hideMark/>
          </w:tcPr>
          <w:p w14:paraId="7F4E787E" w14:textId="77777777" w:rsidR="00C801FF" w:rsidRPr="000B4845" w:rsidRDefault="00C801FF" w:rsidP="00FA48AC">
            <w:pPr>
              <w:jc w:val="center"/>
              <w:rPr>
                <w:rFonts w:ascii="Arial Narrow" w:hAnsi="Arial Narrow" w:cs="Segoe UI"/>
                <w:color w:val="000000"/>
                <w:sz w:val="20"/>
                <w:szCs w:val="20"/>
                <w:lang w:eastAsia="es-CR"/>
              </w:rPr>
            </w:pPr>
            <w:r w:rsidRPr="000B4845">
              <w:rPr>
                <w:rFonts w:ascii="Arial Narrow" w:hAnsi="Arial Narrow" w:cs="Segoe UI"/>
                <w:color w:val="000000"/>
                <w:sz w:val="20"/>
                <w:szCs w:val="20"/>
                <w:lang w:eastAsia="es-CR"/>
              </w:rPr>
              <w:t>100.00 %</w:t>
            </w:r>
          </w:p>
        </w:tc>
      </w:tr>
      <w:tr w:rsidR="006F3725" w:rsidRPr="000B4845" w14:paraId="2B41A60A" w14:textId="77777777" w:rsidTr="00FA48AC">
        <w:trPr>
          <w:trHeight w:val="300"/>
          <w:jc w:val="center"/>
        </w:trPr>
        <w:tc>
          <w:tcPr>
            <w:tcW w:w="638" w:type="dxa"/>
            <w:tcBorders>
              <w:top w:val="single" w:sz="4" w:space="0" w:color="auto"/>
              <w:left w:val="single" w:sz="4" w:space="0" w:color="auto"/>
              <w:bottom w:val="single" w:sz="4" w:space="0" w:color="auto"/>
              <w:right w:val="single" w:sz="4" w:space="0" w:color="auto"/>
            </w:tcBorders>
            <w:shd w:val="clear" w:color="D3D3D3" w:fill="FFFFFF"/>
            <w:vAlign w:val="center"/>
            <w:hideMark/>
          </w:tcPr>
          <w:p w14:paraId="1D2A7484" w14:textId="77777777" w:rsidR="00C801FF" w:rsidRPr="000B4845" w:rsidRDefault="00C801FF" w:rsidP="00FA48AC">
            <w:pPr>
              <w:jc w:val="center"/>
              <w:rPr>
                <w:rFonts w:ascii="Arial Narrow" w:hAnsi="Arial Narrow" w:cs="Segoe UI"/>
                <w:color w:val="000000"/>
                <w:sz w:val="20"/>
                <w:szCs w:val="20"/>
                <w:lang w:eastAsia="es-CR"/>
              </w:rPr>
            </w:pPr>
            <w:r w:rsidRPr="000B4845">
              <w:rPr>
                <w:rFonts w:ascii="Arial Narrow" w:hAnsi="Arial Narrow" w:cs="Segoe UI"/>
                <w:color w:val="000000"/>
                <w:sz w:val="20"/>
                <w:szCs w:val="20"/>
                <w:lang w:eastAsia="es-CR"/>
              </w:rPr>
              <w:lastRenderedPageBreak/>
              <w:t>10</w:t>
            </w:r>
          </w:p>
        </w:tc>
        <w:tc>
          <w:tcPr>
            <w:tcW w:w="4744" w:type="dxa"/>
            <w:tcBorders>
              <w:top w:val="single" w:sz="4" w:space="0" w:color="auto"/>
              <w:left w:val="nil"/>
              <w:bottom w:val="single" w:sz="4" w:space="0" w:color="auto"/>
              <w:right w:val="single" w:sz="4" w:space="0" w:color="auto"/>
            </w:tcBorders>
            <w:shd w:val="clear" w:color="D3D3D3" w:fill="FFFFFF"/>
            <w:vAlign w:val="center"/>
            <w:hideMark/>
          </w:tcPr>
          <w:p w14:paraId="00C4B863" w14:textId="77777777" w:rsidR="00C801FF" w:rsidRPr="000B4845" w:rsidRDefault="001A60A6" w:rsidP="00FA48AC">
            <w:pPr>
              <w:jc w:val="center"/>
              <w:rPr>
                <w:rFonts w:ascii="Arial Narrow" w:hAnsi="Arial Narrow" w:cs="Segoe UI"/>
                <w:color w:val="000000"/>
                <w:sz w:val="20"/>
                <w:szCs w:val="20"/>
                <w:lang w:eastAsia="es-CR"/>
              </w:rPr>
            </w:pPr>
            <w:hyperlink r:id="rId159" w:history="1">
              <w:r w:rsidR="00C801FF" w:rsidRPr="000B4845">
                <w:rPr>
                  <w:rFonts w:ascii="Arial Narrow" w:hAnsi="Arial Narrow" w:cs="Segoe UI"/>
                  <w:color w:val="000000"/>
                  <w:sz w:val="20"/>
                  <w:szCs w:val="20"/>
                  <w:lang w:eastAsia="es-CR"/>
                </w:rPr>
                <w:t>SECRETARIA TECNICA DE GENERO Y ACCESO A LA JUSTICIA</w:t>
              </w:r>
            </w:hyperlink>
          </w:p>
        </w:tc>
        <w:tc>
          <w:tcPr>
            <w:tcW w:w="1131" w:type="dxa"/>
            <w:tcBorders>
              <w:top w:val="nil"/>
              <w:left w:val="nil"/>
              <w:bottom w:val="single" w:sz="4" w:space="0" w:color="auto"/>
              <w:right w:val="single" w:sz="4" w:space="0" w:color="auto"/>
            </w:tcBorders>
            <w:shd w:val="clear" w:color="D3D3D3" w:fill="FFFFFF"/>
            <w:vAlign w:val="center"/>
            <w:hideMark/>
          </w:tcPr>
          <w:p w14:paraId="15E25112" w14:textId="77777777" w:rsidR="00C801FF" w:rsidRPr="000B4845" w:rsidRDefault="00C801FF" w:rsidP="00FA48AC">
            <w:pPr>
              <w:jc w:val="center"/>
              <w:rPr>
                <w:rFonts w:ascii="Arial Narrow" w:hAnsi="Arial Narrow" w:cs="Segoe UI"/>
                <w:color w:val="000000"/>
                <w:sz w:val="20"/>
                <w:szCs w:val="20"/>
                <w:lang w:eastAsia="es-CR"/>
              </w:rPr>
            </w:pPr>
            <w:r w:rsidRPr="000B4845">
              <w:rPr>
                <w:rFonts w:ascii="Arial Narrow" w:hAnsi="Arial Narrow" w:cs="Segoe UI"/>
                <w:color w:val="000000"/>
                <w:sz w:val="20"/>
                <w:szCs w:val="20"/>
                <w:lang w:eastAsia="es-CR"/>
              </w:rPr>
              <w:t>2</w:t>
            </w:r>
          </w:p>
        </w:tc>
        <w:tc>
          <w:tcPr>
            <w:tcW w:w="1420" w:type="dxa"/>
            <w:tcBorders>
              <w:top w:val="single" w:sz="4" w:space="0" w:color="auto"/>
              <w:left w:val="nil"/>
              <w:bottom w:val="single" w:sz="4" w:space="0" w:color="auto"/>
              <w:right w:val="single" w:sz="4" w:space="0" w:color="auto"/>
            </w:tcBorders>
            <w:shd w:val="clear" w:color="auto" w:fill="70AD47" w:themeFill="accent6"/>
            <w:vAlign w:val="center"/>
            <w:hideMark/>
          </w:tcPr>
          <w:p w14:paraId="264CE9FC" w14:textId="77777777" w:rsidR="00C801FF" w:rsidRPr="000B4845" w:rsidRDefault="00C801FF" w:rsidP="00FA48AC">
            <w:pPr>
              <w:jc w:val="center"/>
              <w:rPr>
                <w:rFonts w:ascii="Arial Narrow" w:hAnsi="Arial Narrow" w:cs="Segoe UI"/>
                <w:color w:val="000000"/>
                <w:sz w:val="20"/>
                <w:szCs w:val="20"/>
                <w:lang w:eastAsia="es-CR"/>
              </w:rPr>
            </w:pPr>
            <w:r w:rsidRPr="000B4845">
              <w:rPr>
                <w:rFonts w:ascii="Arial Narrow" w:hAnsi="Arial Narrow" w:cs="Segoe UI"/>
                <w:color w:val="000000"/>
                <w:sz w:val="20"/>
                <w:szCs w:val="20"/>
                <w:lang w:eastAsia="es-CR"/>
              </w:rPr>
              <w:t>100.00 %</w:t>
            </w:r>
          </w:p>
        </w:tc>
      </w:tr>
      <w:tr w:rsidR="006F3725" w:rsidRPr="000B4845" w14:paraId="3E572966" w14:textId="77777777" w:rsidTr="00FA48AC">
        <w:trPr>
          <w:trHeight w:val="300"/>
          <w:jc w:val="center"/>
        </w:trPr>
        <w:tc>
          <w:tcPr>
            <w:tcW w:w="638" w:type="dxa"/>
            <w:tcBorders>
              <w:top w:val="single" w:sz="4" w:space="0" w:color="auto"/>
              <w:left w:val="single" w:sz="4" w:space="0" w:color="auto"/>
              <w:bottom w:val="single" w:sz="4" w:space="0" w:color="auto"/>
              <w:right w:val="single" w:sz="4" w:space="0" w:color="auto"/>
            </w:tcBorders>
            <w:shd w:val="clear" w:color="FFFFFF" w:fill="FFFFFF"/>
            <w:vAlign w:val="center"/>
            <w:hideMark/>
          </w:tcPr>
          <w:p w14:paraId="2CF332A7" w14:textId="77777777" w:rsidR="00C801FF" w:rsidRPr="000B4845" w:rsidRDefault="00C801FF" w:rsidP="00FA48AC">
            <w:pPr>
              <w:jc w:val="center"/>
              <w:rPr>
                <w:rFonts w:ascii="Arial Narrow" w:hAnsi="Arial Narrow" w:cs="Segoe UI"/>
                <w:color w:val="000000"/>
                <w:sz w:val="20"/>
                <w:szCs w:val="20"/>
                <w:lang w:eastAsia="es-CR"/>
              </w:rPr>
            </w:pPr>
            <w:r w:rsidRPr="000B4845">
              <w:rPr>
                <w:rFonts w:ascii="Arial Narrow" w:hAnsi="Arial Narrow" w:cs="Segoe UI"/>
                <w:color w:val="000000"/>
                <w:sz w:val="20"/>
                <w:szCs w:val="20"/>
                <w:lang w:eastAsia="es-CR"/>
              </w:rPr>
              <w:t>11</w:t>
            </w:r>
          </w:p>
        </w:tc>
        <w:tc>
          <w:tcPr>
            <w:tcW w:w="4744" w:type="dxa"/>
            <w:tcBorders>
              <w:top w:val="single" w:sz="4" w:space="0" w:color="auto"/>
              <w:left w:val="nil"/>
              <w:bottom w:val="single" w:sz="4" w:space="0" w:color="auto"/>
              <w:right w:val="single" w:sz="4" w:space="0" w:color="auto"/>
            </w:tcBorders>
            <w:shd w:val="clear" w:color="FFFFFF" w:fill="FFFFFF"/>
            <w:vAlign w:val="center"/>
            <w:hideMark/>
          </w:tcPr>
          <w:p w14:paraId="08EAFF1F" w14:textId="77777777" w:rsidR="00C801FF" w:rsidRPr="000B4845" w:rsidRDefault="001A60A6" w:rsidP="00FA48AC">
            <w:pPr>
              <w:jc w:val="center"/>
              <w:rPr>
                <w:rFonts w:ascii="Arial Narrow" w:hAnsi="Arial Narrow" w:cs="Segoe UI"/>
                <w:color w:val="000000"/>
                <w:sz w:val="20"/>
                <w:szCs w:val="20"/>
                <w:lang w:eastAsia="es-CR"/>
              </w:rPr>
            </w:pPr>
            <w:hyperlink r:id="rId160" w:history="1">
              <w:r w:rsidR="00C801FF" w:rsidRPr="000B4845">
                <w:rPr>
                  <w:rFonts w:ascii="Arial Narrow" w:hAnsi="Arial Narrow" w:cs="Segoe UI"/>
                  <w:color w:val="000000"/>
                  <w:sz w:val="20"/>
                  <w:szCs w:val="20"/>
                  <w:lang w:eastAsia="es-CR"/>
                </w:rPr>
                <w:t>DESPACHO DE LA PRESIDENCIA</w:t>
              </w:r>
            </w:hyperlink>
          </w:p>
        </w:tc>
        <w:tc>
          <w:tcPr>
            <w:tcW w:w="1131" w:type="dxa"/>
            <w:tcBorders>
              <w:top w:val="nil"/>
              <w:left w:val="nil"/>
              <w:bottom w:val="single" w:sz="4" w:space="0" w:color="auto"/>
              <w:right w:val="single" w:sz="4" w:space="0" w:color="auto"/>
            </w:tcBorders>
            <w:shd w:val="clear" w:color="FFFFFF" w:fill="FFFFFF"/>
            <w:vAlign w:val="center"/>
            <w:hideMark/>
          </w:tcPr>
          <w:p w14:paraId="3A4A028E" w14:textId="77777777" w:rsidR="00C801FF" w:rsidRPr="000B4845" w:rsidRDefault="00C801FF" w:rsidP="00FA48AC">
            <w:pPr>
              <w:jc w:val="center"/>
              <w:rPr>
                <w:rFonts w:ascii="Arial Narrow" w:hAnsi="Arial Narrow" w:cs="Segoe UI"/>
                <w:color w:val="000000"/>
                <w:sz w:val="20"/>
                <w:szCs w:val="20"/>
                <w:lang w:eastAsia="es-CR"/>
              </w:rPr>
            </w:pPr>
            <w:r w:rsidRPr="000B4845">
              <w:rPr>
                <w:rFonts w:ascii="Arial Narrow" w:hAnsi="Arial Narrow" w:cs="Segoe UI"/>
                <w:color w:val="000000"/>
                <w:sz w:val="20"/>
                <w:szCs w:val="20"/>
                <w:lang w:eastAsia="es-CR"/>
              </w:rPr>
              <w:t>12</w:t>
            </w:r>
          </w:p>
        </w:tc>
        <w:tc>
          <w:tcPr>
            <w:tcW w:w="1420" w:type="dxa"/>
            <w:tcBorders>
              <w:top w:val="single" w:sz="4" w:space="0" w:color="auto"/>
              <w:left w:val="nil"/>
              <w:bottom w:val="single" w:sz="4" w:space="0" w:color="auto"/>
              <w:right w:val="single" w:sz="4" w:space="0" w:color="auto"/>
            </w:tcBorders>
            <w:shd w:val="clear" w:color="auto" w:fill="70AD47" w:themeFill="accent6"/>
            <w:vAlign w:val="center"/>
            <w:hideMark/>
          </w:tcPr>
          <w:p w14:paraId="4450E790" w14:textId="77777777" w:rsidR="00C801FF" w:rsidRPr="003411C5" w:rsidRDefault="00C801FF" w:rsidP="00FA48AC">
            <w:pPr>
              <w:jc w:val="center"/>
              <w:rPr>
                <w:rFonts w:ascii="Arial Narrow" w:hAnsi="Arial Narrow" w:cs="Segoe UI"/>
                <w:color w:val="000000"/>
                <w:sz w:val="20"/>
                <w:szCs w:val="20"/>
                <w:lang w:eastAsia="es-CR"/>
              </w:rPr>
            </w:pPr>
            <w:r w:rsidRPr="003411C5">
              <w:rPr>
                <w:rFonts w:ascii="Arial Narrow" w:hAnsi="Arial Narrow" w:cs="Segoe UI"/>
                <w:color w:val="000000"/>
                <w:sz w:val="20"/>
                <w:szCs w:val="20"/>
                <w:lang w:eastAsia="es-CR"/>
              </w:rPr>
              <w:t>99.58 %</w:t>
            </w:r>
          </w:p>
        </w:tc>
      </w:tr>
      <w:tr w:rsidR="006F3725" w:rsidRPr="000B4845" w14:paraId="6000AD21" w14:textId="77777777" w:rsidTr="00FA48AC">
        <w:trPr>
          <w:trHeight w:val="300"/>
          <w:jc w:val="center"/>
        </w:trPr>
        <w:tc>
          <w:tcPr>
            <w:tcW w:w="638" w:type="dxa"/>
            <w:tcBorders>
              <w:top w:val="single" w:sz="4" w:space="0" w:color="auto"/>
              <w:left w:val="single" w:sz="4" w:space="0" w:color="auto"/>
              <w:bottom w:val="single" w:sz="4" w:space="0" w:color="auto"/>
              <w:right w:val="single" w:sz="4" w:space="0" w:color="auto"/>
            </w:tcBorders>
            <w:shd w:val="clear" w:color="D3D3D3" w:fill="FFFFFF"/>
            <w:vAlign w:val="center"/>
            <w:hideMark/>
          </w:tcPr>
          <w:p w14:paraId="4B3250BE" w14:textId="77777777" w:rsidR="00C801FF" w:rsidRPr="000B4845" w:rsidRDefault="00C801FF" w:rsidP="00FA48AC">
            <w:pPr>
              <w:jc w:val="center"/>
              <w:rPr>
                <w:rFonts w:ascii="Arial Narrow" w:hAnsi="Arial Narrow" w:cs="Segoe UI"/>
                <w:color w:val="000000"/>
                <w:sz w:val="20"/>
                <w:szCs w:val="20"/>
                <w:lang w:eastAsia="es-CR"/>
              </w:rPr>
            </w:pPr>
            <w:r w:rsidRPr="000B4845">
              <w:rPr>
                <w:rFonts w:ascii="Arial Narrow" w:hAnsi="Arial Narrow" w:cs="Segoe UI"/>
                <w:color w:val="000000"/>
                <w:sz w:val="20"/>
                <w:szCs w:val="20"/>
                <w:lang w:eastAsia="es-CR"/>
              </w:rPr>
              <w:t>12</w:t>
            </w:r>
          </w:p>
        </w:tc>
        <w:tc>
          <w:tcPr>
            <w:tcW w:w="4744" w:type="dxa"/>
            <w:tcBorders>
              <w:top w:val="single" w:sz="4" w:space="0" w:color="auto"/>
              <w:left w:val="nil"/>
              <w:bottom w:val="single" w:sz="4" w:space="0" w:color="auto"/>
              <w:right w:val="single" w:sz="4" w:space="0" w:color="auto"/>
            </w:tcBorders>
            <w:shd w:val="clear" w:color="D3D3D3" w:fill="FFFFFF"/>
            <w:vAlign w:val="center"/>
            <w:hideMark/>
          </w:tcPr>
          <w:p w14:paraId="64506DA6" w14:textId="77777777" w:rsidR="00C801FF" w:rsidRPr="00CC279A" w:rsidRDefault="001A60A6" w:rsidP="00FA48AC">
            <w:pPr>
              <w:jc w:val="center"/>
              <w:rPr>
                <w:rFonts w:ascii="Arial Narrow" w:hAnsi="Arial Narrow" w:cs="Segoe UI"/>
                <w:color w:val="000000"/>
                <w:sz w:val="20"/>
                <w:szCs w:val="20"/>
                <w:lang w:eastAsia="es-CR"/>
              </w:rPr>
            </w:pPr>
            <w:hyperlink r:id="rId161" w:history="1">
              <w:r w:rsidR="00C801FF" w:rsidRPr="00CC279A">
                <w:rPr>
                  <w:rFonts w:ascii="Arial Narrow" w:hAnsi="Arial Narrow" w:cs="Segoe UI"/>
                  <w:color w:val="000000"/>
                  <w:sz w:val="20"/>
                  <w:szCs w:val="20"/>
                  <w:lang w:eastAsia="es-CR"/>
                </w:rPr>
                <w:t>DIRECCION DE PLANIFICACION</w:t>
              </w:r>
            </w:hyperlink>
          </w:p>
        </w:tc>
        <w:tc>
          <w:tcPr>
            <w:tcW w:w="1131" w:type="dxa"/>
            <w:tcBorders>
              <w:top w:val="nil"/>
              <w:left w:val="nil"/>
              <w:bottom w:val="single" w:sz="4" w:space="0" w:color="auto"/>
              <w:right w:val="single" w:sz="4" w:space="0" w:color="auto"/>
            </w:tcBorders>
            <w:shd w:val="clear" w:color="D3D3D3" w:fill="FFFFFF"/>
            <w:vAlign w:val="center"/>
            <w:hideMark/>
          </w:tcPr>
          <w:p w14:paraId="7C8B7755" w14:textId="77777777" w:rsidR="00C801FF" w:rsidRPr="00CC279A" w:rsidRDefault="00C801FF" w:rsidP="00FA48AC">
            <w:pPr>
              <w:jc w:val="center"/>
              <w:rPr>
                <w:rFonts w:ascii="Arial Narrow" w:hAnsi="Arial Narrow" w:cs="Segoe UI"/>
                <w:color w:val="000000"/>
                <w:sz w:val="20"/>
                <w:szCs w:val="20"/>
                <w:lang w:eastAsia="es-CR"/>
              </w:rPr>
            </w:pPr>
            <w:r w:rsidRPr="00CC279A">
              <w:rPr>
                <w:rFonts w:ascii="Arial Narrow" w:hAnsi="Arial Narrow" w:cs="Segoe UI"/>
                <w:color w:val="000000"/>
                <w:sz w:val="20"/>
                <w:szCs w:val="20"/>
                <w:lang w:eastAsia="es-CR"/>
              </w:rPr>
              <w:t>12</w:t>
            </w:r>
          </w:p>
        </w:tc>
        <w:tc>
          <w:tcPr>
            <w:tcW w:w="1420" w:type="dxa"/>
            <w:tcBorders>
              <w:top w:val="single" w:sz="4" w:space="0" w:color="auto"/>
              <w:left w:val="nil"/>
              <w:bottom w:val="single" w:sz="4" w:space="0" w:color="auto"/>
              <w:right w:val="single" w:sz="4" w:space="0" w:color="auto"/>
            </w:tcBorders>
            <w:shd w:val="clear" w:color="auto" w:fill="70AD47" w:themeFill="accent6"/>
            <w:vAlign w:val="center"/>
            <w:hideMark/>
          </w:tcPr>
          <w:p w14:paraId="0D6DE5A7" w14:textId="77777777" w:rsidR="00C801FF" w:rsidRPr="00CC279A" w:rsidRDefault="00C801FF" w:rsidP="00FA48AC">
            <w:pPr>
              <w:jc w:val="center"/>
              <w:rPr>
                <w:rFonts w:ascii="Arial Narrow" w:hAnsi="Arial Narrow" w:cs="Segoe UI"/>
                <w:color w:val="000000"/>
                <w:sz w:val="20"/>
                <w:szCs w:val="20"/>
                <w:lang w:eastAsia="es-CR"/>
              </w:rPr>
            </w:pPr>
            <w:r w:rsidRPr="00CC279A">
              <w:rPr>
                <w:rFonts w:ascii="Arial Narrow" w:hAnsi="Arial Narrow" w:cs="Segoe UI"/>
                <w:color w:val="000000"/>
                <w:sz w:val="20"/>
                <w:szCs w:val="20"/>
                <w:lang w:eastAsia="es-CR"/>
              </w:rPr>
              <w:t>99.58 %</w:t>
            </w:r>
          </w:p>
        </w:tc>
      </w:tr>
      <w:tr w:rsidR="006F3725" w:rsidRPr="000B4845" w14:paraId="403E649C" w14:textId="77777777" w:rsidTr="00FA48AC">
        <w:trPr>
          <w:trHeight w:val="300"/>
          <w:jc w:val="center"/>
        </w:trPr>
        <w:tc>
          <w:tcPr>
            <w:tcW w:w="638" w:type="dxa"/>
            <w:tcBorders>
              <w:top w:val="single" w:sz="4" w:space="0" w:color="auto"/>
              <w:left w:val="single" w:sz="4" w:space="0" w:color="auto"/>
              <w:bottom w:val="single" w:sz="4" w:space="0" w:color="auto"/>
              <w:right w:val="single" w:sz="4" w:space="0" w:color="auto"/>
            </w:tcBorders>
            <w:shd w:val="clear" w:color="FFFFFF" w:fill="FFFFFF"/>
            <w:vAlign w:val="center"/>
            <w:hideMark/>
          </w:tcPr>
          <w:p w14:paraId="1A57F522" w14:textId="77777777" w:rsidR="00C801FF" w:rsidRPr="000B4845" w:rsidRDefault="00C801FF" w:rsidP="00FA48AC">
            <w:pPr>
              <w:jc w:val="center"/>
              <w:rPr>
                <w:rFonts w:ascii="Arial Narrow" w:hAnsi="Arial Narrow" w:cs="Segoe UI"/>
                <w:color w:val="000000"/>
                <w:sz w:val="20"/>
                <w:szCs w:val="20"/>
                <w:lang w:eastAsia="es-CR"/>
              </w:rPr>
            </w:pPr>
            <w:r w:rsidRPr="000B4845">
              <w:rPr>
                <w:rFonts w:ascii="Arial Narrow" w:hAnsi="Arial Narrow" w:cs="Segoe UI"/>
                <w:color w:val="000000"/>
                <w:sz w:val="20"/>
                <w:szCs w:val="20"/>
                <w:lang w:eastAsia="es-CR"/>
              </w:rPr>
              <w:t>13</w:t>
            </w:r>
          </w:p>
        </w:tc>
        <w:tc>
          <w:tcPr>
            <w:tcW w:w="4744" w:type="dxa"/>
            <w:tcBorders>
              <w:top w:val="single" w:sz="4" w:space="0" w:color="auto"/>
              <w:left w:val="nil"/>
              <w:bottom w:val="single" w:sz="4" w:space="0" w:color="auto"/>
              <w:right w:val="single" w:sz="4" w:space="0" w:color="auto"/>
            </w:tcBorders>
            <w:shd w:val="clear" w:color="FFFFFF" w:fill="FFFFFF"/>
            <w:vAlign w:val="center"/>
            <w:hideMark/>
          </w:tcPr>
          <w:p w14:paraId="3B63D405" w14:textId="77777777" w:rsidR="00C801FF" w:rsidRPr="000B4845" w:rsidRDefault="001A60A6" w:rsidP="00FA48AC">
            <w:pPr>
              <w:jc w:val="center"/>
              <w:rPr>
                <w:rFonts w:ascii="Arial Narrow" w:hAnsi="Arial Narrow" w:cs="Segoe UI"/>
                <w:color w:val="000000"/>
                <w:sz w:val="20"/>
                <w:szCs w:val="20"/>
                <w:lang w:eastAsia="es-CR"/>
              </w:rPr>
            </w:pPr>
            <w:hyperlink r:id="rId162" w:history="1">
              <w:r w:rsidR="00C801FF" w:rsidRPr="000B4845">
                <w:rPr>
                  <w:rFonts w:ascii="Arial Narrow" w:hAnsi="Arial Narrow" w:cs="Segoe UI"/>
                  <w:color w:val="000000"/>
                  <w:sz w:val="20"/>
                  <w:szCs w:val="20"/>
                  <w:lang w:eastAsia="es-CR"/>
                </w:rPr>
                <w:t>CENTRO DE CONCILIACION DEL PODER JUDICIAL</w:t>
              </w:r>
            </w:hyperlink>
          </w:p>
        </w:tc>
        <w:tc>
          <w:tcPr>
            <w:tcW w:w="1131" w:type="dxa"/>
            <w:tcBorders>
              <w:top w:val="nil"/>
              <w:left w:val="nil"/>
              <w:bottom w:val="single" w:sz="4" w:space="0" w:color="auto"/>
              <w:right w:val="single" w:sz="4" w:space="0" w:color="auto"/>
            </w:tcBorders>
            <w:shd w:val="clear" w:color="FFFFFF" w:fill="FFFFFF"/>
            <w:vAlign w:val="center"/>
            <w:hideMark/>
          </w:tcPr>
          <w:p w14:paraId="7FC9A645" w14:textId="77777777" w:rsidR="00C801FF" w:rsidRPr="000B4845" w:rsidRDefault="00C801FF" w:rsidP="00FA48AC">
            <w:pPr>
              <w:jc w:val="center"/>
              <w:rPr>
                <w:rFonts w:ascii="Arial Narrow" w:hAnsi="Arial Narrow" w:cs="Segoe UI"/>
                <w:color w:val="000000"/>
                <w:sz w:val="20"/>
                <w:szCs w:val="20"/>
                <w:lang w:eastAsia="es-CR"/>
              </w:rPr>
            </w:pPr>
            <w:r w:rsidRPr="000B4845">
              <w:rPr>
                <w:rFonts w:ascii="Arial Narrow" w:hAnsi="Arial Narrow" w:cs="Segoe UI"/>
                <w:color w:val="000000"/>
                <w:sz w:val="20"/>
                <w:szCs w:val="20"/>
                <w:lang w:eastAsia="es-CR"/>
              </w:rPr>
              <w:t>2</w:t>
            </w:r>
          </w:p>
        </w:tc>
        <w:tc>
          <w:tcPr>
            <w:tcW w:w="1420" w:type="dxa"/>
            <w:tcBorders>
              <w:top w:val="single" w:sz="4" w:space="0" w:color="auto"/>
              <w:left w:val="nil"/>
              <w:bottom w:val="single" w:sz="4" w:space="0" w:color="auto"/>
              <w:right w:val="single" w:sz="4" w:space="0" w:color="auto"/>
            </w:tcBorders>
            <w:shd w:val="clear" w:color="auto" w:fill="70AD47" w:themeFill="accent6"/>
            <w:vAlign w:val="center"/>
            <w:hideMark/>
          </w:tcPr>
          <w:p w14:paraId="75FC98D4" w14:textId="77777777" w:rsidR="00C801FF" w:rsidRPr="003411C5" w:rsidRDefault="00C801FF" w:rsidP="00FA48AC">
            <w:pPr>
              <w:jc w:val="center"/>
              <w:rPr>
                <w:rFonts w:ascii="Arial Narrow" w:hAnsi="Arial Narrow" w:cs="Segoe UI"/>
                <w:color w:val="000000"/>
                <w:sz w:val="20"/>
                <w:szCs w:val="20"/>
                <w:lang w:eastAsia="es-CR"/>
              </w:rPr>
            </w:pPr>
            <w:r w:rsidRPr="003411C5">
              <w:rPr>
                <w:rFonts w:ascii="Arial Narrow" w:hAnsi="Arial Narrow" w:cs="Segoe UI"/>
                <w:color w:val="000000"/>
                <w:sz w:val="20"/>
                <w:szCs w:val="20"/>
                <w:lang w:eastAsia="es-CR"/>
              </w:rPr>
              <w:t>99.50 %</w:t>
            </w:r>
          </w:p>
        </w:tc>
      </w:tr>
      <w:tr w:rsidR="006F3725" w:rsidRPr="000B4845" w14:paraId="126F415B" w14:textId="77777777" w:rsidTr="00FA48AC">
        <w:trPr>
          <w:trHeight w:val="300"/>
          <w:jc w:val="center"/>
        </w:trPr>
        <w:tc>
          <w:tcPr>
            <w:tcW w:w="638" w:type="dxa"/>
            <w:tcBorders>
              <w:top w:val="single" w:sz="4" w:space="0" w:color="auto"/>
              <w:left w:val="single" w:sz="4" w:space="0" w:color="auto"/>
              <w:bottom w:val="single" w:sz="4" w:space="0" w:color="auto"/>
              <w:right w:val="single" w:sz="4" w:space="0" w:color="auto"/>
            </w:tcBorders>
            <w:shd w:val="clear" w:color="D3D3D3" w:fill="FFFFFF"/>
            <w:vAlign w:val="center"/>
            <w:hideMark/>
          </w:tcPr>
          <w:p w14:paraId="250B7726" w14:textId="77777777" w:rsidR="00C801FF" w:rsidRPr="000B4845" w:rsidRDefault="00C801FF" w:rsidP="00FA48AC">
            <w:pPr>
              <w:jc w:val="center"/>
              <w:rPr>
                <w:rFonts w:ascii="Arial Narrow" w:hAnsi="Arial Narrow" w:cs="Segoe UI"/>
                <w:color w:val="000000"/>
                <w:sz w:val="20"/>
                <w:szCs w:val="20"/>
                <w:lang w:eastAsia="es-CR"/>
              </w:rPr>
            </w:pPr>
            <w:r w:rsidRPr="000B4845">
              <w:rPr>
                <w:rFonts w:ascii="Arial Narrow" w:hAnsi="Arial Narrow" w:cs="Segoe UI"/>
                <w:color w:val="000000"/>
                <w:sz w:val="20"/>
                <w:szCs w:val="20"/>
                <w:lang w:eastAsia="es-CR"/>
              </w:rPr>
              <w:t>14</w:t>
            </w:r>
          </w:p>
        </w:tc>
        <w:tc>
          <w:tcPr>
            <w:tcW w:w="4744" w:type="dxa"/>
            <w:tcBorders>
              <w:top w:val="single" w:sz="4" w:space="0" w:color="auto"/>
              <w:left w:val="nil"/>
              <w:bottom w:val="single" w:sz="4" w:space="0" w:color="auto"/>
              <w:right w:val="single" w:sz="4" w:space="0" w:color="auto"/>
            </w:tcBorders>
            <w:shd w:val="clear" w:color="D3D3D3" w:fill="FFFFFF"/>
            <w:vAlign w:val="center"/>
            <w:hideMark/>
          </w:tcPr>
          <w:p w14:paraId="43E6A620" w14:textId="77777777" w:rsidR="00C801FF" w:rsidRPr="000B4845" w:rsidRDefault="001A60A6" w:rsidP="00FA48AC">
            <w:pPr>
              <w:jc w:val="center"/>
              <w:rPr>
                <w:rFonts w:ascii="Arial Narrow" w:hAnsi="Arial Narrow" w:cs="Segoe UI"/>
                <w:color w:val="000000"/>
                <w:sz w:val="20"/>
                <w:szCs w:val="20"/>
                <w:lang w:eastAsia="es-CR"/>
              </w:rPr>
            </w:pPr>
            <w:hyperlink r:id="rId163" w:history="1">
              <w:r w:rsidR="00C801FF" w:rsidRPr="000B4845">
                <w:rPr>
                  <w:rFonts w:ascii="Arial Narrow" w:hAnsi="Arial Narrow" w:cs="Segoe UI"/>
                  <w:color w:val="000000"/>
                  <w:sz w:val="20"/>
                  <w:szCs w:val="20"/>
                  <w:lang w:eastAsia="es-CR"/>
                </w:rPr>
                <w:t>FISCALIA GENERAL</w:t>
              </w:r>
            </w:hyperlink>
          </w:p>
        </w:tc>
        <w:tc>
          <w:tcPr>
            <w:tcW w:w="1131" w:type="dxa"/>
            <w:tcBorders>
              <w:top w:val="nil"/>
              <w:left w:val="nil"/>
              <w:bottom w:val="single" w:sz="4" w:space="0" w:color="auto"/>
              <w:right w:val="single" w:sz="4" w:space="0" w:color="auto"/>
            </w:tcBorders>
            <w:shd w:val="clear" w:color="D3D3D3" w:fill="FFFFFF"/>
            <w:vAlign w:val="center"/>
            <w:hideMark/>
          </w:tcPr>
          <w:p w14:paraId="027FF1BF" w14:textId="77777777" w:rsidR="00C801FF" w:rsidRPr="000B4845" w:rsidRDefault="00C801FF" w:rsidP="00FA48AC">
            <w:pPr>
              <w:jc w:val="center"/>
              <w:rPr>
                <w:rFonts w:ascii="Arial Narrow" w:hAnsi="Arial Narrow" w:cs="Segoe UI"/>
                <w:color w:val="000000"/>
                <w:sz w:val="20"/>
                <w:szCs w:val="20"/>
                <w:lang w:eastAsia="es-CR"/>
              </w:rPr>
            </w:pPr>
            <w:r w:rsidRPr="000B4845">
              <w:rPr>
                <w:rFonts w:ascii="Arial Narrow" w:hAnsi="Arial Narrow" w:cs="Segoe UI"/>
                <w:color w:val="000000"/>
                <w:sz w:val="20"/>
                <w:szCs w:val="20"/>
                <w:lang w:eastAsia="es-CR"/>
              </w:rPr>
              <w:t>18</w:t>
            </w:r>
          </w:p>
        </w:tc>
        <w:tc>
          <w:tcPr>
            <w:tcW w:w="1420" w:type="dxa"/>
            <w:tcBorders>
              <w:top w:val="single" w:sz="4" w:space="0" w:color="auto"/>
              <w:left w:val="nil"/>
              <w:bottom w:val="single" w:sz="4" w:space="0" w:color="auto"/>
              <w:right w:val="single" w:sz="4" w:space="0" w:color="auto"/>
            </w:tcBorders>
            <w:shd w:val="clear" w:color="auto" w:fill="70AD47" w:themeFill="accent6"/>
            <w:vAlign w:val="center"/>
            <w:hideMark/>
          </w:tcPr>
          <w:p w14:paraId="0169D0E2" w14:textId="77777777" w:rsidR="00C801FF" w:rsidRPr="000B4845" w:rsidRDefault="00C801FF" w:rsidP="00FA48AC">
            <w:pPr>
              <w:jc w:val="center"/>
              <w:rPr>
                <w:rFonts w:ascii="Arial Narrow" w:hAnsi="Arial Narrow" w:cs="Segoe UI"/>
                <w:color w:val="000000"/>
                <w:sz w:val="20"/>
                <w:szCs w:val="20"/>
                <w:lang w:eastAsia="es-CR"/>
              </w:rPr>
            </w:pPr>
            <w:r w:rsidRPr="000B4845">
              <w:rPr>
                <w:rFonts w:ascii="Arial Narrow" w:hAnsi="Arial Narrow" w:cs="Segoe UI"/>
                <w:color w:val="000000"/>
                <w:sz w:val="20"/>
                <w:szCs w:val="20"/>
                <w:lang w:eastAsia="es-CR"/>
              </w:rPr>
              <w:t>99.11 %</w:t>
            </w:r>
          </w:p>
        </w:tc>
      </w:tr>
      <w:tr w:rsidR="006F3725" w:rsidRPr="000B4845" w14:paraId="0C0C285E" w14:textId="77777777" w:rsidTr="00FA48AC">
        <w:trPr>
          <w:trHeight w:val="300"/>
          <w:jc w:val="center"/>
        </w:trPr>
        <w:tc>
          <w:tcPr>
            <w:tcW w:w="638" w:type="dxa"/>
            <w:tcBorders>
              <w:top w:val="single" w:sz="4" w:space="0" w:color="auto"/>
              <w:left w:val="single" w:sz="4" w:space="0" w:color="auto"/>
              <w:bottom w:val="single" w:sz="4" w:space="0" w:color="auto"/>
              <w:right w:val="single" w:sz="4" w:space="0" w:color="auto"/>
            </w:tcBorders>
            <w:shd w:val="clear" w:color="FFFFFF" w:fill="FFFFFF"/>
            <w:vAlign w:val="center"/>
            <w:hideMark/>
          </w:tcPr>
          <w:p w14:paraId="4C1BD742" w14:textId="77777777" w:rsidR="00C801FF" w:rsidRPr="000B4845" w:rsidRDefault="00C801FF" w:rsidP="00FA48AC">
            <w:pPr>
              <w:jc w:val="center"/>
              <w:rPr>
                <w:rFonts w:ascii="Arial Narrow" w:hAnsi="Arial Narrow" w:cs="Segoe UI"/>
                <w:color w:val="000000"/>
                <w:sz w:val="20"/>
                <w:szCs w:val="20"/>
                <w:lang w:eastAsia="es-CR"/>
              </w:rPr>
            </w:pPr>
            <w:r w:rsidRPr="000B4845">
              <w:rPr>
                <w:rFonts w:ascii="Arial Narrow" w:hAnsi="Arial Narrow" w:cs="Segoe UI"/>
                <w:color w:val="000000"/>
                <w:sz w:val="20"/>
                <w:szCs w:val="20"/>
                <w:lang w:eastAsia="es-CR"/>
              </w:rPr>
              <w:t>15</w:t>
            </w:r>
          </w:p>
        </w:tc>
        <w:tc>
          <w:tcPr>
            <w:tcW w:w="4744" w:type="dxa"/>
            <w:tcBorders>
              <w:top w:val="single" w:sz="4" w:space="0" w:color="auto"/>
              <w:left w:val="nil"/>
              <w:bottom w:val="single" w:sz="4" w:space="0" w:color="auto"/>
              <w:right w:val="single" w:sz="4" w:space="0" w:color="auto"/>
            </w:tcBorders>
            <w:shd w:val="clear" w:color="FFFFFF" w:fill="FFFFFF"/>
            <w:vAlign w:val="center"/>
            <w:hideMark/>
          </w:tcPr>
          <w:p w14:paraId="631DD930" w14:textId="77777777" w:rsidR="00C801FF" w:rsidRPr="000B4845" w:rsidRDefault="001A60A6" w:rsidP="00FA48AC">
            <w:pPr>
              <w:jc w:val="center"/>
              <w:rPr>
                <w:rFonts w:ascii="Arial Narrow" w:hAnsi="Arial Narrow" w:cs="Segoe UI"/>
                <w:color w:val="000000"/>
                <w:sz w:val="20"/>
                <w:szCs w:val="20"/>
                <w:lang w:eastAsia="es-CR"/>
              </w:rPr>
            </w:pPr>
            <w:hyperlink r:id="rId164" w:history="1">
              <w:r w:rsidR="00C801FF" w:rsidRPr="000B4845">
                <w:rPr>
                  <w:rFonts w:ascii="Arial Narrow" w:hAnsi="Arial Narrow" w:cs="Segoe UI"/>
                  <w:color w:val="000000"/>
                  <w:sz w:val="20"/>
                  <w:szCs w:val="20"/>
                  <w:lang w:eastAsia="es-CR"/>
                </w:rPr>
                <w:t>DIRECCION EJECUTIVA</w:t>
              </w:r>
            </w:hyperlink>
          </w:p>
        </w:tc>
        <w:tc>
          <w:tcPr>
            <w:tcW w:w="1131" w:type="dxa"/>
            <w:tcBorders>
              <w:top w:val="nil"/>
              <w:left w:val="nil"/>
              <w:bottom w:val="single" w:sz="4" w:space="0" w:color="auto"/>
              <w:right w:val="single" w:sz="4" w:space="0" w:color="auto"/>
            </w:tcBorders>
            <w:shd w:val="clear" w:color="FFFFFF" w:fill="FFFFFF"/>
            <w:vAlign w:val="center"/>
            <w:hideMark/>
          </w:tcPr>
          <w:p w14:paraId="0B21FAF4" w14:textId="77777777" w:rsidR="00C801FF" w:rsidRPr="000B4845" w:rsidRDefault="00C801FF" w:rsidP="00FA48AC">
            <w:pPr>
              <w:jc w:val="center"/>
              <w:rPr>
                <w:rFonts w:ascii="Arial Narrow" w:hAnsi="Arial Narrow" w:cs="Segoe UI"/>
                <w:color w:val="000000"/>
                <w:sz w:val="20"/>
                <w:szCs w:val="20"/>
                <w:lang w:eastAsia="es-CR"/>
              </w:rPr>
            </w:pPr>
            <w:r w:rsidRPr="000B4845">
              <w:rPr>
                <w:rFonts w:ascii="Arial Narrow" w:hAnsi="Arial Narrow" w:cs="Segoe UI"/>
                <w:color w:val="000000"/>
                <w:sz w:val="20"/>
                <w:szCs w:val="20"/>
                <w:lang w:eastAsia="es-CR"/>
              </w:rPr>
              <w:t>4</w:t>
            </w:r>
          </w:p>
        </w:tc>
        <w:tc>
          <w:tcPr>
            <w:tcW w:w="1420" w:type="dxa"/>
            <w:tcBorders>
              <w:top w:val="single" w:sz="4" w:space="0" w:color="auto"/>
              <w:left w:val="nil"/>
              <w:bottom w:val="single" w:sz="4" w:space="0" w:color="auto"/>
              <w:right w:val="single" w:sz="4" w:space="0" w:color="auto"/>
            </w:tcBorders>
            <w:shd w:val="clear" w:color="auto" w:fill="70AD47" w:themeFill="accent6"/>
            <w:vAlign w:val="center"/>
            <w:hideMark/>
          </w:tcPr>
          <w:p w14:paraId="31A5276D" w14:textId="77777777" w:rsidR="00C801FF" w:rsidRPr="000B4845" w:rsidRDefault="00C801FF" w:rsidP="00FA48AC">
            <w:pPr>
              <w:jc w:val="center"/>
              <w:rPr>
                <w:rFonts w:ascii="Arial Narrow" w:hAnsi="Arial Narrow" w:cs="Segoe UI"/>
                <w:color w:val="000000"/>
                <w:sz w:val="20"/>
                <w:szCs w:val="20"/>
                <w:lang w:eastAsia="es-CR"/>
              </w:rPr>
            </w:pPr>
            <w:r w:rsidRPr="000B4845">
              <w:rPr>
                <w:rFonts w:ascii="Arial Narrow" w:hAnsi="Arial Narrow" w:cs="Segoe UI"/>
                <w:color w:val="000000"/>
                <w:sz w:val="20"/>
                <w:szCs w:val="20"/>
                <w:lang w:eastAsia="es-CR"/>
              </w:rPr>
              <w:t>99.00 %</w:t>
            </w:r>
          </w:p>
        </w:tc>
      </w:tr>
      <w:tr w:rsidR="006F3725" w:rsidRPr="000B4845" w14:paraId="4114D4E3" w14:textId="77777777" w:rsidTr="00FA48AC">
        <w:trPr>
          <w:trHeight w:val="300"/>
          <w:jc w:val="center"/>
        </w:trPr>
        <w:tc>
          <w:tcPr>
            <w:tcW w:w="638" w:type="dxa"/>
            <w:tcBorders>
              <w:top w:val="single" w:sz="4" w:space="0" w:color="auto"/>
              <w:left w:val="single" w:sz="4" w:space="0" w:color="auto"/>
              <w:bottom w:val="single" w:sz="4" w:space="0" w:color="auto"/>
              <w:right w:val="single" w:sz="4" w:space="0" w:color="auto"/>
            </w:tcBorders>
            <w:shd w:val="clear" w:color="D3D3D3" w:fill="FFFFFF"/>
            <w:vAlign w:val="center"/>
            <w:hideMark/>
          </w:tcPr>
          <w:p w14:paraId="49B29D2C" w14:textId="77777777" w:rsidR="00C801FF" w:rsidRPr="000B4845" w:rsidRDefault="00C801FF" w:rsidP="00FA48AC">
            <w:pPr>
              <w:jc w:val="center"/>
              <w:rPr>
                <w:rFonts w:ascii="Arial Narrow" w:hAnsi="Arial Narrow" w:cs="Segoe UI"/>
                <w:color w:val="000000"/>
                <w:sz w:val="20"/>
                <w:szCs w:val="20"/>
                <w:lang w:eastAsia="es-CR"/>
              </w:rPr>
            </w:pPr>
            <w:r w:rsidRPr="000B4845">
              <w:rPr>
                <w:rFonts w:ascii="Arial Narrow" w:hAnsi="Arial Narrow" w:cs="Segoe UI"/>
                <w:color w:val="000000"/>
                <w:sz w:val="20"/>
                <w:szCs w:val="20"/>
                <w:lang w:eastAsia="es-CR"/>
              </w:rPr>
              <w:t>16</w:t>
            </w:r>
          </w:p>
        </w:tc>
        <w:tc>
          <w:tcPr>
            <w:tcW w:w="4744" w:type="dxa"/>
            <w:tcBorders>
              <w:top w:val="single" w:sz="4" w:space="0" w:color="auto"/>
              <w:left w:val="nil"/>
              <w:bottom w:val="single" w:sz="4" w:space="0" w:color="auto"/>
              <w:right w:val="single" w:sz="4" w:space="0" w:color="auto"/>
            </w:tcBorders>
            <w:shd w:val="clear" w:color="D3D3D3" w:fill="FFFFFF"/>
            <w:vAlign w:val="center"/>
            <w:hideMark/>
          </w:tcPr>
          <w:p w14:paraId="64447906" w14:textId="24230BE9" w:rsidR="00C801FF" w:rsidRPr="000B4845" w:rsidRDefault="001A60A6" w:rsidP="00FA48AC">
            <w:pPr>
              <w:jc w:val="center"/>
              <w:rPr>
                <w:rFonts w:ascii="Arial Narrow" w:hAnsi="Arial Narrow" w:cs="Segoe UI"/>
                <w:color w:val="000000"/>
                <w:sz w:val="20"/>
                <w:szCs w:val="20"/>
                <w:lang w:eastAsia="es-CR"/>
              </w:rPr>
            </w:pPr>
            <w:hyperlink r:id="rId165" w:history="1">
              <w:r w:rsidR="00C801FF" w:rsidRPr="000B4845">
                <w:rPr>
                  <w:rFonts w:ascii="Arial Narrow" w:hAnsi="Arial Narrow" w:cs="Segoe UI"/>
                  <w:color w:val="000000"/>
                  <w:sz w:val="20"/>
                  <w:szCs w:val="20"/>
                  <w:lang w:eastAsia="es-CR"/>
                </w:rPr>
                <w:t>DIRECCION GENERAL</w:t>
              </w:r>
            </w:hyperlink>
            <w:r w:rsidR="00A07C93">
              <w:rPr>
                <w:rFonts w:ascii="Arial Narrow" w:hAnsi="Arial Narrow" w:cs="Segoe UI"/>
                <w:color w:val="000000"/>
                <w:sz w:val="20"/>
                <w:szCs w:val="20"/>
                <w:lang w:eastAsia="es-CR"/>
              </w:rPr>
              <w:t xml:space="preserve"> DEL O.I.J.</w:t>
            </w:r>
          </w:p>
        </w:tc>
        <w:tc>
          <w:tcPr>
            <w:tcW w:w="1131" w:type="dxa"/>
            <w:tcBorders>
              <w:top w:val="nil"/>
              <w:left w:val="nil"/>
              <w:bottom w:val="single" w:sz="4" w:space="0" w:color="auto"/>
              <w:right w:val="single" w:sz="4" w:space="0" w:color="auto"/>
            </w:tcBorders>
            <w:shd w:val="clear" w:color="D3D3D3" w:fill="FFFFFF"/>
            <w:vAlign w:val="center"/>
            <w:hideMark/>
          </w:tcPr>
          <w:p w14:paraId="31E3C56E" w14:textId="77777777" w:rsidR="00C801FF" w:rsidRPr="000B4845" w:rsidRDefault="00C801FF" w:rsidP="00FA48AC">
            <w:pPr>
              <w:jc w:val="center"/>
              <w:rPr>
                <w:rFonts w:ascii="Arial Narrow" w:hAnsi="Arial Narrow" w:cs="Segoe UI"/>
                <w:color w:val="000000"/>
                <w:sz w:val="20"/>
                <w:szCs w:val="20"/>
                <w:lang w:eastAsia="es-CR"/>
              </w:rPr>
            </w:pPr>
            <w:r w:rsidRPr="000B4845">
              <w:rPr>
                <w:rFonts w:ascii="Arial Narrow" w:hAnsi="Arial Narrow" w:cs="Segoe UI"/>
                <w:color w:val="000000"/>
                <w:sz w:val="20"/>
                <w:szCs w:val="20"/>
                <w:lang w:eastAsia="es-CR"/>
              </w:rPr>
              <w:t>17</w:t>
            </w:r>
          </w:p>
        </w:tc>
        <w:tc>
          <w:tcPr>
            <w:tcW w:w="1420" w:type="dxa"/>
            <w:tcBorders>
              <w:top w:val="single" w:sz="4" w:space="0" w:color="auto"/>
              <w:left w:val="nil"/>
              <w:bottom w:val="single" w:sz="4" w:space="0" w:color="auto"/>
              <w:right w:val="single" w:sz="4" w:space="0" w:color="auto"/>
            </w:tcBorders>
            <w:shd w:val="clear" w:color="auto" w:fill="70AD47" w:themeFill="accent6"/>
            <w:vAlign w:val="center"/>
            <w:hideMark/>
          </w:tcPr>
          <w:p w14:paraId="0A19D62B" w14:textId="77777777" w:rsidR="00C801FF" w:rsidRPr="000B4845" w:rsidRDefault="00C801FF" w:rsidP="00FA48AC">
            <w:pPr>
              <w:jc w:val="center"/>
              <w:rPr>
                <w:rFonts w:ascii="Arial Narrow" w:hAnsi="Arial Narrow" w:cs="Segoe UI"/>
                <w:color w:val="000000"/>
                <w:sz w:val="20"/>
                <w:szCs w:val="20"/>
                <w:lang w:eastAsia="es-CR"/>
              </w:rPr>
            </w:pPr>
            <w:r w:rsidRPr="000B4845">
              <w:rPr>
                <w:rFonts w:ascii="Arial Narrow" w:hAnsi="Arial Narrow" w:cs="Segoe UI"/>
                <w:color w:val="000000"/>
                <w:sz w:val="20"/>
                <w:szCs w:val="20"/>
                <w:lang w:eastAsia="es-CR"/>
              </w:rPr>
              <w:t>98.12 %</w:t>
            </w:r>
          </w:p>
        </w:tc>
      </w:tr>
      <w:tr w:rsidR="006F3725" w:rsidRPr="000B4845" w14:paraId="7FEEF068" w14:textId="77777777" w:rsidTr="00FA48AC">
        <w:trPr>
          <w:trHeight w:val="300"/>
          <w:jc w:val="center"/>
        </w:trPr>
        <w:tc>
          <w:tcPr>
            <w:tcW w:w="638" w:type="dxa"/>
            <w:tcBorders>
              <w:top w:val="single" w:sz="4" w:space="0" w:color="auto"/>
              <w:left w:val="single" w:sz="4" w:space="0" w:color="auto"/>
              <w:bottom w:val="single" w:sz="4" w:space="0" w:color="auto"/>
              <w:right w:val="single" w:sz="4" w:space="0" w:color="auto"/>
            </w:tcBorders>
            <w:shd w:val="clear" w:color="FFFFFF" w:fill="FFFFFF"/>
            <w:vAlign w:val="center"/>
            <w:hideMark/>
          </w:tcPr>
          <w:p w14:paraId="7673491A" w14:textId="77777777" w:rsidR="00C801FF" w:rsidRPr="000B4845" w:rsidRDefault="00C801FF" w:rsidP="00FA48AC">
            <w:pPr>
              <w:jc w:val="center"/>
              <w:rPr>
                <w:rFonts w:ascii="Arial Narrow" w:hAnsi="Arial Narrow" w:cs="Segoe UI"/>
                <w:color w:val="000000"/>
                <w:sz w:val="20"/>
                <w:szCs w:val="20"/>
                <w:lang w:eastAsia="es-CR"/>
              </w:rPr>
            </w:pPr>
            <w:r w:rsidRPr="000B4845">
              <w:rPr>
                <w:rFonts w:ascii="Arial Narrow" w:hAnsi="Arial Narrow" w:cs="Segoe UI"/>
                <w:color w:val="000000"/>
                <w:sz w:val="20"/>
                <w:szCs w:val="20"/>
                <w:lang w:eastAsia="es-CR"/>
              </w:rPr>
              <w:t>17</w:t>
            </w:r>
          </w:p>
        </w:tc>
        <w:tc>
          <w:tcPr>
            <w:tcW w:w="4744" w:type="dxa"/>
            <w:tcBorders>
              <w:top w:val="single" w:sz="4" w:space="0" w:color="auto"/>
              <w:left w:val="nil"/>
              <w:bottom w:val="single" w:sz="4" w:space="0" w:color="auto"/>
              <w:right w:val="single" w:sz="4" w:space="0" w:color="auto"/>
            </w:tcBorders>
            <w:shd w:val="clear" w:color="FFFFFF" w:fill="FFFFFF"/>
            <w:vAlign w:val="center"/>
            <w:hideMark/>
          </w:tcPr>
          <w:p w14:paraId="3FC85897" w14:textId="77777777" w:rsidR="00C801FF" w:rsidRPr="000B4845" w:rsidRDefault="001A60A6" w:rsidP="00FA48AC">
            <w:pPr>
              <w:jc w:val="center"/>
              <w:rPr>
                <w:rFonts w:ascii="Arial Narrow" w:hAnsi="Arial Narrow" w:cs="Segoe UI"/>
                <w:color w:val="000000"/>
                <w:sz w:val="20"/>
                <w:szCs w:val="20"/>
                <w:lang w:eastAsia="es-CR"/>
              </w:rPr>
            </w:pPr>
            <w:hyperlink r:id="rId166" w:history="1">
              <w:r w:rsidR="00C801FF" w:rsidRPr="000B4845">
                <w:rPr>
                  <w:rFonts w:ascii="Arial Narrow" w:hAnsi="Arial Narrow" w:cs="Segoe UI"/>
                  <w:color w:val="000000"/>
                  <w:sz w:val="20"/>
                  <w:szCs w:val="20"/>
                  <w:lang w:eastAsia="es-CR"/>
                </w:rPr>
                <w:t>PROGRAMA JUSTICIA RESTAURATIVA</w:t>
              </w:r>
            </w:hyperlink>
          </w:p>
        </w:tc>
        <w:tc>
          <w:tcPr>
            <w:tcW w:w="1131" w:type="dxa"/>
            <w:tcBorders>
              <w:top w:val="nil"/>
              <w:left w:val="nil"/>
              <w:bottom w:val="single" w:sz="4" w:space="0" w:color="auto"/>
              <w:right w:val="single" w:sz="4" w:space="0" w:color="auto"/>
            </w:tcBorders>
            <w:shd w:val="clear" w:color="FFFFFF" w:fill="FFFFFF"/>
            <w:vAlign w:val="center"/>
            <w:hideMark/>
          </w:tcPr>
          <w:p w14:paraId="03FB734C" w14:textId="77777777" w:rsidR="00C801FF" w:rsidRPr="000B4845" w:rsidRDefault="00C801FF" w:rsidP="00FA48AC">
            <w:pPr>
              <w:jc w:val="center"/>
              <w:rPr>
                <w:rFonts w:ascii="Arial Narrow" w:hAnsi="Arial Narrow" w:cs="Segoe UI"/>
                <w:color w:val="000000"/>
                <w:sz w:val="20"/>
                <w:szCs w:val="20"/>
                <w:lang w:eastAsia="es-CR"/>
              </w:rPr>
            </w:pPr>
            <w:r w:rsidRPr="000B4845">
              <w:rPr>
                <w:rFonts w:ascii="Arial Narrow" w:hAnsi="Arial Narrow" w:cs="Segoe UI"/>
                <w:color w:val="000000"/>
                <w:sz w:val="20"/>
                <w:szCs w:val="20"/>
                <w:lang w:eastAsia="es-CR"/>
              </w:rPr>
              <w:t>2</w:t>
            </w:r>
          </w:p>
        </w:tc>
        <w:tc>
          <w:tcPr>
            <w:tcW w:w="1420" w:type="dxa"/>
            <w:tcBorders>
              <w:top w:val="single" w:sz="4" w:space="0" w:color="auto"/>
              <w:left w:val="nil"/>
              <w:bottom w:val="single" w:sz="4" w:space="0" w:color="auto"/>
              <w:right w:val="single" w:sz="4" w:space="0" w:color="auto"/>
            </w:tcBorders>
            <w:shd w:val="clear" w:color="auto" w:fill="70AD47" w:themeFill="accent6"/>
            <w:vAlign w:val="center"/>
            <w:hideMark/>
          </w:tcPr>
          <w:p w14:paraId="6082E74D" w14:textId="77777777" w:rsidR="00C801FF" w:rsidRPr="000B4845" w:rsidRDefault="00C801FF" w:rsidP="00FA48AC">
            <w:pPr>
              <w:jc w:val="center"/>
              <w:rPr>
                <w:rFonts w:ascii="Arial Narrow" w:hAnsi="Arial Narrow" w:cs="Segoe UI"/>
                <w:color w:val="000000"/>
                <w:sz w:val="20"/>
                <w:szCs w:val="20"/>
                <w:lang w:eastAsia="es-CR"/>
              </w:rPr>
            </w:pPr>
            <w:r w:rsidRPr="000B4845">
              <w:rPr>
                <w:rFonts w:ascii="Arial Narrow" w:hAnsi="Arial Narrow" w:cs="Segoe UI"/>
                <w:color w:val="000000"/>
                <w:sz w:val="20"/>
                <w:szCs w:val="20"/>
                <w:lang w:eastAsia="es-CR"/>
              </w:rPr>
              <w:t>98.00 %</w:t>
            </w:r>
          </w:p>
        </w:tc>
      </w:tr>
      <w:tr w:rsidR="006F3725" w:rsidRPr="000B4845" w14:paraId="4721B899" w14:textId="77777777" w:rsidTr="00FA48AC">
        <w:trPr>
          <w:trHeight w:val="300"/>
          <w:jc w:val="center"/>
        </w:trPr>
        <w:tc>
          <w:tcPr>
            <w:tcW w:w="638" w:type="dxa"/>
            <w:tcBorders>
              <w:top w:val="single" w:sz="4" w:space="0" w:color="auto"/>
              <w:left w:val="single" w:sz="4" w:space="0" w:color="auto"/>
              <w:bottom w:val="single" w:sz="4" w:space="0" w:color="auto"/>
              <w:right w:val="single" w:sz="4" w:space="0" w:color="auto"/>
            </w:tcBorders>
            <w:shd w:val="clear" w:color="D3D3D3" w:fill="FFFFFF"/>
            <w:vAlign w:val="center"/>
            <w:hideMark/>
          </w:tcPr>
          <w:p w14:paraId="56CA0AB3" w14:textId="77777777" w:rsidR="00C801FF" w:rsidRPr="000B4845" w:rsidRDefault="00C801FF" w:rsidP="00FA48AC">
            <w:pPr>
              <w:jc w:val="center"/>
              <w:rPr>
                <w:rFonts w:ascii="Arial Narrow" w:hAnsi="Arial Narrow" w:cs="Segoe UI"/>
                <w:color w:val="000000"/>
                <w:sz w:val="20"/>
                <w:szCs w:val="20"/>
                <w:lang w:eastAsia="es-CR"/>
              </w:rPr>
            </w:pPr>
            <w:r w:rsidRPr="000B4845">
              <w:rPr>
                <w:rFonts w:ascii="Arial Narrow" w:hAnsi="Arial Narrow" w:cs="Segoe UI"/>
                <w:color w:val="000000"/>
                <w:sz w:val="20"/>
                <w:szCs w:val="20"/>
                <w:lang w:eastAsia="es-CR"/>
              </w:rPr>
              <w:t>18</w:t>
            </w:r>
          </w:p>
        </w:tc>
        <w:tc>
          <w:tcPr>
            <w:tcW w:w="4744" w:type="dxa"/>
            <w:tcBorders>
              <w:top w:val="single" w:sz="4" w:space="0" w:color="auto"/>
              <w:left w:val="nil"/>
              <w:bottom w:val="single" w:sz="4" w:space="0" w:color="auto"/>
              <w:right w:val="single" w:sz="4" w:space="0" w:color="auto"/>
            </w:tcBorders>
            <w:shd w:val="clear" w:color="D3D3D3" w:fill="FFFFFF"/>
            <w:vAlign w:val="center"/>
            <w:hideMark/>
          </w:tcPr>
          <w:p w14:paraId="20094AF9" w14:textId="77777777" w:rsidR="00C801FF" w:rsidRPr="000B4845" w:rsidRDefault="001A60A6" w:rsidP="00FA48AC">
            <w:pPr>
              <w:jc w:val="center"/>
              <w:rPr>
                <w:rFonts w:ascii="Arial Narrow" w:hAnsi="Arial Narrow" w:cs="Segoe UI"/>
                <w:color w:val="000000"/>
                <w:sz w:val="20"/>
                <w:szCs w:val="20"/>
                <w:lang w:eastAsia="es-CR"/>
              </w:rPr>
            </w:pPr>
            <w:hyperlink r:id="rId167" w:history="1">
              <w:r w:rsidR="00C801FF" w:rsidRPr="000B4845">
                <w:rPr>
                  <w:rFonts w:ascii="Arial Narrow" w:hAnsi="Arial Narrow" w:cs="Segoe UI"/>
                  <w:color w:val="000000"/>
                  <w:sz w:val="20"/>
                  <w:szCs w:val="20"/>
                  <w:lang w:eastAsia="es-CR"/>
                </w:rPr>
                <w:t>DIRECCION DE TECNOLOGIA DE INFORMACION</w:t>
              </w:r>
            </w:hyperlink>
          </w:p>
        </w:tc>
        <w:tc>
          <w:tcPr>
            <w:tcW w:w="1131" w:type="dxa"/>
            <w:tcBorders>
              <w:top w:val="nil"/>
              <w:left w:val="nil"/>
              <w:bottom w:val="single" w:sz="4" w:space="0" w:color="auto"/>
              <w:right w:val="single" w:sz="4" w:space="0" w:color="auto"/>
            </w:tcBorders>
            <w:shd w:val="clear" w:color="D3D3D3" w:fill="FFFFFF"/>
            <w:vAlign w:val="center"/>
            <w:hideMark/>
          </w:tcPr>
          <w:p w14:paraId="1F8DF30C" w14:textId="77777777" w:rsidR="00C801FF" w:rsidRPr="000B4845" w:rsidRDefault="00C801FF" w:rsidP="00FA48AC">
            <w:pPr>
              <w:jc w:val="center"/>
              <w:rPr>
                <w:rFonts w:ascii="Arial Narrow" w:hAnsi="Arial Narrow" w:cs="Segoe UI"/>
                <w:color w:val="000000"/>
                <w:sz w:val="20"/>
                <w:szCs w:val="20"/>
                <w:lang w:eastAsia="es-CR"/>
              </w:rPr>
            </w:pPr>
            <w:r w:rsidRPr="000B4845">
              <w:rPr>
                <w:rFonts w:ascii="Arial Narrow" w:hAnsi="Arial Narrow" w:cs="Segoe UI"/>
                <w:color w:val="000000"/>
                <w:sz w:val="20"/>
                <w:szCs w:val="20"/>
                <w:lang w:eastAsia="es-CR"/>
              </w:rPr>
              <w:t>8</w:t>
            </w:r>
          </w:p>
        </w:tc>
        <w:tc>
          <w:tcPr>
            <w:tcW w:w="1420" w:type="dxa"/>
            <w:tcBorders>
              <w:top w:val="single" w:sz="4" w:space="0" w:color="auto"/>
              <w:left w:val="nil"/>
              <w:bottom w:val="single" w:sz="4" w:space="0" w:color="auto"/>
              <w:right w:val="single" w:sz="4" w:space="0" w:color="auto"/>
            </w:tcBorders>
            <w:shd w:val="clear" w:color="auto" w:fill="70AD47" w:themeFill="accent6"/>
            <w:vAlign w:val="center"/>
            <w:hideMark/>
          </w:tcPr>
          <w:p w14:paraId="23B1DCDE" w14:textId="77777777" w:rsidR="00C801FF" w:rsidRPr="000B4845" w:rsidRDefault="00C801FF" w:rsidP="00FA48AC">
            <w:pPr>
              <w:jc w:val="center"/>
              <w:rPr>
                <w:rFonts w:ascii="Arial Narrow" w:hAnsi="Arial Narrow" w:cs="Segoe UI"/>
                <w:color w:val="000000"/>
                <w:sz w:val="20"/>
                <w:szCs w:val="20"/>
                <w:lang w:eastAsia="es-CR"/>
              </w:rPr>
            </w:pPr>
            <w:r w:rsidRPr="000B4845">
              <w:rPr>
                <w:rFonts w:ascii="Arial Narrow" w:hAnsi="Arial Narrow" w:cs="Segoe UI"/>
                <w:color w:val="000000"/>
                <w:sz w:val="20"/>
                <w:szCs w:val="20"/>
                <w:lang w:eastAsia="es-CR"/>
              </w:rPr>
              <w:t>97.25 %</w:t>
            </w:r>
          </w:p>
        </w:tc>
      </w:tr>
      <w:tr w:rsidR="006F3725" w:rsidRPr="000B4845" w14:paraId="1652D10E" w14:textId="77777777" w:rsidTr="00FA48AC">
        <w:trPr>
          <w:trHeight w:val="300"/>
          <w:jc w:val="center"/>
        </w:trPr>
        <w:tc>
          <w:tcPr>
            <w:tcW w:w="638" w:type="dxa"/>
            <w:tcBorders>
              <w:top w:val="single" w:sz="4" w:space="0" w:color="auto"/>
              <w:left w:val="single" w:sz="4" w:space="0" w:color="auto"/>
              <w:bottom w:val="single" w:sz="4" w:space="0" w:color="auto"/>
              <w:right w:val="single" w:sz="4" w:space="0" w:color="auto"/>
            </w:tcBorders>
            <w:shd w:val="clear" w:color="FFFFFF" w:fill="FFFFFF"/>
            <w:vAlign w:val="center"/>
            <w:hideMark/>
          </w:tcPr>
          <w:p w14:paraId="48BD44C1" w14:textId="77777777" w:rsidR="00C801FF" w:rsidRPr="000B4845" w:rsidRDefault="00C801FF" w:rsidP="00FA48AC">
            <w:pPr>
              <w:jc w:val="center"/>
              <w:rPr>
                <w:rFonts w:ascii="Arial Narrow" w:hAnsi="Arial Narrow" w:cs="Segoe UI"/>
                <w:color w:val="000000"/>
                <w:sz w:val="20"/>
                <w:szCs w:val="20"/>
                <w:lang w:eastAsia="es-CR"/>
              </w:rPr>
            </w:pPr>
            <w:r w:rsidRPr="000B4845">
              <w:rPr>
                <w:rFonts w:ascii="Arial Narrow" w:hAnsi="Arial Narrow" w:cs="Segoe UI"/>
                <w:color w:val="000000"/>
                <w:sz w:val="20"/>
                <w:szCs w:val="20"/>
                <w:lang w:eastAsia="es-CR"/>
              </w:rPr>
              <w:t>19</w:t>
            </w:r>
          </w:p>
        </w:tc>
        <w:tc>
          <w:tcPr>
            <w:tcW w:w="4744" w:type="dxa"/>
            <w:tcBorders>
              <w:top w:val="single" w:sz="4" w:space="0" w:color="auto"/>
              <w:left w:val="nil"/>
              <w:bottom w:val="single" w:sz="4" w:space="0" w:color="auto"/>
              <w:right w:val="single" w:sz="4" w:space="0" w:color="auto"/>
            </w:tcBorders>
            <w:shd w:val="clear" w:color="FFFFFF" w:fill="FFFFFF"/>
            <w:vAlign w:val="center"/>
            <w:hideMark/>
          </w:tcPr>
          <w:p w14:paraId="20036978" w14:textId="77777777" w:rsidR="00C801FF" w:rsidRPr="000B4845" w:rsidRDefault="001A60A6" w:rsidP="00FA48AC">
            <w:pPr>
              <w:jc w:val="center"/>
              <w:rPr>
                <w:rFonts w:ascii="Arial Narrow" w:hAnsi="Arial Narrow" w:cs="Segoe UI"/>
                <w:color w:val="000000"/>
                <w:sz w:val="20"/>
                <w:szCs w:val="20"/>
                <w:lang w:eastAsia="es-CR"/>
              </w:rPr>
            </w:pPr>
            <w:hyperlink r:id="rId168" w:history="1">
              <w:r w:rsidR="00C801FF" w:rsidRPr="000B4845">
                <w:rPr>
                  <w:rFonts w:ascii="Arial Narrow" w:hAnsi="Arial Narrow" w:cs="Segoe UI"/>
                  <w:color w:val="000000"/>
                  <w:sz w:val="20"/>
                  <w:szCs w:val="20"/>
                  <w:lang w:eastAsia="es-CR"/>
                </w:rPr>
                <w:t>OFICINA DE ATENCION A LA VICTIMA DE DELITOS</w:t>
              </w:r>
            </w:hyperlink>
          </w:p>
        </w:tc>
        <w:tc>
          <w:tcPr>
            <w:tcW w:w="1131" w:type="dxa"/>
            <w:tcBorders>
              <w:top w:val="nil"/>
              <w:left w:val="nil"/>
              <w:bottom w:val="single" w:sz="4" w:space="0" w:color="auto"/>
              <w:right w:val="single" w:sz="4" w:space="0" w:color="auto"/>
            </w:tcBorders>
            <w:shd w:val="clear" w:color="FFFFFF" w:fill="FFFFFF"/>
            <w:vAlign w:val="center"/>
            <w:hideMark/>
          </w:tcPr>
          <w:p w14:paraId="3DF1F3C4" w14:textId="77777777" w:rsidR="00C801FF" w:rsidRPr="000B4845" w:rsidRDefault="00C801FF" w:rsidP="00FA48AC">
            <w:pPr>
              <w:jc w:val="center"/>
              <w:rPr>
                <w:rFonts w:ascii="Arial Narrow" w:hAnsi="Arial Narrow" w:cs="Segoe UI"/>
                <w:color w:val="000000"/>
                <w:sz w:val="20"/>
                <w:szCs w:val="20"/>
                <w:lang w:eastAsia="es-CR"/>
              </w:rPr>
            </w:pPr>
            <w:r w:rsidRPr="000B4845">
              <w:rPr>
                <w:rFonts w:ascii="Arial Narrow" w:hAnsi="Arial Narrow" w:cs="Segoe UI"/>
                <w:color w:val="000000"/>
                <w:sz w:val="20"/>
                <w:szCs w:val="20"/>
                <w:lang w:eastAsia="es-CR"/>
              </w:rPr>
              <w:t>9</w:t>
            </w:r>
          </w:p>
        </w:tc>
        <w:tc>
          <w:tcPr>
            <w:tcW w:w="1420" w:type="dxa"/>
            <w:tcBorders>
              <w:top w:val="single" w:sz="4" w:space="0" w:color="auto"/>
              <w:left w:val="nil"/>
              <w:bottom w:val="single" w:sz="4" w:space="0" w:color="auto"/>
              <w:right w:val="single" w:sz="4" w:space="0" w:color="auto"/>
            </w:tcBorders>
            <w:shd w:val="clear" w:color="auto" w:fill="70AD47" w:themeFill="accent6"/>
            <w:vAlign w:val="center"/>
            <w:hideMark/>
          </w:tcPr>
          <w:p w14:paraId="06217183" w14:textId="77777777" w:rsidR="00C801FF" w:rsidRPr="000B4845" w:rsidRDefault="00C801FF" w:rsidP="00FA48AC">
            <w:pPr>
              <w:jc w:val="center"/>
              <w:rPr>
                <w:rFonts w:ascii="Arial Narrow" w:hAnsi="Arial Narrow" w:cs="Segoe UI"/>
                <w:color w:val="000000"/>
                <w:sz w:val="20"/>
                <w:szCs w:val="20"/>
                <w:lang w:eastAsia="es-CR"/>
              </w:rPr>
            </w:pPr>
            <w:r w:rsidRPr="000B4845">
              <w:rPr>
                <w:rFonts w:ascii="Arial Narrow" w:hAnsi="Arial Narrow" w:cs="Segoe UI"/>
                <w:color w:val="000000"/>
                <w:sz w:val="20"/>
                <w:szCs w:val="20"/>
                <w:lang w:eastAsia="es-CR"/>
              </w:rPr>
              <w:t>96.67 %</w:t>
            </w:r>
          </w:p>
        </w:tc>
      </w:tr>
      <w:tr w:rsidR="006F3725" w:rsidRPr="000B4845" w14:paraId="25D148A2" w14:textId="77777777" w:rsidTr="00FA48AC">
        <w:trPr>
          <w:trHeight w:val="300"/>
          <w:jc w:val="center"/>
        </w:trPr>
        <w:tc>
          <w:tcPr>
            <w:tcW w:w="638" w:type="dxa"/>
            <w:tcBorders>
              <w:top w:val="single" w:sz="4" w:space="0" w:color="auto"/>
              <w:left w:val="single" w:sz="4" w:space="0" w:color="auto"/>
              <w:bottom w:val="single" w:sz="4" w:space="0" w:color="auto"/>
              <w:right w:val="single" w:sz="4" w:space="0" w:color="auto"/>
            </w:tcBorders>
            <w:shd w:val="clear" w:color="D3D3D3" w:fill="FFFFFF"/>
            <w:vAlign w:val="center"/>
            <w:hideMark/>
          </w:tcPr>
          <w:p w14:paraId="0F82F5BA" w14:textId="77777777" w:rsidR="00C801FF" w:rsidRPr="000B4845" w:rsidRDefault="00C801FF" w:rsidP="00FA48AC">
            <w:pPr>
              <w:jc w:val="center"/>
              <w:rPr>
                <w:rFonts w:ascii="Arial Narrow" w:hAnsi="Arial Narrow" w:cs="Segoe UI"/>
                <w:color w:val="000000"/>
                <w:sz w:val="20"/>
                <w:szCs w:val="20"/>
                <w:lang w:eastAsia="es-CR"/>
              </w:rPr>
            </w:pPr>
            <w:r w:rsidRPr="000B4845">
              <w:rPr>
                <w:rFonts w:ascii="Arial Narrow" w:hAnsi="Arial Narrow" w:cs="Segoe UI"/>
                <w:color w:val="000000"/>
                <w:sz w:val="20"/>
                <w:szCs w:val="20"/>
                <w:lang w:eastAsia="es-CR"/>
              </w:rPr>
              <w:t>20</w:t>
            </w:r>
          </w:p>
        </w:tc>
        <w:tc>
          <w:tcPr>
            <w:tcW w:w="4744" w:type="dxa"/>
            <w:tcBorders>
              <w:top w:val="single" w:sz="4" w:space="0" w:color="auto"/>
              <w:left w:val="nil"/>
              <w:bottom w:val="single" w:sz="4" w:space="0" w:color="auto"/>
              <w:right w:val="single" w:sz="4" w:space="0" w:color="auto"/>
            </w:tcBorders>
            <w:shd w:val="clear" w:color="D3D3D3" w:fill="FFFFFF"/>
            <w:vAlign w:val="center"/>
            <w:hideMark/>
          </w:tcPr>
          <w:p w14:paraId="2E198C7B" w14:textId="77777777" w:rsidR="00C801FF" w:rsidRPr="000B4845" w:rsidRDefault="001A60A6" w:rsidP="00FA48AC">
            <w:pPr>
              <w:jc w:val="center"/>
              <w:rPr>
                <w:rFonts w:ascii="Arial Narrow" w:hAnsi="Arial Narrow" w:cs="Segoe UI"/>
                <w:color w:val="000000"/>
                <w:sz w:val="20"/>
                <w:szCs w:val="20"/>
                <w:lang w:eastAsia="es-CR"/>
              </w:rPr>
            </w:pPr>
            <w:hyperlink r:id="rId169" w:history="1">
              <w:r w:rsidR="00C801FF" w:rsidRPr="000B4845">
                <w:rPr>
                  <w:rFonts w:ascii="Arial Narrow" w:hAnsi="Arial Narrow" w:cs="Segoe UI"/>
                  <w:color w:val="000000"/>
                  <w:sz w:val="20"/>
                  <w:szCs w:val="20"/>
                  <w:lang w:eastAsia="es-CR"/>
                </w:rPr>
                <w:t>COMISION DE LA JURISDICCION CIVIL</w:t>
              </w:r>
            </w:hyperlink>
          </w:p>
        </w:tc>
        <w:tc>
          <w:tcPr>
            <w:tcW w:w="1131" w:type="dxa"/>
            <w:tcBorders>
              <w:top w:val="nil"/>
              <w:left w:val="nil"/>
              <w:bottom w:val="single" w:sz="4" w:space="0" w:color="auto"/>
              <w:right w:val="single" w:sz="4" w:space="0" w:color="auto"/>
            </w:tcBorders>
            <w:shd w:val="clear" w:color="D3D3D3" w:fill="FFFFFF"/>
            <w:vAlign w:val="center"/>
            <w:hideMark/>
          </w:tcPr>
          <w:p w14:paraId="252F0F18" w14:textId="77777777" w:rsidR="00C801FF" w:rsidRPr="000B4845" w:rsidRDefault="00C801FF" w:rsidP="00FA48AC">
            <w:pPr>
              <w:jc w:val="center"/>
              <w:rPr>
                <w:rFonts w:ascii="Arial Narrow" w:hAnsi="Arial Narrow" w:cs="Segoe UI"/>
                <w:color w:val="000000"/>
                <w:sz w:val="20"/>
                <w:szCs w:val="20"/>
                <w:lang w:eastAsia="es-CR"/>
              </w:rPr>
            </w:pPr>
            <w:r w:rsidRPr="000B4845">
              <w:rPr>
                <w:rFonts w:ascii="Arial Narrow" w:hAnsi="Arial Narrow" w:cs="Segoe UI"/>
                <w:color w:val="000000"/>
                <w:sz w:val="20"/>
                <w:szCs w:val="20"/>
                <w:lang w:eastAsia="es-CR"/>
              </w:rPr>
              <w:t>2</w:t>
            </w:r>
          </w:p>
        </w:tc>
        <w:tc>
          <w:tcPr>
            <w:tcW w:w="1420" w:type="dxa"/>
            <w:tcBorders>
              <w:top w:val="single" w:sz="4" w:space="0" w:color="auto"/>
              <w:left w:val="nil"/>
              <w:bottom w:val="single" w:sz="4" w:space="0" w:color="auto"/>
              <w:right w:val="single" w:sz="4" w:space="0" w:color="auto"/>
            </w:tcBorders>
            <w:shd w:val="clear" w:color="auto" w:fill="70AD47" w:themeFill="accent6"/>
            <w:vAlign w:val="center"/>
            <w:hideMark/>
          </w:tcPr>
          <w:p w14:paraId="1962DF57" w14:textId="77777777" w:rsidR="00C801FF" w:rsidRPr="000B4845" w:rsidRDefault="00C801FF" w:rsidP="00FA48AC">
            <w:pPr>
              <w:jc w:val="center"/>
              <w:rPr>
                <w:rFonts w:ascii="Arial Narrow" w:hAnsi="Arial Narrow" w:cs="Segoe UI"/>
                <w:color w:val="000000"/>
                <w:sz w:val="20"/>
                <w:szCs w:val="20"/>
                <w:lang w:eastAsia="es-CR"/>
              </w:rPr>
            </w:pPr>
            <w:r w:rsidRPr="000B4845">
              <w:rPr>
                <w:rFonts w:ascii="Arial Narrow" w:hAnsi="Arial Narrow" w:cs="Segoe UI"/>
                <w:color w:val="000000"/>
                <w:sz w:val="20"/>
                <w:szCs w:val="20"/>
                <w:lang w:eastAsia="es-CR"/>
              </w:rPr>
              <w:t>94.50 %</w:t>
            </w:r>
          </w:p>
        </w:tc>
      </w:tr>
      <w:tr w:rsidR="006F3725" w:rsidRPr="000B4845" w14:paraId="658621C4" w14:textId="77777777" w:rsidTr="00FA48AC">
        <w:trPr>
          <w:trHeight w:val="300"/>
          <w:jc w:val="center"/>
        </w:trPr>
        <w:tc>
          <w:tcPr>
            <w:tcW w:w="638" w:type="dxa"/>
            <w:tcBorders>
              <w:top w:val="single" w:sz="4" w:space="0" w:color="auto"/>
              <w:left w:val="single" w:sz="4" w:space="0" w:color="auto"/>
              <w:bottom w:val="single" w:sz="4" w:space="0" w:color="auto"/>
              <w:right w:val="single" w:sz="4" w:space="0" w:color="auto"/>
            </w:tcBorders>
            <w:shd w:val="clear" w:color="FFFFFF" w:fill="FFFFFF"/>
            <w:vAlign w:val="center"/>
            <w:hideMark/>
          </w:tcPr>
          <w:p w14:paraId="17D2083B" w14:textId="77777777" w:rsidR="00C801FF" w:rsidRPr="000B4845" w:rsidRDefault="00C801FF" w:rsidP="00FA48AC">
            <w:pPr>
              <w:jc w:val="center"/>
              <w:rPr>
                <w:rFonts w:ascii="Arial Narrow" w:hAnsi="Arial Narrow" w:cs="Segoe UI"/>
                <w:color w:val="000000"/>
                <w:sz w:val="20"/>
                <w:szCs w:val="20"/>
                <w:lang w:eastAsia="es-CR"/>
              </w:rPr>
            </w:pPr>
            <w:r w:rsidRPr="000B4845">
              <w:rPr>
                <w:rFonts w:ascii="Arial Narrow" w:hAnsi="Arial Narrow" w:cs="Segoe UI"/>
                <w:color w:val="000000"/>
                <w:sz w:val="20"/>
                <w:szCs w:val="20"/>
                <w:lang w:eastAsia="es-CR"/>
              </w:rPr>
              <w:t>21</w:t>
            </w:r>
          </w:p>
        </w:tc>
        <w:tc>
          <w:tcPr>
            <w:tcW w:w="4744" w:type="dxa"/>
            <w:tcBorders>
              <w:top w:val="single" w:sz="4" w:space="0" w:color="auto"/>
              <w:left w:val="nil"/>
              <w:bottom w:val="single" w:sz="4" w:space="0" w:color="auto"/>
              <w:right w:val="single" w:sz="4" w:space="0" w:color="auto"/>
            </w:tcBorders>
            <w:shd w:val="clear" w:color="FFFFFF" w:fill="FFFFFF"/>
            <w:vAlign w:val="center"/>
            <w:hideMark/>
          </w:tcPr>
          <w:p w14:paraId="6F926E90" w14:textId="77777777" w:rsidR="00C801FF" w:rsidRPr="000B4845" w:rsidRDefault="001A60A6" w:rsidP="00FA48AC">
            <w:pPr>
              <w:jc w:val="center"/>
              <w:rPr>
                <w:rFonts w:ascii="Arial Narrow" w:hAnsi="Arial Narrow" w:cs="Segoe UI"/>
                <w:color w:val="000000"/>
                <w:sz w:val="20"/>
                <w:szCs w:val="20"/>
                <w:lang w:eastAsia="es-CR"/>
              </w:rPr>
            </w:pPr>
            <w:hyperlink r:id="rId170" w:history="1">
              <w:r w:rsidR="00C801FF" w:rsidRPr="000B4845">
                <w:rPr>
                  <w:rFonts w:ascii="Arial Narrow" w:hAnsi="Arial Narrow" w:cs="Segoe UI"/>
                  <w:color w:val="000000"/>
                  <w:sz w:val="20"/>
                  <w:szCs w:val="20"/>
                  <w:lang w:eastAsia="es-CR"/>
                </w:rPr>
                <w:t>JUZGADO NOTARIAL</w:t>
              </w:r>
            </w:hyperlink>
          </w:p>
        </w:tc>
        <w:tc>
          <w:tcPr>
            <w:tcW w:w="1131" w:type="dxa"/>
            <w:tcBorders>
              <w:top w:val="nil"/>
              <w:left w:val="nil"/>
              <w:bottom w:val="single" w:sz="4" w:space="0" w:color="auto"/>
              <w:right w:val="single" w:sz="4" w:space="0" w:color="auto"/>
            </w:tcBorders>
            <w:shd w:val="clear" w:color="FFFFFF" w:fill="FFFFFF"/>
            <w:vAlign w:val="center"/>
            <w:hideMark/>
          </w:tcPr>
          <w:p w14:paraId="5FA87951" w14:textId="77777777" w:rsidR="00C801FF" w:rsidRPr="000B4845" w:rsidRDefault="00C801FF" w:rsidP="00FA48AC">
            <w:pPr>
              <w:jc w:val="center"/>
              <w:rPr>
                <w:rFonts w:ascii="Arial Narrow" w:hAnsi="Arial Narrow" w:cs="Segoe UI"/>
                <w:color w:val="000000"/>
                <w:sz w:val="20"/>
                <w:szCs w:val="20"/>
                <w:lang w:eastAsia="es-CR"/>
              </w:rPr>
            </w:pPr>
            <w:r w:rsidRPr="000B4845">
              <w:rPr>
                <w:rFonts w:ascii="Arial Narrow" w:hAnsi="Arial Narrow" w:cs="Segoe UI"/>
                <w:color w:val="000000"/>
                <w:sz w:val="20"/>
                <w:szCs w:val="20"/>
                <w:lang w:eastAsia="es-CR"/>
              </w:rPr>
              <w:t>2</w:t>
            </w:r>
          </w:p>
        </w:tc>
        <w:tc>
          <w:tcPr>
            <w:tcW w:w="1420" w:type="dxa"/>
            <w:tcBorders>
              <w:top w:val="single" w:sz="4" w:space="0" w:color="auto"/>
              <w:left w:val="nil"/>
              <w:bottom w:val="single" w:sz="4" w:space="0" w:color="auto"/>
              <w:right w:val="single" w:sz="4" w:space="0" w:color="auto"/>
            </w:tcBorders>
            <w:shd w:val="clear" w:color="auto" w:fill="70AD47" w:themeFill="accent6"/>
            <w:vAlign w:val="center"/>
            <w:hideMark/>
          </w:tcPr>
          <w:p w14:paraId="5D430957" w14:textId="77777777" w:rsidR="00C801FF" w:rsidRPr="000B4845" w:rsidRDefault="00C801FF" w:rsidP="00FA48AC">
            <w:pPr>
              <w:jc w:val="center"/>
              <w:rPr>
                <w:rFonts w:ascii="Arial Narrow" w:hAnsi="Arial Narrow" w:cs="Segoe UI"/>
                <w:color w:val="000000"/>
                <w:sz w:val="20"/>
                <w:szCs w:val="20"/>
                <w:lang w:eastAsia="es-CR"/>
              </w:rPr>
            </w:pPr>
            <w:r w:rsidRPr="000B4845">
              <w:rPr>
                <w:rFonts w:ascii="Arial Narrow" w:hAnsi="Arial Narrow" w:cs="Segoe UI"/>
                <w:color w:val="000000"/>
                <w:sz w:val="20"/>
                <w:szCs w:val="20"/>
                <w:lang w:eastAsia="es-CR"/>
              </w:rPr>
              <w:t>94.50 %</w:t>
            </w:r>
          </w:p>
        </w:tc>
      </w:tr>
      <w:tr w:rsidR="006F3725" w:rsidRPr="000B4845" w14:paraId="28C79BAB" w14:textId="77777777" w:rsidTr="00FA48AC">
        <w:trPr>
          <w:trHeight w:val="300"/>
          <w:jc w:val="center"/>
        </w:trPr>
        <w:tc>
          <w:tcPr>
            <w:tcW w:w="638" w:type="dxa"/>
            <w:tcBorders>
              <w:top w:val="single" w:sz="4" w:space="0" w:color="auto"/>
              <w:left w:val="single" w:sz="4" w:space="0" w:color="auto"/>
              <w:bottom w:val="single" w:sz="4" w:space="0" w:color="auto"/>
              <w:right w:val="single" w:sz="4" w:space="0" w:color="auto"/>
            </w:tcBorders>
            <w:shd w:val="clear" w:color="D3D3D3" w:fill="FFFFFF"/>
            <w:vAlign w:val="center"/>
            <w:hideMark/>
          </w:tcPr>
          <w:p w14:paraId="3DB45E97" w14:textId="77777777" w:rsidR="00C801FF" w:rsidRPr="000B4845" w:rsidRDefault="00C801FF" w:rsidP="00FA48AC">
            <w:pPr>
              <w:jc w:val="center"/>
              <w:rPr>
                <w:rFonts w:ascii="Arial Narrow" w:hAnsi="Arial Narrow" w:cs="Segoe UI"/>
                <w:color w:val="000000"/>
                <w:sz w:val="20"/>
                <w:szCs w:val="20"/>
                <w:lang w:eastAsia="es-CR"/>
              </w:rPr>
            </w:pPr>
            <w:r w:rsidRPr="000B4845">
              <w:rPr>
                <w:rFonts w:ascii="Arial Narrow" w:hAnsi="Arial Narrow" w:cs="Segoe UI"/>
                <w:color w:val="000000"/>
                <w:sz w:val="20"/>
                <w:szCs w:val="20"/>
                <w:lang w:eastAsia="es-CR"/>
              </w:rPr>
              <w:t>22</w:t>
            </w:r>
          </w:p>
        </w:tc>
        <w:tc>
          <w:tcPr>
            <w:tcW w:w="4744" w:type="dxa"/>
            <w:tcBorders>
              <w:top w:val="single" w:sz="4" w:space="0" w:color="auto"/>
              <w:left w:val="nil"/>
              <w:bottom w:val="single" w:sz="4" w:space="0" w:color="auto"/>
              <w:right w:val="single" w:sz="4" w:space="0" w:color="auto"/>
            </w:tcBorders>
            <w:shd w:val="clear" w:color="D3D3D3" w:fill="FFFFFF"/>
            <w:vAlign w:val="center"/>
            <w:hideMark/>
          </w:tcPr>
          <w:p w14:paraId="4B9D9574" w14:textId="77777777" w:rsidR="00C801FF" w:rsidRPr="000B4845" w:rsidRDefault="001A60A6" w:rsidP="00FA48AC">
            <w:pPr>
              <w:jc w:val="center"/>
              <w:rPr>
                <w:rFonts w:ascii="Arial Narrow" w:hAnsi="Arial Narrow" w:cs="Segoe UI"/>
                <w:color w:val="000000"/>
                <w:sz w:val="20"/>
                <w:szCs w:val="20"/>
                <w:lang w:eastAsia="es-CR"/>
              </w:rPr>
            </w:pPr>
            <w:hyperlink r:id="rId171" w:history="1">
              <w:r w:rsidR="00C801FF" w:rsidRPr="000B4845">
                <w:rPr>
                  <w:rFonts w:ascii="Arial Narrow" w:hAnsi="Arial Narrow" w:cs="Segoe UI"/>
                  <w:color w:val="000000"/>
                  <w:sz w:val="20"/>
                  <w:szCs w:val="20"/>
                  <w:lang w:eastAsia="es-CR"/>
                </w:rPr>
                <w:t>DIRECCION GESTION HUMANA</w:t>
              </w:r>
            </w:hyperlink>
          </w:p>
        </w:tc>
        <w:tc>
          <w:tcPr>
            <w:tcW w:w="1131" w:type="dxa"/>
            <w:tcBorders>
              <w:top w:val="nil"/>
              <w:left w:val="nil"/>
              <w:bottom w:val="single" w:sz="4" w:space="0" w:color="auto"/>
              <w:right w:val="single" w:sz="4" w:space="0" w:color="auto"/>
            </w:tcBorders>
            <w:shd w:val="clear" w:color="D3D3D3" w:fill="FFFFFF"/>
            <w:vAlign w:val="center"/>
            <w:hideMark/>
          </w:tcPr>
          <w:p w14:paraId="777B71BB" w14:textId="77777777" w:rsidR="00C801FF" w:rsidRPr="000B4845" w:rsidRDefault="00C801FF" w:rsidP="00FA48AC">
            <w:pPr>
              <w:jc w:val="center"/>
              <w:rPr>
                <w:rFonts w:ascii="Arial Narrow" w:hAnsi="Arial Narrow" w:cs="Segoe UI"/>
                <w:color w:val="000000"/>
                <w:sz w:val="20"/>
                <w:szCs w:val="20"/>
                <w:lang w:eastAsia="es-CR"/>
              </w:rPr>
            </w:pPr>
            <w:r w:rsidRPr="000B4845">
              <w:rPr>
                <w:rFonts w:ascii="Arial Narrow" w:hAnsi="Arial Narrow" w:cs="Segoe UI"/>
                <w:color w:val="000000"/>
                <w:sz w:val="20"/>
                <w:szCs w:val="20"/>
                <w:lang w:eastAsia="es-CR"/>
              </w:rPr>
              <w:t>16</w:t>
            </w:r>
          </w:p>
        </w:tc>
        <w:tc>
          <w:tcPr>
            <w:tcW w:w="1420" w:type="dxa"/>
            <w:tcBorders>
              <w:top w:val="single" w:sz="4" w:space="0" w:color="auto"/>
              <w:left w:val="nil"/>
              <w:bottom w:val="single" w:sz="4" w:space="0" w:color="auto"/>
              <w:right w:val="single" w:sz="4" w:space="0" w:color="auto"/>
            </w:tcBorders>
            <w:shd w:val="clear" w:color="auto" w:fill="70AD47" w:themeFill="accent6"/>
            <w:vAlign w:val="center"/>
            <w:hideMark/>
          </w:tcPr>
          <w:p w14:paraId="55C71708" w14:textId="77777777" w:rsidR="00C801FF" w:rsidRPr="000B4845" w:rsidRDefault="00C801FF" w:rsidP="00FA48AC">
            <w:pPr>
              <w:jc w:val="center"/>
              <w:rPr>
                <w:rFonts w:ascii="Arial Narrow" w:hAnsi="Arial Narrow" w:cs="Segoe UI"/>
                <w:color w:val="000000"/>
                <w:sz w:val="20"/>
                <w:szCs w:val="20"/>
                <w:lang w:eastAsia="es-CR"/>
              </w:rPr>
            </w:pPr>
            <w:r w:rsidRPr="000B4845">
              <w:rPr>
                <w:rFonts w:ascii="Arial Narrow" w:hAnsi="Arial Narrow" w:cs="Segoe UI"/>
                <w:color w:val="000000"/>
                <w:sz w:val="20"/>
                <w:szCs w:val="20"/>
                <w:lang w:eastAsia="es-CR"/>
              </w:rPr>
              <w:t>93.13 %</w:t>
            </w:r>
          </w:p>
        </w:tc>
      </w:tr>
      <w:tr w:rsidR="006F3725" w:rsidRPr="000B4845" w14:paraId="16594969" w14:textId="77777777" w:rsidTr="00FA48AC">
        <w:trPr>
          <w:trHeight w:val="300"/>
          <w:jc w:val="center"/>
        </w:trPr>
        <w:tc>
          <w:tcPr>
            <w:tcW w:w="638" w:type="dxa"/>
            <w:tcBorders>
              <w:top w:val="single" w:sz="4" w:space="0" w:color="auto"/>
              <w:left w:val="single" w:sz="4" w:space="0" w:color="auto"/>
              <w:bottom w:val="single" w:sz="4" w:space="0" w:color="auto"/>
              <w:right w:val="single" w:sz="4" w:space="0" w:color="auto"/>
            </w:tcBorders>
            <w:shd w:val="clear" w:color="FFFFFF" w:fill="FFFFFF"/>
            <w:vAlign w:val="center"/>
            <w:hideMark/>
          </w:tcPr>
          <w:p w14:paraId="04B0CC8B" w14:textId="77777777" w:rsidR="00C801FF" w:rsidRPr="000B4845" w:rsidRDefault="00C801FF" w:rsidP="00FA48AC">
            <w:pPr>
              <w:jc w:val="center"/>
              <w:rPr>
                <w:rFonts w:ascii="Arial Narrow" w:hAnsi="Arial Narrow" w:cs="Segoe UI"/>
                <w:color w:val="000000"/>
                <w:sz w:val="20"/>
                <w:szCs w:val="20"/>
                <w:lang w:eastAsia="es-CR"/>
              </w:rPr>
            </w:pPr>
            <w:r w:rsidRPr="000B4845">
              <w:rPr>
                <w:rFonts w:ascii="Arial Narrow" w:hAnsi="Arial Narrow" w:cs="Segoe UI"/>
                <w:color w:val="000000"/>
                <w:sz w:val="20"/>
                <w:szCs w:val="20"/>
                <w:lang w:eastAsia="es-CR"/>
              </w:rPr>
              <w:t>23</w:t>
            </w:r>
          </w:p>
        </w:tc>
        <w:tc>
          <w:tcPr>
            <w:tcW w:w="4744" w:type="dxa"/>
            <w:tcBorders>
              <w:top w:val="single" w:sz="4" w:space="0" w:color="auto"/>
              <w:left w:val="nil"/>
              <w:bottom w:val="single" w:sz="4" w:space="0" w:color="auto"/>
              <w:right w:val="single" w:sz="4" w:space="0" w:color="auto"/>
            </w:tcBorders>
            <w:shd w:val="clear" w:color="FFFFFF" w:fill="FFFFFF"/>
            <w:vAlign w:val="center"/>
            <w:hideMark/>
          </w:tcPr>
          <w:p w14:paraId="0DA3A7B9" w14:textId="77777777" w:rsidR="00C801FF" w:rsidRPr="000B4845" w:rsidRDefault="001A60A6" w:rsidP="00FA48AC">
            <w:pPr>
              <w:jc w:val="center"/>
              <w:rPr>
                <w:rFonts w:ascii="Arial Narrow" w:hAnsi="Arial Narrow" w:cs="Segoe UI"/>
                <w:color w:val="000000"/>
                <w:sz w:val="20"/>
                <w:szCs w:val="20"/>
                <w:lang w:eastAsia="es-CR"/>
              </w:rPr>
            </w:pPr>
            <w:hyperlink r:id="rId172" w:history="1">
              <w:r w:rsidR="00C801FF" w:rsidRPr="000B4845">
                <w:rPr>
                  <w:rFonts w:ascii="Arial Narrow" w:hAnsi="Arial Narrow" w:cs="Segoe UI"/>
                  <w:color w:val="000000"/>
                  <w:sz w:val="20"/>
                  <w:szCs w:val="20"/>
                  <w:lang w:eastAsia="es-CR"/>
                </w:rPr>
                <w:t>ESCUELA JUDICIAL</w:t>
              </w:r>
            </w:hyperlink>
          </w:p>
        </w:tc>
        <w:tc>
          <w:tcPr>
            <w:tcW w:w="1131" w:type="dxa"/>
            <w:tcBorders>
              <w:top w:val="nil"/>
              <w:left w:val="nil"/>
              <w:bottom w:val="single" w:sz="4" w:space="0" w:color="auto"/>
              <w:right w:val="single" w:sz="4" w:space="0" w:color="auto"/>
            </w:tcBorders>
            <w:shd w:val="clear" w:color="FFFFFF" w:fill="FFFFFF"/>
            <w:vAlign w:val="center"/>
            <w:hideMark/>
          </w:tcPr>
          <w:p w14:paraId="5A6612A9" w14:textId="77777777" w:rsidR="00C801FF" w:rsidRPr="000B4845" w:rsidRDefault="00C801FF" w:rsidP="00FA48AC">
            <w:pPr>
              <w:jc w:val="center"/>
              <w:rPr>
                <w:rFonts w:ascii="Arial Narrow" w:hAnsi="Arial Narrow" w:cs="Segoe UI"/>
                <w:color w:val="000000"/>
                <w:sz w:val="20"/>
                <w:szCs w:val="20"/>
                <w:lang w:eastAsia="es-CR"/>
              </w:rPr>
            </w:pPr>
            <w:r w:rsidRPr="000B4845">
              <w:rPr>
                <w:rFonts w:ascii="Arial Narrow" w:hAnsi="Arial Narrow" w:cs="Segoe UI"/>
                <w:color w:val="000000"/>
                <w:sz w:val="20"/>
                <w:szCs w:val="20"/>
                <w:lang w:eastAsia="es-CR"/>
              </w:rPr>
              <w:t>13</w:t>
            </w:r>
          </w:p>
        </w:tc>
        <w:tc>
          <w:tcPr>
            <w:tcW w:w="1420" w:type="dxa"/>
            <w:tcBorders>
              <w:top w:val="single" w:sz="4" w:space="0" w:color="auto"/>
              <w:left w:val="nil"/>
              <w:bottom w:val="single" w:sz="4" w:space="0" w:color="auto"/>
              <w:right w:val="single" w:sz="4" w:space="0" w:color="auto"/>
            </w:tcBorders>
            <w:shd w:val="clear" w:color="auto" w:fill="70AD47" w:themeFill="accent6"/>
            <w:vAlign w:val="center"/>
            <w:hideMark/>
          </w:tcPr>
          <w:p w14:paraId="18E6CEEA" w14:textId="77777777" w:rsidR="00C801FF" w:rsidRPr="000B4845" w:rsidRDefault="00C801FF" w:rsidP="00FA48AC">
            <w:pPr>
              <w:jc w:val="center"/>
              <w:rPr>
                <w:rFonts w:ascii="Arial Narrow" w:hAnsi="Arial Narrow" w:cs="Segoe UI"/>
                <w:color w:val="000000"/>
                <w:sz w:val="20"/>
                <w:szCs w:val="20"/>
                <w:lang w:eastAsia="es-CR"/>
              </w:rPr>
            </w:pPr>
            <w:r w:rsidRPr="000B4845">
              <w:rPr>
                <w:rFonts w:ascii="Arial Narrow" w:hAnsi="Arial Narrow" w:cs="Segoe UI"/>
                <w:color w:val="000000"/>
                <w:sz w:val="20"/>
                <w:szCs w:val="20"/>
                <w:lang w:eastAsia="es-CR"/>
              </w:rPr>
              <w:t>92.31 %</w:t>
            </w:r>
          </w:p>
        </w:tc>
      </w:tr>
      <w:tr w:rsidR="006F3725" w:rsidRPr="000B4845" w14:paraId="073993C6" w14:textId="77777777" w:rsidTr="00FA48AC">
        <w:trPr>
          <w:trHeight w:val="300"/>
          <w:jc w:val="center"/>
        </w:trPr>
        <w:tc>
          <w:tcPr>
            <w:tcW w:w="638" w:type="dxa"/>
            <w:tcBorders>
              <w:top w:val="single" w:sz="4" w:space="0" w:color="auto"/>
              <w:left w:val="single" w:sz="4" w:space="0" w:color="auto"/>
              <w:bottom w:val="single" w:sz="4" w:space="0" w:color="auto"/>
              <w:right w:val="single" w:sz="4" w:space="0" w:color="auto"/>
            </w:tcBorders>
            <w:shd w:val="clear" w:color="D3D3D3" w:fill="FFFFFF"/>
            <w:vAlign w:val="center"/>
            <w:hideMark/>
          </w:tcPr>
          <w:p w14:paraId="38F06C6F" w14:textId="77777777" w:rsidR="00C801FF" w:rsidRPr="000B4845" w:rsidRDefault="00C801FF" w:rsidP="00FA48AC">
            <w:pPr>
              <w:jc w:val="center"/>
              <w:rPr>
                <w:rFonts w:ascii="Arial Narrow" w:hAnsi="Arial Narrow" w:cs="Segoe UI"/>
                <w:color w:val="000000"/>
                <w:sz w:val="20"/>
                <w:szCs w:val="20"/>
                <w:lang w:eastAsia="es-CR"/>
              </w:rPr>
            </w:pPr>
            <w:r w:rsidRPr="000B4845">
              <w:rPr>
                <w:rFonts w:ascii="Arial Narrow" w:hAnsi="Arial Narrow" w:cs="Segoe UI"/>
                <w:color w:val="000000"/>
                <w:sz w:val="20"/>
                <w:szCs w:val="20"/>
                <w:lang w:eastAsia="es-CR"/>
              </w:rPr>
              <w:t>24</w:t>
            </w:r>
          </w:p>
        </w:tc>
        <w:tc>
          <w:tcPr>
            <w:tcW w:w="4744" w:type="dxa"/>
            <w:tcBorders>
              <w:top w:val="single" w:sz="4" w:space="0" w:color="auto"/>
              <w:left w:val="nil"/>
              <w:bottom w:val="single" w:sz="4" w:space="0" w:color="auto"/>
              <w:right w:val="single" w:sz="4" w:space="0" w:color="auto"/>
            </w:tcBorders>
            <w:shd w:val="clear" w:color="D3D3D3" w:fill="FFFFFF"/>
            <w:vAlign w:val="center"/>
            <w:hideMark/>
          </w:tcPr>
          <w:p w14:paraId="7A7CAFD8" w14:textId="77777777" w:rsidR="00C801FF" w:rsidRPr="000B4845" w:rsidRDefault="001A60A6" w:rsidP="00FA48AC">
            <w:pPr>
              <w:jc w:val="center"/>
              <w:rPr>
                <w:rFonts w:ascii="Arial Narrow" w:hAnsi="Arial Narrow" w:cs="Segoe UI"/>
                <w:color w:val="000000"/>
                <w:sz w:val="20"/>
                <w:szCs w:val="20"/>
                <w:lang w:eastAsia="es-CR"/>
              </w:rPr>
            </w:pPr>
            <w:hyperlink r:id="rId173" w:history="1">
              <w:r w:rsidR="00C801FF" w:rsidRPr="000B4845">
                <w:rPr>
                  <w:rFonts w:ascii="Arial Narrow" w:hAnsi="Arial Narrow" w:cs="Segoe UI"/>
                  <w:color w:val="000000"/>
                  <w:sz w:val="20"/>
                  <w:szCs w:val="20"/>
                  <w:lang w:eastAsia="es-CR"/>
                </w:rPr>
                <w:t>CENTRO DE APOYO, COORDINACION Y MEJORAMIENTO DE LA FUNCION JURISDICCIONAL</w:t>
              </w:r>
            </w:hyperlink>
          </w:p>
        </w:tc>
        <w:tc>
          <w:tcPr>
            <w:tcW w:w="1131" w:type="dxa"/>
            <w:tcBorders>
              <w:top w:val="nil"/>
              <w:left w:val="nil"/>
              <w:bottom w:val="single" w:sz="4" w:space="0" w:color="auto"/>
              <w:right w:val="single" w:sz="4" w:space="0" w:color="auto"/>
            </w:tcBorders>
            <w:shd w:val="clear" w:color="D3D3D3" w:fill="FFFFFF"/>
            <w:vAlign w:val="center"/>
            <w:hideMark/>
          </w:tcPr>
          <w:p w14:paraId="1C72E34A" w14:textId="77777777" w:rsidR="00C801FF" w:rsidRPr="000B4845" w:rsidRDefault="00C801FF" w:rsidP="00FA48AC">
            <w:pPr>
              <w:jc w:val="center"/>
              <w:rPr>
                <w:rFonts w:ascii="Arial Narrow" w:hAnsi="Arial Narrow" w:cs="Segoe UI"/>
                <w:color w:val="000000"/>
                <w:sz w:val="20"/>
                <w:szCs w:val="20"/>
                <w:lang w:eastAsia="es-CR"/>
              </w:rPr>
            </w:pPr>
            <w:r w:rsidRPr="000B4845">
              <w:rPr>
                <w:rFonts w:ascii="Arial Narrow" w:hAnsi="Arial Narrow" w:cs="Segoe UI"/>
                <w:color w:val="000000"/>
                <w:sz w:val="20"/>
                <w:szCs w:val="20"/>
                <w:lang w:eastAsia="es-CR"/>
              </w:rPr>
              <w:t>42</w:t>
            </w:r>
          </w:p>
        </w:tc>
        <w:tc>
          <w:tcPr>
            <w:tcW w:w="1420" w:type="dxa"/>
            <w:tcBorders>
              <w:top w:val="single" w:sz="4" w:space="0" w:color="auto"/>
              <w:left w:val="nil"/>
              <w:bottom w:val="single" w:sz="4" w:space="0" w:color="auto"/>
              <w:right w:val="single" w:sz="4" w:space="0" w:color="auto"/>
            </w:tcBorders>
            <w:shd w:val="clear" w:color="auto" w:fill="70AD47" w:themeFill="accent6"/>
            <w:vAlign w:val="center"/>
            <w:hideMark/>
          </w:tcPr>
          <w:p w14:paraId="7E863E0F" w14:textId="77777777" w:rsidR="00C801FF" w:rsidRPr="000B4845" w:rsidRDefault="00C801FF" w:rsidP="00FA48AC">
            <w:pPr>
              <w:jc w:val="center"/>
              <w:rPr>
                <w:rFonts w:ascii="Arial Narrow" w:hAnsi="Arial Narrow" w:cs="Segoe UI"/>
                <w:color w:val="000000"/>
                <w:sz w:val="20"/>
                <w:szCs w:val="20"/>
                <w:lang w:eastAsia="es-CR"/>
              </w:rPr>
            </w:pPr>
            <w:r w:rsidRPr="000B4845">
              <w:rPr>
                <w:rFonts w:ascii="Arial Narrow" w:hAnsi="Arial Narrow" w:cs="Segoe UI"/>
                <w:color w:val="000000"/>
                <w:sz w:val="20"/>
                <w:szCs w:val="20"/>
                <w:lang w:eastAsia="es-CR"/>
              </w:rPr>
              <w:t>91.86 %</w:t>
            </w:r>
          </w:p>
        </w:tc>
      </w:tr>
      <w:tr w:rsidR="006F3725" w:rsidRPr="000B4845" w14:paraId="25128FC7" w14:textId="77777777" w:rsidTr="00FA48AC">
        <w:trPr>
          <w:trHeight w:val="300"/>
          <w:jc w:val="center"/>
        </w:trPr>
        <w:tc>
          <w:tcPr>
            <w:tcW w:w="638" w:type="dxa"/>
            <w:tcBorders>
              <w:top w:val="single" w:sz="4" w:space="0" w:color="auto"/>
              <w:left w:val="single" w:sz="4" w:space="0" w:color="auto"/>
              <w:bottom w:val="single" w:sz="4" w:space="0" w:color="auto"/>
              <w:right w:val="single" w:sz="4" w:space="0" w:color="auto"/>
            </w:tcBorders>
            <w:shd w:val="clear" w:color="FFFFFF" w:fill="FFFFFF"/>
            <w:vAlign w:val="center"/>
            <w:hideMark/>
          </w:tcPr>
          <w:p w14:paraId="67089711" w14:textId="77777777" w:rsidR="00C801FF" w:rsidRPr="000B4845" w:rsidRDefault="00C801FF" w:rsidP="00FA48AC">
            <w:pPr>
              <w:jc w:val="center"/>
              <w:rPr>
                <w:rFonts w:ascii="Arial Narrow" w:hAnsi="Arial Narrow" w:cs="Segoe UI"/>
                <w:color w:val="000000"/>
                <w:sz w:val="20"/>
                <w:szCs w:val="20"/>
                <w:lang w:eastAsia="es-CR"/>
              </w:rPr>
            </w:pPr>
            <w:r w:rsidRPr="000B4845">
              <w:rPr>
                <w:rFonts w:ascii="Arial Narrow" w:hAnsi="Arial Narrow" w:cs="Segoe UI"/>
                <w:color w:val="000000"/>
                <w:sz w:val="20"/>
                <w:szCs w:val="20"/>
                <w:lang w:eastAsia="es-CR"/>
              </w:rPr>
              <w:t>25</w:t>
            </w:r>
          </w:p>
        </w:tc>
        <w:tc>
          <w:tcPr>
            <w:tcW w:w="4744" w:type="dxa"/>
            <w:tcBorders>
              <w:top w:val="single" w:sz="4" w:space="0" w:color="auto"/>
              <w:left w:val="nil"/>
              <w:bottom w:val="single" w:sz="4" w:space="0" w:color="auto"/>
              <w:right w:val="single" w:sz="4" w:space="0" w:color="auto"/>
            </w:tcBorders>
            <w:shd w:val="clear" w:color="FFFFFF" w:fill="FFFFFF"/>
            <w:vAlign w:val="center"/>
            <w:hideMark/>
          </w:tcPr>
          <w:p w14:paraId="4F98594A" w14:textId="77777777" w:rsidR="00C801FF" w:rsidRPr="003411C5" w:rsidRDefault="001A60A6" w:rsidP="00FA48AC">
            <w:pPr>
              <w:jc w:val="center"/>
              <w:rPr>
                <w:rFonts w:ascii="Arial Narrow" w:hAnsi="Arial Narrow" w:cs="Segoe UI"/>
                <w:color w:val="000000"/>
                <w:sz w:val="20"/>
                <w:szCs w:val="20"/>
                <w:lang w:eastAsia="es-CR"/>
              </w:rPr>
            </w:pPr>
            <w:hyperlink r:id="rId174" w:history="1">
              <w:r w:rsidR="00C801FF" w:rsidRPr="003411C5">
                <w:rPr>
                  <w:rFonts w:ascii="Arial Narrow" w:hAnsi="Arial Narrow" w:cs="Segoe UI"/>
                  <w:color w:val="000000"/>
                  <w:sz w:val="20"/>
                  <w:szCs w:val="20"/>
                  <w:lang w:eastAsia="es-CR"/>
                </w:rPr>
                <w:t>CONSEJO SUPERIOR</w:t>
              </w:r>
            </w:hyperlink>
          </w:p>
        </w:tc>
        <w:tc>
          <w:tcPr>
            <w:tcW w:w="1131" w:type="dxa"/>
            <w:tcBorders>
              <w:top w:val="nil"/>
              <w:left w:val="nil"/>
              <w:bottom w:val="single" w:sz="4" w:space="0" w:color="auto"/>
              <w:right w:val="single" w:sz="4" w:space="0" w:color="auto"/>
            </w:tcBorders>
            <w:shd w:val="clear" w:color="FFFFFF" w:fill="FFFFFF"/>
            <w:vAlign w:val="center"/>
            <w:hideMark/>
          </w:tcPr>
          <w:p w14:paraId="22A65E3A" w14:textId="77777777" w:rsidR="00C801FF" w:rsidRPr="003411C5" w:rsidRDefault="00C801FF" w:rsidP="00FA48AC">
            <w:pPr>
              <w:jc w:val="center"/>
              <w:rPr>
                <w:rFonts w:ascii="Arial Narrow" w:hAnsi="Arial Narrow" w:cs="Segoe UI"/>
                <w:color w:val="000000"/>
                <w:sz w:val="20"/>
                <w:szCs w:val="20"/>
                <w:lang w:eastAsia="es-CR"/>
              </w:rPr>
            </w:pPr>
            <w:r w:rsidRPr="003411C5">
              <w:rPr>
                <w:rFonts w:ascii="Arial Narrow" w:hAnsi="Arial Narrow" w:cs="Segoe UI"/>
                <w:color w:val="000000"/>
                <w:sz w:val="20"/>
                <w:szCs w:val="20"/>
                <w:lang w:eastAsia="es-CR"/>
              </w:rPr>
              <w:t>1</w:t>
            </w:r>
          </w:p>
        </w:tc>
        <w:tc>
          <w:tcPr>
            <w:tcW w:w="1420" w:type="dxa"/>
            <w:tcBorders>
              <w:top w:val="single" w:sz="4" w:space="0" w:color="auto"/>
              <w:left w:val="nil"/>
              <w:bottom w:val="single" w:sz="4" w:space="0" w:color="auto"/>
              <w:right w:val="single" w:sz="4" w:space="0" w:color="auto"/>
            </w:tcBorders>
            <w:shd w:val="clear" w:color="auto" w:fill="FFFF00"/>
            <w:vAlign w:val="center"/>
            <w:hideMark/>
          </w:tcPr>
          <w:p w14:paraId="63799196" w14:textId="77777777" w:rsidR="00C801FF" w:rsidRPr="003411C5" w:rsidRDefault="00C801FF" w:rsidP="00FA48AC">
            <w:pPr>
              <w:jc w:val="center"/>
              <w:rPr>
                <w:rFonts w:ascii="Arial Narrow" w:hAnsi="Arial Narrow" w:cs="Segoe UI"/>
                <w:color w:val="000000"/>
                <w:sz w:val="20"/>
                <w:szCs w:val="20"/>
                <w:lang w:eastAsia="es-CR"/>
              </w:rPr>
            </w:pPr>
            <w:r w:rsidRPr="003411C5">
              <w:rPr>
                <w:rFonts w:ascii="Arial Narrow" w:hAnsi="Arial Narrow" w:cs="Segoe UI"/>
                <w:color w:val="000000"/>
                <w:sz w:val="20"/>
                <w:szCs w:val="20"/>
                <w:lang w:eastAsia="es-CR"/>
              </w:rPr>
              <w:t>85.00 %</w:t>
            </w:r>
          </w:p>
        </w:tc>
      </w:tr>
      <w:tr w:rsidR="006F3725" w:rsidRPr="000B4845" w14:paraId="32876915" w14:textId="77777777" w:rsidTr="00FA48AC">
        <w:trPr>
          <w:trHeight w:val="300"/>
          <w:jc w:val="center"/>
        </w:trPr>
        <w:tc>
          <w:tcPr>
            <w:tcW w:w="638" w:type="dxa"/>
            <w:tcBorders>
              <w:top w:val="single" w:sz="4" w:space="0" w:color="auto"/>
              <w:left w:val="single" w:sz="4" w:space="0" w:color="auto"/>
              <w:bottom w:val="single" w:sz="4" w:space="0" w:color="auto"/>
              <w:right w:val="single" w:sz="4" w:space="0" w:color="auto"/>
            </w:tcBorders>
            <w:shd w:val="clear" w:color="D3D3D3" w:fill="FFFFFF"/>
            <w:vAlign w:val="center"/>
            <w:hideMark/>
          </w:tcPr>
          <w:p w14:paraId="43DA9285" w14:textId="77777777" w:rsidR="00C801FF" w:rsidRPr="000B4845" w:rsidRDefault="00C801FF" w:rsidP="00FA48AC">
            <w:pPr>
              <w:jc w:val="center"/>
              <w:rPr>
                <w:rFonts w:ascii="Arial Narrow" w:hAnsi="Arial Narrow" w:cs="Segoe UI"/>
                <w:color w:val="000000"/>
                <w:sz w:val="20"/>
                <w:szCs w:val="20"/>
                <w:lang w:eastAsia="es-CR"/>
              </w:rPr>
            </w:pPr>
            <w:r w:rsidRPr="000B4845">
              <w:rPr>
                <w:rFonts w:ascii="Arial Narrow" w:hAnsi="Arial Narrow" w:cs="Segoe UI"/>
                <w:color w:val="000000"/>
                <w:sz w:val="20"/>
                <w:szCs w:val="20"/>
                <w:lang w:eastAsia="es-CR"/>
              </w:rPr>
              <w:t>26</w:t>
            </w:r>
          </w:p>
        </w:tc>
        <w:tc>
          <w:tcPr>
            <w:tcW w:w="4744" w:type="dxa"/>
            <w:tcBorders>
              <w:top w:val="single" w:sz="4" w:space="0" w:color="auto"/>
              <w:left w:val="nil"/>
              <w:bottom w:val="single" w:sz="4" w:space="0" w:color="auto"/>
              <w:right w:val="single" w:sz="4" w:space="0" w:color="auto"/>
            </w:tcBorders>
            <w:shd w:val="clear" w:color="D3D3D3" w:fill="FFFFFF"/>
            <w:vAlign w:val="center"/>
            <w:hideMark/>
          </w:tcPr>
          <w:p w14:paraId="3333C365" w14:textId="77777777" w:rsidR="00C801FF" w:rsidRPr="003411C5" w:rsidRDefault="001A60A6" w:rsidP="00FA48AC">
            <w:pPr>
              <w:jc w:val="center"/>
              <w:rPr>
                <w:rFonts w:ascii="Arial Narrow" w:hAnsi="Arial Narrow" w:cs="Segoe UI"/>
                <w:color w:val="000000"/>
                <w:sz w:val="20"/>
                <w:szCs w:val="20"/>
                <w:lang w:eastAsia="es-CR"/>
              </w:rPr>
            </w:pPr>
            <w:hyperlink r:id="rId175" w:history="1">
              <w:r w:rsidR="00C801FF" w:rsidRPr="003411C5">
                <w:rPr>
                  <w:rFonts w:ascii="Arial Narrow" w:hAnsi="Arial Narrow" w:cs="Segoe UI"/>
                  <w:color w:val="000000"/>
                  <w:sz w:val="20"/>
                  <w:szCs w:val="20"/>
                  <w:lang w:eastAsia="es-CR"/>
                </w:rPr>
                <w:t>DEPARTAMENTO DE TRABAJO SOCIAL Y PSICOLOGIA (SEDE CENTRAL)</w:t>
              </w:r>
            </w:hyperlink>
          </w:p>
        </w:tc>
        <w:tc>
          <w:tcPr>
            <w:tcW w:w="1131" w:type="dxa"/>
            <w:tcBorders>
              <w:top w:val="nil"/>
              <w:left w:val="nil"/>
              <w:bottom w:val="single" w:sz="4" w:space="0" w:color="auto"/>
              <w:right w:val="single" w:sz="4" w:space="0" w:color="auto"/>
            </w:tcBorders>
            <w:shd w:val="clear" w:color="D3D3D3" w:fill="FFFFFF"/>
            <w:vAlign w:val="center"/>
            <w:hideMark/>
          </w:tcPr>
          <w:p w14:paraId="63DBD3AE" w14:textId="77777777" w:rsidR="00C801FF" w:rsidRPr="003411C5" w:rsidRDefault="00C801FF" w:rsidP="00FA48AC">
            <w:pPr>
              <w:jc w:val="center"/>
              <w:rPr>
                <w:rFonts w:ascii="Arial Narrow" w:hAnsi="Arial Narrow" w:cs="Segoe UI"/>
                <w:color w:val="000000"/>
                <w:sz w:val="20"/>
                <w:szCs w:val="20"/>
                <w:lang w:eastAsia="es-CR"/>
              </w:rPr>
            </w:pPr>
            <w:r w:rsidRPr="003411C5">
              <w:rPr>
                <w:rFonts w:ascii="Arial Narrow" w:hAnsi="Arial Narrow" w:cs="Segoe UI"/>
                <w:color w:val="000000"/>
                <w:sz w:val="20"/>
                <w:szCs w:val="20"/>
                <w:lang w:eastAsia="es-CR"/>
              </w:rPr>
              <w:t>1</w:t>
            </w:r>
          </w:p>
        </w:tc>
        <w:tc>
          <w:tcPr>
            <w:tcW w:w="1420" w:type="dxa"/>
            <w:tcBorders>
              <w:top w:val="single" w:sz="4" w:space="0" w:color="auto"/>
              <w:left w:val="nil"/>
              <w:bottom w:val="single" w:sz="4" w:space="0" w:color="auto"/>
              <w:right w:val="single" w:sz="4" w:space="0" w:color="auto"/>
            </w:tcBorders>
            <w:shd w:val="clear" w:color="auto" w:fill="FFFF00"/>
            <w:vAlign w:val="center"/>
            <w:hideMark/>
          </w:tcPr>
          <w:p w14:paraId="035499D3" w14:textId="77777777" w:rsidR="00C801FF" w:rsidRPr="003411C5" w:rsidRDefault="00C801FF" w:rsidP="00FA48AC">
            <w:pPr>
              <w:jc w:val="center"/>
              <w:rPr>
                <w:rFonts w:ascii="Arial Narrow" w:hAnsi="Arial Narrow" w:cs="Segoe UI"/>
                <w:color w:val="000000"/>
                <w:sz w:val="20"/>
                <w:szCs w:val="20"/>
                <w:lang w:eastAsia="es-CR"/>
              </w:rPr>
            </w:pPr>
            <w:r w:rsidRPr="003411C5">
              <w:rPr>
                <w:rFonts w:ascii="Arial Narrow" w:hAnsi="Arial Narrow" w:cs="Segoe UI"/>
                <w:color w:val="000000"/>
                <w:sz w:val="20"/>
                <w:szCs w:val="20"/>
                <w:lang w:eastAsia="es-CR"/>
              </w:rPr>
              <w:t>83.00 %</w:t>
            </w:r>
          </w:p>
        </w:tc>
      </w:tr>
      <w:tr w:rsidR="006F3725" w:rsidRPr="000B4845" w14:paraId="08CDFE35" w14:textId="77777777" w:rsidTr="00FA48AC">
        <w:trPr>
          <w:trHeight w:val="300"/>
          <w:jc w:val="center"/>
        </w:trPr>
        <w:tc>
          <w:tcPr>
            <w:tcW w:w="638" w:type="dxa"/>
            <w:tcBorders>
              <w:top w:val="single" w:sz="4" w:space="0" w:color="auto"/>
              <w:left w:val="single" w:sz="4" w:space="0" w:color="auto"/>
              <w:bottom w:val="single" w:sz="4" w:space="0" w:color="auto"/>
              <w:right w:val="single" w:sz="4" w:space="0" w:color="auto"/>
            </w:tcBorders>
            <w:shd w:val="clear" w:color="FFFFFF" w:fill="FFFFFF"/>
            <w:vAlign w:val="center"/>
            <w:hideMark/>
          </w:tcPr>
          <w:p w14:paraId="466B3DAA" w14:textId="77777777" w:rsidR="00C801FF" w:rsidRPr="000B4845" w:rsidRDefault="00C801FF" w:rsidP="00FA48AC">
            <w:pPr>
              <w:jc w:val="center"/>
              <w:rPr>
                <w:rFonts w:ascii="Arial Narrow" w:hAnsi="Arial Narrow" w:cs="Segoe UI"/>
                <w:color w:val="000000"/>
                <w:sz w:val="20"/>
                <w:szCs w:val="20"/>
                <w:lang w:eastAsia="es-CR"/>
              </w:rPr>
            </w:pPr>
            <w:r w:rsidRPr="000B4845">
              <w:rPr>
                <w:rFonts w:ascii="Arial Narrow" w:hAnsi="Arial Narrow" w:cs="Segoe UI"/>
                <w:color w:val="000000"/>
                <w:sz w:val="20"/>
                <w:szCs w:val="20"/>
                <w:lang w:eastAsia="es-CR"/>
              </w:rPr>
              <w:t>27</w:t>
            </w:r>
          </w:p>
        </w:tc>
        <w:tc>
          <w:tcPr>
            <w:tcW w:w="4744" w:type="dxa"/>
            <w:tcBorders>
              <w:top w:val="single" w:sz="4" w:space="0" w:color="auto"/>
              <w:left w:val="nil"/>
              <w:bottom w:val="single" w:sz="4" w:space="0" w:color="auto"/>
              <w:right w:val="single" w:sz="4" w:space="0" w:color="auto"/>
            </w:tcBorders>
            <w:shd w:val="clear" w:color="FFFFFF" w:fill="FFFFFF"/>
            <w:vAlign w:val="center"/>
            <w:hideMark/>
          </w:tcPr>
          <w:p w14:paraId="1B297E79" w14:textId="77777777" w:rsidR="00C801FF" w:rsidRPr="003411C5" w:rsidRDefault="001A60A6" w:rsidP="00FA48AC">
            <w:pPr>
              <w:jc w:val="center"/>
              <w:rPr>
                <w:rFonts w:ascii="Arial Narrow" w:hAnsi="Arial Narrow" w:cs="Segoe UI"/>
                <w:color w:val="000000"/>
                <w:sz w:val="20"/>
                <w:szCs w:val="20"/>
                <w:lang w:eastAsia="es-CR"/>
              </w:rPr>
            </w:pPr>
            <w:hyperlink r:id="rId176" w:history="1">
              <w:r w:rsidR="00C801FF" w:rsidRPr="003411C5">
                <w:rPr>
                  <w:rFonts w:ascii="Arial Narrow" w:hAnsi="Arial Narrow" w:cs="Segoe UI"/>
                  <w:color w:val="000000"/>
                  <w:sz w:val="20"/>
                  <w:szCs w:val="20"/>
                  <w:lang w:eastAsia="es-CR"/>
                </w:rPr>
                <w:t>DEPARTAMENTO DE PRENSA Y COMUNICACION ORGANIZACIONAL</w:t>
              </w:r>
            </w:hyperlink>
          </w:p>
        </w:tc>
        <w:tc>
          <w:tcPr>
            <w:tcW w:w="1131" w:type="dxa"/>
            <w:tcBorders>
              <w:top w:val="nil"/>
              <w:left w:val="nil"/>
              <w:bottom w:val="single" w:sz="4" w:space="0" w:color="auto"/>
              <w:right w:val="single" w:sz="4" w:space="0" w:color="auto"/>
            </w:tcBorders>
            <w:shd w:val="clear" w:color="FFFFFF" w:fill="FFFFFF"/>
            <w:vAlign w:val="center"/>
            <w:hideMark/>
          </w:tcPr>
          <w:p w14:paraId="21E5A806" w14:textId="77777777" w:rsidR="00C801FF" w:rsidRPr="003411C5" w:rsidRDefault="00C801FF" w:rsidP="00FA48AC">
            <w:pPr>
              <w:jc w:val="center"/>
              <w:rPr>
                <w:rFonts w:ascii="Arial Narrow" w:hAnsi="Arial Narrow" w:cs="Segoe UI"/>
                <w:color w:val="000000"/>
                <w:sz w:val="20"/>
                <w:szCs w:val="20"/>
                <w:lang w:eastAsia="es-CR"/>
              </w:rPr>
            </w:pPr>
            <w:r w:rsidRPr="003411C5">
              <w:rPr>
                <w:rFonts w:ascii="Arial Narrow" w:hAnsi="Arial Narrow" w:cs="Segoe UI"/>
                <w:color w:val="000000"/>
                <w:sz w:val="20"/>
                <w:szCs w:val="20"/>
                <w:lang w:eastAsia="es-CR"/>
              </w:rPr>
              <w:t>2</w:t>
            </w:r>
          </w:p>
        </w:tc>
        <w:tc>
          <w:tcPr>
            <w:tcW w:w="1420" w:type="dxa"/>
            <w:tcBorders>
              <w:top w:val="single" w:sz="4" w:space="0" w:color="auto"/>
              <w:left w:val="nil"/>
              <w:bottom w:val="single" w:sz="4" w:space="0" w:color="auto"/>
              <w:right w:val="single" w:sz="4" w:space="0" w:color="auto"/>
            </w:tcBorders>
            <w:shd w:val="clear" w:color="auto" w:fill="FFFF00"/>
            <w:vAlign w:val="center"/>
            <w:hideMark/>
          </w:tcPr>
          <w:p w14:paraId="026BAD46" w14:textId="77777777" w:rsidR="00C801FF" w:rsidRPr="003411C5" w:rsidRDefault="00C801FF" w:rsidP="00FA48AC">
            <w:pPr>
              <w:jc w:val="center"/>
              <w:rPr>
                <w:rFonts w:ascii="Arial Narrow" w:hAnsi="Arial Narrow" w:cs="Segoe UI"/>
                <w:color w:val="000000"/>
                <w:sz w:val="20"/>
                <w:szCs w:val="20"/>
                <w:lang w:eastAsia="es-CR"/>
              </w:rPr>
            </w:pPr>
            <w:r w:rsidRPr="003411C5">
              <w:rPr>
                <w:rFonts w:ascii="Arial Narrow" w:hAnsi="Arial Narrow" w:cs="Segoe UI"/>
                <w:color w:val="000000"/>
                <w:sz w:val="20"/>
                <w:szCs w:val="20"/>
                <w:lang w:eastAsia="es-CR"/>
              </w:rPr>
              <w:t>65.00 %</w:t>
            </w:r>
          </w:p>
        </w:tc>
      </w:tr>
    </w:tbl>
    <w:p w14:paraId="5BA99ED5" w14:textId="77777777" w:rsidR="00C801FF" w:rsidRPr="000B4845" w:rsidRDefault="00C801FF" w:rsidP="00C801FF">
      <w:pPr>
        <w:rPr>
          <w:rFonts w:ascii="Arial Narrow" w:eastAsia="Calibri" w:hAnsi="Arial Narrow"/>
          <w:sz w:val="18"/>
          <w:szCs w:val="18"/>
          <w:lang w:eastAsia="en-US"/>
        </w:rPr>
      </w:pPr>
      <w:r>
        <w:rPr>
          <w:rFonts w:ascii="Arial Narrow" w:eastAsia="Calibri" w:hAnsi="Arial Narrow"/>
          <w:sz w:val="18"/>
          <w:szCs w:val="18"/>
          <w:lang w:eastAsia="en-US"/>
        </w:rPr>
        <w:t xml:space="preserve">                </w:t>
      </w:r>
      <w:r w:rsidRPr="000B4845">
        <w:rPr>
          <w:rFonts w:ascii="Arial Narrow" w:eastAsia="Calibri" w:hAnsi="Arial Narrow"/>
          <w:sz w:val="18"/>
          <w:szCs w:val="18"/>
          <w:lang w:eastAsia="en-US"/>
        </w:rPr>
        <w:t>Fuente: Sistema PEI al 24 de enero del 2020 (año 2019)</w:t>
      </w:r>
    </w:p>
    <w:p w14:paraId="153F4A64" w14:textId="77777777" w:rsidR="00C801FF" w:rsidRPr="000B4845" w:rsidRDefault="00C801FF" w:rsidP="00C801FF">
      <w:pPr>
        <w:rPr>
          <w:rFonts w:eastAsia="Calibri"/>
          <w:lang w:eastAsia="en-US"/>
        </w:rPr>
      </w:pPr>
    </w:p>
    <w:p w14:paraId="5C4140B1" w14:textId="77777777" w:rsidR="00993C9F" w:rsidRDefault="00993C9F" w:rsidP="00993C9F">
      <w:pPr>
        <w:spacing w:line="360" w:lineRule="auto"/>
        <w:jc w:val="both"/>
        <w:rPr>
          <w:rFonts w:ascii="Arial Narrow" w:eastAsia="Calibri" w:hAnsi="Arial Narrow"/>
          <w:lang w:eastAsia="en-US"/>
        </w:rPr>
      </w:pPr>
    </w:p>
    <w:p w14:paraId="4E5BA456" w14:textId="2CBC4F82" w:rsidR="00993C9F" w:rsidRDefault="00993C9F" w:rsidP="00993C9F">
      <w:pPr>
        <w:spacing w:line="360" w:lineRule="auto"/>
        <w:jc w:val="both"/>
        <w:rPr>
          <w:rFonts w:ascii="Arial Narrow" w:eastAsia="Calibri" w:hAnsi="Arial Narrow"/>
          <w:lang w:eastAsia="en-US"/>
        </w:rPr>
      </w:pPr>
      <w:r w:rsidRPr="000B4845">
        <w:rPr>
          <w:rFonts w:ascii="Arial Narrow" w:eastAsia="Calibri" w:hAnsi="Arial Narrow"/>
          <w:lang w:eastAsia="en-US"/>
        </w:rPr>
        <w:t>Se observa que</w:t>
      </w:r>
      <w:r>
        <w:rPr>
          <w:rFonts w:ascii="Arial Narrow" w:eastAsia="Calibri" w:hAnsi="Arial Narrow"/>
          <w:lang w:eastAsia="en-US"/>
        </w:rPr>
        <w:t>,</w:t>
      </w:r>
      <w:r w:rsidRPr="000B4845">
        <w:rPr>
          <w:rFonts w:ascii="Arial Narrow" w:eastAsia="Calibri" w:hAnsi="Arial Narrow"/>
          <w:lang w:eastAsia="en-US"/>
        </w:rPr>
        <w:t xml:space="preserve"> de l</w:t>
      </w:r>
      <w:r>
        <w:rPr>
          <w:rFonts w:ascii="Arial Narrow" w:eastAsia="Calibri" w:hAnsi="Arial Narrow"/>
          <w:lang w:eastAsia="en-US"/>
        </w:rPr>
        <w:t>o</w:t>
      </w:r>
      <w:r w:rsidRPr="000B4845">
        <w:rPr>
          <w:rFonts w:ascii="Arial Narrow" w:eastAsia="Calibri" w:hAnsi="Arial Narrow"/>
          <w:lang w:eastAsia="en-US"/>
        </w:rPr>
        <w:t xml:space="preserve">s 27 </w:t>
      </w:r>
      <w:r w:rsidRPr="00484CC1">
        <w:rPr>
          <w:rFonts w:ascii="Arial Narrow" w:eastAsia="Calibri" w:hAnsi="Arial Narrow"/>
          <w:lang w:eastAsia="en-US"/>
        </w:rPr>
        <w:t>responsables estratégicos</w:t>
      </w:r>
      <w:r w:rsidRPr="000B4845">
        <w:rPr>
          <w:rFonts w:ascii="Arial Narrow" w:eastAsia="Calibri" w:hAnsi="Arial Narrow"/>
          <w:lang w:eastAsia="en-US"/>
        </w:rPr>
        <w:t xml:space="preserve">, </w:t>
      </w:r>
      <w:r>
        <w:rPr>
          <w:rFonts w:ascii="Arial Narrow" w:eastAsia="Calibri" w:hAnsi="Arial Narrow"/>
          <w:lang w:eastAsia="en-US"/>
        </w:rPr>
        <w:t>24 tienen un cumplimiento alto de</w:t>
      </w:r>
      <w:r w:rsidRPr="000B4845">
        <w:rPr>
          <w:rFonts w:ascii="Arial Narrow" w:eastAsia="Calibri" w:hAnsi="Arial Narrow"/>
          <w:lang w:eastAsia="en-US"/>
        </w:rPr>
        <w:t xml:space="preserve"> sus metas estratégicas en un </w:t>
      </w:r>
      <w:r>
        <w:rPr>
          <w:rFonts w:ascii="Arial Narrow" w:eastAsia="Calibri" w:hAnsi="Arial Narrow"/>
          <w:lang w:eastAsia="en-US"/>
        </w:rPr>
        <w:t>9</w:t>
      </w:r>
      <w:r w:rsidRPr="000B4845">
        <w:rPr>
          <w:rFonts w:ascii="Arial Narrow" w:eastAsia="Calibri" w:hAnsi="Arial Narrow"/>
          <w:lang w:eastAsia="en-US"/>
        </w:rPr>
        <w:t>0%</w:t>
      </w:r>
      <w:r>
        <w:rPr>
          <w:rFonts w:ascii="Arial Narrow" w:eastAsia="Calibri" w:hAnsi="Arial Narrow"/>
          <w:lang w:eastAsia="en-US"/>
        </w:rPr>
        <w:t>-100%</w:t>
      </w:r>
      <w:r w:rsidRPr="000B4845">
        <w:rPr>
          <w:rFonts w:ascii="Arial Narrow" w:eastAsia="Calibri" w:hAnsi="Arial Narrow"/>
          <w:lang w:eastAsia="en-US"/>
        </w:rPr>
        <w:t xml:space="preserve">, eso equivale a un </w:t>
      </w:r>
      <w:r>
        <w:rPr>
          <w:rFonts w:ascii="Arial Narrow" w:eastAsia="Calibri" w:hAnsi="Arial Narrow"/>
          <w:lang w:eastAsia="en-US"/>
        </w:rPr>
        <w:t>89</w:t>
      </w:r>
      <w:r w:rsidRPr="000B4845">
        <w:rPr>
          <w:rFonts w:ascii="Arial Narrow" w:eastAsia="Calibri" w:hAnsi="Arial Narrow"/>
          <w:lang w:eastAsia="en-US"/>
        </w:rPr>
        <w:t>% de la totalidad de oficinas responsables</w:t>
      </w:r>
      <w:r>
        <w:rPr>
          <w:rFonts w:ascii="Arial Narrow" w:eastAsia="Calibri" w:hAnsi="Arial Narrow"/>
          <w:lang w:eastAsia="en-US"/>
        </w:rPr>
        <w:t xml:space="preserve">, esto </w:t>
      </w:r>
      <w:r w:rsidRPr="000B4845">
        <w:rPr>
          <w:rFonts w:ascii="Arial Narrow" w:eastAsia="Calibri" w:hAnsi="Arial Narrow"/>
          <w:lang w:eastAsia="en-US"/>
        </w:rPr>
        <w:t xml:space="preserve">evidencia esfuerzos importantes para alcanzar las metas estratégicas </w:t>
      </w:r>
      <w:r w:rsidRPr="00B76759">
        <w:rPr>
          <w:rFonts w:ascii="Arial Narrow" w:eastAsia="Calibri" w:hAnsi="Arial Narrow"/>
          <w:lang w:eastAsia="en-US"/>
        </w:rPr>
        <w:t>operativizadas al PAO del primer año del PEI</w:t>
      </w:r>
      <w:r w:rsidRPr="00B717B9">
        <w:rPr>
          <w:rFonts w:ascii="Arial Narrow" w:eastAsia="Calibri" w:hAnsi="Arial Narrow"/>
          <w:lang w:eastAsia="en-US"/>
        </w:rPr>
        <w:t xml:space="preserve"> 2019</w:t>
      </w:r>
      <w:r w:rsidRPr="000B4845">
        <w:rPr>
          <w:rFonts w:ascii="Arial Narrow" w:eastAsia="Calibri" w:hAnsi="Arial Narrow"/>
          <w:lang w:eastAsia="en-US"/>
        </w:rPr>
        <w:t>.</w:t>
      </w:r>
      <w:r>
        <w:rPr>
          <w:rFonts w:ascii="Arial Narrow" w:eastAsia="Calibri" w:hAnsi="Arial Narrow"/>
          <w:lang w:eastAsia="en-US"/>
        </w:rPr>
        <w:t xml:space="preserve">  </w:t>
      </w:r>
    </w:p>
    <w:p w14:paraId="05E61244" w14:textId="77777777" w:rsidR="003B6457" w:rsidRDefault="003B6457" w:rsidP="00C801FF">
      <w:pPr>
        <w:spacing w:line="360" w:lineRule="auto"/>
        <w:jc w:val="both"/>
        <w:rPr>
          <w:rFonts w:ascii="Arial Narrow" w:eastAsia="Calibri" w:hAnsi="Arial Narrow"/>
          <w:lang w:eastAsia="en-US"/>
        </w:rPr>
      </w:pPr>
    </w:p>
    <w:p w14:paraId="0DE75229" w14:textId="6DCA70A4" w:rsidR="00077C8A" w:rsidRDefault="003F3A7A" w:rsidP="00C801FF">
      <w:pPr>
        <w:spacing w:line="360" w:lineRule="auto"/>
        <w:jc w:val="both"/>
        <w:rPr>
          <w:rFonts w:ascii="Arial Narrow" w:eastAsia="Calibri" w:hAnsi="Arial Narrow"/>
          <w:lang w:eastAsia="en-US"/>
        </w:rPr>
      </w:pPr>
      <w:r>
        <w:rPr>
          <w:rFonts w:ascii="Arial Narrow" w:eastAsia="Calibri" w:hAnsi="Arial Narrow"/>
          <w:lang w:eastAsia="en-US"/>
        </w:rPr>
        <w:t>U</w:t>
      </w:r>
      <w:r w:rsidR="00C45AA7">
        <w:rPr>
          <w:rFonts w:ascii="Arial Narrow" w:eastAsia="Calibri" w:hAnsi="Arial Narrow"/>
          <w:lang w:eastAsia="en-US"/>
        </w:rPr>
        <w:t xml:space="preserve">n aspecto relevante relacionado al cumplimiento por parte de los responsables estratégicos se tiene lo siguiente: una determinada oficina o centro responsable, se le asigna una meta estratégica y se transforma en un responsable estratégico de la misma. </w:t>
      </w:r>
    </w:p>
    <w:p w14:paraId="51C75989" w14:textId="77777777" w:rsidR="00077C8A" w:rsidRDefault="00077C8A" w:rsidP="00C801FF">
      <w:pPr>
        <w:spacing w:line="360" w:lineRule="auto"/>
        <w:jc w:val="both"/>
        <w:rPr>
          <w:rFonts w:ascii="Arial Narrow" w:eastAsia="Calibri" w:hAnsi="Arial Narrow"/>
          <w:lang w:eastAsia="en-US"/>
        </w:rPr>
      </w:pPr>
    </w:p>
    <w:p w14:paraId="477E31FD" w14:textId="0A503D44" w:rsidR="00077C8A" w:rsidRDefault="00C45AA7" w:rsidP="00C801FF">
      <w:pPr>
        <w:spacing w:line="360" w:lineRule="auto"/>
        <w:jc w:val="both"/>
        <w:rPr>
          <w:rFonts w:ascii="Arial Narrow" w:eastAsia="Calibri" w:hAnsi="Arial Narrow"/>
          <w:lang w:eastAsia="en-US"/>
        </w:rPr>
      </w:pPr>
      <w:r>
        <w:rPr>
          <w:rFonts w:ascii="Arial Narrow" w:eastAsia="Calibri" w:hAnsi="Arial Narrow"/>
          <w:lang w:eastAsia="en-US"/>
        </w:rPr>
        <w:t xml:space="preserve">Esa meta se asigna a múltiples responsables operativos de los cuales se espera un cumplimiento total y un registro en el sistema PAO de los avances de manera actualizada, para que no se presente una afectación en el cumplimiento total de la meta estratégica. Por ejemplo, la Dirección de Planificación en el </w:t>
      </w:r>
      <w:r>
        <w:rPr>
          <w:rFonts w:ascii="Arial Narrow" w:eastAsia="Calibri" w:hAnsi="Arial Narrow"/>
          <w:lang w:eastAsia="en-US"/>
        </w:rPr>
        <w:lastRenderedPageBreak/>
        <w:t>año 2019 fue responsable estratégico de 12 metas, de las cuales 11 lograron un 100% de cumplimiento, y solamente una registra un 95% la cual es: “</w:t>
      </w:r>
      <w:r w:rsidRPr="00CC279A">
        <w:rPr>
          <w:rFonts w:ascii="Arial Narrow" w:eastAsia="Calibri" w:hAnsi="Arial Narrow"/>
          <w:b/>
          <w:bCs/>
          <w:i/>
          <w:iCs/>
          <w:lang w:eastAsia="en-US"/>
        </w:rPr>
        <w:t>Que al finalizar el 2024, se haya implementado el proyecto de abordaje a la entrada en vigencia del Código Procesal Agrario</w:t>
      </w:r>
      <w:r>
        <w:rPr>
          <w:rFonts w:ascii="Arial Narrow" w:eastAsia="Calibri" w:hAnsi="Arial Narrow"/>
          <w:b/>
          <w:bCs/>
          <w:i/>
          <w:iCs/>
          <w:lang w:eastAsia="en-US"/>
        </w:rPr>
        <w:t>”</w:t>
      </w:r>
      <w:r w:rsidRPr="00CC279A">
        <w:rPr>
          <w:rFonts w:ascii="Arial Narrow" w:eastAsia="Calibri" w:hAnsi="Arial Narrow"/>
          <w:b/>
          <w:bCs/>
          <w:i/>
          <w:iCs/>
          <w:lang w:eastAsia="en-US"/>
        </w:rPr>
        <w:t>.</w:t>
      </w:r>
      <w:r>
        <w:rPr>
          <w:rFonts w:ascii="Arial Narrow" w:eastAsia="Calibri" w:hAnsi="Arial Narrow"/>
          <w:lang w:eastAsia="en-US"/>
        </w:rPr>
        <w:t xml:space="preserve"> </w:t>
      </w:r>
    </w:p>
    <w:p w14:paraId="3BE8E42C" w14:textId="77777777" w:rsidR="00077C8A" w:rsidRDefault="00077C8A" w:rsidP="00C801FF">
      <w:pPr>
        <w:spacing w:line="360" w:lineRule="auto"/>
        <w:jc w:val="both"/>
        <w:rPr>
          <w:rFonts w:ascii="Arial Narrow" w:eastAsia="Calibri" w:hAnsi="Arial Narrow"/>
          <w:lang w:eastAsia="en-US"/>
        </w:rPr>
      </w:pPr>
    </w:p>
    <w:p w14:paraId="76F29DF9" w14:textId="136CFC6E" w:rsidR="00077C8A" w:rsidRDefault="00077C8A" w:rsidP="00C801FF">
      <w:pPr>
        <w:spacing w:line="360" w:lineRule="auto"/>
        <w:jc w:val="both"/>
        <w:rPr>
          <w:rFonts w:ascii="Arial Narrow" w:eastAsia="Calibri" w:hAnsi="Arial Narrow"/>
          <w:lang w:eastAsia="en-US"/>
        </w:rPr>
      </w:pPr>
      <w:r>
        <w:rPr>
          <w:rFonts w:ascii="Arial Narrow" w:eastAsia="Calibri" w:hAnsi="Arial Narrow"/>
          <w:lang w:eastAsia="en-US"/>
        </w:rPr>
        <w:t xml:space="preserve">Al </w:t>
      </w:r>
      <w:r w:rsidR="00C45AA7">
        <w:rPr>
          <w:rFonts w:ascii="Arial Narrow" w:eastAsia="Calibri" w:hAnsi="Arial Narrow"/>
          <w:lang w:eastAsia="en-US"/>
        </w:rPr>
        <w:t xml:space="preserve">revisar detenidamente esa meta, se tiene que </w:t>
      </w:r>
      <w:r w:rsidR="00993C9F">
        <w:rPr>
          <w:rFonts w:ascii="Arial Narrow" w:eastAsia="Calibri" w:hAnsi="Arial Narrow"/>
          <w:lang w:eastAsia="en-US"/>
        </w:rPr>
        <w:t>existen 9 metas operativas asignadas entre dos responsables operativos, los cuales son: el Subproceso de Modernización Institucional quienes registran un 100% de cumplimiento, y la Comision de la Jurisdicción Agrario y Agroambiental, los cuales reportan dos metas operativas a un 80% de cumplimiento, esto debido a que e</w:t>
      </w:r>
      <w:r w:rsidR="00C45AA7" w:rsidRPr="00CC279A">
        <w:rPr>
          <w:rFonts w:ascii="Arial Narrow" w:eastAsia="Calibri" w:hAnsi="Arial Narrow"/>
          <w:lang w:eastAsia="en-US"/>
        </w:rPr>
        <w:t>l proceso de elaboración y aprobación de las reglas</w:t>
      </w:r>
      <w:r w:rsidR="00C45AA7">
        <w:rPr>
          <w:rFonts w:ascii="Arial Narrow" w:eastAsia="Calibri" w:hAnsi="Arial Narrow"/>
          <w:lang w:eastAsia="en-US"/>
        </w:rPr>
        <w:t xml:space="preserve"> </w:t>
      </w:r>
      <w:r w:rsidR="00C45AA7" w:rsidRPr="00CC279A">
        <w:rPr>
          <w:rFonts w:ascii="Arial Narrow" w:eastAsia="Calibri" w:hAnsi="Arial Narrow"/>
          <w:lang w:eastAsia="en-US"/>
        </w:rPr>
        <w:t>prácticas quedó en proceso al cierre de</w:t>
      </w:r>
      <w:r w:rsidR="00993C9F">
        <w:rPr>
          <w:rFonts w:ascii="Arial Narrow" w:eastAsia="Calibri" w:hAnsi="Arial Narrow"/>
          <w:lang w:eastAsia="en-US"/>
        </w:rPr>
        <w:t xml:space="preserve">l </w:t>
      </w:r>
      <w:r w:rsidR="00C45AA7" w:rsidRPr="00CC279A">
        <w:rPr>
          <w:rFonts w:ascii="Arial Narrow" w:eastAsia="Calibri" w:hAnsi="Arial Narrow"/>
          <w:lang w:eastAsia="en-US"/>
        </w:rPr>
        <w:t>2019 debido a que la entrada en vigencia del Código Procesal Agrario se proyecta</w:t>
      </w:r>
      <w:r w:rsidR="00993C9F">
        <w:rPr>
          <w:rFonts w:ascii="Arial Narrow" w:eastAsia="Calibri" w:hAnsi="Arial Narrow"/>
          <w:lang w:eastAsia="en-US"/>
        </w:rPr>
        <w:t>ba</w:t>
      </w:r>
      <w:r w:rsidR="00C45AA7" w:rsidRPr="00CC279A">
        <w:rPr>
          <w:rFonts w:ascii="Arial Narrow" w:eastAsia="Calibri" w:hAnsi="Arial Narrow"/>
          <w:lang w:eastAsia="en-US"/>
        </w:rPr>
        <w:t xml:space="preserve"> para el 27 de febrero de 2019; con posibilidades de ampliarse en caso de que la Asamblea Legislativa apruebe la solicitud de Corte Plena para que se amplíe la vacancia a un año más (Expediente 21.746). </w:t>
      </w:r>
      <w:r w:rsidR="00993C9F">
        <w:rPr>
          <w:rFonts w:ascii="Arial Narrow" w:eastAsia="Calibri" w:hAnsi="Arial Narrow"/>
          <w:lang w:eastAsia="en-US"/>
        </w:rPr>
        <w:t xml:space="preserve"> </w:t>
      </w:r>
    </w:p>
    <w:p w14:paraId="4F7F23C4" w14:textId="77777777" w:rsidR="00077C8A" w:rsidRDefault="00077C8A" w:rsidP="00C801FF">
      <w:pPr>
        <w:spacing w:line="360" w:lineRule="auto"/>
        <w:jc w:val="both"/>
        <w:rPr>
          <w:rFonts w:ascii="Arial Narrow" w:eastAsia="Calibri" w:hAnsi="Arial Narrow"/>
          <w:lang w:eastAsia="en-US"/>
        </w:rPr>
      </w:pPr>
    </w:p>
    <w:p w14:paraId="008B72ED" w14:textId="0E57803F" w:rsidR="00C45AA7" w:rsidRDefault="00C45AA7" w:rsidP="00C801FF">
      <w:pPr>
        <w:spacing w:line="360" w:lineRule="auto"/>
        <w:jc w:val="both"/>
        <w:rPr>
          <w:rFonts w:ascii="Arial Narrow" w:eastAsia="Calibri" w:hAnsi="Arial Narrow"/>
          <w:lang w:eastAsia="en-US"/>
        </w:rPr>
      </w:pPr>
      <w:r w:rsidRPr="00CC279A">
        <w:rPr>
          <w:rFonts w:ascii="Arial Narrow" w:eastAsia="Calibri" w:hAnsi="Arial Narrow"/>
          <w:lang w:eastAsia="en-US"/>
        </w:rPr>
        <w:t xml:space="preserve">El Reglamento del </w:t>
      </w:r>
      <w:r w:rsidR="00993C9F">
        <w:rPr>
          <w:rFonts w:ascii="Arial Narrow" w:eastAsia="Calibri" w:hAnsi="Arial Narrow"/>
          <w:lang w:eastAsia="en-US"/>
        </w:rPr>
        <w:t xml:space="preserve">Código </w:t>
      </w:r>
      <w:r w:rsidRPr="00CC279A">
        <w:rPr>
          <w:rFonts w:ascii="Arial Narrow" w:eastAsia="Calibri" w:hAnsi="Arial Narrow"/>
          <w:lang w:eastAsia="en-US"/>
        </w:rPr>
        <w:t>P</w:t>
      </w:r>
      <w:r w:rsidR="00993C9F">
        <w:rPr>
          <w:rFonts w:ascii="Arial Narrow" w:eastAsia="Calibri" w:hAnsi="Arial Narrow"/>
          <w:lang w:eastAsia="en-US"/>
        </w:rPr>
        <w:t xml:space="preserve">rocesal </w:t>
      </w:r>
      <w:r w:rsidRPr="00CC279A">
        <w:rPr>
          <w:rFonts w:ascii="Arial Narrow" w:eastAsia="Calibri" w:hAnsi="Arial Narrow"/>
          <w:lang w:eastAsia="en-US"/>
        </w:rPr>
        <w:t>A</w:t>
      </w:r>
      <w:r w:rsidR="00993C9F">
        <w:rPr>
          <w:rFonts w:ascii="Arial Narrow" w:eastAsia="Calibri" w:hAnsi="Arial Narrow"/>
          <w:lang w:eastAsia="en-US"/>
        </w:rPr>
        <w:t>grario</w:t>
      </w:r>
      <w:r w:rsidRPr="00CC279A">
        <w:rPr>
          <w:rFonts w:ascii="Arial Narrow" w:eastAsia="Calibri" w:hAnsi="Arial Narrow"/>
          <w:lang w:eastAsia="en-US"/>
        </w:rPr>
        <w:t xml:space="preserve"> deb</w:t>
      </w:r>
      <w:r w:rsidR="00993C9F">
        <w:rPr>
          <w:rFonts w:ascii="Arial Narrow" w:eastAsia="Calibri" w:hAnsi="Arial Narrow"/>
          <w:lang w:eastAsia="en-US"/>
        </w:rPr>
        <w:t xml:space="preserve">ía </w:t>
      </w:r>
      <w:r w:rsidRPr="00CC279A">
        <w:rPr>
          <w:rFonts w:ascii="Arial Narrow" w:eastAsia="Calibri" w:hAnsi="Arial Narrow"/>
          <w:lang w:eastAsia="en-US"/>
        </w:rPr>
        <w:t xml:space="preserve">estar redactado 6 meses después de su vigencia; </w:t>
      </w:r>
      <w:r w:rsidR="00993C9F">
        <w:rPr>
          <w:rFonts w:ascii="Arial Narrow" w:eastAsia="Calibri" w:hAnsi="Arial Narrow"/>
          <w:lang w:eastAsia="en-US"/>
        </w:rPr>
        <w:t>sin embargo,</w:t>
      </w:r>
      <w:r w:rsidRPr="00CC279A">
        <w:rPr>
          <w:rFonts w:ascii="Arial Narrow" w:eastAsia="Calibri" w:hAnsi="Arial Narrow"/>
          <w:lang w:eastAsia="en-US"/>
        </w:rPr>
        <w:t xml:space="preserve"> </w:t>
      </w:r>
      <w:r w:rsidR="00993C9F">
        <w:rPr>
          <w:rFonts w:ascii="Arial Narrow" w:eastAsia="Calibri" w:hAnsi="Arial Narrow"/>
          <w:lang w:eastAsia="en-US"/>
        </w:rPr>
        <w:t>se aprobó</w:t>
      </w:r>
      <w:r w:rsidRPr="00CC279A">
        <w:rPr>
          <w:rFonts w:ascii="Arial Narrow" w:eastAsia="Calibri" w:hAnsi="Arial Narrow"/>
          <w:lang w:eastAsia="en-US"/>
        </w:rPr>
        <w:t xml:space="preserve"> la prórroga de la </w:t>
      </w:r>
      <w:r w:rsidRPr="00CC279A">
        <w:rPr>
          <w:rFonts w:ascii="Arial Narrow" w:eastAsia="Calibri" w:hAnsi="Arial Narrow"/>
          <w:i/>
          <w:iCs/>
          <w:lang w:eastAsia="en-US"/>
        </w:rPr>
        <w:t>vacatio legis</w:t>
      </w:r>
      <w:r w:rsidRPr="00CC279A">
        <w:rPr>
          <w:rFonts w:ascii="Arial Narrow" w:eastAsia="Calibri" w:hAnsi="Arial Narrow"/>
          <w:lang w:eastAsia="en-US"/>
        </w:rPr>
        <w:t xml:space="preserve"> por la Asamblea Legislativa solicitada por Corte Plena (Expediente 21.746)</w:t>
      </w:r>
      <w:r w:rsidR="00993C9F">
        <w:rPr>
          <w:rFonts w:ascii="Arial Narrow" w:eastAsia="Calibri" w:hAnsi="Arial Narrow"/>
          <w:lang w:eastAsia="en-US"/>
        </w:rPr>
        <w:t xml:space="preserve">. </w:t>
      </w:r>
    </w:p>
    <w:p w14:paraId="4DDF9BD2" w14:textId="77777777" w:rsidR="00077C8A" w:rsidRDefault="00077C8A" w:rsidP="00C801FF">
      <w:pPr>
        <w:spacing w:line="360" w:lineRule="auto"/>
        <w:jc w:val="both"/>
        <w:rPr>
          <w:rFonts w:ascii="Arial Narrow" w:eastAsia="Calibri" w:hAnsi="Arial Narrow"/>
          <w:lang w:eastAsia="en-US"/>
        </w:rPr>
      </w:pPr>
    </w:p>
    <w:p w14:paraId="38159F38" w14:textId="5D9B8CDD" w:rsidR="00C801FF" w:rsidRDefault="00567BA2" w:rsidP="00C801FF">
      <w:pPr>
        <w:spacing w:line="360" w:lineRule="auto"/>
        <w:jc w:val="both"/>
        <w:rPr>
          <w:rFonts w:ascii="Arial Narrow" w:eastAsia="Calibri" w:hAnsi="Arial Narrow"/>
          <w:lang w:eastAsia="en-US"/>
        </w:rPr>
      </w:pPr>
      <w:r>
        <w:rPr>
          <w:rFonts w:ascii="Arial Narrow" w:eastAsia="Calibri" w:hAnsi="Arial Narrow"/>
          <w:lang w:eastAsia="en-US"/>
        </w:rPr>
        <w:t>Adicionalmente, h</w:t>
      </w:r>
      <w:r w:rsidR="00C801FF" w:rsidRPr="000B4845">
        <w:rPr>
          <w:rFonts w:ascii="Arial Narrow" w:eastAsia="Calibri" w:hAnsi="Arial Narrow"/>
          <w:lang w:eastAsia="en-US"/>
        </w:rPr>
        <w:t xml:space="preserve">ay un bloque de </w:t>
      </w:r>
      <w:r w:rsidR="00C801FF">
        <w:rPr>
          <w:rFonts w:ascii="Arial Narrow" w:eastAsia="Calibri" w:hAnsi="Arial Narrow"/>
          <w:lang w:eastAsia="en-US"/>
        </w:rPr>
        <w:t>3</w:t>
      </w:r>
      <w:r w:rsidR="00C801FF" w:rsidRPr="000B4845">
        <w:rPr>
          <w:rFonts w:ascii="Arial Narrow" w:eastAsia="Calibri" w:hAnsi="Arial Narrow"/>
          <w:lang w:eastAsia="en-US"/>
        </w:rPr>
        <w:t xml:space="preserve"> </w:t>
      </w:r>
      <w:r w:rsidR="00C801FF" w:rsidRPr="00484CC1">
        <w:rPr>
          <w:rFonts w:ascii="Arial Narrow" w:eastAsia="Calibri" w:hAnsi="Arial Narrow"/>
          <w:lang w:eastAsia="en-US"/>
        </w:rPr>
        <w:t xml:space="preserve">responsables estratégicos </w:t>
      </w:r>
      <w:r w:rsidR="00C801FF" w:rsidRPr="000B4845">
        <w:rPr>
          <w:rFonts w:ascii="Arial Narrow" w:eastAsia="Calibri" w:hAnsi="Arial Narrow"/>
          <w:lang w:eastAsia="en-US"/>
        </w:rPr>
        <w:t xml:space="preserve">que tienen un cumplimiento </w:t>
      </w:r>
      <w:r w:rsidR="00C801FF">
        <w:rPr>
          <w:rFonts w:ascii="Arial Narrow" w:eastAsia="Calibri" w:hAnsi="Arial Narrow"/>
          <w:lang w:eastAsia="en-US"/>
        </w:rPr>
        <w:t xml:space="preserve">medio </w:t>
      </w:r>
      <w:r w:rsidR="00C801FF" w:rsidRPr="000B4845">
        <w:rPr>
          <w:rFonts w:ascii="Arial Narrow" w:eastAsia="Calibri" w:hAnsi="Arial Narrow"/>
          <w:lang w:eastAsia="en-US"/>
        </w:rPr>
        <w:t xml:space="preserve">de </w:t>
      </w:r>
      <w:r w:rsidR="00C801FF">
        <w:rPr>
          <w:rFonts w:ascii="Arial Narrow" w:eastAsia="Calibri" w:hAnsi="Arial Narrow"/>
          <w:lang w:eastAsia="en-US"/>
        </w:rPr>
        <w:t>inferior a 89,9%</w:t>
      </w:r>
      <w:r w:rsidR="00C801FF" w:rsidRPr="000B4845">
        <w:rPr>
          <w:rFonts w:ascii="Arial Narrow" w:eastAsia="Calibri" w:hAnsi="Arial Narrow"/>
          <w:lang w:eastAsia="en-US"/>
        </w:rPr>
        <w:t xml:space="preserve"> a </w:t>
      </w:r>
      <w:r w:rsidR="00C801FF">
        <w:rPr>
          <w:rFonts w:ascii="Arial Narrow" w:eastAsia="Calibri" w:hAnsi="Arial Narrow"/>
          <w:lang w:eastAsia="en-US"/>
        </w:rPr>
        <w:t>5</w:t>
      </w:r>
      <w:r w:rsidR="00C801FF" w:rsidRPr="000B4845">
        <w:rPr>
          <w:rFonts w:ascii="Arial Narrow" w:eastAsia="Calibri" w:hAnsi="Arial Narrow"/>
          <w:lang w:eastAsia="en-US"/>
        </w:rPr>
        <w:t xml:space="preserve">0%, </w:t>
      </w:r>
      <w:r w:rsidR="00C801FF">
        <w:rPr>
          <w:rFonts w:ascii="Arial Narrow" w:eastAsia="Calibri" w:hAnsi="Arial Narrow"/>
          <w:lang w:eastAsia="en-US"/>
        </w:rPr>
        <w:t>e</w:t>
      </w:r>
      <w:r w:rsidR="00C801FF" w:rsidRPr="00B76759">
        <w:rPr>
          <w:rFonts w:ascii="Arial Narrow" w:eastAsia="Calibri" w:hAnsi="Arial Narrow"/>
          <w:lang w:eastAsia="en-US"/>
        </w:rPr>
        <w:t xml:space="preserve">sto equivale a </w:t>
      </w:r>
      <w:r w:rsidR="00C801FF">
        <w:rPr>
          <w:rFonts w:ascii="Arial Narrow" w:eastAsia="Calibri" w:hAnsi="Arial Narrow"/>
          <w:lang w:eastAsia="en-US"/>
        </w:rPr>
        <w:t>11</w:t>
      </w:r>
      <w:r w:rsidR="00C801FF" w:rsidRPr="00B76759">
        <w:rPr>
          <w:rFonts w:ascii="Arial Narrow" w:eastAsia="Calibri" w:hAnsi="Arial Narrow"/>
          <w:lang w:eastAsia="en-US"/>
        </w:rPr>
        <w:t xml:space="preserve">% de oficinas que realizaron una ejecución de metas estratégicas </w:t>
      </w:r>
      <w:r w:rsidR="00C801FF">
        <w:rPr>
          <w:rFonts w:ascii="Arial Narrow" w:eastAsia="Calibri" w:hAnsi="Arial Narrow"/>
          <w:lang w:eastAsia="en-US"/>
        </w:rPr>
        <w:t>parcial, e</w:t>
      </w:r>
      <w:r w:rsidR="00C801FF" w:rsidRPr="00DB5762">
        <w:rPr>
          <w:rFonts w:ascii="Arial Narrow" w:eastAsia="Calibri" w:hAnsi="Arial Narrow"/>
          <w:lang w:eastAsia="en-US"/>
        </w:rPr>
        <w:t>s importante tener presente estas metas estratégicas para darles una prioridad especial y una atención de relevancia en la ejecución del PEI para el 202</w:t>
      </w:r>
      <w:r w:rsidR="00C801FF">
        <w:rPr>
          <w:rFonts w:ascii="Arial Narrow" w:eastAsia="Calibri" w:hAnsi="Arial Narrow"/>
          <w:lang w:eastAsia="en-US"/>
        </w:rPr>
        <w:t>1</w:t>
      </w:r>
      <w:r w:rsidR="00C801FF" w:rsidRPr="00DB5762">
        <w:rPr>
          <w:rFonts w:ascii="Arial Narrow" w:eastAsia="Calibri" w:hAnsi="Arial Narrow"/>
          <w:lang w:eastAsia="en-US"/>
        </w:rPr>
        <w:t>-2024</w:t>
      </w:r>
      <w:r w:rsidR="003B6457">
        <w:rPr>
          <w:rFonts w:ascii="Arial Narrow" w:eastAsia="Calibri" w:hAnsi="Arial Narrow"/>
          <w:lang w:eastAsia="en-US"/>
        </w:rPr>
        <w:t>, a saber:</w:t>
      </w:r>
    </w:p>
    <w:p w14:paraId="4B31664F" w14:textId="242A92E2" w:rsidR="00F120C5" w:rsidRDefault="00F120C5" w:rsidP="00C801FF">
      <w:pPr>
        <w:spacing w:line="360" w:lineRule="auto"/>
        <w:jc w:val="both"/>
        <w:rPr>
          <w:rFonts w:ascii="Arial Narrow" w:eastAsia="Calibri" w:hAnsi="Arial Narrow"/>
          <w:lang w:eastAsia="en-US"/>
        </w:rPr>
      </w:pPr>
    </w:p>
    <w:p w14:paraId="1B2894B6" w14:textId="50CEBFBD" w:rsidR="00DD6B33" w:rsidRDefault="00DD6B33" w:rsidP="00DD6B33">
      <w:pPr>
        <w:pStyle w:val="Descripcin"/>
        <w:jc w:val="center"/>
        <w:rPr>
          <w:rFonts w:ascii="Arial Narrow" w:eastAsia="Calibri" w:hAnsi="Arial Narrow"/>
          <w:sz w:val="24"/>
          <w:szCs w:val="24"/>
          <w:lang w:eastAsia="en-US"/>
        </w:rPr>
      </w:pPr>
      <w:bookmarkStart w:id="175" w:name="_Toc84919477"/>
      <w:r w:rsidRPr="00CC279A">
        <w:rPr>
          <w:rFonts w:ascii="Arial Narrow" w:eastAsia="Calibri" w:hAnsi="Arial Narrow"/>
          <w:sz w:val="24"/>
          <w:szCs w:val="24"/>
          <w:lang w:eastAsia="en-US"/>
        </w:rPr>
        <w:t xml:space="preserve">Tabla </w:t>
      </w:r>
      <w:r w:rsidRPr="00CC279A">
        <w:rPr>
          <w:rFonts w:ascii="Arial Narrow" w:eastAsia="Calibri" w:hAnsi="Arial Narrow"/>
          <w:sz w:val="24"/>
          <w:szCs w:val="24"/>
          <w:lang w:eastAsia="en-US"/>
        </w:rPr>
        <w:fldChar w:fldCharType="begin"/>
      </w:r>
      <w:r w:rsidRPr="00CC279A">
        <w:rPr>
          <w:rFonts w:ascii="Arial Narrow" w:eastAsia="Calibri" w:hAnsi="Arial Narrow"/>
          <w:sz w:val="24"/>
          <w:szCs w:val="24"/>
          <w:lang w:eastAsia="en-US"/>
        </w:rPr>
        <w:instrText xml:space="preserve"> SEQ Tabla \* ARABIC </w:instrText>
      </w:r>
      <w:r w:rsidRPr="00CC279A">
        <w:rPr>
          <w:rFonts w:ascii="Arial Narrow" w:eastAsia="Calibri" w:hAnsi="Arial Narrow"/>
          <w:sz w:val="24"/>
          <w:szCs w:val="24"/>
          <w:lang w:eastAsia="en-US"/>
        </w:rPr>
        <w:fldChar w:fldCharType="separate"/>
      </w:r>
      <w:r w:rsidR="009269E4">
        <w:rPr>
          <w:rFonts w:ascii="Arial Narrow" w:eastAsia="Calibri" w:hAnsi="Arial Narrow"/>
          <w:noProof/>
          <w:sz w:val="24"/>
          <w:szCs w:val="24"/>
          <w:lang w:eastAsia="en-US"/>
        </w:rPr>
        <w:t>19</w:t>
      </w:r>
      <w:r w:rsidRPr="00CC279A">
        <w:rPr>
          <w:rFonts w:ascii="Arial Narrow" w:eastAsia="Calibri" w:hAnsi="Arial Narrow"/>
          <w:sz w:val="24"/>
          <w:szCs w:val="24"/>
          <w:lang w:eastAsia="en-US"/>
        </w:rPr>
        <w:fldChar w:fldCharType="end"/>
      </w:r>
      <w:r w:rsidRPr="00CC279A">
        <w:rPr>
          <w:rFonts w:ascii="Arial Narrow" w:eastAsia="Calibri" w:hAnsi="Arial Narrow"/>
          <w:sz w:val="24"/>
          <w:szCs w:val="24"/>
          <w:lang w:eastAsia="en-US"/>
        </w:rPr>
        <w:t xml:space="preserve"> </w:t>
      </w:r>
      <w:r w:rsidRPr="00444856">
        <w:rPr>
          <w:rFonts w:ascii="Arial Narrow" w:eastAsia="Calibri" w:hAnsi="Arial Narrow"/>
          <w:sz w:val="24"/>
          <w:szCs w:val="24"/>
          <w:lang w:eastAsia="en-US"/>
        </w:rPr>
        <w:t>Cumplimiento</w:t>
      </w:r>
      <w:r w:rsidRPr="00DD6B33">
        <w:rPr>
          <w:rFonts w:ascii="Arial Narrow" w:eastAsia="Calibri" w:hAnsi="Arial Narrow"/>
          <w:sz w:val="24"/>
          <w:szCs w:val="24"/>
          <w:lang w:eastAsia="en-US"/>
        </w:rPr>
        <w:t xml:space="preserve"> </w:t>
      </w:r>
      <w:r w:rsidRPr="0029096E">
        <w:rPr>
          <w:rFonts w:ascii="Arial Narrow" w:eastAsia="Calibri" w:hAnsi="Arial Narrow"/>
          <w:sz w:val="24"/>
          <w:szCs w:val="24"/>
          <w:lang w:eastAsia="en-US"/>
        </w:rPr>
        <w:t>porcentual de las metas estratégicas del 2019</w:t>
      </w:r>
      <w:r>
        <w:rPr>
          <w:rFonts w:ascii="Arial Narrow" w:eastAsia="Calibri" w:hAnsi="Arial Narrow"/>
          <w:sz w:val="24"/>
          <w:szCs w:val="24"/>
          <w:lang w:eastAsia="en-US"/>
        </w:rPr>
        <w:t>,</w:t>
      </w:r>
      <w:bookmarkEnd w:id="175"/>
    </w:p>
    <w:p w14:paraId="7EDDC010" w14:textId="77777777" w:rsidR="00DD6B33" w:rsidRDefault="00DD6B33" w:rsidP="00DD6B33">
      <w:pPr>
        <w:pStyle w:val="Descripcin"/>
        <w:jc w:val="center"/>
        <w:rPr>
          <w:rFonts w:ascii="Arial Narrow" w:eastAsia="Calibri" w:hAnsi="Arial Narrow"/>
          <w:sz w:val="24"/>
          <w:szCs w:val="24"/>
          <w:lang w:eastAsia="en-US"/>
        </w:rPr>
      </w:pPr>
      <w:r w:rsidRPr="0029096E">
        <w:rPr>
          <w:rFonts w:ascii="Arial Narrow" w:eastAsia="Calibri" w:hAnsi="Arial Narrow"/>
          <w:sz w:val="24"/>
          <w:szCs w:val="24"/>
          <w:lang w:eastAsia="en-US"/>
        </w:rPr>
        <w:t xml:space="preserve"> según Responsable Estratégico</w:t>
      </w:r>
    </w:p>
    <w:p w14:paraId="1051B55B" w14:textId="1C1E1DA0" w:rsidR="00DD6B33" w:rsidRDefault="00DD6B33" w:rsidP="00CC279A">
      <w:pPr>
        <w:pStyle w:val="Descripcin"/>
        <w:rPr>
          <w:rFonts w:ascii="Arial Narrow" w:eastAsia="Calibri" w:hAnsi="Arial Narrow"/>
          <w:lang w:eastAsia="en-US"/>
        </w:rPr>
      </w:pPr>
    </w:p>
    <w:tbl>
      <w:tblPr>
        <w:tblW w:w="9067" w:type="dxa"/>
        <w:tblLayout w:type="fixed"/>
        <w:tblCellMar>
          <w:left w:w="70" w:type="dxa"/>
          <w:right w:w="70" w:type="dxa"/>
        </w:tblCellMar>
        <w:tblLook w:val="04A0" w:firstRow="1" w:lastRow="0" w:firstColumn="1" w:lastColumn="0" w:noHBand="0" w:noVBand="1"/>
      </w:tblPr>
      <w:tblGrid>
        <w:gridCol w:w="1838"/>
        <w:gridCol w:w="5670"/>
        <w:gridCol w:w="1559"/>
      </w:tblGrid>
      <w:tr w:rsidR="009B24F8" w:rsidRPr="0038143C" w14:paraId="01855A65" w14:textId="77777777" w:rsidTr="00CC279A">
        <w:trPr>
          <w:trHeight w:val="855"/>
        </w:trPr>
        <w:tc>
          <w:tcPr>
            <w:tcW w:w="1838"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558508C" w14:textId="77777777" w:rsidR="009B24F8" w:rsidRPr="00CC279A" w:rsidRDefault="009B24F8" w:rsidP="00CC279A">
            <w:pPr>
              <w:jc w:val="center"/>
              <w:rPr>
                <w:rFonts w:ascii="Arial Narrow" w:hAnsi="Arial Narrow" w:cs="Calibri"/>
                <w:b/>
                <w:bCs/>
                <w:color w:val="000000"/>
                <w:sz w:val="18"/>
                <w:szCs w:val="18"/>
                <w:lang w:val="es-CR" w:eastAsia="es-CR"/>
              </w:rPr>
            </w:pPr>
            <w:r w:rsidRPr="00CC279A">
              <w:rPr>
                <w:rFonts w:ascii="Arial Narrow" w:hAnsi="Arial Narrow" w:cs="Calibri"/>
                <w:b/>
                <w:bCs/>
                <w:color w:val="000000"/>
                <w:sz w:val="18"/>
                <w:szCs w:val="18"/>
                <w:lang w:val="es-CR" w:eastAsia="es-CR"/>
              </w:rPr>
              <w:t>RESPONSABLE ESTRATÉGICO</w:t>
            </w:r>
          </w:p>
        </w:tc>
        <w:tc>
          <w:tcPr>
            <w:tcW w:w="5670" w:type="dxa"/>
            <w:tcBorders>
              <w:top w:val="single" w:sz="4" w:space="0" w:color="auto"/>
              <w:left w:val="nil"/>
              <w:bottom w:val="single" w:sz="4" w:space="0" w:color="auto"/>
              <w:right w:val="single" w:sz="4" w:space="0" w:color="auto"/>
            </w:tcBorders>
            <w:shd w:val="clear" w:color="auto" w:fill="BFBFBF" w:themeFill="background1" w:themeFillShade="BF"/>
            <w:vAlign w:val="center"/>
            <w:hideMark/>
          </w:tcPr>
          <w:p w14:paraId="586E0617" w14:textId="77777777" w:rsidR="009B24F8" w:rsidRPr="00CC279A" w:rsidRDefault="009B24F8" w:rsidP="00CC279A">
            <w:pPr>
              <w:jc w:val="center"/>
              <w:rPr>
                <w:rFonts w:ascii="Arial Narrow" w:hAnsi="Arial Narrow" w:cs="Calibri"/>
                <w:b/>
                <w:bCs/>
                <w:color w:val="000000"/>
                <w:sz w:val="18"/>
                <w:szCs w:val="18"/>
                <w:lang w:val="es-CR" w:eastAsia="es-CR"/>
              </w:rPr>
            </w:pPr>
            <w:r w:rsidRPr="00CC279A">
              <w:rPr>
                <w:rFonts w:ascii="Arial Narrow" w:hAnsi="Arial Narrow" w:cs="Calibri"/>
                <w:b/>
                <w:bCs/>
                <w:color w:val="000000"/>
                <w:sz w:val="18"/>
                <w:szCs w:val="18"/>
                <w:lang w:val="es-CR" w:eastAsia="es-CR"/>
              </w:rPr>
              <w:t>META ESTRATÉGICA</w:t>
            </w:r>
          </w:p>
        </w:tc>
        <w:tc>
          <w:tcPr>
            <w:tcW w:w="1559" w:type="dxa"/>
            <w:tcBorders>
              <w:top w:val="single" w:sz="4" w:space="0" w:color="auto"/>
              <w:left w:val="nil"/>
              <w:bottom w:val="single" w:sz="4" w:space="0" w:color="auto"/>
              <w:right w:val="single" w:sz="4" w:space="0" w:color="auto"/>
            </w:tcBorders>
            <w:shd w:val="clear" w:color="auto" w:fill="BFBFBF" w:themeFill="background1" w:themeFillShade="BF"/>
            <w:vAlign w:val="center"/>
            <w:hideMark/>
          </w:tcPr>
          <w:p w14:paraId="0FEC910D" w14:textId="01482360" w:rsidR="009B24F8" w:rsidRPr="00CC279A" w:rsidRDefault="009B24F8" w:rsidP="00CC279A">
            <w:pPr>
              <w:jc w:val="center"/>
              <w:rPr>
                <w:rFonts w:ascii="Arial Narrow" w:hAnsi="Arial Narrow" w:cs="Calibri"/>
                <w:b/>
                <w:bCs/>
                <w:color w:val="000000"/>
                <w:sz w:val="18"/>
                <w:szCs w:val="18"/>
                <w:lang w:val="es-CR" w:eastAsia="es-CR"/>
              </w:rPr>
            </w:pPr>
            <w:r w:rsidRPr="00CC279A">
              <w:rPr>
                <w:rFonts w:ascii="Arial Narrow" w:hAnsi="Arial Narrow" w:cs="Calibri"/>
                <w:b/>
                <w:bCs/>
                <w:color w:val="000000"/>
                <w:sz w:val="18"/>
                <w:szCs w:val="18"/>
                <w:lang w:val="es-CR" w:eastAsia="es-CR"/>
              </w:rPr>
              <w:t>PORCENTAJE</w:t>
            </w:r>
            <w:r>
              <w:rPr>
                <w:rFonts w:ascii="Arial Narrow" w:hAnsi="Arial Narrow" w:cs="Calibri"/>
                <w:b/>
                <w:bCs/>
                <w:color w:val="000000"/>
                <w:sz w:val="18"/>
                <w:szCs w:val="18"/>
                <w:lang w:val="es-CR" w:eastAsia="es-CR"/>
              </w:rPr>
              <w:t xml:space="preserve"> CUMPLIMIENTO 2019</w:t>
            </w:r>
          </w:p>
        </w:tc>
      </w:tr>
      <w:tr w:rsidR="009B24F8" w:rsidRPr="0038143C" w14:paraId="7392CE96" w14:textId="77777777" w:rsidTr="00CC279A">
        <w:trPr>
          <w:trHeight w:val="855"/>
        </w:trPr>
        <w:tc>
          <w:tcPr>
            <w:tcW w:w="1838" w:type="dxa"/>
            <w:tcBorders>
              <w:top w:val="nil"/>
              <w:left w:val="single" w:sz="4" w:space="0" w:color="auto"/>
              <w:bottom w:val="single" w:sz="4" w:space="0" w:color="auto"/>
              <w:right w:val="single" w:sz="4" w:space="0" w:color="auto"/>
            </w:tcBorders>
            <w:shd w:val="clear" w:color="auto" w:fill="auto"/>
            <w:vAlign w:val="center"/>
            <w:hideMark/>
          </w:tcPr>
          <w:p w14:paraId="73E990C8" w14:textId="77777777" w:rsidR="009B24F8" w:rsidRPr="00CC279A" w:rsidRDefault="009B24F8" w:rsidP="00CC279A">
            <w:pPr>
              <w:jc w:val="center"/>
              <w:rPr>
                <w:rFonts w:ascii="Arial Narrow" w:hAnsi="Arial Narrow" w:cs="Calibri"/>
                <w:color w:val="000000"/>
                <w:sz w:val="18"/>
                <w:szCs w:val="18"/>
                <w:lang w:val="es-CR" w:eastAsia="es-CR"/>
              </w:rPr>
            </w:pPr>
            <w:r w:rsidRPr="00CC279A">
              <w:rPr>
                <w:rFonts w:ascii="Arial Narrow" w:hAnsi="Arial Narrow" w:cs="Calibri"/>
                <w:color w:val="000000"/>
                <w:sz w:val="18"/>
                <w:szCs w:val="18"/>
                <w:lang w:val="es-CR" w:eastAsia="es-CR"/>
              </w:rPr>
              <w:t>0002 - CONSEJO SUPERIOR</w:t>
            </w:r>
          </w:p>
        </w:tc>
        <w:tc>
          <w:tcPr>
            <w:tcW w:w="5670" w:type="dxa"/>
            <w:tcBorders>
              <w:top w:val="nil"/>
              <w:left w:val="nil"/>
              <w:bottom w:val="single" w:sz="4" w:space="0" w:color="auto"/>
              <w:right w:val="single" w:sz="4" w:space="0" w:color="auto"/>
            </w:tcBorders>
            <w:shd w:val="clear" w:color="auto" w:fill="auto"/>
            <w:vAlign w:val="center"/>
            <w:hideMark/>
          </w:tcPr>
          <w:p w14:paraId="29ED367C" w14:textId="77777777" w:rsidR="009B24F8" w:rsidRPr="00CC279A" w:rsidRDefault="009B24F8" w:rsidP="00CC279A">
            <w:pPr>
              <w:jc w:val="center"/>
              <w:rPr>
                <w:rFonts w:ascii="Arial Narrow" w:hAnsi="Arial Narrow" w:cs="Calibri"/>
                <w:color w:val="000000"/>
                <w:sz w:val="18"/>
                <w:szCs w:val="18"/>
                <w:lang w:val="es-CR" w:eastAsia="es-CR"/>
              </w:rPr>
            </w:pPr>
            <w:r w:rsidRPr="00CC279A">
              <w:rPr>
                <w:rFonts w:ascii="Arial Narrow" w:hAnsi="Arial Narrow" w:cs="Calibri"/>
                <w:color w:val="000000"/>
                <w:sz w:val="18"/>
                <w:szCs w:val="18"/>
                <w:lang w:val="es-CR" w:eastAsia="es-CR"/>
              </w:rPr>
              <w:t>OE.1.4.5.1 - Que al finalizar el 2024, se haya implementado el plan de ejecución de construcciones definido, que considere el diseño universal y certificación básica LEED; que contemple espacios compartidos y oficinas satélite ("coworking"), acorde a las modalidades alternativas de trabajo; así como aulas acondicionadas para capacitaciones y espacio para uso de bicicletas.</w:t>
            </w:r>
          </w:p>
        </w:tc>
        <w:tc>
          <w:tcPr>
            <w:tcW w:w="1559" w:type="dxa"/>
            <w:tcBorders>
              <w:top w:val="nil"/>
              <w:left w:val="nil"/>
              <w:bottom w:val="single" w:sz="4" w:space="0" w:color="auto"/>
              <w:right w:val="single" w:sz="4" w:space="0" w:color="auto"/>
            </w:tcBorders>
            <w:shd w:val="clear" w:color="auto" w:fill="auto"/>
            <w:vAlign w:val="center"/>
            <w:hideMark/>
          </w:tcPr>
          <w:p w14:paraId="0C4FFC68" w14:textId="77777777" w:rsidR="009B24F8" w:rsidRPr="00CC279A" w:rsidRDefault="009B24F8" w:rsidP="00CC279A">
            <w:pPr>
              <w:jc w:val="center"/>
              <w:rPr>
                <w:rFonts w:ascii="Arial Narrow" w:hAnsi="Arial Narrow" w:cs="Calibri"/>
                <w:color w:val="000000"/>
                <w:sz w:val="18"/>
                <w:szCs w:val="18"/>
                <w:lang w:val="es-CR" w:eastAsia="es-CR"/>
              </w:rPr>
            </w:pPr>
            <w:r w:rsidRPr="00CC279A">
              <w:rPr>
                <w:rFonts w:ascii="Arial Narrow" w:hAnsi="Arial Narrow" w:cs="Calibri"/>
                <w:color w:val="000000"/>
                <w:sz w:val="18"/>
                <w:szCs w:val="18"/>
                <w:lang w:val="es-CR" w:eastAsia="es-CR"/>
              </w:rPr>
              <w:t>85.00%</w:t>
            </w:r>
          </w:p>
        </w:tc>
      </w:tr>
      <w:tr w:rsidR="009B24F8" w:rsidRPr="0038143C" w14:paraId="260D6F15" w14:textId="77777777" w:rsidTr="00CC279A">
        <w:trPr>
          <w:trHeight w:val="855"/>
        </w:trPr>
        <w:tc>
          <w:tcPr>
            <w:tcW w:w="1838" w:type="dxa"/>
            <w:tcBorders>
              <w:top w:val="nil"/>
              <w:left w:val="single" w:sz="4" w:space="0" w:color="auto"/>
              <w:bottom w:val="single" w:sz="4" w:space="0" w:color="auto"/>
              <w:right w:val="single" w:sz="4" w:space="0" w:color="auto"/>
            </w:tcBorders>
            <w:shd w:val="clear" w:color="auto" w:fill="auto"/>
            <w:vAlign w:val="center"/>
            <w:hideMark/>
          </w:tcPr>
          <w:p w14:paraId="620C4228" w14:textId="77777777" w:rsidR="009B24F8" w:rsidRPr="00CC279A" w:rsidRDefault="009B24F8" w:rsidP="00CC279A">
            <w:pPr>
              <w:jc w:val="center"/>
              <w:rPr>
                <w:rFonts w:ascii="Arial Narrow" w:hAnsi="Arial Narrow" w:cs="Calibri"/>
                <w:color w:val="000000"/>
                <w:sz w:val="18"/>
                <w:szCs w:val="18"/>
                <w:lang w:val="es-CR" w:eastAsia="es-CR"/>
              </w:rPr>
            </w:pPr>
            <w:r w:rsidRPr="00CC279A">
              <w:rPr>
                <w:rFonts w:ascii="Arial Narrow" w:hAnsi="Arial Narrow" w:cs="Calibri"/>
                <w:color w:val="000000"/>
                <w:sz w:val="18"/>
                <w:szCs w:val="18"/>
                <w:lang w:val="es-CR" w:eastAsia="es-CR"/>
              </w:rPr>
              <w:lastRenderedPageBreak/>
              <w:t>0160 - DEPARTAMENTO DE TRABAJO SOCIAL Y PSICOLOGIA (SEDE CENTRAL)</w:t>
            </w:r>
          </w:p>
        </w:tc>
        <w:tc>
          <w:tcPr>
            <w:tcW w:w="5670" w:type="dxa"/>
            <w:tcBorders>
              <w:top w:val="nil"/>
              <w:left w:val="nil"/>
              <w:bottom w:val="single" w:sz="4" w:space="0" w:color="auto"/>
              <w:right w:val="single" w:sz="4" w:space="0" w:color="auto"/>
            </w:tcBorders>
            <w:shd w:val="clear" w:color="auto" w:fill="auto"/>
            <w:vAlign w:val="center"/>
            <w:hideMark/>
          </w:tcPr>
          <w:p w14:paraId="62238550" w14:textId="77777777" w:rsidR="009B24F8" w:rsidRPr="00CC279A" w:rsidRDefault="009B24F8" w:rsidP="00CC279A">
            <w:pPr>
              <w:jc w:val="center"/>
              <w:rPr>
                <w:rFonts w:ascii="Arial Narrow" w:hAnsi="Arial Narrow" w:cs="Calibri"/>
                <w:color w:val="000000"/>
                <w:sz w:val="18"/>
                <w:szCs w:val="18"/>
                <w:lang w:val="es-CR" w:eastAsia="es-CR"/>
              </w:rPr>
            </w:pPr>
            <w:r w:rsidRPr="00CC279A">
              <w:rPr>
                <w:rFonts w:ascii="Arial Narrow" w:hAnsi="Arial Narrow" w:cs="Calibri"/>
                <w:color w:val="000000"/>
                <w:sz w:val="18"/>
                <w:szCs w:val="18"/>
                <w:lang w:val="es-CR" w:eastAsia="es-CR"/>
              </w:rPr>
              <w:t>OE.1.2.5.1 - Que al finalizar el 2024, se haya incrementado la cantidad de informes periciales elaborados o rendidos en las oficinas del Departamento de Trabajo Social y Psicología por año.</w:t>
            </w:r>
          </w:p>
        </w:tc>
        <w:tc>
          <w:tcPr>
            <w:tcW w:w="1559" w:type="dxa"/>
            <w:tcBorders>
              <w:top w:val="nil"/>
              <w:left w:val="nil"/>
              <w:bottom w:val="single" w:sz="4" w:space="0" w:color="auto"/>
              <w:right w:val="single" w:sz="4" w:space="0" w:color="auto"/>
            </w:tcBorders>
            <w:shd w:val="clear" w:color="auto" w:fill="auto"/>
            <w:vAlign w:val="center"/>
            <w:hideMark/>
          </w:tcPr>
          <w:p w14:paraId="07BE2E93" w14:textId="77777777" w:rsidR="009B24F8" w:rsidRPr="00CC279A" w:rsidRDefault="009B24F8" w:rsidP="00CC279A">
            <w:pPr>
              <w:jc w:val="center"/>
              <w:rPr>
                <w:rFonts w:ascii="Arial Narrow" w:hAnsi="Arial Narrow" w:cs="Calibri"/>
                <w:color w:val="000000"/>
                <w:sz w:val="18"/>
                <w:szCs w:val="18"/>
                <w:lang w:val="es-CR" w:eastAsia="es-CR"/>
              </w:rPr>
            </w:pPr>
            <w:r w:rsidRPr="00CC279A">
              <w:rPr>
                <w:rFonts w:ascii="Arial Narrow" w:hAnsi="Arial Narrow" w:cs="Calibri"/>
                <w:color w:val="000000"/>
                <w:sz w:val="18"/>
                <w:szCs w:val="18"/>
                <w:lang w:val="es-CR" w:eastAsia="es-CR"/>
              </w:rPr>
              <w:t>83.17%</w:t>
            </w:r>
          </w:p>
        </w:tc>
      </w:tr>
      <w:tr w:rsidR="009B24F8" w:rsidRPr="0038143C" w14:paraId="30AC116E" w14:textId="77777777" w:rsidTr="00CC279A">
        <w:trPr>
          <w:trHeight w:val="855"/>
        </w:trPr>
        <w:tc>
          <w:tcPr>
            <w:tcW w:w="1838" w:type="dxa"/>
            <w:tcBorders>
              <w:top w:val="nil"/>
              <w:left w:val="single" w:sz="4" w:space="0" w:color="auto"/>
              <w:bottom w:val="single" w:sz="4" w:space="0" w:color="auto"/>
              <w:right w:val="single" w:sz="4" w:space="0" w:color="auto"/>
            </w:tcBorders>
            <w:shd w:val="clear" w:color="auto" w:fill="auto"/>
            <w:vAlign w:val="center"/>
            <w:hideMark/>
          </w:tcPr>
          <w:p w14:paraId="6C6B3C83" w14:textId="77777777" w:rsidR="009B24F8" w:rsidRPr="00CC279A" w:rsidRDefault="009B24F8" w:rsidP="00CC279A">
            <w:pPr>
              <w:jc w:val="center"/>
              <w:rPr>
                <w:rFonts w:ascii="Arial Narrow" w:hAnsi="Arial Narrow" w:cs="Calibri"/>
                <w:color w:val="000000"/>
                <w:sz w:val="18"/>
                <w:szCs w:val="18"/>
                <w:lang w:val="es-CR" w:eastAsia="es-CR"/>
              </w:rPr>
            </w:pPr>
            <w:r w:rsidRPr="00CC279A">
              <w:rPr>
                <w:rFonts w:ascii="Arial Narrow" w:hAnsi="Arial Narrow" w:cs="Calibri"/>
                <w:color w:val="000000"/>
                <w:sz w:val="18"/>
                <w:szCs w:val="18"/>
                <w:lang w:val="es-CR" w:eastAsia="es-CR"/>
              </w:rPr>
              <w:t>0116 - DEPARTAMENTO DE PRENSA Y COMUNICACION ORGANIZACIONAL</w:t>
            </w:r>
          </w:p>
        </w:tc>
        <w:tc>
          <w:tcPr>
            <w:tcW w:w="5670" w:type="dxa"/>
            <w:tcBorders>
              <w:top w:val="nil"/>
              <w:left w:val="nil"/>
              <w:bottom w:val="single" w:sz="4" w:space="0" w:color="auto"/>
              <w:right w:val="single" w:sz="4" w:space="0" w:color="auto"/>
            </w:tcBorders>
            <w:shd w:val="clear" w:color="auto" w:fill="auto"/>
            <w:vAlign w:val="center"/>
            <w:hideMark/>
          </w:tcPr>
          <w:p w14:paraId="39192AB7" w14:textId="77777777" w:rsidR="009B24F8" w:rsidRPr="00CC279A" w:rsidRDefault="009B24F8" w:rsidP="00CC279A">
            <w:pPr>
              <w:jc w:val="center"/>
              <w:rPr>
                <w:rFonts w:ascii="Arial Narrow" w:hAnsi="Arial Narrow" w:cs="Calibri"/>
                <w:color w:val="000000"/>
                <w:sz w:val="18"/>
                <w:szCs w:val="18"/>
                <w:lang w:val="es-CR" w:eastAsia="es-CR"/>
              </w:rPr>
            </w:pPr>
            <w:r w:rsidRPr="00CC279A">
              <w:rPr>
                <w:rFonts w:ascii="Arial Narrow" w:hAnsi="Arial Narrow" w:cs="Calibri"/>
                <w:color w:val="000000"/>
                <w:sz w:val="18"/>
                <w:szCs w:val="18"/>
                <w:lang w:val="es-CR" w:eastAsia="es-CR"/>
              </w:rPr>
              <w:t>OE.1.4.1.1 - Que al finalizar el 2024, se haya implementado una estrategia de comunicación y proyección institucional proactiva que fortalezca la democracia, institucionalidad y percepción de las personas usuarias.</w:t>
            </w:r>
          </w:p>
        </w:tc>
        <w:tc>
          <w:tcPr>
            <w:tcW w:w="1559" w:type="dxa"/>
            <w:tcBorders>
              <w:top w:val="nil"/>
              <w:left w:val="nil"/>
              <w:bottom w:val="single" w:sz="4" w:space="0" w:color="auto"/>
              <w:right w:val="single" w:sz="4" w:space="0" w:color="auto"/>
            </w:tcBorders>
            <w:shd w:val="clear" w:color="auto" w:fill="auto"/>
            <w:vAlign w:val="center"/>
            <w:hideMark/>
          </w:tcPr>
          <w:p w14:paraId="1588803B" w14:textId="77777777" w:rsidR="009B24F8" w:rsidRPr="00CC279A" w:rsidRDefault="009B24F8" w:rsidP="00CC279A">
            <w:pPr>
              <w:jc w:val="center"/>
              <w:rPr>
                <w:rFonts w:ascii="Arial Narrow" w:hAnsi="Arial Narrow" w:cs="Calibri"/>
                <w:color w:val="000000"/>
                <w:sz w:val="18"/>
                <w:szCs w:val="18"/>
                <w:lang w:val="es-CR" w:eastAsia="es-CR"/>
              </w:rPr>
            </w:pPr>
            <w:r w:rsidRPr="00CC279A">
              <w:rPr>
                <w:rFonts w:ascii="Arial Narrow" w:hAnsi="Arial Narrow" w:cs="Calibri"/>
                <w:color w:val="000000"/>
                <w:sz w:val="18"/>
                <w:szCs w:val="18"/>
                <w:lang w:val="es-CR" w:eastAsia="es-CR"/>
              </w:rPr>
              <w:t>100.00%</w:t>
            </w:r>
          </w:p>
        </w:tc>
      </w:tr>
      <w:tr w:rsidR="009B24F8" w:rsidRPr="0038143C" w14:paraId="6B4E9B21" w14:textId="77777777" w:rsidTr="00CC279A">
        <w:trPr>
          <w:trHeight w:val="855"/>
        </w:trPr>
        <w:tc>
          <w:tcPr>
            <w:tcW w:w="1838" w:type="dxa"/>
            <w:tcBorders>
              <w:top w:val="nil"/>
              <w:left w:val="single" w:sz="4" w:space="0" w:color="auto"/>
              <w:bottom w:val="single" w:sz="4" w:space="0" w:color="auto"/>
              <w:right w:val="single" w:sz="4" w:space="0" w:color="auto"/>
            </w:tcBorders>
            <w:shd w:val="clear" w:color="auto" w:fill="auto"/>
            <w:vAlign w:val="center"/>
            <w:hideMark/>
          </w:tcPr>
          <w:p w14:paraId="54257310" w14:textId="77777777" w:rsidR="009B24F8" w:rsidRPr="00CC279A" w:rsidRDefault="009B24F8" w:rsidP="00CC279A">
            <w:pPr>
              <w:jc w:val="center"/>
              <w:rPr>
                <w:rFonts w:ascii="Arial Narrow" w:hAnsi="Arial Narrow" w:cs="Calibri"/>
                <w:color w:val="000000"/>
                <w:sz w:val="18"/>
                <w:szCs w:val="18"/>
                <w:lang w:val="es-CR" w:eastAsia="es-CR"/>
              </w:rPr>
            </w:pPr>
            <w:r w:rsidRPr="00CC279A">
              <w:rPr>
                <w:rFonts w:ascii="Arial Narrow" w:hAnsi="Arial Narrow" w:cs="Calibri"/>
                <w:color w:val="000000"/>
                <w:sz w:val="18"/>
                <w:szCs w:val="18"/>
                <w:lang w:val="es-CR" w:eastAsia="es-CR"/>
              </w:rPr>
              <w:t>0116 - DEPARTAMENTO DE PRENSA Y COMUNICACION ORGANIZACIONAL</w:t>
            </w:r>
          </w:p>
        </w:tc>
        <w:tc>
          <w:tcPr>
            <w:tcW w:w="5670" w:type="dxa"/>
            <w:tcBorders>
              <w:top w:val="nil"/>
              <w:left w:val="nil"/>
              <w:bottom w:val="single" w:sz="4" w:space="0" w:color="auto"/>
              <w:right w:val="single" w:sz="4" w:space="0" w:color="auto"/>
            </w:tcBorders>
            <w:shd w:val="clear" w:color="auto" w:fill="auto"/>
            <w:vAlign w:val="center"/>
            <w:hideMark/>
          </w:tcPr>
          <w:p w14:paraId="6097B683" w14:textId="77777777" w:rsidR="009B24F8" w:rsidRPr="00CC279A" w:rsidRDefault="009B24F8" w:rsidP="00CC279A">
            <w:pPr>
              <w:jc w:val="center"/>
              <w:rPr>
                <w:rFonts w:ascii="Arial Narrow" w:hAnsi="Arial Narrow" w:cs="Calibri"/>
                <w:color w:val="000000"/>
                <w:sz w:val="18"/>
                <w:szCs w:val="18"/>
                <w:lang w:val="es-CR" w:eastAsia="es-CR"/>
              </w:rPr>
            </w:pPr>
            <w:r w:rsidRPr="00CC279A">
              <w:rPr>
                <w:rFonts w:ascii="Arial Narrow" w:hAnsi="Arial Narrow" w:cs="Calibri"/>
                <w:color w:val="000000"/>
                <w:sz w:val="18"/>
                <w:szCs w:val="18"/>
                <w:lang w:val="es-CR" w:eastAsia="es-CR"/>
              </w:rPr>
              <w:t>OE.1.4.7.1 - Que al finalizar el 2024, se haya aprobado la Política de Comunicación Integral.</w:t>
            </w:r>
          </w:p>
        </w:tc>
        <w:tc>
          <w:tcPr>
            <w:tcW w:w="1559" w:type="dxa"/>
            <w:tcBorders>
              <w:top w:val="nil"/>
              <w:left w:val="nil"/>
              <w:bottom w:val="single" w:sz="4" w:space="0" w:color="auto"/>
              <w:right w:val="single" w:sz="4" w:space="0" w:color="auto"/>
            </w:tcBorders>
            <w:shd w:val="clear" w:color="auto" w:fill="auto"/>
            <w:vAlign w:val="center"/>
            <w:hideMark/>
          </w:tcPr>
          <w:p w14:paraId="37419DC7" w14:textId="77777777" w:rsidR="009B24F8" w:rsidRPr="00CC279A" w:rsidRDefault="009B24F8" w:rsidP="00CC279A">
            <w:pPr>
              <w:jc w:val="center"/>
              <w:rPr>
                <w:rFonts w:ascii="Arial Narrow" w:hAnsi="Arial Narrow" w:cs="Calibri"/>
                <w:color w:val="000000"/>
                <w:sz w:val="18"/>
                <w:szCs w:val="18"/>
                <w:lang w:val="es-CR" w:eastAsia="es-CR"/>
              </w:rPr>
            </w:pPr>
            <w:r w:rsidRPr="00CC279A">
              <w:rPr>
                <w:rFonts w:ascii="Arial Narrow" w:hAnsi="Arial Narrow" w:cs="Calibri"/>
                <w:color w:val="000000"/>
                <w:sz w:val="18"/>
                <w:szCs w:val="18"/>
                <w:lang w:val="es-CR" w:eastAsia="es-CR"/>
              </w:rPr>
              <w:t>30.00%</w:t>
            </w:r>
          </w:p>
        </w:tc>
      </w:tr>
    </w:tbl>
    <w:p w14:paraId="39DFEB93" w14:textId="77777777" w:rsidR="009B24F8" w:rsidRPr="000B4845" w:rsidRDefault="009B24F8" w:rsidP="009B24F8">
      <w:pPr>
        <w:rPr>
          <w:rFonts w:ascii="Arial Narrow" w:eastAsia="Calibri" w:hAnsi="Arial Narrow"/>
          <w:sz w:val="18"/>
          <w:szCs w:val="18"/>
          <w:lang w:eastAsia="en-US"/>
        </w:rPr>
      </w:pPr>
      <w:r>
        <w:rPr>
          <w:rFonts w:ascii="Arial Narrow" w:eastAsia="Calibri" w:hAnsi="Arial Narrow"/>
          <w:sz w:val="18"/>
          <w:szCs w:val="18"/>
          <w:lang w:eastAsia="en-US"/>
        </w:rPr>
        <w:t xml:space="preserve">                </w:t>
      </w:r>
      <w:r w:rsidRPr="000B4845">
        <w:rPr>
          <w:rFonts w:ascii="Arial Narrow" w:eastAsia="Calibri" w:hAnsi="Arial Narrow"/>
          <w:sz w:val="18"/>
          <w:szCs w:val="18"/>
          <w:lang w:eastAsia="en-US"/>
        </w:rPr>
        <w:t>Fuente: Sistema PEI al 24 de enero del 2020 (año 2019)</w:t>
      </w:r>
    </w:p>
    <w:p w14:paraId="37152320" w14:textId="77777777" w:rsidR="009B24F8" w:rsidRDefault="009B24F8" w:rsidP="00C801FF">
      <w:pPr>
        <w:spacing w:line="360" w:lineRule="auto"/>
        <w:jc w:val="both"/>
        <w:rPr>
          <w:rFonts w:ascii="Arial Narrow" w:eastAsia="Calibri" w:hAnsi="Arial Narrow"/>
          <w:highlight w:val="yellow"/>
          <w:lang w:eastAsia="en-US"/>
        </w:rPr>
      </w:pPr>
    </w:p>
    <w:p w14:paraId="43403F9A" w14:textId="2796D957" w:rsidR="009B24F8" w:rsidRDefault="009B24F8" w:rsidP="009B24F8">
      <w:pPr>
        <w:spacing w:line="360" w:lineRule="auto"/>
        <w:jc w:val="both"/>
        <w:rPr>
          <w:rFonts w:ascii="Arial Narrow" w:hAnsi="Arial Narrow"/>
          <w:lang w:val="es-CR" w:eastAsia="es-CR"/>
        </w:rPr>
      </w:pPr>
      <w:r>
        <w:rPr>
          <w:rFonts w:ascii="Arial Narrow" w:eastAsia="Calibri" w:hAnsi="Arial Narrow"/>
          <w:lang w:eastAsia="en-US"/>
        </w:rPr>
        <w:t xml:space="preserve">Cabe destacar que la meta estratégica donde figura el Consejo Superior como responsable estratégico fue </w:t>
      </w:r>
      <w:r w:rsidR="00776FD2" w:rsidRPr="00ED6C1E">
        <w:rPr>
          <w:rFonts w:ascii="Arial Narrow" w:eastAsia="Calibri" w:hAnsi="Arial Narrow"/>
          <w:lang w:eastAsia="en-US"/>
        </w:rPr>
        <w:t xml:space="preserve">incluida o asignada operativamente </w:t>
      </w:r>
      <w:r w:rsidR="00ED6C1E">
        <w:rPr>
          <w:rFonts w:ascii="Arial Narrow" w:eastAsia="Calibri" w:hAnsi="Arial Narrow"/>
          <w:lang w:eastAsia="en-US"/>
        </w:rPr>
        <w:t xml:space="preserve">a </w:t>
      </w:r>
      <w:r>
        <w:rPr>
          <w:rFonts w:ascii="Arial Narrow" w:eastAsia="Calibri" w:hAnsi="Arial Narrow"/>
          <w:lang w:eastAsia="en-US"/>
        </w:rPr>
        <w:t xml:space="preserve">la Dirección Ejecutiva en su PAO y en cuanto </w:t>
      </w:r>
      <w:r w:rsidRPr="002641A1">
        <w:rPr>
          <w:rFonts w:ascii="Arial Narrow" w:eastAsia="Calibri" w:hAnsi="Arial Narrow"/>
        </w:rPr>
        <w:t>al año 2020 se tiene un avance de cumplimiento del 100% al</w:t>
      </w:r>
      <w:r w:rsidRPr="00704B08">
        <w:rPr>
          <w:rFonts w:ascii="Arial Narrow" w:hAnsi="Arial Narrow"/>
        </w:rPr>
        <w:t xml:space="preserve"> 15 de diciembre de 2020, según </w:t>
      </w:r>
      <w:r w:rsidRPr="002641A1">
        <w:rPr>
          <w:rFonts w:ascii="Arial Narrow" w:hAnsi="Arial Narrow"/>
        </w:rPr>
        <w:t xml:space="preserve">se observa en los </w:t>
      </w:r>
      <w:r w:rsidRPr="00704B08">
        <w:rPr>
          <w:rFonts w:ascii="Arial Narrow" w:hAnsi="Arial Narrow"/>
        </w:rPr>
        <w:t>cronograma</w:t>
      </w:r>
      <w:r w:rsidRPr="002641A1">
        <w:rPr>
          <w:rFonts w:ascii="Arial Narrow" w:hAnsi="Arial Narrow"/>
        </w:rPr>
        <w:t>s</w:t>
      </w:r>
      <w:r w:rsidRPr="00704B08">
        <w:rPr>
          <w:rFonts w:ascii="Arial Narrow" w:hAnsi="Arial Narrow"/>
        </w:rPr>
        <w:t xml:space="preserve"> </w:t>
      </w:r>
      <w:r w:rsidRPr="002641A1">
        <w:rPr>
          <w:rFonts w:ascii="Arial Narrow" w:hAnsi="Arial Narrow"/>
        </w:rPr>
        <w:t>adjuntados en el sistema PAO como evidencia</w:t>
      </w:r>
      <w:r>
        <w:rPr>
          <w:rFonts w:ascii="Arial Narrow" w:hAnsi="Arial Narrow"/>
        </w:rPr>
        <w:t xml:space="preserve">; </w:t>
      </w:r>
      <w:r w:rsidRPr="002641A1">
        <w:rPr>
          <w:rFonts w:ascii="Arial Narrow" w:hAnsi="Arial Narrow"/>
        </w:rPr>
        <w:t>con excepción de p</w:t>
      </w:r>
      <w:r w:rsidRPr="00704B08">
        <w:rPr>
          <w:rFonts w:ascii="Arial Narrow" w:hAnsi="Arial Narrow"/>
        </w:rPr>
        <w:t>royecto constructivo del Organismo de Investigación Judicial (San José)</w:t>
      </w:r>
      <w:r w:rsidRPr="00704B08">
        <w:rPr>
          <w:rFonts w:ascii="Arial Narrow" w:hAnsi="Arial Narrow"/>
          <w:lang w:val="es-CR" w:eastAsia="es-CR"/>
        </w:rPr>
        <w:t xml:space="preserve"> el cual al cierre del mes de diciembre 2020 report</w:t>
      </w:r>
      <w:r>
        <w:rPr>
          <w:rFonts w:ascii="Arial Narrow" w:hAnsi="Arial Narrow"/>
          <w:lang w:val="es-CR" w:eastAsia="es-CR"/>
        </w:rPr>
        <w:t>ó</w:t>
      </w:r>
      <w:r w:rsidRPr="00704B08">
        <w:rPr>
          <w:rFonts w:ascii="Arial Narrow" w:hAnsi="Arial Narrow"/>
          <w:lang w:val="es-CR" w:eastAsia="es-CR"/>
        </w:rPr>
        <w:t xml:space="preserve"> un 75% de avance en el proyecto, debido a que el procedimiento inicial fue apelado y se debió tramitar nuevamente.</w:t>
      </w:r>
    </w:p>
    <w:p w14:paraId="390B67AF" w14:textId="77777777" w:rsidR="00776FD2" w:rsidRDefault="00776FD2" w:rsidP="009B24F8">
      <w:pPr>
        <w:spacing w:line="360" w:lineRule="auto"/>
        <w:jc w:val="both"/>
        <w:rPr>
          <w:rFonts w:ascii="Arial Narrow" w:hAnsi="Arial Narrow"/>
          <w:lang w:val="es-CR" w:eastAsia="es-CR"/>
        </w:rPr>
      </w:pPr>
    </w:p>
    <w:p w14:paraId="6FE95529" w14:textId="77777777" w:rsidR="00C742C0" w:rsidRDefault="009B24F8">
      <w:pPr>
        <w:spacing w:line="360" w:lineRule="auto"/>
        <w:jc w:val="both"/>
        <w:rPr>
          <w:rFonts w:ascii="Arial Narrow" w:hAnsi="Arial Narrow"/>
          <w:lang w:val="es-CR" w:eastAsia="es-CR"/>
        </w:rPr>
      </w:pPr>
      <w:r>
        <w:rPr>
          <w:rFonts w:ascii="Arial Narrow" w:hAnsi="Arial Narrow"/>
          <w:lang w:val="es-CR" w:eastAsia="es-CR"/>
        </w:rPr>
        <w:t xml:space="preserve">Con respecto a la meta de Trabajo Social y Psicología se tiene que para el 2019 se reportó un 83% </w:t>
      </w:r>
      <w:r w:rsidR="0053265A">
        <w:rPr>
          <w:rFonts w:ascii="Arial Narrow" w:hAnsi="Arial Narrow"/>
          <w:lang w:val="es-CR" w:eastAsia="es-CR"/>
        </w:rPr>
        <w:t xml:space="preserve">debido a que 4 oficinas reportaron cumplimientos del PAO por </w:t>
      </w:r>
      <w:r w:rsidR="0053265A" w:rsidRPr="00BF6E93">
        <w:rPr>
          <w:rFonts w:ascii="Arial Narrow" w:hAnsi="Arial Narrow"/>
          <w:lang w:val="es-CR" w:eastAsia="es-CR"/>
        </w:rPr>
        <w:t>debajo del rango esperado (Oficinas de Trabajo Social y Piscología de Santa Cruz, Grecia, Limón y Liberia).</w:t>
      </w:r>
      <w:r w:rsidR="00181AE6" w:rsidRPr="00C9711A">
        <w:rPr>
          <w:rFonts w:ascii="Arial Narrow" w:hAnsi="Arial Narrow"/>
          <w:lang w:val="es-CR" w:eastAsia="es-CR"/>
        </w:rPr>
        <w:t xml:space="preserve"> </w:t>
      </w:r>
      <w:bookmarkStart w:id="176" w:name="_Hlk84514511"/>
    </w:p>
    <w:p w14:paraId="44F88F56" w14:textId="77777777" w:rsidR="00C742C0" w:rsidRDefault="00C742C0">
      <w:pPr>
        <w:spacing w:line="360" w:lineRule="auto"/>
        <w:jc w:val="both"/>
        <w:rPr>
          <w:rFonts w:ascii="Arial Narrow" w:hAnsi="Arial Narrow"/>
          <w:lang w:val="es-CR" w:eastAsia="es-CR"/>
        </w:rPr>
      </w:pPr>
    </w:p>
    <w:p w14:paraId="785F82D7" w14:textId="78C6908C" w:rsidR="009B24F8" w:rsidRDefault="00C742C0" w:rsidP="009B24F8">
      <w:pPr>
        <w:spacing w:line="360" w:lineRule="auto"/>
        <w:jc w:val="both"/>
        <w:rPr>
          <w:rFonts w:ascii="Arial Narrow" w:hAnsi="Arial Narrow"/>
          <w:lang w:val="es-CR" w:eastAsia="es-CR"/>
        </w:rPr>
      </w:pPr>
      <w:r w:rsidRPr="00CD5DC0">
        <w:rPr>
          <w:rFonts w:ascii="Arial Narrow" w:eastAsia="Calibri" w:hAnsi="Arial Narrow"/>
        </w:rPr>
        <w:t>Es importante mencionar que</w:t>
      </w:r>
      <w:r w:rsidR="00155E08">
        <w:rPr>
          <w:rFonts w:ascii="Arial Narrow" w:eastAsia="Calibri" w:hAnsi="Arial Narrow"/>
        </w:rPr>
        <w:t>,</w:t>
      </w:r>
      <w:r w:rsidRPr="00CD5DC0">
        <w:rPr>
          <w:rFonts w:ascii="Arial Narrow" w:eastAsia="Calibri" w:hAnsi="Arial Narrow"/>
        </w:rPr>
        <w:t xml:space="preserve"> por parte de la </w:t>
      </w:r>
      <w:r>
        <w:rPr>
          <w:rFonts w:ascii="Arial Narrow" w:eastAsia="Calibri" w:hAnsi="Arial Narrow"/>
        </w:rPr>
        <w:t>jefatura</w:t>
      </w:r>
      <w:r w:rsidRPr="00CD5DC0">
        <w:rPr>
          <w:rFonts w:ascii="Arial Narrow" w:eastAsia="Calibri" w:hAnsi="Arial Narrow"/>
        </w:rPr>
        <w:t xml:space="preserve"> del Departamento de Trabajo Social y Psicología, </w:t>
      </w:r>
      <w:r>
        <w:rPr>
          <w:rFonts w:ascii="Arial Narrow" w:eastAsia="Calibri" w:hAnsi="Arial Narrow"/>
        </w:rPr>
        <w:t xml:space="preserve">se considera que las </w:t>
      </w:r>
      <w:r w:rsidRPr="00CD5DC0">
        <w:rPr>
          <w:rFonts w:ascii="Arial Narrow" w:eastAsia="Calibri" w:hAnsi="Arial Narrow"/>
        </w:rPr>
        <w:t xml:space="preserve">metas anuales </w:t>
      </w:r>
      <w:r w:rsidRPr="00482E6E">
        <w:rPr>
          <w:rFonts w:ascii="Arial Narrow" w:eastAsia="Calibri" w:hAnsi="Arial Narrow"/>
        </w:rPr>
        <w:t xml:space="preserve">para los años 2019 y 2020 </w:t>
      </w:r>
      <w:r w:rsidRPr="00CD5DC0">
        <w:rPr>
          <w:rFonts w:ascii="Arial Narrow" w:eastAsia="Calibri" w:hAnsi="Arial Narrow"/>
        </w:rPr>
        <w:t>fueron superadas</w:t>
      </w:r>
      <w:r>
        <w:rPr>
          <w:rFonts w:ascii="Arial Narrow" w:eastAsia="Calibri" w:hAnsi="Arial Narrow"/>
        </w:rPr>
        <w:t>,</w:t>
      </w:r>
      <w:r w:rsidRPr="00CD5DC0">
        <w:rPr>
          <w:rFonts w:ascii="Arial Narrow" w:eastAsia="Calibri" w:hAnsi="Arial Narrow"/>
        </w:rPr>
        <w:t xml:space="preserve"> logrando un 100%</w:t>
      </w:r>
      <w:r>
        <w:rPr>
          <w:rFonts w:ascii="Arial Narrow" w:eastAsia="Calibri" w:hAnsi="Arial Narrow"/>
        </w:rPr>
        <w:t>, lo anterior de acuerdo con los datos estadísticos suministrados por el Departamento.  No obstante, si bien es cierto, las metas fueron superadas con base en los informes periciales rendidos, los porcentajes de cumplimiento reportados en el sistema PAO fueron de 83% y 94%, para 2019 y 2020 respectivamente, lo que refleja una necesidad por parte de las oficinas de Trabajo Social y Psicología de mantener actualizados los avances y cumplimientos en dicho sistema.</w:t>
      </w:r>
      <w:bookmarkEnd w:id="176"/>
    </w:p>
    <w:p w14:paraId="6A1E42FB" w14:textId="77777777" w:rsidR="00776FD2" w:rsidRDefault="00776FD2" w:rsidP="009B24F8">
      <w:pPr>
        <w:spacing w:line="360" w:lineRule="auto"/>
        <w:jc w:val="both"/>
        <w:rPr>
          <w:rFonts w:ascii="Arial Narrow" w:hAnsi="Arial Narrow"/>
          <w:lang w:val="es-CR" w:eastAsia="es-CR"/>
        </w:rPr>
      </w:pPr>
    </w:p>
    <w:p w14:paraId="33FD5B4D" w14:textId="4864F912" w:rsidR="0053265A" w:rsidRDefault="0053265A" w:rsidP="009B24F8">
      <w:pPr>
        <w:spacing w:line="360" w:lineRule="auto"/>
        <w:jc w:val="both"/>
        <w:rPr>
          <w:rFonts w:ascii="Arial Narrow" w:eastAsia="Calibri" w:hAnsi="Arial Narrow"/>
        </w:rPr>
      </w:pPr>
      <w:r>
        <w:rPr>
          <w:rFonts w:ascii="Arial Narrow" w:hAnsi="Arial Narrow"/>
          <w:lang w:val="es-CR" w:eastAsia="es-CR"/>
        </w:rPr>
        <w:t xml:space="preserve">Finalmente, el Departamento de Prensa y Comunicación tienen dos metas estratégicas por las cuales responden, una </w:t>
      </w:r>
      <w:r w:rsidR="00776FD2">
        <w:rPr>
          <w:rFonts w:ascii="Arial Narrow" w:hAnsi="Arial Narrow"/>
          <w:lang w:val="es-CR" w:eastAsia="es-CR"/>
        </w:rPr>
        <w:t>cumplida</w:t>
      </w:r>
      <w:r>
        <w:rPr>
          <w:rFonts w:ascii="Arial Narrow" w:hAnsi="Arial Narrow"/>
          <w:lang w:val="es-CR" w:eastAsia="es-CR"/>
        </w:rPr>
        <w:t xml:space="preserve"> cabalmente al 100%</w:t>
      </w:r>
      <w:r w:rsidR="00776FD2">
        <w:rPr>
          <w:rFonts w:ascii="Arial Narrow" w:hAnsi="Arial Narrow"/>
          <w:lang w:val="es-CR" w:eastAsia="es-CR"/>
        </w:rPr>
        <w:t>,</w:t>
      </w:r>
      <w:r>
        <w:rPr>
          <w:rFonts w:ascii="Arial Narrow" w:hAnsi="Arial Narrow"/>
          <w:lang w:val="es-CR" w:eastAsia="es-CR"/>
        </w:rPr>
        <w:t xml:space="preserve"> mientras que la restante sobre la Política de Comunicación </w:t>
      </w:r>
      <w:r>
        <w:rPr>
          <w:rFonts w:ascii="Arial Narrow" w:hAnsi="Arial Narrow"/>
          <w:lang w:val="es-CR" w:eastAsia="es-CR"/>
        </w:rPr>
        <w:lastRenderedPageBreak/>
        <w:t xml:space="preserve">Integral se registra a un 30% debido </w:t>
      </w:r>
      <w:r>
        <w:rPr>
          <w:rFonts w:ascii="Arial Narrow" w:eastAsia="Calibri" w:hAnsi="Arial Narrow"/>
        </w:rPr>
        <w:t>a que</w:t>
      </w:r>
      <w:r w:rsidRPr="00704B08">
        <w:rPr>
          <w:rFonts w:ascii="Arial Narrow" w:eastAsia="Calibri" w:hAnsi="Arial Narrow"/>
        </w:rPr>
        <w:t xml:space="preserve"> </w:t>
      </w:r>
      <w:r>
        <w:rPr>
          <w:rFonts w:ascii="Arial Narrow" w:eastAsia="Calibri" w:hAnsi="Arial Narrow"/>
        </w:rPr>
        <w:t xml:space="preserve">el </w:t>
      </w:r>
      <w:r w:rsidRPr="00704B08">
        <w:rPr>
          <w:rFonts w:ascii="Arial Narrow" w:eastAsia="Calibri" w:hAnsi="Arial Narrow"/>
        </w:rPr>
        <w:t>Departamento de Prensa y Comunicación</w:t>
      </w:r>
      <w:r>
        <w:rPr>
          <w:rFonts w:ascii="Arial Narrow" w:eastAsia="Calibri" w:hAnsi="Arial Narrow"/>
        </w:rPr>
        <w:t xml:space="preserve"> formuló </w:t>
      </w:r>
      <w:r w:rsidRPr="00704B08">
        <w:rPr>
          <w:rFonts w:ascii="Arial Narrow" w:eastAsia="Calibri" w:hAnsi="Arial Narrow"/>
        </w:rPr>
        <w:t xml:space="preserve">los requerimientos </w:t>
      </w:r>
      <w:r>
        <w:rPr>
          <w:rFonts w:ascii="Arial Narrow" w:eastAsia="Calibri" w:hAnsi="Arial Narrow"/>
        </w:rPr>
        <w:t xml:space="preserve">ante </w:t>
      </w:r>
      <w:r w:rsidRPr="00704B08">
        <w:rPr>
          <w:rFonts w:ascii="Arial Narrow" w:eastAsia="Calibri" w:hAnsi="Arial Narrow"/>
        </w:rPr>
        <w:t>el órgano cooperante para el apoyo financiero</w:t>
      </w:r>
      <w:r>
        <w:rPr>
          <w:rFonts w:ascii="Arial Narrow" w:eastAsia="Calibri" w:hAnsi="Arial Narrow"/>
        </w:rPr>
        <w:t xml:space="preserve"> y en</w:t>
      </w:r>
      <w:r w:rsidRPr="00704B08">
        <w:rPr>
          <w:rFonts w:ascii="Arial Narrow" w:eastAsia="Calibri" w:hAnsi="Arial Narrow"/>
        </w:rPr>
        <w:t xml:space="preserve"> el mes de noviembre 2019, se informó que la Embajada Americana no aprobó la propuesta por lo que el Despacho de la Presidencia solicitó a la Oficina de Cooperación Internacional que hiciera las diligencias para conseguir apoyo para el proyecto en otros organismos de cooperación</w:t>
      </w:r>
      <w:r>
        <w:rPr>
          <w:rFonts w:ascii="Arial Narrow" w:eastAsia="Calibri" w:hAnsi="Arial Narrow"/>
        </w:rPr>
        <w:t xml:space="preserve">, por lo que el </w:t>
      </w:r>
      <w:r w:rsidRPr="00704B08">
        <w:rPr>
          <w:rFonts w:ascii="Arial Narrow" w:eastAsia="Calibri" w:hAnsi="Arial Narrow"/>
        </w:rPr>
        <w:t>Departamento de Prensa</w:t>
      </w:r>
      <w:r>
        <w:rPr>
          <w:rFonts w:ascii="Arial Narrow" w:eastAsia="Calibri" w:hAnsi="Arial Narrow"/>
        </w:rPr>
        <w:t xml:space="preserve"> consignó un avance de 30%</w:t>
      </w:r>
      <w:r w:rsidRPr="00704B08">
        <w:rPr>
          <w:rFonts w:ascii="Arial Narrow" w:eastAsia="Calibri" w:hAnsi="Arial Narrow"/>
        </w:rPr>
        <w:t xml:space="preserve">. </w:t>
      </w:r>
    </w:p>
    <w:p w14:paraId="5DA600E5" w14:textId="77777777" w:rsidR="00F54A90" w:rsidRDefault="00F54A90" w:rsidP="00C801FF">
      <w:pPr>
        <w:spacing w:line="360" w:lineRule="auto"/>
        <w:jc w:val="both"/>
        <w:rPr>
          <w:rFonts w:ascii="Arial Narrow" w:eastAsia="Calibri" w:hAnsi="Arial Narrow"/>
          <w:lang w:eastAsia="en-US"/>
        </w:rPr>
      </w:pPr>
    </w:p>
    <w:p w14:paraId="3557280C" w14:textId="10DA773C" w:rsidR="00C801FF" w:rsidRDefault="00F54A90" w:rsidP="00C801FF">
      <w:pPr>
        <w:spacing w:line="360" w:lineRule="auto"/>
        <w:jc w:val="both"/>
        <w:rPr>
          <w:rFonts w:ascii="Arial Narrow" w:hAnsi="Arial Narrow"/>
          <w:lang w:val="es-CR" w:eastAsia="es-CR"/>
        </w:rPr>
      </w:pPr>
      <w:r>
        <w:rPr>
          <w:rFonts w:ascii="Arial Narrow" w:eastAsia="Calibri" w:hAnsi="Arial Narrow"/>
          <w:lang w:eastAsia="en-US"/>
        </w:rPr>
        <w:t>L</w:t>
      </w:r>
      <w:r w:rsidR="00071199">
        <w:rPr>
          <w:rFonts w:ascii="Arial Narrow" w:eastAsia="Calibri" w:hAnsi="Arial Narrow"/>
          <w:lang w:eastAsia="en-US"/>
        </w:rPr>
        <w:t>a meta estratégica</w:t>
      </w:r>
      <w:r>
        <w:rPr>
          <w:rFonts w:ascii="Arial Narrow" w:eastAsia="Calibri" w:hAnsi="Arial Narrow"/>
          <w:lang w:eastAsia="en-US"/>
        </w:rPr>
        <w:t xml:space="preserve"> donde figura el Consejo Superior como responsable,</w:t>
      </w:r>
      <w:r w:rsidR="00071199">
        <w:rPr>
          <w:rFonts w:ascii="Arial Narrow" w:eastAsia="Calibri" w:hAnsi="Arial Narrow"/>
          <w:lang w:eastAsia="en-US"/>
        </w:rPr>
        <w:t xml:space="preserve"> se había reportado un 85% </w:t>
      </w:r>
      <w:r>
        <w:rPr>
          <w:rFonts w:ascii="Arial Narrow" w:eastAsia="Calibri" w:hAnsi="Arial Narrow"/>
          <w:lang w:eastAsia="en-US"/>
        </w:rPr>
        <w:t xml:space="preserve">para el 2019 </w:t>
      </w:r>
      <w:r w:rsidR="00071199">
        <w:rPr>
          <w:rFonts w:ascii="Arial Narrow" w:eastAsia="Calibri" w:hAnsi="Arial Narrow"/>
          <w:lang w:eastAsia="en-US"/>
        </w:rPr>
        <w:t>subió a un 96%</w:t>
      </w:r>
      <w:r>
        <w:rPr>
          <w:rFonts w:ascii="Arial Narrow" w:eastAsia="Calibri" w:hAnsi="Arial Narrow"/>
          <w:lang w:eastAsia="en-US"/>
        </w:rPr>
        <w:t xml:space="preserve"> de cumplimiento para 2020</w:t>
      </w:r>
      <w:r w:rsidR="00071199">
        <w:rPr>
          <w:rFonts w:ascii="Arial Narrow" w:eastAsia="Calibri" w:hAnsi="Arial Narrow"/>
          <w:lang w:eastAsia="en-US"/>
        </w:rPr>
        <w:t>, esto debido a que</w:t>
      </w:r>
      <w:r w:rsidR="00071199">
        <w:rPr>
          <w:rFonts w:ascii="Arial Narrow" w:eastAsia="Calibri" w:hAnsi="Arial Narrow"/>
        </w:rPr>
        <w:t xml:space="preserve"> quedó como </w:t>
      </w:r>
      <w:r w:rsidR="00071199" w:rsidRPr="002641A1">
        <w:rPr>
          <w:rFonts w:ascii="Arial Narrow" w:hAnsi="Arial Narrow"/>
        </w:rPr>
        <w:t xml:space="preserve">con excepción </w:t>
      </w:r>
      <w:r w:rsidR="00071199">
        <w:rPr>
          <w:rFonts w:ascii="Arial Narrow" w:hAnsi="Arial Narrow"/>
        </w:rPr>
        <w:t>el</w:t>
      </w:r>
      <w:r w:rsidR="00071199" w:rsidRPr="002641A1">
        <w:rPr>
          <w:rFonts w:ascii="Arial Narrow" w:hAnsi="Arial Narrow"/>
        </w:rPr>
        <w:t xml:space="preserve"> p</w:t>
      </w:r>
      <w:r w:rsidR="00071199" w:rsidRPr="00704B08">
        <w:rPr>
          <w:rFonts w:ascii="Arial Narrow" w:hAnsi="Arial Narrow"/>
        </w:rPr>
        <w:t>royecto constructivo del Organismo de Investigación Judicial (San José)</w:t>
      </w:r>
      <w:r w:rsidR="00071199" w:rsidRPr="00704B08">
        <w:rPr>
          <w:rFonts w:ascii="Arial Narrow" w:hAnsi="Arial Narrow"/>
          <w:lang w:val="es-CR" w:eastAsia="es-CR"/>
        </w:rPr>
        <w:t xml:space="preserve"> el cual al cierre del mes de diciembre 2020 report</w:t>
      </w:r>
      <w:r w:rsidR="00071199">
        <w:rPr>
          <w:rFonts w:ascii="Arial Narrow" w:hAnsi="Arial Narrow"/>
          <w:lang w:val="es-CR" w:eastAsia="es-CR"/>
        </w:rPr>
        <w:t>ó</w:t>
      </w:r>
      <w:r w:rsidR="00071199" w:rsidRPr="00704B08">
        <w:rPr>
          <w:rFonts w:ascii="Arial Narrow" w:hAnsi="Arial Narrow"/>
          <w:lang w:val="es-CR" w:eastAsia="es-CR"/>
        </w:rPr>
        <w:t xml:space="preserve"> un 75% de avance en el proyecto, debido a que el procedimiento inicial fue apelado y se debió tramitar nuevamente.</w:t>
      </w:r>
      <w:r>
        <w:rPr>
          <w:rFonts w:ascii="Arial Narrow" w:hAnsi="Arial Narrow"/>
          <w:lang w:val="es-CR" w:eastAsia="es-CR"/>
        </w:rPr>
        <w:t xml:space="preserve"> </w:t>
      </w:r>
    </w:p>
    <w:p w14:paraId="281CEE99" w14:textId="77777777" w:rsidR="003F3A7A" w:rsidRDefault="003F3A7A" w:rsidP="00C801FF">
      <w:pPr>
        <w:spacing w:line="360" w:lineRule="auto"/>
        <w:jc w:val="both"/>
        <w:rPr>
          <w:rFonts w:ascii="Arial Narrow" w:hAnsi="Arial Narrow"/>
          <w:lang w:val="es-CR" w:eastAsia="es-CR"/>
        </w:rPr>
      </w:pPr>
    </w:p>
    <w:p w14:paraId="1A28157F" w14:textId="77777777" w:rsidR="00C742C0" w:rsidRDefault="00F54A90" w:rsidP="00C801FF">
      <w:pPr>
        <w:spacing w:line="360" w:lineRule="auto"/>
        <w:jc w:val="both"/>
        <w:rPr>
          <w:rFonts w:ascii="Arial Narrow" w:eastAsia="Calibri" w:hAnsi="Arial Narrow"/>
        </w:rPr>
      </w:pPr>
      <w:r>
        <w:rPr>
          <w:rFonts w:ascii="Arial Narrow" w:eastAsia="Calibri" w:hAnsi="Arial Narrow"/>
        </w:rPr>
        <w:t xml:space="preserve">Con respecto a la meta estratégica de Trabajo Social, se tiene que en el 2019 se reporta por parte de las 23 oficinas de Trabajo </w:t>
      </w:r>
      <w:r w:rsidRPr="00BF6E93">
        <w:rPr>
          <w:rFonts w:ascii="Arial Narrow" w:eastAsia="Calibri" w:hAnsi="Arial Narrow"/>
        </w:rPr>
        <w:t>Social y Psicología del país un cumplimiento de 83%</w:t>
      </w:r>
      <w:r w:rsidRPr="00FD024B">
        <w:rPr>
          <w:rFonts w:ascii="Arial Narrow" w:eastAsia="Calibri" w:hAnsi="Arial Narrow"/>
        </w:rPr>
        <w:t>, mientra</w:t>
      </w:r>
      <w:r w:rsidRPr="00BF6E93">
        <w:rPr>
          <w:rFonts w:ascii="Arial Narrow" w:eastAsia="Calibri" w:hAnsi="Arial Narrow"/>
        </w:rPr>
        <w:t xml:space="preserve">s que para el 2020 el dato reportado fue de 94%. </w:t>
      </w:r>
    </w:p>
    <w:p w14:paraId="22317B0F" w14:textId="77777777" w:rsidR="00C742C0" w:rsidRDefault="00C742C0" w:rsidP="00C801FF">
      <w:pPr>
        <w:spacing w:line="360" w:lineRule="auto"/>
        <w:jc w:val="both"/>
        <w:rPr>
          <w:rFonts w:ascii="Arial Narrow" w:eastAsia="Calibri" w:hAnsi="Arial Narrow"/>
        </w:rPr>
      </w:pPr>
    </w:p>
    <w:p w14:paraId="171C6974" w14:textId="665F92DE" w:rsidR="003F3A7A" w:rsidRDefault="00C742C0" w:rsidP="00C801FF">
      <w:pPr>
        <w:spacing w:line="360" w:lineRule="auto"/>
        <w:jc w:val="both"/>
        <w:rPr>
          <w:rFonts w:ascii="Arial Narrow" w:eastAsia="Calibri" w:hAnsi="Arial Narrow"/>
        </w:rPr>
      </w:pPr>
      <w:r w:rsidRPr="00CD5DC0">
        <w:rPr>
          <w:rFonts w:ascii="Arial Narrow" w:eastAsia="Calibri" w:hAnsi="Arial Narrow"/>
        </w:rPr>
        <w:t>Es importante mencionar que</w:t>
      </w:r>
      <w:r w:rsidR="00155E08">
        <w:rPr>
          <w:rFonts w:ascii="Arial Narrow" w:eastAsia="Calibri" w:hAnsi="Arial Narrow"/>
        </w:rPr>
        <w:t>,</w:t>
      </w:r>
      <w:r w:rsidRPr="00CD5DC0">
        <w:rPr>
          <w:rFonts w:ascii="Arial Narrow" w:eastAsia="Calibri" w:hAnsi="Arial Narrow"/>
        </w:rPr>
        <w:t xml:space="preserve"> por parte de la </w:t>
      </w:r>
      <w:r>
        <w:rPr>
          <w:rFonts w:ascii="Arial Narrow" w:eastAsia="Calibri" w:hAnsi="Arial Narrow"/>
        </w:rPr>
        <w:t>jefatura</w:t>
      </w:r>
      <w:r w:rsidRPr="00CD5DC0">
        <w:rPr>
          <w:rFonts w:ascii="Arial Narrow" w:eastAsia="Calibri" w:hAnsi="Arial Narrow"/>
        </w:rPr>
        <w:t xml:space="preserve"> del Departamento de Trabajo Social y Psicología, </w:t>
      </w:r>
      <w:r>
        <w:rPr>
          <w:rFonts w:ascii="Arial Narrow" w:eastAsia="Calibri" w:hAnsi="Arial Narrow"/>
        </w:rPr>
        <w:t xml:space="preserve">se considera que las </w:t>
      </w:r>
      <w:r w:rsidRPr="00CD5DC0">
        <w:rPr>
          <w:rFonts w:ascii="Arial Narrow" w:eastAsia="Calibri" w:hAnsi="Arial Narrow"/>
        </w:rPr>
        <w:t xml:space="preserve">metas anuales </w:t>
      </w:r>
      <w:r w:rsidRPr="00482E6E">
        <w:rPr>
          <w:rFonts w:ascii="Arial Narrow" w:eastAsia="Calibri" w:hAnsi="Arial Narrow"/>
        </w:rPr>
        <w:t xml:space="preserve">para los años 2019 y 2020 </w:t>
      </w:r>
      <w:r w:rsidRPr="00CD5DC0">
        <w:rPr>
          <w:rFonts w:ascii="Arial Narrow" w:eastAsia="Calibri" w:hAnsi="Arial Narrow"/>
        </w:rPr>
        <w:t>fueron superadas</w:t>
      </w:r>
      <w:r>
        <w:rPr>
          <w:rFonts w:ascii="Arial Narrow" w:eastAsia="Calibri" w:hAnsi="Arial Narrow"/>
        </w:rPr>
        <w:t>,</w:t>
      </w:r>
      <w:r w:rsidRPr="00CD5DC0">
        <w:rPr>
          <w:rFonts w:ascii="Arial Narrow" w:eastAsia="Calibri" w:hAnsi="Arial Narrow"/>
        </w:rPr>
        <w:t xml:space="preserve"> logrando un 100%</w:t>
      </w:r>
      <w:r>
        <w:rPr>
          <w:rFonts w:ascii="Arial Narrow" w:eastAsia="Calibri" w:hAnsi="Arial Narrow"/>
        </w:rPr>
        <w:t>, lo anterior de acuerdo con los datos estadísticos suministrados por el Departamento.  No obstante, si bien es cierto, las metas fueron superadas con base en los informes periciales rendidos, los porcentajes de cumplimiento reportados en el sistema PAO fueron de 83% y 94%, para 2019 y 2020 respectivamente, lo que refleja una necesidad por parte de las oficinas de Trabajo Social y Psicología de mantener actualizados los avances y cumplimientos en dicho sistema.</w:t>
      </w:r>
    </w:p>
    <w:p w14:paraId="33139EF8" w14:textId="77777777" w:rsidR="00155E08" w:rsidRDefault="00155E08" w:rsidP="00C801FF">
      <w:pPr>
        <w:spacing w:line="360" w:lineRule="auto"/>
        <w:jc w:val="both"/>
        <w:rPr>
          <w:rFonts w:ascii="Arial Narrow" w:eastAsia="Calibri" w:hAnsi="Arial Narrow"/>
        </w:rPr>
      </w:pPr>
    </w:p>
    <w:p w14:paraId="7B5127D8" w14:textId="5EAD2095" w:rsidR="00F54A90" w:rsidRDefault="00F54A90" w:rsidP="00C801FF">
      <w:pPr>
        <w:spacing w:line="360" w:lineRule="auto"/>
        <w:jc w:val="both"/>
        <w:rPr>
          <w:rFonts w:ascii="Arial Narrow" w:eastAsia="Calibri" w:hAnsi="Arial Narrow"/>
          <w:lang w:eastAsia="en-US"/>
        </w:rPr>
      </w:pPr>
      <w:r>
        <w:rPr>
          <w:rFonts w:ascii="Arial Narrow" w:eastAsia="Calibri" w:hAnsi="Arial Narrow"/>
        </w:rPr>
        <w:t xml:space="preserve">Finalmente, la meta de Política de Comunicación Integral registra un 30% para 2019, </w:t>
      </w:r>
      <w:r>
        <w:rPr>
          <w:rFonts w:ascii="Arial Narrow" w:hAnsi="Arial Narrow"/>
        </w:rPr>
        <w:t>se tiene</w:t>
      </w:r>
      <w:r w:rsidRPr="00704B08">
        <w:rPr>
          <w:rFonts w:ascii="Arial Narrow" w:hAnsi="Arial Narrow"/>
        </w:rPr>
        <w:t xml:space="preserve"> que pese a todas las gestiones que </w:t>
      </w:r>
      <w:r>
        <w:rPr>
          <w:rFonts w:ascii="Arial Narrow" w:hAnsi="Arial Narrow"/>
        </w:rPr>
        <w:t>se han</w:t>
      </w:r>
      <w:r w:rsidRPr="00704B08">
        <w:rPr>
          <w:rFonts w:ascii="Arial Narrow" w:hAnsi="Arial Narrow"/>
        </w:rPr>
        <w:t xml:space="preserve"> realizado</w:t>
      </w:r>
      <w:r>
        <w:rPr>
          <w:rFonts w:ascii="Arial Narrow" w:hAnsi="Arial Narrow"/>
        </w:rPr>
        <w:t xml:space="preserve"> en estos dos años</w:t>
      </w:r>
      <w:r w:rsidRPr="00704B08">
        <w:rPr>
          <w:rFonts w:ascii="Arial Narrow" w:hAnsi="Arial Narrow"/>
        </w:rPr>
        <w:t>, no ha sido posible concretar la colaboración que permita el diseño de la política institucional de comunicación</w:t>
      </w:r>
      <w:r>
        <w:rPr>
          <w:rFonts w:ascii="Arial Narrow" w:hAnsi="Arial Narrow"/>
        </w:rPr>
        <w:t xml:space="preserve"> </w:t>
      </w:r>
      <w:r>
        <w:rPr>
          <w:rFonts w:ascii="Arial Narrow" w:hAnsi="Arial Narrow" w:cs="Arial"/>
          <w:color w:val="000000"/>
          <w:lang w:val="es-CR" w:eastAsia="es-CR"/>
        </w:rPr>
        <w:t xml:space="preserve">debido a la situación de la pandemia por </w:t>
      </w:r>
      <w:r w:rsidR="00155E08">
        <w:rPr>
          <w:rFonts w:ascii="Arial Narrow" w:hAnsi="Arial Narrow" w:cs="Arial"/>
          <w:color w:val="000000"/>
          <w:lang w:val="es-CR" w:eastAsia="es-CR"/>
        </w:rPr>
        <w:t>C</w:t>
      </w:r>
      <w:r>
        <w:rPr>
          <w:rFonts w:ascii="Arial Narrow" w:hAnsi="Arial Narrow" w:cs="Arial"/>
          <w:color w:val="000000"/>
          <w:lang w:val="es-CR" w:eastAsia="es-CR"/>
        </w:rPr>
        <w:t>ovid-19 y por lo tanto para el 2020 registra un 13%.</w:t>
      </w:r>
    </w:p>
    <w:p w14:paraId="476C5768" w14:textId="77777777" w:rsidR="00071199" w:rsidRDefault="00071199" w:rsidP="00C801FF">
      <w:pPr>
        <w:spacing w:line="360" w:lineRule="auto"/>
        <w:jc w:val="both"/>
        <w:rPr>
          <w:rFonts w:ascii="Arial Narrow" w:eastAsia="Calibri" w:hAnsi="Arial Narrow"/>
          <w:lang w:eastAsia="en-US"/>
        </w:rPr>
      </w:pPr>
    </w:p>
    <w:p w14:paraId="6BA818EB" w14:textId="32C7EDBD" w:rsidR="00C801FF" w:rsidRDefault="00C801FF" w:rsidP="00CC279A">
      <w:pPr>
        <w:rPr>
          <w:rFonts w:ascii="Arial Narrow" w:eastAsia="Calibri" w:hAnsi="Arial Narrow"/>
          <w:lang w:eastAsia="en-US"/>
        </w:rPr>
      </w:pPr>
      <w:r>
        <w:rPr>
          <w:rFonts w:ascii="Arial Narrow" w:eastAsia="Calibri" w:hAnsi="Arial Narrow"/>
          <w:lang w:eastAsia="en-US"/>
        </w:rPr>
        <w:t xml:space="preserve">Para el año </w:t>
      </w:r>
      <w:r w:rsidRPr="00CC279A">
        <w:rPr>
          <w:rFonts w:ascii="Arial Narrow" w:eastAsia="Calibri" w:hAnsi="Arial Narrow"/>
          <w:b/>
          <w:bCs/>
          <w:lang w:eastAsia="en-US"/>
        </w:rPr>
        <w:t>2020</w:t>
      </w:r>
      <w:r>
        <w:rPr>
          <w:rFonts w:ascii="Arial Narrow" w:eastAsia="Calibri" w:hAnsi="Arial Narrow"/>
          <w:lang w:eastAsia="en-US"/>
        </w:rPr>
        <w:t>, se tiene el siguiente desglose:</w:t>
      </w:r>
    </w:p>
    <w:p w14:paraId="6F81BB3C" w14:textId="77777777" w:rsidR="003F3A7A" w:rsidRDefault="003F3A7A" w:rsidP="00DD6B33">
      <w:pPr>
        <w:pStyle w:val="Descripcin"/>
        <w:jc w:val="center"/>
        <w:rPr>
          <w:rFonts w:ascii="Arial Narrow" w:eastAsia="Calibri" w:hAnsi="Arial Narrow"/>
          <w:sz w:val="24"/>
          <w:szCs w:val="24"/>
          <w:lang w:eastAsia="en-US"/>
        </w:rPr>
      </w:pPr>
    </w:p>
    <w:p w14:paraId="5D4ACB67" w14:textId="00950231" w:rsidR="00DD6B33" w:rsidRDefault="00DD6B33" w:rsidP="00DD6B33">
      <w:pPr>
        <w:pStyle w:val="Descripcin"/>
        <w:jc w:val="center"/>
        <w:rPr>
          <w:rFonts w:ascii="Arial Narrow" w:eastAsia="Calibri" w:hAnsi="Arial Narrow"/>
          <w:sz w:val="24"/>
          <w:szCs w:val="24"/>
          <w:lang w:eastAsia="en-US"/>
        </w:rPr>
      </w:pPr>
      <w:bookmarkStart w:id="177" w:name="_Toc84919478"/>
      <w:r w:rsidRPr="00CC279A">
        <w:rPr>
          <w:rFonts w:ascii="Arial Narrow" w:eastAsia="Calibri" w:hAnsi="Arial Narrow"/>
          <w:sz w:val="24"/>
          <w:szCs w:val="24"/>
          <w:lang w:eastAsia="en-US"/>
        </w:rPr>
        <w:t xml:space="preserve">Tabla </w:t>
      </w:r>
      <w:r w:rsidRPr="00CC279A">
        <w:rPr>
          <w:rFonts w:ascii="Arial Narrow" w:eastAsia="Calibri" w:hAnsi="Arial Narrow"/>
          <w:sz w:val="24"/>
          <w:szCs w:val="24"/>
          <w:lang w:eastAsia="en-US"/>
        </w:rPr>
        <w:fldChar w:fldCharType="begin"/>
      </w:r>
      <w:r w:rsidRPr="00CC279A">
        <w:rPr>
          <w:rFonts w:ascii="Arial Narrow" w:eastAsia="Calibri" w:hAnsi="Arial Narrow"/>
          <w:sz w:val="24"/>
          <w:szCs w:val="24"/>
          <w:lang w:eastAsia="en-US"/>
        </w:rPr>
        <w:instrText xml:space="preserve"> SEQ Tabla \* ARABIC </w:instrText>
      </w:r>
      <w:r w:rsidRPr="00CC279A">
        <w:rPr>
          <w:rFonts w:ascii="Arial Narrow" w:eastAsia="Calibri" w:hAnsi="Arial Narrow"/>
          <w:sz w:val="24"/>
          <w:szCs w:val="24"/>
          <w:lang w:eastAsia="en-US"/>
        </w:rPr>
        <w:fldChar w:fldCharType="separate"/>
      </w:r>
      <w:r w:rsidRPr="00CC279A">
        <w:rPr>
          <w:rFonts w:ascii="Arial Narrow" w:eastAsia="Calibri" w:hAnsi="Arial Narrow"/>
          <w:sz w:val="24"/>
          <w:szCs w:val="24"/>
          <w:lang w:eastAsia="en-US"/>
        </w:rPr>
        <w:t>20</w:t>
      </w:r>
      <w:r w:rsidRPr="00CC279A">
        <w:rPr>
          <w:rFonts w:ascii="Arial Narrow" w:eastAsia="Calibri" w:hAnsi="Arial Narrow"/>
          <w:sz w:val="24"/>
          <w:szCs w:val="24"/>
          <w:lang w:eastAsia="en-US"/>
        </w:rPr>
        <w:fldChar w:fldCharType="end"/>
      </w:r>
      <w:r w:rsidRPr="00DD6B33">
        <w:rPr>
          <w:rFonts w:ascii="Arial Narrow" w:eastAsia="Calibri" w:hAnsi="Arial Narrow"/>
          <w:sz w:val="24"/>
          <w:szCs w:val="24"/>
          <w:lang w:eastAsia="en-US"/>
        </w:rPr>
        <w:t xml:space="preserve"> </w:t>
      </w:r>
      <w:r w:rsidRPr="00704B08">
        <w:rPr>
          <w:rFonts w:ascii="Arial Narrow" w:eastAsia="Calibri" w:hAnsi="Arial Narrow"/>
          <w:sz w:val="24"/>
          <w:szCs w:val="24"/>
          <w:lang w:eastAsia="en-US"/>
        </w:rPr>
        <w:t>Cumplimiento</w:t>
      </w:r>
      <w:r w:rsidRPr="0029096E">
        <w:rPr>
          <w:rFonts w:ascii="Arial Narrow" w:eastAsia="Calibri" w:hAnsi="Arial Narrow"/>
          <w:sz w:val="24"/>
          <w:szCs w:val="24"/>
          <w:lang w:eastAsia="en-US"/>
        </w:rPr>
        <w:t xml:space="preserve"> porcentual de las metas estratégicas del </w:t>
      </w:r>
      <w:r>
        <w:rPr>
          <w:rFonts w:ascii="Arial Narrow" w:eastAsia="Calibri" w:hAnsi="Arial Narrow"/>
          <w:sz w:val="24"/>
          <w:szCs w:val="24"/>
          <w:lang w:eastAsia="en-US"/>
        </w:rPr>
        <w:t>2020,</w:t>
      </w:r>
      <w:bookmarkEnd w:id="177"/>
      <w:r w:rsidRPr="0029096E">
        <w:rPr>
          <w:rFonts w:ascii="Arial Narrow" w:eastAsia="Calibri" w:hAnsi="Arial Narrow"/>
          <w:sz w:val="24"/>
          <w:szCs w:val="24"/>
          <w:lang w:eastAsia="en-US"/>
        </w:rPr>
        <w:t xml:space="preserve"> </w:t>
      </w:r>
    </w:p>
    <w:p w14:paraId="196A1DFD" w14:textId="77777777" w:rsidR="00DD6B33" w:rsidRPr="0029096E" w:rsidRDefault="00DD6B33" w:rsidP="00DD6B33">
      <w:pPr>
        <w:pStyle w:val="Descripcin"/>
        <w:jc w:val="center"/>
        <w:rPr>
          <w:rFonts w:ascii="Arial Narrow" w:eastAsia="Calibri" w:hAnsi="Arial Narrow"/>
          <w:sz w:val="24"/>
          <w:szCs w:val="24"/>
          <w:lang w:eastAsia="en-US"/>
        </w:rPr>
      </w:pPr>
      <w:r w:rsidRPr="0029096E">
        <w:rPr>
          <w:rFonts w:ascii="Arial Narrow" w:eastAsia="Calibri" w:hAnsi="Arial Narrow"/>
          <w:sz w:val="24"/>
          <w:szCs w:val="24"/>
          <w:lang w:eastAsia="en-US"/>
        </w:rPr>
        <w:t>según Responsable Estratégico</w:t>
      </w:r>
    </w:p>
    <w:p w14:paraId="18CC9533" w14:textId="77777777" w:rsidR="00C801FF" w:rsidRPr="006F0725" w:rsidRDefault="00C801FF" w:rsidP="00C801FF">
      <w:pPr>
        <w:rPr>
          <w:rFonts w:ascii="Arial Narrow" w:eastAsia="Calibri" w:hAnsi="Arial Narrow"/>
          <w:lang w:eastAsia="en-US"/>
        </w:rPr>
      </w:pPr>
    </w:p>
    <w:tbl>
      <w:tblPr>
        <w:tblW w:w="9203" w:type="dxa"/>
        <w:tblCellMar>
          <w:left w:w="70" w:type="dxa"/>
          <w:right w:w="70" w:type="dxa"/>
        </w:tblCellMar>
        <w:tblLook w:val="04A0" w:firstRow="1" w:lastRow="0" w:firstColumn="1" w:lastColumn="0" w:noHBand="0" w:noVBand="1"/>
      </w:tblPr>
      <w:tblGrid>
        <w:gridCol w:w="952"/>
        <w:gridCol w:w="5280"/>
        <w:gridCol w:w="1551"/>
        <w:gridCol w:w="1420"/>
      </w:tblGrid>
      <w:tr w:rsidR="006F3725" w:rsidRPr="003C3C55" w14:paraId="778BB99D" w14:textId="77777777" w:rsidTr="00FA48AC">
        <w:trPr>
          <w:trHeight w:val="713"/>
        </w:trPr>
        <w:tc>
          <w:tcPr>
            <w:tcW w:w="952" w:type="dxa"/>
            <w:tcBorders>
              <w:top w:val="single" w:sz="4" w:space="0" w:color="auto"/>
              <w:left w:val="single" w:sz="4" w:space="0" w:color="auto"/>
              <w:bottom w:val="single" w:sz="4" w:space="0" w:color="auto"/>
              <w:right w:val="single" w:sz="4" w:space="0" w:color="auto"/>
            </w:tcBorders>
            <w:shd w:val="clear" w:color="000000" w:fill="DEEAF6"/>
            <w:vAlign w:val="center"/>
            <w:hideMark/>
          </w:tcPr>
          <w:p w14:paraId="7B847E18" w14:textId="77777777" w:rsidR="00C801FF" w:rsidRPr="003C3C55" w:rsidRDefault="00C801FF" w:rsidP="00FA48AC">
            <w:pPr>
              <w:jc w:val="center"/>
              <w:rPr>
                <w:rFonts w:ascii="Arial Narrow" w:hAnsi="Arial Narrow" w:cs="Calibri"/>
                <w:b/>
                <w:bCs/>
                <w:color w:val="000000"/>
                <w:lang w:val="es-CR" w:eastAsia="es-CR"/>
              </w:rPr>
            </w:pPr>
            <w:r w:rsidRPr="003C3C55">
              <w:rPr>
                <w:rFonts w:ascii="Arial Narrow" w:hAnsi="Arial Narrow" w:cs="Calibri"/>
                <w:b/>
                <w:bCs/>
                <w:color w:val="000000"/>
                <w:lang w:val="es-CR" w:eastAsia="es-CR"/>
              </w:rPr>
              <w:t>N°</w:t>
            </w:r>
          </w:p>
        </w:tc>
        <w:tc>
          <w:tcPr>
            <w:tcW w:w="5280" w:type="dxa"/>
            <w:tcBorders>
              <w:top w:val="single" w:sz="4" w:space="0" w:color="auto"/>
              <w:left w:val="nil"/>
              <w:bottom w:val="single" w:sz="4" w:space="0" w:color="auto"/>
              <w:right w:val="single" w:sz="4" w:space="0" w:color="auto"/>
            </w:tcBorders>
            <w:shd w:val="clear" w:color="000000" w:fill="DEEAF6"/>
            <w:vAlign w:val="center"/>
            <w:hideMark/>
          </w:tcPr>
          <w:p w14:paraId="24E6643E" w14:textId="77777777" w:rsidR="00C801FF" w:rsidRPr="003C3C55" w:rsidRDefault="00C801FF" w:rsidP="00FA48AC">
            <w:pPr>
              <w:jc w:val="center"/>
              <w:rPr>
                <w:rFonts w:ascii="Arial Narrow" w:hAnsi="Arial Narrow" w:cs="Calibri"/>
                <w:b/>
                <w:bCs/>
                <w:color w:val="000000"/>
                <w:lang w:val="es-CR" w:eastAsia="es-CR"/>
              </w:rPr>
            </w:pPr>
            <w:r w:rsidRPr="003C3C55">
              <w:rPr>
                <w:rFonts w:ascii="Arial Narrow" w:hAnsi="Arial Narrow" w:cs="Calibri"/>
                <w:b/>
                <w:bCs/>
                <w:color w:val="000000"/>
                <w:lang w:val="es-CR" w:eastAsia="es-CR"/>
              </w:rPr>
              <w:t>Responsable Estratégico</w:t>
            </w:r>
          </w:p>
        </w:tc>
        <w:tc>
          <w:tcPr>
            <w:tcW w:w="1551" w:type="dxa"/>
            <w:tcBorders>
              <w:top w:val="single" w:sz="4" w:space="0" w:color="auto"/>
              <w:left w:val="nil"/>
              <w:bottom w:val="single" w:sz="4" w:space="0" w:color="auto"/>
              <w:right w:val="single" w:sz="4" w:space="0" w:color="auto"/>
            </w:tcBorders>
            <w:shd w:val="clear" w:color="000000" w:fill="DEEAF6"/>
            <w:vAlign w:val="center"/>
            <w:hideMark/>
          </w:tcPr>
          <w:p w14:paraId="35A06C60" w14:textId="77777777" w:rsidR="00C801FF" w:rsidRPr="003C3C55" w:rsidRDefault="00C801FF" w:rsidP="00FA48AC">
            <w:pPr>
              <w:jc w:val="center"/>
              <w:rPr>
                <w:rFonts w:ascii="Arial Narrow" w:hAnsi="Arial Narrow" w:cs="Calibri"/>
                <w:b/>
                <w:bCs/>
                <w:color w:val="000000"/>
                <w:lang w:val="es-CR" w:eastAsia="es-CR"/>
              </w:rPr>
            </w:pPr>
            <w:r w:rsidRPr="003C3C55">
              <w:rPr>
                <w:rFonts w:ascii="Arial Narrow" w:hAnsi="Arial Narrow" w:cs="Calibri"/>
                <w:b/>
                <w:bCs/>
                <w:color w:val="000000"/>
                <w:lang w:val="es-CR" w:eastAsia="es-CR"/>
              </w:rPr>
              <w:t>Cantidad de Metas Estratégicas</w:t>
            </w:r>
          </w:p>
        </w:tc>
        <w:tc>
          <w:tcPr>
            <w:tcW w:w="1420" w:type="dxa"/>
            <w:tcBorders>
              <w:top w:val="single" w:sz="4" w:space="0" w:color="auto"/>
              <w:left w:val="nil"/>
              <w:bottom w:val="single" w:sz="4" w:space="0" w:color="auto"/>
              <w:right w:val="single" w:sz="4" w:space="0" w:color="auto"/>
            </w:tcBorders>
            <w:shd w:val="clear" w:color="000000" w:fill="DEEAF6"/>
            <w:vAlign w:val="center"/>
            <w:hideMark/>
          </w:tcPr>
          <w:p w14:paraId="666A6E26" w14:textId="77777777" w:rsidR="00C801FF" w:rsidRPr="003C3C55" w:rsidRDefault="00C801FF" w:rsidP="00FA48AC">
            <w:pPr>
              <w:jc w:val="center"/>
              <w:rPr>
                <w:rFonts w:ascii="Arial Narrow" w:hAnsi="Arial Narrow" w:cs="Calibri"/>
                <w:b/>
                <w:bCs/>
                <w:color w:val="000000"/>
                <w:lang w:val="es-CR" w:eastAsia="es-CR"/>
              </w:rPr>
            </w:pPr>
            <w:r w:rsidRPr="003C3C55">
              <w:rPr>
                <w:rFonts w:ascii="Arial Narrow" w:hAnsi="Arial Narrow" w:cs="Calibri"/>
                <w:b/>
                <w:bCs/>
                <w:color w:val="000000"/>
                <w:lang w:val="es-CR" w:eastAsia="es-CR"/>
              </w:rPr>
              <w:t>Porcentaje de cumplimiento</w:t>
            </w:r>
          </w:p>
        </w:tc>
      </w:tr>
      <w:tr w:rsidR="006F3725" w:rsidRPr="003C3C55" w14:paraId="3A71A618" w14:textId="77777777" w:rsidTr="00FA48AC">
        <w:trPr>
          <w:trHeight w:val="300"/>
        </w:trPr>
        <w:tc>
          <w:tcPr>
            <w:tcW w:w="952" w:type="dxa"/>
            <w:tcBorders>
              <w:top w:val="nil"/>
              <w:left w:val="single" w:sz="4" w:space="0" w:color="auto"/>
              <w:bottom w:val="single" w:sz="4" w:space="0" w:color="auto"/>
              <w:right w:val="single" w:sz="4" w:space="0" w:color="auto"/>
            </w:tcBorders>
            <w:shd w:val="clear" w:color="FFFFFF" w:fill="FFFFFF"/>
            <w:vAlign w:val="center"/>
            <w:hideMark/>
          </w:tcPr>
          <w:p w14:paraId="414D1CF9" w14:textId="77777777" w:rsidR="00C801FF" w:rsidRPr="003C3C55" w:rsidRDefault="00C801FF" w:rsidP="00FA48AC">
            <w:pPr>
              <w:jc w:val="center"/>
              <w:rPr>
                <w:rFonts w:ascii="Arial Narrow" w:hAnsi="Arial Narrow" w:cs="Calibri"/>
                <w:color w:val="000000"/>
                <w:sz w:val="20"/>
                <w:szCs w:val="20"/>
                <w:lang w:val="es-CR" w:eastAsia="es-CR"/>
              </w:rPr>
            </w:pPr>
            <w:r w:rsidRPr="003C3C55">
              <w:rPr>
                <w:rFonts w:ascii="Arial Narrow" w:hAnsi="Arial Narrow" w:cs="Calibri"/>
                <w:color w:val="000000"/>
                <w:sz w:val="20"/>
                <w:szCs w:val="20"/>
                <w:lang w:val="es-CR" w:eastAsia="es-CR"/>
              </w:rPr>
              <w:t>1</w:t>
            </w:r>
          </w:p>
        </w:tc>
        <w:tc>
          <w:tcPr>
            <w:tcW w:w="5280" w:type="dxa"/>
            <w:tcBorders>
              <w:top w:val="nil"/>
              <w:left w:val="nil"/>
              <w:bottom w:val="single" w:sz="4" w:space="0" w:color="auto"/>
              <w:right w:val="single" w:sz="4" w:space="0" w:color="auto"/>
            </w:tcBorders>
            <w:shd w:val="clear" w:color="000000" w:fill="FFFFFF"/>
            <w:noWrap/>
            <w:vAlign w:val="center"/>
            <w:hideMark/>
          </w:tcPr>
          <w:p w14:paraId="465D6296" w14:textId="77777777" w:rsidR="00C801FF" w:rsidRPr="003C3C55" w:rsidRDefault="00C801FF" w:rsidP="00FA48AC">
            <w:pPr>
              <w:jc w:val="center"/>
              <w:rPr>
                <w:rFonts w:ascii="Arial Narrow" w:hAnsi="Arial Narrow" w:cs="Calibri"/>
                <w:color w:val="000000"/>
                <w:sz w:val="22"/>
                <w:szCs w:val="22"/>
                <w:lang w:val="es-CR" w:eastAsia="es-CR"/>
              </w:rPr>
            </w:pPr>
            <w:r w:rsidRPr="003C3C55">
              <w:rPr>
                <w:rFonts w:ascii="Arial Narrow" w:hAnsi="Arial Narrow" w:cs="Calibri"/>
                <w:color w:val="000000"/>
                <w:sz w:val="22"/>
                <w:szCs w:val="22"/>
                <w:lang w:val="es-CR" w:eastAsia="es-CR"/>
              </w:rPr>
              <w:t>CENTRO ELECTRONICO DE INFORMACION JURISPRUDENCIAL</w:t>
            </w:r>
          </w:p>
        </w:tc>
        <w:tc>
          <w:tcPr>
            <w:tcW w:w="1551" w:type="dxa"/>
            <w:tcBorders>
              <w:top w:val="nil"/>
              <w:left w:val="nil"/>
              <w:bottom w:val="single" w:sz="4" w:space="0" w:color="auto"/>
              <w:right w:val="single" w:sz="4" w:space="0" w:color="auto"/>
            </w:tcBorders>
            <w:shd w:val="clear" w:color="FFFFFF" w:fill="FFFFFF"/>
            <w:vAlign w:val="center"/>
            <w:hideMark/>
          </w:tcPr>
          <w:p w14:paraId="079BDE13" w14:textId="77777777" w:rsidR="00C801FF" w:rsidRPr="003C3C55" w:rsidRDefault="00C801FF" w:rsidP="00FA48AC">
            <w:pPr>
              <w:jc w:val="center"/>
              <w:rPr>
                <w:rFonts w:ascii="Arial Narrow" w:hAnsi="Arial Narrow" w:cs="Calibri"/>
                <w:color w:val="000000"/>
                <w:sz w:val="20"/>
                <w:szCs w:val="20"/>
                <w:lang w:val="es-CR" w:eastAsia="es-CR"/>
              </w:rPr>
            </w:pPr>
            <w:r w:rsidRPr="003C3C55">
              <w:rPr>
                <w:rFonts w:ascii="Arial Narrow" w:hAnsi="Arial Narrow" w:cs="Calibri"/>
                <w:color w:val="000000"/>
                <w:sz w:val="20"/>
                <w:szCs w:val="20"/>
                <w:lang w:val="es-CR" w:eastAsia="es-CR"/>
              </w:rPr>
              <w:t>1</w:t>
            </w:r>
          </w:p>
        </w:tc>
        <w:tc>
          <w:tcPr>
            <w:tcW w:w="1420" w:type="dxa"/>
            <w:tcBorders>
              <w:top w:val="nil"/>
              <w:left w:val="nil"/>
              <w:bottom w:val="single" w:sz="4" w:space="0" w:color="auto"/>
              <w:right w:val="single" w:sz="4" w:space="0" w:color="auto"/>
            </w:tcBorders>
            <w:shd w:val="clear" w:color="000000" w:fill="70AD47"/>
            <w:vAlign w:val="center"/>
            <w:hideMark/>
          </w:tcPr>
          <w:p w14:paraId="01A3409E" w14:textId="77777777" w:rsidR="00C801FF" w:rsidRPr="003C3C55" w:rsidRDefault="00C801FF" w:rsidP="00FA48AC">
            <w:pPr>
              <w:jc w:val="center"/>
              <w:rPr>
                <w:rFonts w:ascii="Arial Narrow" w:hAnsi="Arial Narrow" w:cs="Calibri"/>
                <w:color w:val="000000"/>
                <w:sz w:val="20"/>
                <w:szCs w:val="20"/>
                <w:lang w:val="es-CR" w:eastAsia="es-CR"/>
              </w:rPr>
            </w:pPr>
            <w:r w:rsidRPr="003C3C55">
              <w:rPr>
                <w:rFonts w:ascii="Arial Narrow" w:hAnsi="Arial Narrow" w:cs="Calibri"/>
                <w:color w:val="000000"/>
                <w:sz w:val="20"/>
                <w:szCs w:val="20"/>
                <w:lang w:val="es-CR" w:eastAsia="es-CR"/>
              </w:rPr>
              <w:t>100.00 %</w:t>
            </w:r>
          </w:p>
        </w:tc>
      </w:tr>
      <w:tr w:rsidR="006F3725" w:rsidRPr="003C3C55" w14:paraId="68CC5562" w14:textId="77777777" w:rsidTr="00FA48AC">
        <w:trPr>
          <w:trHeight w:val="300"/>
        </w:trPr>
        <w:tc>
          <w:tcPr>
            <w:tcW w:w="952" w:type="dxa"/>
            <w:tcBorders>
              <w:top w:val="nil"/>
              <w:left w:val="single" w:sz="4" w:space="0" w:color="auto"/>
              <w:bottom w:val="single" w:sz="4" w:space="0" w:color="auto"/>
              <w:right w:val="single" w:sz="4" w:space="0" w:color="auto"/>
            </w:tcBorders>
            <w:shd w:val="clear" w:color="D3D3D3" w:fill="FFFFFF"/>
            <w:vAlign w:val="center"/>
            <w:hideMark/>
          </w:tcPr>
          <w:p w14:paraId="6ECA4F42" w14:textId="77777777" w:rsidR="00C801FF" w:rsidRPr="003C3C55" w:rsidRDefault="00C801FF" w:rsidP="00FA48AC">
            <w:pPr>
              <w:jc w:val="center"/>
              <w:rPr>
                <w:rFonts w:ascii="Arial Narrow" w:hAnsi="Arial Narrow" w:cs="Calibri"/>
                <w:color w:val="000000"/>
                <w:sz w:val="20"/>
                <w:szCs w:val="20"/>
                <w:lang w:val="es-CR" w:eastAsia="es-CR"/>
              </w:rPr>
            </w:pPr>
            <w:r w:rsidRPr="003C3C55">
              <w:rPr>
                <w:rFonts w:ascii="Arial Narrow" w:hAnsi="Arial Narrow" w:cs="Calibri"/>
                <w:color w:val="000000"/>
                <w:sz w:val="20"/>
                <w:szCs w:val="20"/>
                <w:lang w:val="es-CR" w:eastAsia="es-CR"/>
              </w:rPr>
              <w:t>2</w:t>
            </w:r>
          </w:p>
        </w:tc>
        <w:tc>
          <w:tcPr>
            <w:tcW w:w="5280" w:type="dxa"/>
            <w:tcBorders>
              <w:top w:val="nil"/>
              <w:left w:val="nil"/>
              <w:bottom w:val="single" w:sz="4" w:space="0" w:color="auto"/>
              <w:right w:val="single" w:sz="4" w:space="0" w:color="auto"/>
            </w:tcBorders>
            <w:shd w:val="clear" w:color="000000" w:fill="FFFFFF"/>
            <w:noWrap/>
            <w:vAlign w:val="center"/>
            <w:hideMark/>
          </w:tcPr>
          <w:p w14:paraId="624F91A2" w14:textId="77777777" w:rsidR="00C801FF" w:rsidRPr="003C3C55" w:rsidRDefault="00C801FF" w:rsidP="00FA48AC">
            <w:pPr>
              <w:jc w:val="center"/>
              <w:rPr>
                <w:rFonts w:ascii="Arial Narrow" w:hAnsi="Arial Narrow" w:cs="Calibri"/>
                <w:color w:val="000000"/>
                <w:sz w:val="22"/>
                <w:szCs w:val="22"/>
                <w:lang w:val="es-CR" w:eastAsia="es-CR"/>
              </w:rPr>
            </w:pPr>
            <w:r w:rsidRPr="003C3C55">
              <w:rPr>
                <w:rFonts w:ascii="Arial Narrow" w:hAnsi="Arial Narrow" w:cs="Calibri"/>
                <w:color w:val="000000"/>
                <w:sz w:val="22"/>
                <w:szCs w:val="22"/>
                <w:lang w:val="es-CR" w:eastAsia="es-CR"/>
              </w:rPr>
              <w:t>COMISION DE TRANSPARENCIA INSTITUCIONAL</w:t>
            </w:r>
          </w:p>
        </w:tc>
        <w:tc>
          <w:tcPr>
            <w:tcW w:w="1551" w:type="dxa"/>
            <w:tcBorders>
              <w:top w:val="nil"/>
              <w:left w:val="nil"/>
              <w:bottom w:val="single" w:sz="4" w:space="0" w:color="auto"/>
              <w:right w:val="single" w:sz="4" w:space="0" w:color="auto"/>
            </w:tcBorders>
            <w:shd w:val="clear" w:color="D3D3D3" w:fill="FFFFFF"/>
            <w:vAlign w:val="center"/>
            <w:hideMark/>
          </w:tcPr>
          <w:p w14:paraId="2192DB08" w14:textId="77777777" w:rsidR="00C801FF" w:rsidRPr="003C3C55" w:rsidRDefault="00C801FF" w:rsidP="00FA48AC">
            <w:pPr>
              <w:jc w:val="center"/>
              <w:rPr>
                <w:rFonts w:ascii="Arial Narrow" w:hAnsi="Arial Narrow" w:cs="Calibri"/>
                <w:color w:val="000000"/>
                <w:sz w:val="20"/>
                <w:szCs w:val="20"/>
                <w:lang w:val="es-CR" w:eastAsia="es-CR"/>
              </w:rPr>
            </w:pPr>
            <w:r w:rsidRPr="003C3C55">
              <w:rPr>
                <w:rFonts w:ascii="Arial Narrow" w:hAnsi="Arial Narrow" w:cs="Calibri"/>
                <w:color w:val="000000"/>
                <w:sz w:val="20"/>
                <w:szCs w:val="20"/>
                <w:lang w:val="es-CR" w:eastAsia="es-CR"/>
              </w:rPr>
              <w:t>1</w:t>
            </w:r>
          </w:p>
        </w:tc>
        <w:tc>
          <w:tcPr>
            <w:tcW w:w="1420" w:type="dxa"/>
            <w:tcBorders>
              <w:top w:val="nil"/>
              <w:left w:val="nil"/>
              <w:bottom w:val="single" w:sz="4" w:space="0" w:color="auto"/>
              <w:right w:val="single" w:sz="4" w:space="0" w:color="auto"/>
            </w:tcBorders>
            <w:shd w:val="clear" w:color="000000" w:fill="70AD47"/>
            <w:vAlign w:val="center"/>
            <w:hideMark/>
          </w:tcPr>
          <w:p w14:paraId="19E979F5" w14:textId="77777777" w:rsidR="00C801FF" w:rsidRPr="003C3C55" w:rsidRDefault="00C801FF" w:rsidP="00FA48AC">
            <w:pPr>
              <w:jc w:val="center"/>
              <w:rPr>
                <w:rFonts w:ascii="Arial Narrow" w:hAnsi="Arial Narrow" w:cs="Calibri"/>
                <w:color w:val="000000"/>
                <w:sz w:val="20"/>
                <w:szCs w:val="20"/>
                <w:lang w:val="es-CR" w:eastAsia="es-CR"/>
              </w:rPr>
            </w:pPr>
            <w:r w:rsidRPr="003C3C55">
              <w:rPr>
                <w:rFonts w:ascii="Arial Narrow" w:hAnsi="Arial Narrow" w:cs="Calibri"/>
                <w:color w:val="000000"/>
                <w:sz w:val="20"/>
                <w:szCs w:val="20"/>
                <w:lang w:val="es-CR" w:eastAsia="es-CR"/>
              </w:rPr>
              <w:t>100.00 %</w:t>
            </w:r>
          </w:p>
        </w:tc>
      </w:tr>
      <w:tr w:rsidR="006F3725" w:rsidRPr="003C3C55" w14:paraId="39B85DD3" w14:textId="77777777" w:rsidTr="00FA48AC">
        <w:trPr>
          <w:trHeight w:val="300"/>
        </w:trPr>
        <w:tc>
          <w:tcPr>
            <w:tcW w:w="952" w:type="dxa"/>
            <w:tcBorders>
              <w:top w:val="nil"/>
              <w:left w:val="single" w:sz="4" w:space="0" w:color="auto"/>
              <w:bottom w:val="single" w:sz="4" w:space="0" w:color="auto"/>
              <w:right w:val="single" w:sz="4" w:space="0" w:color="auto"/>
            </w:tcBorders>
            <w:shd w:val="clear" w:color="FFFFFF" w:fill="FFFFFF"/>
            <w:vAlign w:val="center"/>
            <w:hideMark/>
          </w:tcPr>
          <w:p w14:paraId="4EB04C26" w14:textId="77777777" w:rsidR="00C801FF" w:rsidRPr="003C3C55" w:rsidRDefault="00C801FF" w:rsidP="00FA48AC">
            <w:pPr>
              <w:jc w:val="center"/>
              <w:rPr>
                <w:rFonts w:ascii="Arial Narrow" w:hAnsi="Arial Narrow" w:cs="Calibri"/>
                <w:color w:val="000000"/>
                <w:sz w:val="20"/>
                <w:szCs w:val="20"/>
                <w:lang w:val="es-CR" w:eastAsia="es-CR"/>
              </w:rPr>
            </w:pPr>
            <w:r w:rsidRPr="003C3C55">
              <w:rPr>
                <w:rFonts w:ascii="Arial Narrow" w:hAnsi="Arial Narrow" w:cs="Calibri"/>
                <w:color w:val="000000"/>
                <w:sz w:val="20"/>
                <w:szCs w:val="20"/>
                <w:lang w:val="es-CR" w:eastAsia="es-CR"/>
              </w:rPr>
              <w:t>3</w:t>
            </w:r>
          </w:p>
        </w:tc>
        <w:tc>
          <w:tcPr>
            <w:tcW w:w="5280" w:type="dxa"/>
            <w:tcBorders>
              <w:top w:val="nil"/>
              <w:left w:val="nil"/>
              <w:bottom w:val="single" w:sz="4" w:space="0" w:color="auto"/>
              <w:right w:val="single" w:sz="4" w:space="0" w:color="auto"/>
            </w:tcBorders>
            <w:shd w:val="clear" w:color="000000" w:fill="FFFFFF"/>
            <w:noWrap/>
            <w:vAlign w:val="center"/>
            <w:hideMark/>
          </w:tcPr>
          <w:p w14:paraId="5C6632E2" w14:textId="77777777" w:rsidR="00C801FF" w:rsidRPr="003C3C55" w:rsidRDefault="00C801FF" w:rsidP="00FA48AC">
            <w:pPr>
              <w:jc w:val="center"/>
              <w:rPr>
                <w:rFonts w:ascii="Arial Narrow" w:hAnsi="Arial Narrow" w:cs="Calibri"/>
                <w:color w:val="000000"/>
                <w:sz w:val="22"/>
                <w:szCs w:val="22"/>
                <w:lang w:val="es-CR" w:eastAsia="es-CR"/>
              </w:rPr>
            </w:pPr>
            <w:r w:rsidRPr="003C3C55">
              <w:rPr>
                <w:rFonts w:ascii="Arial Narrow" w:hAnsi="Arial Narrow" w:cs="Calibri"/>
                <w:color w:val="000000"/>
                <w:sz w:val="22"/>
                <w:szCs w:val="22"/>
                <w:lang w:val="es-CR" w:eastAsia="es-CR"/>
              </w:rPr>
              <w:t>CONTRALORIA DE SERVICIOS (SEDE CENTRAL)</w:t>
            </w:r>
          </w:p>
        </w:tc>
        <w:tc>
          <w:tcPr>
            <w:tcW w:w="1551" w:type="dxa"/>
            <w:tcBorders>
              <w:top w:val="nil"/>
              <w:left w:val="nil"/>
              <w:bottom w:val="single" w:sz="4" w:space="0" w:color="auto"/>
              <w:right w:val="single" w:sz="4" w:space="0" w:color="auto"/>
            </w:tcBorders>
            <w:shd w:val="clear" w:color="FFFFFF" w:fill="FFFFFF"/>
            <w:vAlign w:val="center"/>
            <w:hideMark/>
          </w:tcPr>
          <w:p w14:paraId="57BAE337" w14:textId="77777777" w:rsidR="00C801FF" w:rsidRPr="003C3C55" w:rsidRDefault="00C801FF" w:rsidP="00FA48AC">
            <w:pPr>
              <w:jc w:val="center"/>
              <w:rPr>
                <w:rFonts w:ascii="Arial Narrow" w:hAnsi="Arial Narrow" w:cs="Calibri"/>
                <w:color w:val="000000"/>
                <w:sz w:val="20"/>
                <w:szCs w:val="20"/>
                <w:lang w:val="es-CR" w:eastAsia="es-CR"/>
              </w:rPr>
            </w:pPr>
            <w:r w:rsidRPr="003C3C55">
              <w:rPr>
                <w:rFonts w:ascii="Arial Narrow" w:hAnsi="Arial Narrow" w:cs="Calibri"/>
                <w:color w:val="000000"/>
                <w:sz w:val="20"/>
                <w:szCs w:val="20"/>
                <w:lang w:val="es-CR" w:eastAsia="es-CR"/>
              </w:rPr>
              <w:t>2</w:t>
            </w:r>
          </w:p>
        </w:tc>
        <w:tc>
          <w:tcPr>
            <w:tcW w:w="1420" w:type="dxa"/>
            <w:tcBorders>
              <w:top w:val="nil"/>
              <w:left w:val="nil"/>
              <w:bottom w:val="single" w:sz="4" w:space="0" w:color="auto"/>
              <w:right w:val="single" w:sz="4" w:space="0" w:color="auto"/>
            </w:tcBorders>
            <w:shd w:val="clear" w:color="000000" w:fill="70AD47"/>
            <w:vAlign w:val="center"/>
            <w:hideMark/>
          </w:tcPr>
          <w:p w14:paraId="37AB8A06" w14:textId="77777777" w:rsidR="00C801FF" w:rsidRPr="003C3C55" w:rsidRDefault="00C801FF" w:rsidP="00FA48AC">
            <w:pPr>
              <w:jc w:val="center"/>
              <w:rPr>
                <w:rFonts w:ascii="Arial Narrow" w:hAnsi="Arial Narrow" w:cs="Calibri"/>
                <w:color w:val="000000"/>
                <w:sz w:val="20"/>
                <w:szCs w:val="20"/>
                <w:lang w:val="es-CR" w:eastAsia="es-CR"/>
              </w:rPr>
            </w:pPr>
            <w:r w:rsidRPr="003C3C55">
              <w:rPr>
                <w:rFonts w:ascii="Arial Narrow" w:hAnsi="Arial Narrow" w:cs="Calibri"/>
                <w:color w:val="000000"/>
                <w:sz w:val="20"/>
                <w:szCs w:val="20"/>
                <w:lang w:val="es-CR" w:eastAsia="es-CR"/>
              </w:rPr>
              <w:t>100.00 %</w:t>
            </w:r>
          </w:p>
        </w:tc>
      </w:tr>
      <w:tr w:rsidR="006F3725" w:rsidRPr="003C3C55" w14:paraId="5DAE065B" w14:textId="77777777" w:rsidTr="00FA48AC">
        <w:trPr>
          <w:trHeight w:val="300"/>
        </w:trPr>
        <w:tc>
          <w:tcPr>
            <w:tcW w:w="952" w:type="dxa"/>
            <w:tcBorders>
              <w:top w:val="nil"/>
              <w:left w:val="single" w:sz="4" w:space="0" w:color="auto"/>
              <w:bottom w:val="single" w:sz="4" w:space="0" w:color="auto"/>
              <w:right w:val="single" w:sz="4" w:space="0" w:color="auto"/>
            </w:tcBorders>
            <w:shd w:val="clear" w:color="D3D3D3" w:fill="FFFFFF"/>
            <w:vAlign w:val="center"/>
            <w:hideMark/>
          </w:tcPr>
          <w:p w14:paraId="4B0C40C1" w14:textId="77777777" w:rsidR="00C801FF" w:rsidRPr="003C3C55" w:rsidRDefault="00C801FF" w:rsidP="00FA48AC">
            <w:pPr>
              <w:jc w:val="center"/>
              <w:rPr>
                <w:rFonts w:ascii="Arial Narrow" w:hAnsi="Arial Narrow" w:cs="Calibri"/>
                <w:color w:val="000000"/>
                <w:sz w:val="20"/>
                <w:szCs w:val="20"/>
                <w:lang w:val="es-CR" w:eastAsia="es-CR"/>
              </w:rPr>
            </w:pPr>
            <w:r w:rsidRPr="003C3C55">
              <w:rPr>
                <w:rFonts w:ascii="Arial Narrow" w:hAnsi="Arial Narrow" w:cs="Calibri"/>
                <w:color w:val="000000"/>
                <w:sz w:val="20"/>
                <w:szCs w:val="20"/>
                <w:lang w:val="es-CR" w:eastAsia="es-CR"/>
              </w:rPr>
              <w:t>4</w:t>
            </w:r>
          </w:p>
        </w:tc>
        <w:tc>
          <w:tcPr>
            <w:tcW w:w="5280" w:type="dxa"/>
            <w:tcBorders>
              <w:top w:val="nil"/>
              <w:left w:val="nil"/>
              <w:bottom w:val="single" w:sz="4" w:space="0" w:color="auto"/>
              <w:right w:val="single" w:sz="4" w:space="0" w:color="auto"/>
            </w:tcBorders>
            <w:shd w:val="clear" w:color="000000" w:fill="FFFFFF"/>
            <w:noWrap/>
            <w:vAlign w:val="center"/>
            <w:hideMark/>
          </w:tcPr>
          <w:p w14:paraId="301D08BA" w14:textId="77777777" w:rsidR="00C801FF" w:rsidRPr="003C3C55" w:rsidRDefault="00C801FF" w:rsidP="00FA48AC">
            <w:pPr>
              <w:jc w:val="center"/>
              <w:rPr>
                <w:rFonts w:ascii="Arial Narrow" w:hAnsi="Arial Narrow" w:cs="Calibri"/>
                <w:color w:val="000000"/>
                <w:sz w:val="22"/>
                <w:szCs w:val="22"/>
                <w:lang w:val="es-CR" w:eastAsia="es-CR"/>
              </w:rPr>
            </w:pPr>
            <w:r w:rsidRPr="003C3C55">
              <w:rPr>
                <w:rFonts w:ascii="Arial Narrow" w:hAnsi="Arial Narrow" w:cs="Calibri"/>
                <w:color w:val="000000"/>
                <w:sz w:val="22"/>
                <w:szCs w:val="22"/>
                <w:lang w:val="es-CR" w:eastAsia="es-CR"/>
              </w:rPr>
              <w:t>DESPACHO DE LA PRESIDENCIA</w:t>
            </w:r>
          </w:p>
        </w:tc>
        <w:tc>
          <w:tcPr>
            <w:tcW w:w="1551" w:type="dxa"/>
            <w:tcBorders>
              <w:top w:val="nil"/>
              <w:left w:val="nil"/>
              <w:bottom w:val="single" w:sz="4" w:space="0" w:color="auto"/>
              <w:right w:val="single" w:sz="4" w:space="0" w:color="auto"/>
            </w:tcBorders>
            <w:shd w:val="clear" w:color="D3D3D3" w:fill="FFFFFF"/>
            <w:vAlign w:val="center"/>
            <w:hideMark/>
          </w:tcPr>
          <w:p w14:paraId="64E48E87" w14:textId="77777777" w:rsidR="00C801FF" w:rsidRPr="003C3C55" w:rsidRDefault="00C801FF" w:rsidP="00FA48AC">
            <w:pPr>
              <w:jc w:val="center"/>
              <w:rPr>
                <w:rFonts w:ascii="Arial Narrow" w:hAnsi="Arial Narrow" w:cs="Calibri"/>
                <w:color w:val="000000"/>
                <w:sz w:val="20"/>
                <w:szCs w:val="20"/>
                <w:lang w:val="es-CR" w:eastAsia="es-CR"/>
              </w:rPr>
            </w:pPr>
            <w:r w:rsidRPr="003C3C55">
              <w:rPr>
                <w:rFonts w:ascii="Arial Narrow" w:hAnsi="Arial Narrow" w:cs="Calibri"/>
                <w:color w:val="000000"/>
                <w:sz w:val="20"/>
                <w:szCs w:val="20"/>
                <w:lang w:val="es-CR" w:eastAsia="es-CR"/>
              </w:rPr>
              <w:t>11</w:t>
            </w:r>
          </w:p>
        </w:tc>
        <w:tc>
          <w:tcPr>
            <w:tcW w:w="1420" w:type="dxa"/>
            <w:tcBorders>
              <w:top w:val="nil"/>
              <w:left w:val="nil"/>
              <w:bottom w:val="single" w:sz="4" w:space="0" w:color="auto"/>
              <w:right w:val="single" w:sz="4" w:space="0" w:color="auto"/>
            </w:tcBorders>
            <w:shd w:val="clear" w:color="000000" w:fill="70AD47"/>
            <w:vAlign w:val="center"/>
            <w:hideMark/>
          </w:tcPr>
          <w:p w14:paraId="2F3CAB68" w14:textId="77777777" w:rsidR="00C801FF" w:rsidRPr="003C3C55" w:rsidRDefault="00C801FF" w:rsidP="00FA48AC">
            <w:pPr>
              <w:jc w:val="center"/>
              <w:rPr>
                <w:rFonts w:ascii="Arial Narrow" w:hAnsi="Arial Narrow" w:cs="Calibri"/>
                <w:color w:val="000000"/>
                <w:sz w:val="20"/>
                <w:szCs w:val="20"/>
                <w:lang w:val="es-CR" w:eastAsia="es-CR"/>
              </w:rPr>
            </w:pPr>
            <w:r w:rsidRPr="003C3C55">
              <w:rPr>
                <w:rFonts w:ascii="Arial Narrow" w:hAnsi="Arial Narrow" w:cs="Calibri"/>
                <w:color w:val="000000"/>
                <w:sz w:val="20"/>
                <w:szCs w:val="20"/>
                <w:lang w:val="es-CR" w:eastAsia="es-CR"/>
              </w:rPr>
              <w:t>100.00 %</w:t>
            </w:r>
          </w:p>
        </w:tc>
      </w:tr>
      <w:tr w:rsidR="006F3725" w:rsidRPr="003C3C55" w14:paraId="1EB3A0B8" w14:textId="77777777" w:rsidTr="00FA48AC">
        <w:trPr>
          <w:trHeight w:val="300"/>
        </w:trPr>
        <w:tc>
          <w:tcPr>
            <w:tcW w:w="952" w:type="dxa"/>
            <w:tcBorders>
              <w:top w:val="nil"/>
              <w:left w:val="single" w:sz="4" w:space="0" w:color="auto"/>
              <w:bottom w:val="single" w:sz="4" w:space="0" w:color="auto"/>
              <w:right w:val="single" w:sz="4" w:space="0" w:color="auto"/>
            </w:tcBorders>
            <w:shd w:val="clear" w:color="FFFFFF" w:fill="FFFFFF"/>
            <w:vAlign w:val="center"/>
            <w:hideMark/>
          </w:tcPr>
          <w:p w14:paraId="232A778E" w14:textId="77777777" w:rsidR="00C801FF" w:rsidRPr="003C3C55" w:rsidRDefault="00C801FF" w:rsidP="00FA48AC">
            <w:pPr>
              <w:jc w:val="center"/>
              <w:rPr>
                <w:rFonts w:ascii="Arial Narrow" w:hAnsi="Arial Narrow" w:cs="Calibri"/>
                <w:color w:val="000000"/>
                <w:sz w:val="20"/>
                <w:szCs w:val="20"/>
                <w:lang w:val="es-CR" w:eastAsia="es-CR"/>
              </w:rPr>
            </w:pPr>
            <w:r w:rsidRPr="003C3C55">
              <w:rPr>
                <w:rFonts w:ascii="Arial Narrow" w:hAnsi="Arial Narrow" w:cs="Calibri"/>
                <w:color w:val="000000"/>
                <w:sz w:val="20"/>
                <w:szCs w:val="20"/>
                <w:lang w:val="es-CR" w:eastAsia="es-CR"/>
              </w:rPr>
              <w:t>5</w:t>
            </w:r>
          </w:p>
        </w:tc>
        <w:tc>
          <w:tcPr>
            <w:tcW w:w="5280" w:type="dxa"/>
            <w:tcBorders>
              <w:top w:val="nil"/>
              <w:left w:val="nil"/>
              <w:bottom w:val="single" w:sz="4" w:space="0" w:color="auto"/>
              <w:right w:val="single" w:sz="4" w:space="0" w:color="auto"/>
            </w:tcBorders>
            <w:shd w:val="clear" w:color="000000" w:fill="FFFFFF"/>
            <w:noWrap/>
            <w:vAlign w:val="center"/>
            <w:hideMark/>
          </w:tcPr>
          <w:p w14:paraId="2F39536F" w14:textId="77777777" w:rsidR="00C801FF" w:rsidRPr="003C3C55" w:rsidRDefault="00C801FF" w:rsidP="00FA48AC">
            <w:pPr>
              <w:jc w:val="center"/>
              <w:rPr>
                <w:rFonts w:ascii="Arial Narrow" w:hAnsi="Arial Narrow" w:cs="Calibri"/>
                <w:color w:val="000000"/>
                <w:sz w:val="22"/>
                <w:szCs w:val="22"/>
                <w:lang w:val="es-CR" w:eastAsia="es-CR"/>
              </w:rPr>
            </w:pPr>
            <w:r w:rsidRPr="003C3C55">
              <w:rPr>
                <w:rFonts w:ascii="Arial Narrow" w:hAnsi="Arial Narrow" w:cs="Calibri"/>
                <w:color w:val="000000"/>
                <w:sz w:val="22"/>
                <w:szCs w:val="22"/>
                <w:lang w:val="es-CR" w:eastAsia="es-CR"/>
              </w:rPr>
              <w:t>DIRECCION EJECUTIVA</w:t>
            </w:r>
          </w:p>
        </w:tc>
        <w:tc>
          <w:tcPr>
            <w:tcW w:w="1551" w:type="dxa"/>
            <w:tcBorders>
              <w:top w:val="nil"/>
              <w:left w:val="nil"/>
              <w:bottom w:val="single" w:sz="4" w:space="0" w:color="auto"/>
              <w:right w:val="single" w:sz="4" w:space="0" w:color="auto"/>
            </w:tcBorders>
            <w:shd w:val="clear" w:color="FFFFFF" w:fill="FFFFFF"/>
            <w:vAlign w:val="center"/>
            <w:hideMark/>
          </w:tcPr>
          <w:p w14:paraId="4542A2CA" w14:textId="77777777" w:rsidR="00C801FF" w:rsidRPr="003C3C55" w:rsidRDefault="00C801FF" w:rsidP="00FA48AC">
            <w:pPr>
              <w:jc w:val="center"/>
              <w:rPr>
                <w:rFonts w:ascii="Arial Narrow" w:hAnsi="Arial Narrow" w:cs="Calibri"/>
                <w:color w:val="000000"/>
                <w:sz w:val="20"/>
                <w:szCs w:val="20"/>
                <w:lang w:val="es-CR" w:eastAsia="es-CR"/>
              </w:rPr>
            </w:pPr>
            <w:r w:rsidRPr="003C3C55">
              <w:rPr>
                <w:rFonts w:ascii="Arial Narrow" w:hAnsi="Arial Narrow" w:cs="Calibri"/>
                <w:color w:val="000000"/>
                <w:sz w:val="20"/>
                <w:szCs w:val="20"/>
                <w:lang w:val="es-CR" w:eastAsia="es-CR"/>
              </w:rPr>
              <w:t>6</w:t>
            </w:r>
          </w:p>
        </w:tc>
        <w:tc>
          <w:tcPr>
            <w:tcW w:w="1420" w:type="dxa"/>
            <w:tcBorders>
              <w:top w:val="nil"/>
              <w:left w:val="nil"/>
              <w:bottom w:val="single" w:sz="4" w:space="0" w:color="auto"/>
              <w:right w:val="single" w:sz="4" w:space="0" w:color="auto"/>
            </w:tcBorders>
            <w:shd w:val="clear" w:color="000000" w:fill="70AD47"/>
            <w:vAlign w:val="center"/>
            <w:hideMark/>
          </w:tcPr>
          <w:p w14:paraId="286BF494" w14:textId="77777777" w:rsidR="00C801FF" w:rsidRPr="003C3C55" w:rsidRDefault="00C801FF" w:rsidP="00FA48AC">
            <w:pPr>
              <w:jc w:val="center"/>
              <w:rPr>
                <w:rFonts w:ascii="Arial Narrow" w:hAnsi="Arial Narrow" w:cs="Calibri"/>
                <w:color w:val="000000"/>
                <w:sz w:val="20"/>
                <w:szCs w:val="20"/>
                <w:lang w:val="es-CR" w:eastAsia="es-CR"/>
              </w:rPr>
            </w:pPr>
            <w:r w:rsidRPr="003C3C55">
              <w:rPr>
                <w:rFonts w:ascii="Arial Narrow" w:hAnsi="Arial Narrow" w:cs="Calibri"/>
                <w:color w:val="000000"/>
                <w:sz w:val="20"/>
                <w:szCs w:val="20"/>
                <w:lang w:val="es-CR" w:eastAsia="es-CR"/>
              </w:rPr>
              <w:t>100.00 %</w:t>
            </w:r>
          </w:p>
        </w:tc>
      </w:tr>
      <w:tr w:rsidR="006F3725" w:rsidRPr="003C3C55" w14:paraId="3A398213" w14:textId="77777777" w:rsidTr="00FA48AC">
        <w:trPr>
          <w:trHeight w:val="300"/>
        </w:trPr>
        <w:tc>
          <w:tcPr>
            <w:tcW w:w="952" w:type="dxa"/>
            <w:tcBorders>
              <w:top w:val="nil"/>
              <w:left w:val="single" w:sz="4" w:space="0" w:color="auto"/>
              <w:bottom w:val="single" w:sz="4" w:space="0" w:color="auto"/>
              <w:right w:val="single" w:sz="4" w:space="0" w:color="auto"/>
            </w:tcBorders>
            <w:shd w:val="clear" w:color="D3D3D3" w:fill="FFFFFF"/>
            <w:vAlign w:val="center"/>
            <w:hideMark/>
          </w:tcPr>
          <w:p w14:paraId="2313AA69" w14:textId="77777777" w:rsidR="00C801FF" w:rsidRPr="003C3C55" w:rsidRDefault="00C801FF" w:rsidP="00FA48AC">
            <w:pPr>
              <w:jc w:val="center"/>
              <w:rPr>
                <w:rFonts w:ascii="Arial Narrow" w:hAnsi="Arial Narrow" w:cs="Calibri"/>
                <w:color w:val="000000"/>
                <w:sz w:val="20"/>
                <w:szCs w:val="20"/>
                <w:lang w:val="es-CR" w:eastAsia="es-CR"/>
              </w:rPr>
            </w:pPr>
            <w:r w:rsidRPr="003C3C55">
              <w:rPr>
                <w:rFonts w:ascii="Arial Narrow" w:hAnsi="Arial Narrow" w:cs="Calibri"/>
                <w:color w:val="000000"/>
                <w:sz w:val="20"/>
                <w:szCs w:val="20"/>
                <w:lang w:val="es-CR" w:eastAsia="es-CR"/>
              </w:rPr>
              <w:t>6</w:t>
            </w:r>
          </w:p>
        </w:tc>
        <w:tc>
          <w:tcPr>
            <w:tcW w:w="5280" w:type="dxa"/>
            <w:tcBorders>
              <w:top w:val="nil"/>
              <w:left w:val="nil"/>
              <w:bottom w:val="single" w:sz="4" w:space="0" w:color="auto"/>
              <w:right w:val="single" w:sz="4" w:space="0" w:color="auto"/>
            </w:tcBorders>
            <w:shd w:val="clear" w:color="000000" w:fill="FFFFFF"/>
            <w:noWrap/>
            <w:vAlign w:val="center"/>
            <w:hideMark/>
          </w:tcPr>
          <w:p w14:paraId="447D3524" w14:textId="77777777" w:rsidR="00C801FF" w:rsidRPr="003C3C55" w:rsidRDefault="00C801FF" w:rsidP="00FA48AC">
            <w:pPr>
              <w:jc w:val="center"/>
              <w:rPr>
                <w:rFonts w:ascii="Arial Narrow" w:hAnsi="Arial Narrow" w:cs="Calibri"/>
                <w:color w:val="000000"/>
                <w:sz w:val="22"/>
                <w:szCs w:val="22"/>
                <w:lang w:val="es-CR" w:eastAsia="es-CR"/>
              </w:rPr>
            </w:pPr>
            <w:r w:rsidRPr="003C3C55">
              <w:rPr>
                <w:rFonts w:ascii="Arial Narrow" w:hAnsi="Arial Narrow" w:cs="Calibri"/>
                <w:color w:val="000000"/>
                <w:sz w:val="22"/>
                <w:szCs w:val="22"/>
                <w:lang w:val="es-CR" w:eastAsia="es-CR"/>
              </w:rPr>
              <w:t>DIRECCION JURIDICA</w:t>
            </w:r>
          </w:p>
        </w:tc>
        <w:tc>
          <w:tcPr>
            <w:tcW w:w="1551" w:type="dxa"/>
            <w:tcBorders>
              <w:top w:val="nil"/>
              <w:left w:val="nil"/>
              <w:bottom w:val="single" w:sz="4" w:space="0" w:color="auto"/>
              <w:right w:val="single" w:sz="4" w:space="0" w:color="auto"/>
            </w:tcBorders>
            <w:shd w:val="clear" w:color="D3D3D3" w:fill="FFFFFF"/>
            <w:vAlign w:val="center"/>
            <w:hideMark/>
          </w:tcPr>
          <w:p w14:paraId="126C8C5C" w14:textId="77777777" w:rsidR="00C801FF" w:rsidRPr="003C3C55" w:rsidRDefault="00C801FF" w:rsidP="00FA48AC">
            <w:pPr>
              <w:jc w:val="center"/>
              <w:rPr>
                <w:rFonts w:ascii="Arial Narrow" w:hAnsi="Arial Narrow" w:cs="Calibri"/>
                <w:color w:val="000000"/>
                <w:sz w:val="20"/>
                <w:szCs w:val="20"/>
                <w:lang w:val="es-CR" w:eastAsia="es-CR"/>
              </w:rPr>
            </w:pPr>
            <w:r w:rsidRPr="003C3C55">
              <w:rPr>
                <w:rFonts w:ascii="Arial Narrow" w:hAnsi="Arial Narrow" w:cs="Calibri"/>
                <w:color w:val="000000"/>
                <w:sz w:val="20"/>
                <w:szCs w:val="20"/>
                <w:lang w:val="es-CR" w:eastAsia="es-CR"/>
              </w:rPr>
              <w:t>1</w:t>
            </w:r>
          </w:p>
        </w:tc>
        <w:tc>
          <w:tcPr>
            <w:tcW w:w="1420" w:type="dxa"/>
            <w:tcBorders>
              <w:top w:val="nil"/>
              <w:left w:val="nil"/>
              <w:bottom w:val="single" w:sz="4" w:space="0" w:color="auto"/>
              <w:right w:val="single" w:sz="4" w:space="0" w:color="auto"/>
            </w:tcBorders>
            <w:shd w:val="clear" w:color="000000" w:fill="70AD47"/>
            <w:vAlign w:val="center"/>
            <w:hideMark/>
          </w:tcPr>
          <w:p w14:paraId="69515693" w14:textId="77777777" w:rsidR="00C801FF" w:rsidRPr="003C3C55" w:rsidRDefault="00C801FF" w:rsidP="00FA48AC">
            <w:pPr>
              <w:jc w:val="center"/>
              <w:rPr>
                <w:rFonts w:ascii="Arial Narrow" w:hAnsi="Arial Narrow" w:cs="Calibri"/>
                <w:color w:val="000000"/>
                <w:sz w:val="20"/>
                <w:szCs w:val="20"/>
                <w:lang w:val="es-CR" w:eastAsia="es-CR"/>
              </w:rPr>
            </w:pPr>
            <w:r w:rsidRPr="003C3C55">
              <w:rPr>
                <w:rFonts w:ascii="Arial Narrow" w:hAnsi="Arial Narrow" w:cs="Calibri"/>
                <w:color w:val="000000"/>
                <w:sz w:val="20"/>
                <w:szCs w:val="20"/>
                <w:lang w:val="es-CR" w:eastAsia="es-CR"/>
              </w:rPr>
              <w:t>100.00 %</w:t>
            </w:r>
          </w:p>
        </w:tc>
      </w:tr>
      <w:tr w:rsidR="006F3725" w:rsidRPr="003C3C55" w14:paraId="57B0B814" w14:textId="77777777" w:rsidTr="00FA48AC">
        <w:trPr>
          <w:trHeight w:val="300"/>
        </w:trPr>
        <w:tc>
          <w:tcPr>
            <w:tcW w:w="952" w:type="dxa"/>
            <w:tcBorders>
              <w:top w:val="nil"/>
              <w:left w:val="single" w:sz="4" w:space="0" w:color="auto"/>
              <w:bottom w:val="single" w:sz="4" w:space="0" w:color="auto"/>
              <w:right w:val="single" w:sz="4" w:space="0" w:color="auto"/>
            </w:tcBorders>
            <w:shd w:val="clear" w:color="FFFFFF" w:fill="FFFFFF"/>
            <w:vAlign w:val="center"/>
            <w:hideMark/>
          </w:tcPr>
          <w:p w14:paraId="0C6854DA" w14:textId="77777777" w:rsidR="00C801FF" w:rsidRPr="003C3C55" w:rsidRDefault="00C801FF" w:rsidP="00FA48AC">
            <w:pPr>
              <w:jc w:val="center"/>
              <w:rPr>
                <w:rFonts w:ascii="Arial Narrow" w:hAnsi="Arial Narrow" w:cs="Calibri"/>
                <w:color w:val="000000"/>
                <w:sz w:val="20"/>
                <w:szCs w:val="20"/>
                <w:lang w:val="es-CR" w:eastAsia="es-CR"/>
              </w:rPr>
            </w:pPr>
            <w:r w:rsidRPr="003C3C55">
              <w:rPr>
                <w:rFonts w:ascii="Arial Narrow" w:hAnsi="Arial Narrow" w:cs="Calibri"/>
                <w:color w:val="000000"/>
                <w:sz w:val="20"/>
                <w:szCs w:val="20"/>
                <w:lang w:val="es-CR" w:eastAsia="es-CR"/>
              </w:rPr>
              <w:t>7</w:t>
            </w:r>
          </w:p>
        </w:tc>
        <w:tc>
          <w:tcPr>
            <w:tcW w:w="5280" w:type="dxa"/>
            <w:tcBorders>
              <w:top w:val="nil"/>
              <w:left w:val="nil"/>
              <w:bottom w:val="single" w:sz="4" w:space="0" w:color="auto"/>
              <w:right w:val="single" w:sz="4" w:space="0" w:color="auto"/>
            </w:tcBorders>
            <w:shd w:val="clear" w:color="000000" w:fill="FFFFFF"/>
            <w:noWrap/>
            <w:vAlign w:val="center"/>
            <w:hideMark/>
          </w:tcPr>
          <w:p w14:paraId="198BF1F6" w14:textId="77777777" w:rsidR="00C801FF" w:rsidRPr="003C3C55" w:rsidRDefault="00C801FF" w:rsidP="00FA48AC">
            <w:pPr>
              <w:jc w:val="center"/>
              <w:rPr>
                <w:rFonts w:ascii="Arial Narrow" w:hAnsi="Arial Narrow" w:cs="Calibri"/>
                <w:color w:val="000000"/>
                <w:sz w:val="22"/>
                <w:szCs w:val="22"/>
                <w:lang w:val="es-CR" w:eastAsia="es-CR"/>
              </w:rPr>
            </w:pPr>
            <w:r w:rsidRPr="003C3C55">
              <w:rPr>
                <w:rFonts w:ascii="Arial Narrow" w:hAnsi="Arial Narrow" w:cs="Calibri"/>
                <w:color w:val="000000"/>
                <w:sz w:val="22"/>
                <w:szCs w:val="22"/>
                <w:lang w:val="es-CR" w:eastAsia="es-CR"/>
              </w:rPr>
              <w:t>INSPECCION JUDICIAL</w:t>
            </w:r>
          </w:p>
        </w:tc>
        <w:tc>
          <w:tcPr>
            <w:tcW w:w="1551" w:type="dxa"/>
            <w:tcBorders>
              <w:top w:val="nil"/>
              <w:left w:val="nil"/>
              <w:bottom w:val="single" w:sz="4" w:space="0" w:color="auto"/>
              <w:right w:val="single" w:sz="4" w:space="0" w:color="auto"/>
            </w:tcBorders>
            <w:shd w:val="clear" w:color="FFFFFF" w:fill="FFFFFF"/>
            <w:vAlign w:val="center"/>
            <w:hideMark/>
          </w:tcPr>
          <w:p w14:paraId="28CE17C7" w14:textId="77777777" w:rsidR="00C801FF" w:rsidRPr="003C3C55" w:rsidRDefault="00C801FF" w:rsidP="00FA48AC">
            <w:pPr>
              <w:jc w:val="center"/>
              <w:rPr>
                <w:rFonts w:ascii="Arial Narrow" w:hAnsi="Arial Narrow" w:cs="Calibri"/>
                <w:color w:val="000000"/>
                <w:sz w:val="20"/>
                <w:szCs w:val="20"/>
                <w:lang w:val="es-CR" w:eastAsia="es-CR"/>
              </w:rPr>
            </w:pPr>
            <w:r w:rsidRPr="003C3C55">
              <w:rPr>
                <w:rFonts w:ascii="Arial Narrow" w:hAnsi="Arial Narrow" w:cs="Calibri"/>
                <w:color w:val="000000"/>
                <w:sz w:val="20"/>
                <w:szCs w:val="20"/>
                <w:lang w:val="es-CR" w:eastAsia="es-CR"/>
              </w:rPr>
              <w:t>1</w:t>
            </w:r>
          </w:p>
        </w:tc>
        <w:tc>
          <w:tcPr>
            <w:tcW w:w="1420" w:type="dxa"/>
            <w:tcBorders>
              <w:top w:val="nil"/>
              <w:left w:val="nil"/>
              <w:bottom w:val="single" w:sz="4" w:space="0" w:color="auto"/>
              <w:right w:val="single" w:sz="4" w:space="0" w:color="auto"/>
            </w:tcBorders>
            <w:shd w:val="clear" w:color="000000" w:fill="70AD47"/>
            <w:vAlign w:val="center"/>
            <w:hideMark/>
          </w:tcPr>
          <w:p w14:paraId="0572E39F" w14:textId="77777777" w:rsidR="00C801FF" w:rsidRPr="003C3C55" w:rsidRDefault="00C801FF" w:rsidP="00FA48AC">
            <w:pPr>
              <w:jc w:val="center"/>
              <w:rPr>
                <w:rFonts w:ascii="Arial Narrow" w:hAnsi="Arial Narrow" w:cs="Calibri"/>
                <w:color w:val="000000"/>
                <w:sz w:val="20"/>
                <w:szCs w:val="20"/>
                <w:lang w:val="es-CR" w:eastAsia="es-CR"/>
              </w:rPr>
            </w:pPr>
            <w:r w:rsidRPr="003C3C55">
              <w:rPr>
                <w:rFonts w:ascii="Arial Narrow" w:hAnsi="Arial Narrow" w:cs="Calibri"/>
                <w:color w:val="000000"/>
                <w:sz w:val="20"/>
                <w:szCs w:val="20"/>
                <w:lang w:val="es-CR" w:eastAsia="es-CR"/>
              </w:rPr>
              <w:t>100.00 %</w:t>
            </w:r>
          </w:p>
        </w:tc>
      </w:tr>
      <w:tr w:rsidR="006F3725" w:rsidRPr="003C3C55" w14:paraId="49AA3DB2" w14:textId="77777777" w:rsidTr="00FA48AC">
        <w:trPr>
          <w:trHeight w:val="300"/>
        </w:trPr>
        <w:tc>
          <w:tcPr>
            <w:tcW w:w="952" w:type="dxa"/>
            <w:tcBorders>
              <w:top w:val="nil"/>
              <w:left w:val="single" w:sz="4" w:space="0" w:color="auto"/>
              <w:bottom w:val="single" w:sz="4" w:space="0" w:color="auto"/>
              <w:right w:val="single" w:sz="4" w:space="0" w:color="auto"/>
            </w:tcBorders>
            <w:shd w:val="clear" w:color="D3D3D3" w:fill="FFFFFF"/>
            <w:vAlign w:val="center"/>
            <w:hideMark/>
          </w:tcPr>
          <w:p w14:paraId="57673065" w14:textId="77777777" w:rsidR="00C801FF" w:rsidRPr="003C3C55" w:rsidRDefault="00C801FF" w:rsidP="00FA48AC">
            <w:pPr>
              <w:jc w:val="center"/>
              <w:rPr>
                <w:rFonts w:ascii="Arial Narrow" w:hAnsi="Arial Narrow" w:cs="Calibri"/>
                <w:color w:val="000000"/>
                <w:sz w:val="20"/>
                <w:szCs w:val="20"/>
                <w:lang w:val="es-CR" w:eastAsia="es-CR"/>
              </w:rPr>
            </w:pPr>
            <w:r w:rsidRPr="003C3C55">
              <w:rPr>
                <w:rFonts w:ascii="Arial Narrow" w:hAnsi="Arial Narrow" w:cs="Calibri"/>
                <w:color w:val="000000"/>
                <w:sz w:val="20"/>
                <w:szCs w:val="20"/>
                <w:lang w:val="es-CR" w:eastAsia="es-CR"/>
              </w:rPr>
              <w:t>8</w:t>
            </w:r>
          </w:p>
        </w:tc>
        <w:tc>
          <w:tcPr>
            <w:tcW w:w="5280" w:type="dxa"/>
            <w:tcBorders>
              <w:top w:val="nil"/>
              <w:left w:val="nil"/>
              <w:bottom w:val="single" w:sz="4" w:space="0" w:color="auto"/>
              <w:right w:val="single" w:sz="4" w:space="0" w:color="auto"/>
            </w:tcBorders>
            <w:shd w:val="clear" w:color="000000" w:fill="FFFFFF"/>
            <w:noWrap/>
            <w:vAlign w:val="center"/>
            <w:hideMark/>
          </w:tcPr>
          <w:p w14:paraId="2CB86F28" w14:textId="77777777" w:rsidR="00C801FF" w:rsidRPr="003C3C55" w:rsidRDefault="00C801FF" w:rsidP="00FA48AC">
            <w:pPr>
              <w:jc w:val="center"/>
              <w:rPr>
                <w:rFonts w:ascii="Arial Narrow" w:hAnsi="Arial Narrow" w:cs="Calibri"/>
                <w:color w:val="000000"/>
                <w:sz w:val="22"/>
                <w:szCs w:val="22"/>
                <w:lang w:val="es-CR" w:eastAsia="es-CR"/>
              </w:rPr>
            </w:pPr>
            <w:r w:rsidRPr="003C3C55">
              <w:rPr>
                <w:rFonts w:ascii="Arial Narrow" w:hAnsi="Arial Narrow" w:cs="Calibri"/>
                <w:color w:val="000000"/>
                <w:sz w:val="22"/>
                <w:szCs w:val="22"/>
                <w:lang w:val="es-CR" w:eastAsia="es-CR"/>
              </w:rPr>
              <w:t>JEFATURA DEFENSA PUBLICA</w:t>
            </w:r>
          </w:p>
        </w:tc>
        <w:tc>
          <w:tcPr>
            <w:tcW w:w="1551" w:type="dxa"/>
            <w:tcBorders>
              <w:top w:val="nil"/>
              <w:left w:val="nil"/>
              <w:bottom w:val="single" w:sz="4" w:space="0" w:color="auto"/>
              <w:right w:val="single" w:sz="4" w:space="0" w:color="auto"/>
            </w:tcBorders>
            <w:shd w:val="clear" w:color="D3D3D3" w:fill="FFFFFF"/>
            <w:vAlign w:val="center"/>
            <w:hideMark/>
          </w:tcPr>
          <w:p w14:paraId="3A8D0A8D" w14:textId="77777777" w:rsidR="00C801FF" w:rsidRPr="003C3C55" w:rsidRDefault="00C801FF" w:rsidP="00FA48AC">
            <w:pPr>
              <w:jc w:val="center"/>
              <w:rPr>
                <w:rFonts w:ascii="Arial Narrow" w:hAnsi="Arial Narrow" w:cs="Calibri"/>
                <w:color w:val="000000"/>
                <w:sz w:val="20"/>
                <w:szCs w:val="20"/>
                <w:lang w:val="es-CR" w:eastAsia="es-CR"/>
              </w:rPr>
            </w:pPr>
            <w:r w:rsidRPr="003C3C55">
              <w:rPr>
                <w:rFonts w:ascii="Arial Narrow" w:hAnsi="Arial Narrow" w:cs="Calibri"/>
                <w:color w:val="000000"/>
                <w:sz w:val="20"/>
                <w:szCs w:val="20"/>
                <w:lang w:val="es-CR" w:eastAsia="es-CR"/>
              </w:rPr>
              <w:t>12</w:t>
            </w:r>
          </w:p>
        </w:tc>
        <w:tc>
          <w:tcPr>
            <w:tcW w:w="1420" w:type="dxa"/>
            <w:tcBorders>
              <w:top w:val="nil"/>
              <w:left w:val="nil"/>
              <w:bottom w:val="single" w:sz="4" w:space="0" w:color="auto"/>
              <w:right w:val="single" w:sz="4" w:space="0" w:color="auto"/>
            </w:tcBorders>
            <w:shd w:val="clear" w:color="000000" w:fill="70AD47"/>
            <w:vAlign w:val="center"/>
            <w:hideMark/>
          </w:tcPr>
          <w:p w14:paraId="4FDAA5D4" w14:textId="77777777" w:rsidR="00C801FF" w:rsidRPr="003C3C55" w:rsidRDefault="00C801FF" w:rsidP="00FA48AC">
            <w:pPr>
              <w:jc w:val="center"/>
              <w:rPr>
                <w:rFonts w:ascii="Arial Narrow" w:hAnsi="Arial Narrow" w:cs="Calibri"/>
                <w:color w:val="000000"/>
                <w:sz w:val="20"/>
                <w:szCs w:val="20"/>
                <w:lang w:val="es-CR" w:eastAsia="es-CR"/>
              </w:rPr>
            </w:pPr>
            <w:r w:rsidRPr="003C3C55">
              <w:rPr>
                <w:rFonts w:ascii="Arial Narrow" w:hAnsi="Arial Narrow" w:cs="Calibri"/>
                <w:color w:val="000000"/>
                <w:sz w:val="20"/>
                <w:szCs w:val="20"/>
                <w:lang w:val="es-CR" w:eastAsia="es-CR"/>
              </w:rPr>
              <w:t>100.00 %</w:t>
            </w:r>
          </w:p>
        </w:tc>
      </w:tr>
      <w:tr w:rsidR="006F3725" w:rsidRPr="003C3C55" w14:paraId="187FFC25" w14:textId="77777777" w:rsidTr="00FA48AC">
        <w:trPr>
          <w:trHeight w:val="300"/>
        </w:trPr>
        <w:tc>
          <w:tcPr>
            <w:tcW w:w="952" w:type="dxa"/>
            <w:tcBorders>
              <w:top w:val="nil"/>
              <w:left w:val="single" w:sz="4" w:space="0" w:color="auto"/>
              <w:bottom w:val="single" w:sz="4" w:space="0" w:color="auto"/>
              <w:right w:val="single" w:sz="4" w:space="0" w:color="auto"/>
            </w:tcBorders>
            <w:shd w:val="clear" w:color="FFFFFF" w:fill="FFFFFF"/>
            <w:vAlign w:val="center"/>
            <w:hideMark/>
          </w:tcPr>
          <w:p w14:paraId="538D13A5" w14:textId="77777777" w:rsidR="00C801FF" w:rsidRPr="003C3C55" w:rsidRDefault="00C801FF" w:rsidP="00FA48AC">
            <w:pPr>
              <w:jc w:val="center"/>
              <w:rPr>
                <w:rFonts w:ascii="Arial Narrow" w:hAnsi="Arial Narrow" w:cs="Calibri"/>
                <w:color w:val="000000"/>
                <w:sz w:val="20"/>
                <w:szCs w:val="20"/>
                <w:lang w:val="es-CR" w:eastAsia="es-CR"/>
              </w:rPr>
            </w:pPr>
            <w:r w:rsidRPr="003C3C55">
              <w:rPr>
                <w:rFonts w:ascii="Arial Narrow" w:hAnsi="Arial Narrow" w:cs="Calibri"/>
                <w:color w:val="000000"/>
                <w:sz w:val="20"/>
                <w:szCs w:val="20"/>
                <w:lang w:val="es-CR" w:eastAsia="es-CR"/>
              </w:rPr>
              <w:t>9</w:t>
            </w:r>
          </w:p>
        </w:tc>
        <w:tc>
          <w:tcPr>
            <w:tcW w:w="5280" w:type="dxa"/>
            <w:tcBorders>
              <w:top w:val="nil"/>
              <w:left w:val="nil"/>
              <w:bottom w:val="single" w:sz="4" w:space="0" w:color="auto"/>
              <w:right w:val="single" w:sz="4" w:space="0" w:color="auto"/>
            </w:tcBorders>
            <w:shd w:val="clear" w:color="000000" w:fill="FFFFFF"/>
            <w:noWrap/>
            <w:vAlign w:val="center"/>
            <w:hideMark/>
          </w:tcPr>
          <w:p w14:paraId="663774A2" w14:textId="77777777" w:rsidR="00C801FF" w:rsidRPr="003C3C55" w:rsidRDefault="00C801FF" w:rsidP="00FA48AC">
            <w:pPr>
              <w:jc w:val="center"/>
              <w:rPr>
                <w:rFonts w:ascii="Arial Narrow" w:hAnsi="Arial Narrow" w:cs="Calibri"/>
                <w:color w:val="000000"/>
                <w:sz w:val="22"/>
                <w:szCs w:val="22"/>
                <w:lang w:val="es-CR" w:eastAsia="es-CR"/>
              </w:rPr>
            </w:pPr>
            <w:r w:rsidRPr="003C3C55">
              <w:rPr>
                <w:rFonts w:ascii="Arial Narrow" w:hAnsi="Arial Narrow" w:cs="Calibri"/>
                <w:color w:val="000000"/>
                <w:sz w:val="22"/>
                <w:szCs w:val="22"/>
                <w:lang w:val="es-CR" w:eastAsia="es-CR"/>
              </w:rPr>
              <w:t>OFICINA DE CONTROL INTERNO</w:t>
            </w:r>
          </w:p>
        </w:tc>
        <w:tc>
          <w:tcPr>
            <w:tcW w:w="1551" w:type="dxa"/>
            <w:tcBorders>
              <w:top w:val="nil"/>
              <w:left w:val="nil"/>
              <w:bottom w:val="single" w:sz="4" w:space="0" w:color="auto"/>
              <w:right w:val="single" w:sz="4" w:space="0" w:color="auto"/>
            </w:tcBorders>
            <w:shd w:val="clear" w:color="FFFFFF" w:fill="FFFFFF"/>
            <w:vAlign w:val="center"/>
            <w:hideMark/>
          </w:tcPr>
          <w:p w14:paraId="788266EE" w14:textId="77777777" w:rsidR="00C801FF" w:rsidRPr="003C3C55" w:rsidRDefault="00C801FF" w:rsidP="00FA48AC">
            <w:pPr>
              <w:jc w:val="center"/>
              <w:rPr>
                <w:rFonts w:ascii="Arial Narrow" w:hAnsi="Arial Narrow" w:cs="Calibri"/>
                <w:color w:val="000000"/>
                <w:sz w:val="20"/>
                <w:szCs w:val="20"/>
                <w:lang w:val="es-CR" w:eastAsia="es-CR"/>
              </w:rPr>
            </w:pPr>
            <w:r w:rsidRPr="003C3C55">
              <w:rPr>
                <w:rFonts w:ascii="Arial Narrow" w:hAnsi="Arial Narrow" w:cs="Calibri"/>
                <w:color w:val="000000"/>
                <w:sz w:val="20"/>
                <w:szCs w:val="20"/>
                <w:lang w:val="es-CR" w:eastAsia="es-CR"/>
              </w:rPr>
              <w:t>2</w:t>
            </w:r>
          </w:p>
        </w:tc>
        <w:tc>
          <w:tcPr>
            <w:tcW w:w="1420" w:type="dxa"/>
            <w:tcBorders>
              <w:top w:val="nil"/>
              <w:left w:val="nil"/>
              <w:bottom w:val="single" w:sz="4" w:space="0" w:color="auto"/>
              <w:right w:val="single" w:sz="4" w:space="0" w:color="auto"/>
            </w:tcBorders>
            <w:shd w:val="clear" w:color="000000" w:fill="70AD47"/>
            <w:vAlign w:val="center"/>
            <w:hideMark/>
          </w:tcPr>
          <w:p w14:paraId="3DB3B0DF" w14:textId="77777777" w:rsidR="00C801FF" w:rsidRPr="003C3C55" w:rsidRDefault="00C801FF" w:rsidP="00FA48AC">
            <w:pPr>
              <w:jc w:val="center"/>
              <w:rPr>
                <w:rFonts w:ascii="Arial Narrow" w:hAnsi="Arial Narrow" w:cs="Calibri"/>
                <w:color w:val="000000"/>
                <w:sz w:val="20"/>
                <w:szCs w:val="20"/>
                <w:lang w:val="es-CR" w:eastAsia="es-CR"/>
              </w:rPr>
            </w:pPr>
            <w:r w:rsidRPr="003C3C55">
              <w:rPr>
                <w:rFonts w:ascii="Arial Narrow" w:hAnsi="Arial Narrow" w:cs="Calibri"/>
                <w:color w:val="000000"/>
                <w:sz w:val="20"/>
                <w:szCs w:val="20"/>
                <w:lang w:val="es-CR" w:eastAsia="es-CR"/>
              </w:rPr>
              <w:t>100.00 %</w:t>
            </w:r>
          </w:p>
        </w:tc>
      </w:tr>
      <w:tr w:rsidR="006F3725" w:rsidRPr="003C3C55" w14:paraId="10382A5F" w14:textId="77777777" w:rsidTr="00FA48AC">
        <w:trPr>
          <w:trHeight w:val="300"/>
        </w:trPr>
        <w:tc>
          <w:tcPr>
            <w:tcW w:w="952" w:type="dxa"/>
            <w:tcBorders>
              <w:top w:val="nil"/>
              <w:left w:val="single" w:sz="4" w:space="0" w:color="auto"/>
              <w:bottom w:val="single" w:sz="4" w:space="0" w:color="auto"/>
              <w:right w:val="single" w:sz="4" w:space="0" w:color="auto"/>
            </w:tcBorders>
            <w:shd w:val="clear" w:color="D3D3D3" w:fill="FFFFFF"/>
            <w:vAlign w:val="center"/>
            <w:hideMark/>
          </w:tcPr>
          <w:p w14:paraId="4383E798" w14:textId="77777777" w:rsidR="00C801FF" w:rsidRPr="003C3C55" w:rsidRDefault="00C801FF" w:rsidP="00FA48AC">
            <w:pPr>
              <w:jc w:val="center"/>
              <w:rPr>
                <w:rFonts w:ascii="Arial Narrow" w:hAnsi="Arial Narrow" w:cs="Calibri"/>
                <w:color w:val="000000"/>
                <w:sz w:val="20"/>
                <w:szCs w:val="20"/>
                <w:lang w:val="es-CR" w:eastAsia="es-CR"/>
              </w:rPr>
            </w:pPr>
            <w:r w:rsidRPr="003C3C55">
              <w:rPr>
                <w:rFonts w:ascii="Arial Narrow" w:hAnsi="Arial Narrow" w:cs="Calibri"/>
                <w:color w:val="000000"/>
                <w:sz w:val="20"/>
                <w:szCs w:val="20"/>
                <w:lang w:val="es-CR" w:eastAsia="es-CR"/>
              </w:rPr>
              <w:t>10</w:t>
            </w:r>
          </w:p>
        </w:tc>
        <w:tc>
          <w:tcPr>
            <w:tcW w:w="5280" w:type="dxa"/>
            <w:tcBorders>
              <w:top w:val="nil"/>
              <w:left w:val="nil"/>
              <w:bottom w:val="single" w:sz="4" w:space="0" w:color="auto"/>
              <w:right w:val="single" w:sz="4" w:space="0" w:color="auto"/>
            </w:tcBorders>
            <w:shd w:val="clear" w:color="000000" w:fill="FFFFFF"/>
            <w:noWrap/>
            <w:vAlign w:val="center"/>
            <w:hideMark/>
          </w:tcPr>
          <w:p w14:paraId="36587BB9" w14:textId="77777777" w:rsidR="00C801FF" w:rsidRPr="003C3C55" w:rsidRDefault="00C801FF" w:rsidP="00FA48AC">
            <w:pPr>
              <w:jc w:val="center"/>
              <w:rPr>
                <w:rFonts w:ascii="Arial Narrow" w:hAnsi="Arial Narrow" w:cs="Calibri"/>
                <w:color w:val="000000"/>
                <w:sz w:val="22"/>
                <w:szCs w:val="22"/>
                <w:lang w:val="es-CR" w:eastAsia="es-CR"/>
              </w:rPr>
            </w:pPr>
            <w:r w:rsidRPr="003C3C55">
              <w:rPr>
                <w:rFonts w:ascii="Arial Narrow" w:hAnsi="Arial Narrow" w:cs="Calibri"/>
                <w:color w:val="000000"/>
                <w:sz w:val="22"/>
                <w:szCs w:val="22"/>
                <w:lang w:val="es-CR" w:eastAsia="es-CR"/>
              </w:rPr>
              <w:t>OFICINA DE INFORMACION Y PRENSA</w:t>
            </w:r>
          </w:p>
        </w:tc>
        <w:tc>
          <w:tcPr>
            <w:tcW w:w="1551" w:type="dxa"/>
            <w:tcBorders>
              <w:top w:val="nil"/>
              <w:left w:val="nil"/>
              <w:bottom w:val="single" w:sz="4" w:space="0" w:color="auto"/>
              <w:right w:val="single" w:sz="4" w:space="0" w:color="auto"/>
            </w:tcBorders>
            <w:shd w:val="clear" w:color="D3D3D3" w:fill="FFFFFF"/>
            <w:vAlign w:val="center"/>
            <w:hideMark/>
          </w:tcPr>
          <w:p w14:paraId="7B8F4950" w14:textId="77777777" w:rsidR="00C801FF" w:rsidRPr="003C3C55" w:rsidRDefault="00C801FF" w:rsidP="00FA48AC">
            <w:pPr>
              <w:jc w:val="center"/>
              <w:rPr>
                <w:rFonts w:ascii="Arial Narrow" w:hAnsi="Arial Narrow" w:cs="Calibri"/>
                <w:color w:val="000000"/>
                <w:sz w:val="20"/>
                <w:szCs w:val="20"/>
                <w:lang w:val="es-CR" w:eastAsia="es-CR"/>
              </w:rPr>
            </w:pPr>
            <w:r w:rsidRPr="003C3C55">
              <w:rPr>
                <w:rFonts w:ascii="Arial Narrow" w:hAnsi="Arial Narrow" w:cs="Calibri"/>
                <w:color w:val="000000"/>
                <w:sz w:val="20"/>
                <w:szCs w:val="20"/>
                <w:lang w:val="es-CR" w:eastAsia="es-CR"/>
              </w:rPr>
              <w:t>1</w:t>
            </w:r>
          </w:p>
        </w:tc>
        <w:tc>
          <w:tcPr>
            <w:tcW w:w="1420" w:type="dxa"/>
            <w:tcBorders>
              <w:top w:val="nil"/>
              <w:left w:val="nil"/>
              <w:bottom w:val="single" w:sz="4" w:space="0" w:color="auto"/>
              <w:right w:val="single" w:sz="4" w:space="0" w:color="auto"/>
            </w:tcBorders>
            <w:shd w:val="clear" w:color="000000" w:fill="70AD47"/>
            <w:vAlign w:val="center"/>
            <w:hideMark/>
          </w:tcPr>
          <w:p w14:paraId="42FC6B7D" w14:textId="77777777" w:rsidR="00C801FF" w:rsidRPr="003C3C55" w:rsidRDefault="00C801FF" w:rsidP="00FA48AC">
            <w:pPr>
              <w:jc w:val="center"/>
              <w:rPr>
                <w:rFonts w:ascii="Arial Narrow" w:hAnsi="Arial Narrow" w:cs="Calibri"/>
                <w:color w:val="000000"/>
                <w:sz w:val="20"/>
                <w:szCs w:val="20"/>
                <w:lang w:val="es-CR" w:eastAsia="es-CR"/>
              </w:rPr>
            </w:pPr>
            <w:r w:rsidRPr="003C3C55">
              <w:rPr>
                <w:rFonts w:ascii="Arial Narrow" w:hAnsi="Arial Narrow" w:cs="Calibri"/>
                <w:color w:val="000000"/>
                <w:sz w:val="20"/>
                <w:szCs w:val="20"/>
                <w:lang w:val="es-CR" w:eastAsia="es-CR"/>
              </w:rPr>
              <w:t>100.00 %</w:t>
            </w:r>
          </w:p>
        </w:tc>
      </w:tr>
      <w:tr w:rsidR="006F3725" w:rsidRPr="003C3C55" w14:paraId="6E280F3A" w14:textId="77777777" w:rsidTr="00FA48AC">
        <w:trPr>
          <w:trHeight w:val="300"/>
        </w:trPr>
        <w:tc>
          <w:tcPr>
            <w:tcW w:w="952" w:type="dxa"/>
            <w:tcBorders>
              <w:top w:val="nil"/>
              <w:left w:val="single" w:sz="4" w:space="0" w:color="auto"/>
              <w:bottom w:val="single" w:sz="4" w:space="0" w:color="auto"/>
              <w:right w:val="single" w:sz="4" w:space="0" w:color="auto"/>
            </w:tcBorders>
            <w:shd w:val="clear" w:color="FFFFFF" w:fill="FFFFFF"/>
            <w:vAlign w:val="center"/>
            <w:hideMark/>
          </w:tcPr>
          <w:p w14:paraId="6B64295F" w14:textId="77777777" w:rsidR="00C801FF" w:rsidRPr="003C3C55" w:rsidRDefault="00C801FF" w:rsidP="00FA48AC">
            <w:pPr>
              <w:jc w:val="center"/>
              <w:rPr>
                <w:rFonts w:ascii="Arial Narrow" w:hAnsi="Arial Narrow" w:cs="Calibri"/>
                <w:color w:val="000000"/>
                <w:sz w:val="20"/>
                <w:szCs w:val="20"/>
                <w:lang w:val="es-CR" w:eastAsia="es-CR"/>
              </w:rPr>
            </w:pPr>
            <w:r w:rsidRPr="003C3C55">
              <w:rPr>
                <w:rFonts w:ascii="Arial Narrow" w:hAnsi="Arial Narrow" w:cs="Calibri"/>
                <w:color w:val="000000"/>
                <w:sz w:val="20"/>
                <w:szCs w:val="20"/>
                <w:lang w:val="es-CR" w:eastAsia="es-CR"/>
              </w:rPr>
              <w:t>11</w:t>
            </w:r>
          </w:p>
        </w:tc>
        <w:tc>
          <w:tcPr>
            <w:tcW w:w="5280" w:type="dxa"/>
            <w:tcBorders>
              <w:top w:val="nil"/>
              <w:left w:val="nil"/>
              <w:bottom w:val="single" w:sz="4" w:space="0" w:color="auto"/>
              <w:right w:val="single" w:sz="4" w:space="0" w:color="auto"/>
            </w:tcBorders>
            <w:shd w:val="clear" w:color="000000" w:fill="FFFFFF"/>
            <w:noWrap/>
            <w:vAlign w:val="center"/>
            <w:hideMark/>
          </w:tcPr>
          <w:p w14:paraId="7C94132D" w14:textId="77777777" w:rsidR="00C801FF" w:rsidRPr="003C3C55" w:rsidRDefault="00C801FF" w:rsidP="00FA48AC">
            <w:pPr>
              <w:jc w:val="center"/>
              <w:rPr>
                <w:rFonts w:ascii="Arial Narrow" w:hAnsi="Arial Narrow" w:cs="Calibri"/>
                <w:color w:val="000000"/>
                <w:sz w:val="22"/>
                <w:szCs w:val="22"/>
                <w:lang w:val="es-CR" w:eastAsia="es-CR"/>
              </w:rPr>
            </w:pPr>
            <w:r w:rsidRPr="003C3C55">
              <w:rPr>
                <w:rFonts w:ascii="Arial Narrow" w:hAnsi="Arial Narrow" w:cs="Calibri"/>
                <w:color w:val="000000"/>
                <w:sz w:val="22"/>
                <w:szCs w:val="22"/>
                <w:lang w:val="es-CR" w:eastAsia="es-CR"/>
              </w:rPr>
              <w:t>SALA CONSTITUCIONAL</w:t>
            </w:r>
          </w:p>
        </w:tc>
        <w:tc>
          <w:tcPr>
            <w:tcW w:w="1551" w:type="dxa"/>
            <w:tcBorders>
              <w:top w:val="nil"/>
              <w:left w:val="nil"/>
              <w:bottom w:val="single" w:sz="4" w:space="0" w:color="auto"/>
              <w:right w:val="single" w:sz="4" w:space="0" w:color="auto"/>
            </w:tcBorders>
            <w:shd w:val="clear" w:color="FFFFFF" w:fill="FFFFFF"/>
            <w:vAlign w:val="center"/>
            <w:hideMark/>
          </w:tcPr>
          <w:p w14:paraId="57B09451" w14:textId="77777777" w:rsidR="00C801FF" w:rsidRPr="003C3C55" w:rsidRDefault="00C801FF" w:rsidP="00FA48AC">
            <w:pPr>
              <w:jc w:val="center"/>
              <w:rPr>
                <w:rFonts w:ascii="Arial Narrow" w:hAnsi="Arial Narrow" w:cs="Calibri"/>
                <w:color w:val="000000"/>
                <w:sz w:val="20"/>
                <w:szCs w:val="20"/>
                <w:lang w:val="es-CR" w:eastAsia="es-CR"/>
              </w:rPr>
            </w:pPr>
            <w:r w:rsidRPr="003C3C55">
              <w:rPr>
                <w:rFonts w:ascii="Arial Narrow" w:hAnsi="Arial Narrow" w:cs="Calibri"/>
                <w:color w:val="000000"/>
                <w:sz w:val="20"/>
                <w:szCs w:val="20"/>
                <w:lang w:val="es-CR" w:eastAsia="es-CR"/>
              </w:rPr>
              <w:t>2</w:t>
            </w:r>
          </w:p>
        </w:tc>
        <w:tc>
          <w:tcPr>
            <w:tcW w:w="1420" w:type="dxa"/>
            <w:tcBorders>
              <w:top w:val="nil"/>
              <w:left w:val="nil"/>
              <w:bottom w:val="single" w:sz="4" w:space="0" w:color="auto"/>
              <w:right w:val="single" w:sz="4" w:space="0" w:color="auto"/>
            </w:tcBorders>
            <w:shd w:val="clear" w:color="000000" w:fill="70AD47"/>
            <w:vAlign w:val="center"/>
            <w:hideMark/>
          </w:tcPr>
          <w:p w14:paraId="2C36C1B7" w14:textId="77777777" w:rsidR="00C801FF" w:rsidRPr="003C3C55" w:rsidRDefault="00C801FF" w:rsidP="00FA48AC">
            <w:pPr>
              <w:jc w:val="center"/>
              <w:rPr>
                <w:rFonts w:ascii="Arial Narrow" w:hAnsi="Arial Narrow" w:cs="Calibri"/>
                <w:color w:val="000000"/>
                <w:sz w:val="20"/>
                <w:szCs w:val="20"/>
                <w:lang w:val="es-CR" w:eastAsia="es-CR"/>
              </w:rPr>
            </w:pPr>
            <w:r w:rsidRPr="003C3C55">
              <w:rPr>
                <w:rFonts w:ascii="Arial Narrow" w:hAnsi="Arial Narrow" w:cs="Calibri"/>
                <w:color w:val="000000"/>
                <w:sz w:val="20"/>
                <w:szCs w:val="20"/>
                <w:lang w:val="es-CR" w:eastAsia="es-CR"/>
              </w:rPr>
              <w:t>100.00 %</w:t>
            </w:r>
          </w:p>
        </w:tc>
      </w:tr>
      <w:tr w:rsidR="006F3725" w:rsidRPr="003C3C55" w14:paraId="6343DC45" w14:textId="77777777" w:rsidTr="00FA48AC">
        <w:trPr>
          <w:trHeight w:val="300"/>
        </w:trPr>
        <w:tc>
          <w:tcPr>
            <w:tcW w:w="952" w:type="dxa"/>
            <w:tcBorders>
              <w:top w:val="nil"/>
              <w:left w:val="single" w:sz="4" w:space="0" w:color="auto"/>
              <w:bottom w:val="single" w:sz="4" w:space="0" w:color="auto"/>
              <w:right w:val="single" w:sz="4" w:space="0" w:color="auto"/>
            </w:tcBorders>
            <w:shd w:val="clear" w:color="D3D3D3" w:fill="FFFFFF"/>
            <w:vAlign w:val="center"/>
            <w:hideMark/>
          </w:tcPr>
          <w:p w14:paraId="14E3FA9D" w14:textId="77777777" w:rsidR="00C801FF" w:rsidRPr="003C3C55" w:rsidRDefault="00C801FF" w:rsidP="00FA48AC">
            <w:pPr>
              <w:jc w:val="center"/>
              <w:rPr>
                <w:rFonts w:ascii="Arial Narrow" w:hAnsi="Arial Narrow" w:cs="Calibri"/>
                <w:color w:val="000000"/>
                <w:sz w:val="20"/>
                <w:szCs w:val="20"/>
                <w:lang w:val="es-CR" w:eastAsia="es-CR"/>
              </w:rPr>
            </w:pPr>
            <w:r w:rsidRPr="003C3C55">
              <w:rPr>
                <w:rFonts w:ascii="Arial Narrow" w:hAnsi="Arial Narrow" w:cs="Calibri"/>
                <w:color w:val="000000"/>
                <w:sz w:val="20"/>
                <w:szCs w:val="20"/>
                <w:lang w:val="es-CR" w:eastAsia="es-CR"/>
              </w:rPr>
              <w:t>12</w:t>
            </w:r>
          </w:p>
        </w:tc>
        <w:tc>
          <w:tcPr>
            <w:tcW w:w="5280" w:type="dxa"/>
            <w:tcBorders>
              <w:top w:val="nil"/>
              <w:left w:val="nil"/>
              <w:bottom w:val="single" w:sz="4" w:space="0" w:color="auto"/>
              <w:right w:val="single" w:sz="4" w:space="0" w:color="auto"/>
            </w:tcBorders>
            <w:shd w:val="clear" w:color="000000" w:fill="FFFFFF"/>
            <w:noWrap/>
            <w:vAlign w:val="center"/>
            <w:hideMark/>
          </w:tcPr>
          <w:p w14:paraId="09120326" w14:textId="77777777" w:rsidR="00C801FF" w:rsidRPr="003C3C55" w:rsidRDefault="00C801FF" w:rsidP="00FA48AC">
            <w:pPr>
              <w:jc w:val="center"/>
              <w:rPr>
                <w:rFonts w:ascii="Arial Narrow" w:hAnsi="Arial Narrow" w:cs="Calibri"/>
                <w:color w:val="000000"/>
                <w:sz w:val="22"/>
                <w:szCs w:val="22"/>
                <w:lang w:val="es-CR" w:eastAsia="es-CR"/>
              </w:rPr>
            </w:pPr>
            <w:r w:rsidRPr="003C3C55">
              <w:rPr>
                <w:rFonts w:ascii="Arial Narrow" w:hAnsi="Arial Narrow" w:cs="Calibri"/>
                <w:color w:val="000000"/>
                <w:sz w:val="22"/>
                <w:szCs w:val="22"/>
                <w:lang w:val="es-CR" w:eastAsia="es-CR"/>
              </w:rPr>
              <w:t>SALA PRIMERA</w:t>
            </w:r>
          </w:p>
        </w:tc>
        <w:tc>
          <w:tcPr>
            <w:tcW w:w="1551" w:type="dxa"/>
            <w:tcBorders>
              <w:top w:val="nil"/>
              <w:left w:val="nil"/>
              <w:bottom w:val="single" w:sz="4" w:space="0" w:color="auto"/>
              <w:right w:val="single" w:sz="4" w:space="0" w:color="auto"/>
            </w:tcBorders>
            <w:shd w:val="clear" w:color="D3D3D3" w:fill="FFFFFF"/>
            <w:vAlign w:val="center"/>
            <w:hideMark/>
          </w:tcPr>
          <w:p w14:paraId="130F7F6E" w14:textId="77777777" w:rsidR="00C801FF" w:rsidRPr="003C3C55" w:rsidRDefault="00C801FF" w:rsidP="00FA48AC">
            <w:pPr>
              <w:jc w:val="center"/>
              <w:rPr>
                <w:rFonts w:ascii="Arial Narrow" w:hAnsi="Arial Narrow" w:cs="Calibri"/>
                <w:color w:val="000000"/>
                <w:sz w:val="20"/>
                <w:szCs w:val="20"/>
                <w:lang w:val="es-CR" w:eastAsia="es-CR"/>
              </w:rPr>
            </w:pPr>
            <w:r w:rsidRPr="003C3C55">
              <w:rPr>
                <w:rFonts w:ascii="Arial Narrow" w:hAnsi="Arial Narrow" w:cs="Calibri"/>
                <w:color w:val="000000"/>
                <w:sz w:val="20"/>
                <w:szCs w:val="20"/>
                <w:lang w:val="es-CR" w:eastAsia="es-CR"/>
              </w:rPr>
              <w:t>1</w:t>
            </w:r>
          </w:p>
        </w:tc>
        <w:tc>
          <w:tcPr>
            <w:tcW w:w="1420" w:type="dxa"/>
            <w:tcBorders>
              <w:top w:val="nil"/>
              <w:left w:val="nil"/>
              <w:bottom w:val="single" w:sz="4" w:space="0" w:color="auto"/>
              <w:right w:val="single" w:sz="4" w:space="0" w:color="auto"/>
            </w:tcBorders>
            <w:shd w:val="clear" w:color="000000" w:fill="70AD47"/>
            <w:vAlign w:val="center"/>
            <w:hideMark/>
          </w:tcPr>
          <w:p w14:paraId="54986265" w14:textId="77777777" w:rsidR="00C801FF" w:rsidRPr="003C3C55" w:rsidRDefault="00C801FF" w:rsidP="00FA48AC">
            <w:pPr>
              <w:jc w:val="center"/>
              <w:rPr>
                <w:rFonts w:ascii="Arial Narrow" w:hAnsi="Arial Narrow" w:cs="Calibri"/>
                <w:color w:val="000000"/>
                <w:sz w:val="20"/>
                <w:szCs w:val="20"/>
                <w:lang w:val="es-CR" w:eastAsia="es-CR"/>
              </w:rPr>
            </w:pPr>
            <w:r w:rsidRPr="003C3C55">
              <w:rPr>
                <w:rFonts w:ascii="Arial Narrow" w:hAnsi="Arial Narrow" w:cs="Calibri"/>
                <w:color w:val="000000"/>
                <w:sz w:val="20"/>
                <w:szCs w:val="20"/>
                <w:lang w:val="es-CR" w:eastAsia="es-CR"/>
              </w:rPr>
              <w:t>100.00 %</w:t>
            </w:r>
          </w:p>
        </w:tc>
      </w:tr>
      <w:tr w:rsidR="006F3725" w:rsidRPr="003C3C55" w14:paraId="0AE3D3AA" w14:textId="77777777" w:rsidTr="00FA48AC">
        <w:trPr>
          <w:trHeight w:val="300"/>
        </w:trPr>
        <w:tc>
          <w:tcPr>
            <w:tcW w:w="952" w:type="dxa"/>
            <w:tcBorders>
              <w:top w:val="nil"/>
              <w:left w:val="single" w:sz="4" w:space="0" w:color="auto"/>
              <w:bottom w:val="single" w:sz="4" w:space="0" w:color="auto"/>
              <w:right w:val="single" w:sz="4" w:space="0" w:color="auto"/>
            </w:tcBorders>
            <w:shd w:val="clear" w:color="FFFFFF" w:fill="FFFFFF"/>
            <w:vAlign w:val="center"/>
            <w:hideMark/>
          </w:tcPr>
          <w:p w14:paraId="28701186" w14:textId="77777777" w:rsidR="00C801FF" w:rsidRPr="003C3C55" w:rsidRDefault="00C801FF" w:rsidP="00FA48AC">
            <w:pPr>
              <w:jc w:val="center"/>
              <w:rPr>
                <w:rFonts w:ascii="Arial Narrow" w:hAnsi="Arial Narrow" w:cs="Calibri"/>
                <w:color w:val="000000"/>
                <w:sz w:val="20"/>
                <w:szCs w:val="20"/>
                <w:lang w:val="es-CR" w:eastAsia="es-CR"/>
              </w:rPr>
            </w:pPr>
            <w:r w:rsidRPr="003C3C55">
              <w:rPr>
                <w:rFonts w:ascii="Arial Narrow" w:hAnsi="Arial Narrow" w:cs="Calibri"/>
                <w:color w:val="000000"/>
                <w:sz w:val="20"/>
                <w:szCs w:val="20"/>
                <w:lang w:val="es-CR" w:eastAsia="es-CR"/>
              </w:rPr>
              <w:t>13</w:t>
            </w:r>
          </w:p>
        </w:tc>
        <w:tc>
          <w:tcPr>
            <w:tcW w:w="5280" w:type="dxa"/>
            <w:tcBorders>
              <w:top w:val="nil"/>
              <w:left w:val="nil"/>
              <w:bottom w:val="single" w:sz="4" w:space="0" w:color="auto"/>
              <w:right w:val="single" w:sz="4" w:space="0" w:color="auto"/>
            </w:tcBorders>
            <w:shd w:val="clear" w:color="000000" w:fill="FFFFFF"/>
            <w:noWrap/>
            <w:vAlign w:val="center"/>
            <w:hideMark/>
          </w:tcPr>
          <w:p w14:paraId="6E5D1320" w14:textId="77777777" w:rsidR="00C801FF" w:rsidRPr="003C3C55" w:rsidRDefault="00C801FF" w:rsidP="00FA48AC">
            <w:pPr>
              <w:jc w:val="center"/>
              <w:rPr>
                <w:rFonts w:ascii="Arial Narrow" w:hAnsi="Arial Narrow" w:cs="Calibri"/>
                <w:color w:val="000000"/>
                <w:sz w:val="22"/>
                <w:szCs w:val="22"/>
                <w:lang w:val="es-CR" w:eastAsia="es-CR"/>
              </w:rPr>
            </w:pPr>
            <w:r w:rsidRPr="003C3C55">
              <w:rPr>
                <w:rFonts w:ascii="Arial Narrow" w:hAnsi="Arial Narrow" w:cs="Calibri"/>
                <w:color w:val="000000"/>
                <w:sz w:val="22"/>
                <w:szCs w:val="22"/>
                <w:lang w:val="es-CR" w:eastAsia="es-CR"/>
              </w:rPr>
              <w:t>SALA SEGUNDA</w:t>
            </w:r>
          </w:p>
        </w:tc>
        <w:tc>
          <w:tcPr>
            <w:tcW w:w="1551" w:type="dxa"/>
            <w:tcBorders>
              <w:top w:val="nil"/>
              <w:left w:val="nil"/>
              <w:bottom w:val="single" w:sz="4" w:space="0" w:color="auto"/>
              <w:right w:val="single" w:sz="4" w:space="0" w:color="auto"/>
            </w:tcBorders>
            <w:shd w:val="clear" w:color="FFFFFF" w:fill="FFFFFF"/>
            <w:vAlign w:val="center"/>
            <w:hideMark/>
          </w:tcPr>
          <w:p w14:paraId="03B39D7A" w14:textId="77777777" w:rsidR="00C801FF" w:rsidRPr="003C3C55" w:rsidRDefault="00C801FF" w:rsidP="00FA48AC">
            <w:pPr>
              <w:jc w:val="center"/>
              <w:rPr>
                <w:rFonts w:ascii="Arial Narrow" w:hAnsi="Arial Narrow" w:cs="Calibri"/>
                <w:color w:val="000000"/>
                <w:sz w:val="20"/>
                <w:szCs w:val="20"/>
                <w:lang w:val="es-CR" w:eastAsia="es-CR"/>
              </w:rPr>
            </w:pPr>
            <w:r w:rsidRPr="003C3C55">
              <w:rPr>
                <w:rFonts w:ascii="Arial Narrow" w:hAnsi="Arial Narrow" w:cs="Calibri"/>
                <w:color w:val="000000"/>
                <w:sz w:val="20"/>
                <w:szCs w:val="20"/>
                <w:lang w:val="es-CR" w:eastAsia="es-CR"/>
              </w:rPr>
              <w:t>1</w:t>
            </w:r>
          </w:p>
        </w:tc>
        <w:tc>
          <w:tcPr>
            <w:tcW w:w="1420" w:type="dxa"/>
            <w:tcBorders>
              <w:top w:val="nil"/>
              <w:left w:val="nil"/>
              <w:bottom w:val="single" w:sz="4" w:space="0" w:color="auto"/>
              <w:right w:val="single" w:sz="4" w:space="0" w:color="auto"/>
            </w:tcBorders>
            <w:shd w:val="clear" w:color="000000" w:fill="70AD47"/>
            <w:vAlign w:val="center"/>
            <w:hideMark/>
          </w:tcPr>
          <w:p w14:paraId="1CAD05B3" w14:textId="77777777" w:rsidR="00C801FF" w:rsidRPr="003C3C55" w:rsidRDefault="00C801FF" w:rsidP="00FA48AC">
            <w:pPr>
              <w:jc w:val="center"/>
              <w:rPr>
                <w:rFonts w:ascii="Arial Narrow" w:hAnsi="Arial Narrow" w:cs="Calibri"/>
                <w:color w:val="000000"/>
                <w:sz w:val="20"/>
                <w:szCs w:val="20"/>
                <w:lang w:val="es-CR" w:eastAsia="es-CR"/>
              </w:rPr>
            </w:pPr>
            <w:r w:rsidRPr="003C3C55">
              <w:rPr>
                <w:rFonts w:ascii="Arial Narrow" w:hAnsi="Arial Narrow" w:cs="Calibri"/>
                <w:color w:val="000000"/>
                <w:sz w:val="20"/>
                <w:szCs w:val="20"/>
                <w:lang w:val="es-CR" w:eastAsia="es-CR"/>
              </w:rPr>
              <w:t>100.00 %</w:t>
            </w:r>
          </w:p>
        </w:tc>
      </w:tr>
      <w:tr w:rsidR="006F3725" w:rsidRPr="003C3C55" w14:paraId="404AFBFE" w14:textId="77777777" w:rsidTr="00FA48AC">
        <w:trPr>
          <w:trHeight w:val="300"/>
        </w:trPr>
        <w:tc>
          <w:tcPr>
            <w:tcW w:w="952" w:type="dxa"/>
            <w:tcBorders>
              <w:top w:val="nil"/>
              <w:left w:val="single" w:sz="4" w:space="0" w:color="auto"/>
              <w:bottom w:val="single" w:sz="4" w:space="0" w:color="auto"/>
              <w:right w:val="single" w:sz="4" w:space="0" w:color="auto"/>
            </w:tcBorders>
            <w:shd w:val="clear" w:color="D3D3D3" w:fill="FFFFFF"/>
            <w:vAlign w:val="center"/>
            <w:hideMark/>
          </w:tcPr>
          <w:p w14:paraId="51B8E3BC" w14:textId="77777777" w:rsidR="00C801FF" w:rsidRPr="003C3C55" w:rsidRDefault="00C801FF" w:rsidP="00FA48AC">
            <w:pPr>
              <w:jc w:val="center"/>
              <w:rPr>
                <w:rFonts w:ascii="Arial Narrow" w:hAnsi="Arial Narrow" w:cs="Calibri"/>
                <w:color w:val="000000"/>
                <w:sz w:val="20"/>
                <w:szCs w:val="20"/>
                <w:lang w:val="es-CR" w:eastAsia="es-CR"/>
              </w:rPr>
            </w:pPr>
            <w:r w:rsidRPr="003C3C55">
              <w:rPr>
                <w:rFonts w:ascii="Arial Narrow" w:hAnsi="Arial Narrow" w:cs="Calibri"/>
                <w:color w:val="000000"/>
                <w:sz w:val="20"/>
                <w:szCs w:val="20"/>
                <w:lang w:val="es-CR" w:eastAsia="es-CR"/>
              </w:rPr>
              <w:t>14</w:t>
            </w:r>
          </w:p>
        </w:tc>
        <w:tc>
          <w:tcPr>
            <w:tcW w:w="5280" w:type="dxa"/>
            <w:tcBorders>
              <w:top w:val="nil"/>
              <w:left w:val="nil"/>
              <w:bottom w:val="single" w:sz="4" w:space="0" w:color="auto"/>
              <w:right w:val="single" w:sz="4" w:space="0" w:color="auto"/>
            </w:tcBorders>
            <w:shd w:val="clear" w:color="000000" w:fill="FFFFFF"/>
            <w:noWrap/>
            <w:vAlign w:val="center"/>
            <w:hideMark/>
          </w:tcPr>
          <w:p w14:paraId="3D057605" w14:textId="77777777" w:rsidR="00C801FF" w:rsidRPr="003C3C55" w:rsidRDefault="00C801FF" w:rsidP="00FA48AC">
            <w:pPr>
              <w:jc w:val="center"/>
              <w:rPr>
                <w:rFonts w:ascii="Arial Narrow" w:hAnsi="Arial Narrow" w:cs="Calibri"/>
                <w:color w:val="000000"/>
                <w:sz w:val="22"/>
                <w:szCs w:val="22"/>
                <w:lang w:val="es-CR" w:eastAsia="es-CR"/>
              </w:rPr>
            </w:pPr>
            <w:r w:rsidRPr="003C3C55">
              <w:rPr>
                <w:rFonts w:ascii="Arial Narrow" w:hAnsi="Arial Narrow" w:cs="Calibri"/>
                <w:color w:val="000000"/>
                <w:sz w:val="22"/>
                <w:szCs w:val="22"/>
                <w:lang w:val="es-CR" w:eastAsia="es-CR"/>
              </w:rPr>
              <w:t>SALA TERCERA</w:t>
            </w:r>
          </w:p>
        </w:tc>
        <w:tc>
          <w:tcPr>
            <w:tcW w:w="1551" w:type="dxa"/>
            <w:tcBorders>
              <w:top w:val="nil"/>
              <w:left w:val="nil"/>
              <w:bottom w:val="single" w:sz="4" w:space="0" w:color="auto"/>
              <w:right w:val="single" w:sz="4" w:space="0" w:color="auto"/>
            </w:tcBorders>
            <w:shd w:val="clear" w:color="D3D3D3" w:fill="FFFFFF"/>
            <w:vAlign w:val="center"/>
            <w:hideMark/>
          </w:tcPr>
          <w:p w14:paraId="158D65AD" w14:textId="77777777" w:rsidR="00C801FF" w:rsidRPr="003C3C55" w:rsidRDefault="00C801FF" w:rsidP="00FA48AC">
            <w:pPr>
              <w:jc w:val="center"/>
              <w:rPr>
                <w:rFonts w:ascii="Arial Narrow" w:hAnsi="Arial Narrow" w:cs="Calibri"/>
                <w:color w:val="000000"/>
                <w:sz w:val="20"/>
                <w:szCs w:val="20"/>
                <w:lang w:val="es-CR" w:eastAsia="es-CR"/>
              </w:rPr>
            </w:pPr>
            <w:r w:rsidRPr="003C3C55">
              <w:rPr>
                <w:rFonts w:ascii="Arial Narrow" w:hAnsi="Arial Narrow" w:cs="Calibri"/>
                <w:color w:val="000000"/>
                <w:sz w:val="20"/>
                <w:szCs w:val="20"/>
                <w:lang w:val="es-CR" w:eastAsia="es-CR"/>
              </w:rPr>
              <w:t>1</w:t>
            </w:r>
          </w:p>
        </w:tc>
        <w:tc>
          <w:tcPr>
            <w:tcW w:w="1420" w:type="dxa"/>
            <w:tcBorders>
              <w:top w:val="nil"/>
              <w:left w:val="nil"/>
              <w:bottom w:val="single" w:sz="4" w:space="0" w:color="auto"/>
              <w:right w:val="single" w:sz="4" w:space="0" w:color="auto"/>
            </w:tcBorders>
            <w:shd w:val="clear" w:color="000000" w:fill="70AD47"/>
            <w:vAlign w:val="center"/>
            <w:hideMark/>
          </w:tcPr>
          <w:p w14:paraId="6C8258BD" w14:textId="77777777" w:rsidR="00C801FF" w:rsidRPr="003C3C55" w:rsidRDefault="00C801FF" w:rsidP="00FA48AC">
            <w:pPr>
              <w:jc w:val="center"/>
              <w:rPr>
                <w:rFonts w:ascii="Arial Narrow" w:hAnsi="Arial Narrow" w:cs="Calibri"/>
                <w:color w:val="000000"/>
                <w:sz w:val="20"/>
                <w:szCs w:val="20"/>
                <w:lang w:val="es-CR" w:eastAsia="es-CR"/>
              </w:rPr>
            </w:pPr>
            <w:r w:rsidRPr="003C3C55">
              <w:rPr>
                <w:rFonts w:ascii="Arial Narrow" w:hAnsi="Arial Narrow" w:cs="Calibri"/>
                <w:color w:val="000000"/>
                <w:sz w:val="20"/>
                <w:szCs w:val="20"/>
                <w:lang w:val="es-CR" w:eastAsia="es-CR"/>
              </w:rPr>
              <w:t>100.00 %</w:t>
            </w:r>
          </w:p>
        </w:tc>
      </w:tr>
      <w:tr w:rsidR="006F3725" w:rsidRPr="003C3C55" w14:paraId="626D06D4" w14:textId="77777777" w:rsidTr="00FA48AC">
        <w:trPr>
          <w:trHeight w:val="300"/>
        </w:trPr>
        <w:tc>
          <w:tcPr>
            <w:tcW w:w="952" w:type="dxa"/>
            <w:tcBorders>
              <w:top w:val="nil"/>
              <w:left w:val="single" w:sz="4" w:space="0" w:color="auto"/>
              <w:bottom w:val="single" w:sz="4" w:space="0" w:color="auto"/>
              <w:right w:val="single" w:sz="4" w:space="0" w:color="auto"/>
            </w:tcBorders>
            <w:shd w:val="clear" w:color="FFFFFF" w:fill="FFFFFF"/>
            <w:vAlign w:val="center"/>
            <w:hideMark/>
          </w:tcPr>
          <w:p w14:paraId="2F58A14B" w14:textId="77777777" w:rsidR="00C801FF" w:rsidRPr="003C3C55" w:rsidRDefault="00C801FF" w:rsidP="00FA48AC">
            <w:pPr>
              <w:jc w:val="center"/>
              <w:rPr>
                <w:rFonts w:ascii="Arial Narrow" w:hAnsi="Arial Narrow" w:cs="Calibri"/>
                <w:color w:val="000000"/>
                <w:sz w:val="20"/>
                <w:szCs w:val="20"/>
                <w:lang w:val="es-CR" w:eastAsia="es-CR"/>
              </w:rPr>
            </w:pPr>
            <w:r w:rsidRPr="003C3C55">
              <w:rPr>
                <w:rFonts w:ascii="Arial Narrow" w:hAnsi="Arial Narrow" w:cs="Calibri"/>
                <w:color w:val="000000"/>
                <w:sz w:val="20"/>
                <w:szCs w:val="20"/>
                <w:lang w:val="es-CR" w:eastAsia="es-CR"/>
              </w:rPr>
              <w:t>15</w:t>
            </w:r>
          </w:p>
        </w:tc>
        <w:tc>
          <w:tcPr>
            <w:tcW w:w="5280" w:type="dxa"/>
            <w:tcBorders>
              <w:top w:val="nil"/>
              <w:left w:val="nil"/>
              <w:bottom w:val="single" w:sz="4" w:space="0" w:color="auto"/>
              <w:right w:val="single" w:sz="4" w:space="0" w:color="auto"/>
            </w:tcBorders>
            <w:shd w:val="clear" w:color="000000" w:fill="FFFFFF"/>
            <w:noWrap/>
            <w:vAlign w:val="center"/>
            <w:hideMark/>
          </w:tcPr>
          <w:p w14:paraId="76308E2A" w14:textId="77777777" w:rsidR="00C801FF" w:rsidRPr="003C3C55" w:rsidRDefault="00C801FF" w:rsidP="00FA48AC">
            <w:pPr>
              <w:jc w:val="center"/>
              <w:rPr>
                <w:rFonts w:ascii="Arial Narrow" w:hAnsi="Arial Narrow" w:cs="Calibri"/>
                <w:color w:val="000000"/>
                <w:sz w:val="22"/>
                <w:szCs w:val="22"/>
                <w:lang w:val="es-CR" w:eastAsia="es-CR"/>
              </w:rPr>
            </w:pPr>
            <w:r w:rsidRPr="003C3C55">
              <w:rPr>
                <w:rFonts w:ascii="Arial Narrow" w:hAnsi="Arial Narrow" w:cs="Calibri"/>
                <w:color w:val="000000"/>
                <w:sz w:val="22"/>
                <w:szCs w:val="22"/>
                <w:lang w:val="es-CR" w:eastAsia="es-CR"/>
              </w:rPr>
              <w:t>SECRETARIA TECNICA DE GENERO Y ACCESO A LA JUSTICIA</w:t>
            </w:r>
          </w:p>
        </w:tc>
        <w:tc>
          <w:tcPr>
            <w:tcW w:w="1551" w:type="dxa"/>
            <w:tcBorders>
              <w:top w:val="nil"/>
              <w:left w:val="nil"/>
              <w:bottom w:val="single" w:sz="4" w:space="0" w:color="auto"/>
              <w:right w:val="single" w:sz="4" w:space="0" w:color="auto"/>
            </w:tcBorders>
            <w:shd w:val="clear" w:color="FFFFFF" w:fill="FFFFFF"/>
            <w:vAlign w:val="center"/>
            <w:hideMark/>
          </w:tcPr>
          <w:p w14:paraId="3FCACBE2" w14:textId="77777777" w:rsidR="00C801FF" w:rsidRPr="003C3C55" w:rsidRDefault="00C801FF" w:rsidP="00FA48AC">
            <w:pPr>
              <w:jc w:val="center"/>
              <w:rPr>
                <w:rFonts w:ascii="Arial Narrow" w:hAnsi="Arial Narrow" w:cs="Calibri"/>
                <w:color w:val="000000"/>
                <w:sz w:val="20"/>
                <w:szCs w:val="20"/>
                <w:lang w:val="es-CR" w:eastAsia="es-CR"/>
              </w:rPr>
            </w:pPr>
            <w:r w:rsidRPr="003C3C55">
              <w:rPr>
                <w:rFonts w:ascii="Arial Narrow" w:hAnsi="Arial Narrow" w:cs="Calibri"/>
                <w:color w:val="000000"/>
                <w:sz w:val="20"/>
                <w:szCs w:val="20"/>
                <w:lang w:val="es-CR" w:eastAsia="es-CR"/>
              </w:rPr>
              <w:t>2</w:t>
            </w:r>
          </w:p>
        </w:tc>
        <w:tc>
          <w:tcPr>
            <w:tcW w:w="1420" w:type="dxa"/>
            <w:tcBorders>
              <w:top w:val="nil"/>
              <w:left w:val="nil"/>
              <w:bottom w:val="single" w:sz="4" w:space="0" w:color="auto"/>
              <w:right w:val="single" w:sz="4" w:space="0" w:color="auto"/>
            </w:tcBorders>
            <w:shd w:val="clear" w:color="000000" w:fill="70AD47"/>
            <w:vAlign w:val="center"/>
            <w:hideMark/>
          </w:tcPr>
          <w:p w14:paraId="61FC62DC" w14:textId="77777777" w:rsidR="00C801FF" w:rsidRPr="003C3C55" w:rsidRDefault="00C801FF" w:rsidP="00FA48AC">
            <w:pPr>
              <w:jc w:val="center"/>
              <w:rPr>
                <w:rFonts w:ascii="Arial Narrow" w:hAnsi="Arial Narrow" w:cs="Calibri"/>
                <w:color w:val="000000"/>
                <w:sz w:val="20"/>
                <w:szCs w:val="20"/>
                <w:lang w:val="es-CR" w:eastAsia="es-CR"/>
              </w:rPr>
            </w:pPr>
            <w:r w:rsidRPr="003C3C55">
              <w:rPr>
                <w:rFonts w:ascii="Arial Narrow" w:hAnsi="Arial Narrow" w:cs="Calibri"/>
                <w:color w:val="000000"/>
                <w:sz w:val="20"/>
                <w:szCs w:val="20"/>
                <w:lang w:val="es-CR" w:eastAsia="es-CR"/>
              </w:rPr>
              <w:t>100.00 %</w:t>
            </w:r>
          </w:p>
        </w:tc>
      </w:tr>
      <w:tr w:rsidR="006F3725" w:rsidRPr="003C3C55" w14:paraId="74293592" w14:textId="77777777" w:rsidTr="00FA48AC">
        <w:trPr>
          <w:trHeight w:val="300"/>
        </w:trPr>
        <w:tc>
          <w:tcPr>
            <w:tcW w:w="952" w:type="dxa"/>
            <w:tcBorders>
              <w:top w:val="nil"/>
              <w:left w:val="single" w:sz="4" w:space="0" w:color="auto"/>
              <w:bottom w:val="single" w:sz="4" w:space="0" w:color="auto"/>
              <w:right w:val="single" w:sz="4" w:space="0" w:color="auto"/>
            </w:tcBorders>
            <w:shd w:val="clear" w:color="D3D3D3" w:fill="FFFFFF"/>
            <w:vAlign w:val="center"/>
            <w:hideMark/>
          </w:tcPr>
          <w:p w14:paraId="29F60267" w14:textId="77777777" w:rsidR="00C801FF" w:rsidRPr="003C3C55" w:rsidRDefault="00C801FF" w:rsidP="00FA48AC">
            <w:pPr>
              <w:jc w:val="center"/>
              <w:rPr>
                <w:rFonts w:ascii="Arial Narrow" w:hAnsi="Arial Narrow" w:cs="Calibri"/>
                <w:color w:val="000000"/>
                <w:sz w:val="20"/>
                <w:szCs w:val="20"/>
                <w:lang w:val="es-CR" w:eastAsia="es-CR"/>
              </w:rPr>
            </w:pPr>
            <w:r w:rsidRPr="003C3C55">
              <w:rPr>
                <w:rFonts w:ascii="Arial Narrow" w:hAnsi="Arial Narrow" w:cs="Calibri"/>
                <w:color w:val="000000"/>
                <w:sz w:val="20"/>
                <w:szCs w:val="20"/>
                <w:lang w:val="es-CR" w:eastAsia="es-CR"/>
              </w:rPr>
              <w:t>16</w:t>
            </w:r>
          </w:p>
        </w:tc>
        <w:tc>
          <w:tcPr>
            <w:tcW w:w="5280" w:type="dxa"/>
            <w:tcBorders>
              <w:top w:val="nil"/>
              <w:left w:val="nil"/>
              <w:bottom w:val="single" w:sz="4" w:space="0" w:color="auto"/>
              <w:right w:val="single" w:sz="4" w:space="0" w:color="auto"/>
            </w:tcBorders>
            <w:shd w:val="clear" w:color="000000" w:fill="FFFFFF"/>
            <w:noWrap/>
            <w:vAlign w:val="center"/>
            <w:hideMark/>
          </w:tcPr>
          <w:p w14:paraId="5DC6DFF7" w14:textId="77777777" w:rsidR="00C801FF" w:rsidRPr="003C3C55" w:rsidRDefault="00C801FF" w:rsidP="00FA48AC">
            <w:pPr>
              <w:jc w:val="center"/>
              <w:rPr>
                <w:rFonts w:ascii="Arial Narrow" w:hAnsi="Arial Narrow" w:cs="Calibri"/>
                <w:color w:val="000000"/>
                <w:sz w:val="22"/>
                <w:szCs w:val="22"/>
                <w:lang w:val="es-CR" w:eastAsia="es-CR"/>
              </w:rPr>
            </w:pPr>
            <w:r w:rsidRPr="003C3C55">
              <w:rPr>
                <w:rFonts w:ascii="Arial Narrow" w:hAnsi="Arial Narrow" w:cs="Calibri"/>
                <w:color w:val="000000"/>
                <w:sz w:val="22"/>
                <w:szCs w:val="22"/>
                <w:lang w:val="es-CR" w:eastAsia="es-CR"/>
              </w:rPr>
              <w:t>DIRECCION GESTION HUMANA</w:t>
            </w:r>
          </w:p>
        </w:tc>
        <w:tc>
          <w:tcPr>
            <w:tcW w:w="1551" w:type="dxa"/>
            <w:tcBorders>
              <w:top w:val="nil"/>
              <w:left w:val="nil"/>
              <w:bottom w:val="single" w:sz="4" w:space="0" w:color="auto"/>
              <w:right w:val="single" w:sz="4" w:space="0" w:color="auto"/>
            </w:tcBorders>
            <w:shd w:val="clear" w:color="D3D3D3" w:fill="FFFFFF"/>
            <w:vAlign w:val="center"/>
            <w:hideMark/>
          </w:tcPr>
          <w:p w14:paraId="318AE990" w14:textId="77777777" w:rsidR="00C801FF" w:rsidRPr="003C3C55" w:rsidRDefault="00C801FF" w:rsidP="00FA48AC">
            <w:pPr>
              <w:jc w:val="center"/>
              <w:rPr>
                <w:rFonts w:ascii="Arial Narrow" w:hAnsi="Arial Narrow" w:cs="Calibri"/>
                <w:color w:val="000000"/>
                <w:sz w:val="20"/>
                <w:szCs w:val="20"/>
                <w:lang w:val="es-CR" w:eastAsia="es-CR"/>
              </w:rPr>
            </w:pPr>
            <w:r w:rsidRPr="003C3C55">
              <w:rPr>
                <w:rFonts w:ascii="Arial Narrow" w:hAnsi="Arial Narrow" w:cs="Calibri"/>
                <w:color w:val="000000"/>
                <w:sz w:val="20"/>
                <w:szCs w:val="20"/>
                <w:lang w:val="es-CR" w:eastAsia="es-CR"/>
              </w:rPr>
              <w:t>19</w:t>
            </w:r>
          </w:p>
        </w:tc>
        <w:tc>
          <w:tcPr>
            <w:tcW w:w="1420" w:type="dxa"/>
            <w:tcBorders>
              <w:top w:val="nil"/>
              <w:left w:val="nil"/>
              <w:bottom w:val="single" w:sz="4" w:space="0" w:color="auto"/>
              <w:right w:val="single" w:sz="4" w:space="0" w:color="auto"/>
            </w:tcBorders>
            <w:shd w:val="clear" w:color="000000" w:fill="70AD47"/>
            <w:vAlign w:val="center"/>
            <w:hideMark/>
          </w:tcPr>
          <w:p w14:paraId="392F0331" w14:textId="77777777" w:rsidR="00C801FF" w:rsidRPr="00567BA2" w:rsidRDefault="00C801FF" w:rsidP="00FA48AC">
            <w:pPr>
              <w:jc w:val="center"/>
              <w:rPr>
                <w:rFonts w:ascii="Arial Narrow" w:hAnsi="Arial Narrow" w:cs="Calibri"/>
                <w:color w:val="000000"/>
                <w:sz w:val="20"/>
                <w:szCs w:val="20"/>
                <w:lang w:val="es-CR" w:eastAsia="es-CR"/>
              </w:rPr>
            </w:pPr>
            <w:r w:rsidRPr="00567BA2">
              <w:rPr>
                <w:rFonts w:ascii="Arial Narrow" w:hAnsi="Arial Narrow" w:cs="Calibri"/>
                <w:color w:val="000000"/>
                <w:sz w:val="20"/>
                <w:szCs w:val="20"/>
                <w:lang w:val="es-CR" w:eastAsia="es-CR"/>
              </w:rPr>
              <w:t>99.74 %</w:t>
            </w:r>
          </w:p>
        </w:tc>
      </w:tr>
      <w:tr w:rsidR="006F3725" w:rsidRPr="003C3C55" w14:paraId="1E20756C" w14:textId="77777777" w:rsidTr="00FA48AC">
        <w:trPr>
          <w:trHeight w:val="300"/>
        </w:trPr>
        <w:tc>
          <w:tcPr>
            <w:tcW w:w="952" w:type="dxa"/>
            <w:tcBorders>
              <w:top w:val="nil"/>
              <w:left w:val="single" w:sz="4" w:space="0" w:color="auto"/>
              <w:bottom w:val="single" w:sz="4" w:space="0" w:color="auto"/>
              <w:right w:val="single" w:sz="4" w:space="0" w:color="auto"/>
            </w:tcBorders>
            <w:shd w:val="clear" w:color="FFFFFF" w:fill="FFFFFF"/>
            <w:vAlign w:val="center"/>
            <w:hideMark/>
          </w:tcPr>
          <w:p w14:paraId="497146C9" w14:textId="77777777" w:rsidR="00C801FF" w:rsidRPr="003C3C55" w:rsidRDefault="00C801FF" w:rsidP="00FA48AC">
            <w:pPr>
              <w:jc w:val="center"/>
              <w:rPr>
                <w:rFonts w:ascii="Arial Narrow" w:hAnsi="Arial Narrow" w:cs="Calibri"/>
                <w:color w:val="000000"/>
                <w:sz w:val="20"/>
                <w:szCs w:val="20"/>
                <w:lang w:val="es-CR" w:eastAsia="es-CR"/>
              </w:rPr>
            </w:pPr>
            <w:r w:rsidRPr="003C3C55">
              <w:rPr>
                <w:rFonts w:ascii="Arial Narrow" w:hAnsi="Arial Narrow" w:cs="Calibri"/>
                <w:color w:val="000000"/>
                <w:sz w:val="20"/>
                <w:szCs w:val="20"/>
                <w:lang w:val="es-CR" w:eastAsia="es-CR"/>
              </w:rPr>
              <w:t>17</w:t>
            </w:r>
          </w:p>
        </w:tc>
        <w:tc>
          <w:tcPr>
            <w:tcW w:w="5280" w:type="dxa"/>
            <w:tcBorders>
              <w:top w:val="nil"/>
              <w:left w:val="nil"/>
              <w:bottom w:val="single" w:sz="4" w:space="0" w:color="auto"/>
              <w:right w:val="single" w:sz="4" w:space="0" w:color="auto"/>
            </w:tcBorders>
            <w:shd w:val="clear" w:color="000000" w:fill="FFFFFF"/>
            <w:noWrap/>
            <w:vAlign w:val="center"/>
            <w:hideMark/>
          </w:tcPr>
          <w:p w14:paraId="19B5582D" w14:textId="77777777" w:rsidR="00C801FF" w:rsidRPr="00CC279A" w:rsidRDefault="00C801FF" w:rsidP="00FA48AC">
            <w:pPr>
              <w:jc w:val="center"/>
              <w:rPr>
                <w:rFonts w:ascii="Arial Narrow" w:hAnsi="Arial Narrow" w:cs="Calibri"/>
                <w:color w:val="000000"/>
                <w:sz w:val="22"/>
                <w:szCs w:val="22"/>
                <w:lang w:val="es-CR" w:eastAsia="es-CR"/>
              </w:rPr>
            </w:pPr>
            <w:r w:rsidRPr="00CC279A">
              <w:rPr>
                <w:rFonts w:ascii="Arial Narrow" w:hAnsi="Arial Narrow" w:cs="Calibri"/>
                <w:color w:val="000000"/>
                <w:sz w:val="22"/>
                <w:szCs w:val="22"/>
                <w:lang w:val="es-CR" w:eastAsia="es-CR"/>
              </w:rPr>
              <w:t>DIRECCION DE PLANIFICACION</w:t>
            </w:r>
          </w:p>
        </w:tc>
        <w:tc>
          <w:tcPr>
            <w:tcW w:w="1551" w:type="dxa"/>
            <w:tcBorders>
              <w:top w:val="nil"/>
              <w:left w:val="nil"/>
              <w:bottom w:val="single" w:sz="4" w:space="0" w:color="auto"/>
              <w:right w:val="single" w:sz="4" w:space="0" w:color="auto"/>
            </w:tcBorders>
            <w:shd w:val="clear" w:color="FFFFFF" w:fill="FFFFFF"/>
            <w:vAlign w:val="center"/>
            <w:hideMark/>
          </w:tcPr>
          <w:p w14:paraId="5D0470F1" w14:textId="77777777" w:rsidR="00C801FF" w:rsidRPr="00CC279A" w:rsidRDefault="00C801FF" w:rsidP="00FA48AC">
            <w:pPr>
              <w:jc w:val="center"/>
              <w:rPr>
                <w:rFonts w:ascii="Arial Narrow" w:hAnsi="Arial Narrow" w:cs="Calibri"/>
                <w:color w:val="000000"/>
                <w:sz w:val="20"/>
                <w:szCs w:val="20"/>
                <w:lang w:val="es-CR" w:eastAsia="es-CR"/>
              </w:rPr>
            </w:pPr>
            <w:r w:rsidRPr="00CC279A">
              <w:rPr>
                <w:rFonts w:ascii="Arial Narrow" w:hAnsi="Arial Narrow" w:cs="Calibri"/>
                <w:color w:val="000000"/>
                <w:sz w:val="20"/>
                <w:szCs w:val="20"/>
                <w:lang w:val="es-CR" w:eastAsia="es-CR"/>
              </w:rPr>
              <w:t>17</w:t>
            </w:r>
          </w:p>
        </w:tc>
        <w:tc>
          <w:tcPr>
            <w:tcW w:w="1420" w:type="dxa"/>
            <w:tcBorders>
              <w:top w:val="nil"/>
              <w:left w:val="nil"/>
              <w:bottom w:val="single" w:sz="4" w:space="0" w:color="auto"/>
              <w:right w:val="single" w:sz="4" w:space="0" w:color="auto"/>
            </w:tcBorders>
            <w:shd w:val="clear" w:color="000000" w:fill="70AD47"/>
            <w:vAlign w:val="center"/>
            <w:hideMark/>
          </w:tcPr>
          <w:p w14:paraId="0E6DA90B" w14:textId="77777777" w:rsidR="00C801FF" w:rsidRPr="00CC279A" w:rsidRDefault="00C801FF" w:rsidP="00FA48AC">
            <w:pPr>
              <w:jc w:val="center"/>
              <w:rPr>
                <w:rFonts w:ascii="Arial Narrow" w:hAnsi="Arial Narrow" w:cs="Calibri"/>
                <w:color w:val="000000"/>
                <w:sz w:val="20"/>
                <w:szCs w:val="20"/>
                <w:lang w:val="es-CR" w:eastAsia="es-CR"/>
              </w:rPr>
            </w:pPr>
            <w:r w:rsidRPr="00CC279A">
              <w:rPr>
                <w:rFonts w:ascii="Arial Narrow" w:hAnsi="Arial Narrow" w:cs="Calibri"/>
                <w:color w:val="000000"/>
                <w:sz w:val="20"/>
                <w:szCs w:val="20"/>
                <w:lang w:val="es-CR" w:eastAsia="es-CR"/>
              </w:rPr>
              <w:t>99.59 %</w:t>
            </w:r>
          </w:p>
        </w:tc>
      </w:tr>
      <w:tr w:rsidR="006F3725" w:rsidRPr="003C3C55" w14:paraId="4799E1A3" w14:textId="77777777" w:rsidTr="00FA48AC">
        <w:trPr>
          <w:trHeight w:val="300"/>
        </w:trPr>
        <w:tc>
          <w:tcPr>
            <w:tcW w:w="952" w:type="dxa"/>
            <w:tcBorders>
              <w:top w:val="nil"/>
              <w:left w:val="single" w:sz="4" w:space="0" w:color="auto"/>
              <w:bottom w:val="single" w:sz="4" w:space="0" w:color="auto"/>
              <w:right w:val="single" w:sz="4" w:space="0" w:color="auto"/>
            </w:tcBorders>
            <w:shd w:val="clear" w:color="D3D3D3" w:fill="FFFFFF"/>
            <w:vAlign w:val="center"/>
            <w:hideMark/>
          </w:tcPr>
          <w:p w14:paraId="702AE7FB" w14:textId="77777777" w:rsidR="00C801FF" w:rsidRPr="003C3C55" w:rsidRDefault="00C801FF" w:rsidP="00FA48AC">
            <w:pPr>
              <w:jc w:val="center"/>
              <w:rPr>
                <w:rFonts w:ascii="Arial Narrow" w:hAnsi="Arial Narrow" w:cs="Calibri"/>
                <w:color w:val="000000"/>
                <w:sz w:val="20"/>
                <w:szCs w:val="20"/>
                <w:lang w:val="es-CR" w:eastAsia="es-CR"/>
              </w:rPr>
            </w:pPr>
            <w:r w:rsidRPr="003C3C55">
              <w:rPr>
                <w:rFonts w:ascii="Arial Narrow" w:hAnsi="Arial Narrow" w:cs="Calibri"/>
                <w:color w:val="000000"/>
                <w:sz w:val="20"/>
                <w:szCs w:val="20"/>
                <w:lang w:val="es-CR" w:eastAsia="es-CR"/>
              </w:rPr>
              <w:t>18</w:t>
            </w:r>
          </w:p>
        </w:tc>
        <w:tc>
          <w:tcPr>
            <w:tcW w:w="5280" w:type="dxa"/>
            <w:tcBorders>
              <w:top w:val="nil"/>
              <w:left w:val="nil"/>
              <w:bottom w:val="single" w:sz="4" w:space="0" w:color="auto"/>
              <w:right w:val="single" w:sz="4" w:space="0" w:color="auto"/>
            </w:tcBorders>
            <w:shd w:val="clear" w:color="000000" w:fill="FFFFFF"/>
            <w:noWrap/>
            <w:vAlign w:val="center"/>
            <w:hideMark/>
          </w:tcPr>
          <w:p w14:paraId="39128504" w14:textId="76BE4493" w:rsidR="00C801FF" w:rsidRPr="003C3C55" w:rsidRDefault="00C801FF" w:rsidP="00FA48AC">
            <w:pPr>
              <w:jc w:val="center"/>
              <w:rPr>
                <w:rFonts w:ascii="Arial Narrow" w:hAnsi="Arial Narrow" w:cs="Calibri"/>
                <w:color w:val="000000"/>
                <w:sz w:val="22"/>
                <w:szCs w:val="22"/>
                <w:lang w:val="es-CR" w:eastAsia="es-CR"/>
              </w:rPr>
            </w:pPr>
            <w:r w:rsidRPr="003C3C55">
              <w:rPr>
                <w:rFonts w:ascii="Arial Narrow" w:hAnsi="Arial Narrow" w:cs="Calibri"/>
                <w:color w:val="000000"/>
                <w:sz w:val="22"/>
                <w:szCs w:val="22"/>
                <w:lang w:val="es-CR" w:eastAsia="es-CR"/>
              </w:rPr>
              <w:t>DIRECCION GENERAL</w:t>
            </w:r>
            <w:r w:rsidR="00A07C93">
              <w:rPr>
                <w:rFonts w:ascii="Arial Narrow" w:hAnsi="Arial Narrow" w:cs="Calibri"/>
                <w:color w:val="000000"/>
                <w:sz w:val="22"/>
                <w:szCs w:val="22"/>
                <w:lang w:val="es-CR" w:eastAsia="es-CR"/>
              </w:rPr>
              <w:t xml:space="preserve"> DEL O.I.J.</w:t>
            </w:r>
          </w:p>
        </w:tc>
        <w:tc>
          <w:tcPr>
            <w:tcW w:w="1551" w:type="dxa"/>
            <w:tcBorders>
              <w:top w:val="nil"/>
              <w:left w:val="nil"/>
              <w:bottom w:val="single" w:sz="4" w:space="0" w:color="auto"/>
              <w:right w:val="single" w:sz="4" w:space="0" w:color="auto"/>
            </w:tcBorders>
            <w:shd w:val="clear" w:color="D3D3D3" w:fill="FFFFFF"/>
            <w:vAlign w:val="center"/>
            <w:hideMark/>
          </w:tcPr>
          <w:p w14:paraId="1685B59C" w14:textId="77777777" w:rsidR="00C801FF" w:rsidRPr="003C3C55" w:rsidRDefault="00C801FF" w:rsidP="00FA48AC">
            <w:pPr>
              <w:jc w:val="center"/>
              <w:rPr>
                <w:rFonts w:ascii="Arial Narrow" w:hAnsi="Arial Narrow" w:cs="Calibri"/>
                <w:color w:val="000000"/>
                <w:sz w:val="20"/>
                <w:szCs w:val="20"/>
                <w:lang w:val="es-CR" w:eastAsia="es-CR"/>
              </w:rPr>
            </w:pPr>
            <w:r w:rsidRPr="003C3C55">
              <w:rPr>
                <w:rFonts w:ascii="Arial Narrow" w:hAnsi="Arial Narrow" w:cs="Calibri"/>
                <w:color w:val="000000"/>
                <w:sz w:val="20"/>
                <w:szCs w:val="20"/>
                <w:lang w:val="es-CR" w:eastAsia="es-CR"/>
              </w:rPr>
              <w:t>19</w:t>
            </w:r>
          </w:p>
        </w:tc>
        <w:tc>
          <w:tcPr>
            <w:tcW w:w="1420" w:type="dxa"/>
            <w:tcBorders>
              <w:top w:val="nil"/>
              <w:left w:val="nil"/>
              <w:bottom w:val="single" w:sz="4" w:space="0" w:color="auto"/>
              <w:right w:val="single" w:sz="4" w:space="0" w:color="auto"/>
            </w:tcBorders>
            <w:shd w:val="clear" w:color="000000" w:fill="70AD47"/>
            <w:vAlign w:val="center"/>
            <w:hideMark/>
          </w:tcPr>
          <w:p w14:paraId="2294DC45" w14:textId="77777777" w:rsidR="00C801FF" w:rsidRPr="00567BA2" w:rsidRDefault="00C801FF" w:rsidP="00FA48AC">
            <w:pPr>
              <w:jc w:val="center"/>
              <w:rPr>
                <w:rFonts w:ascii="Arial Narrow" w:hAnsi="Arial Narrow" w:cs="Calibri"/>
                <w:color w:val="000000"/>
                <w:sz w:val="20"/>
                <w:szCs w:val="20"/>
                <w:lang w:val="es-CR" w:eastAsia="es-CR"/>
              </w:rPr>
            </w:pPr>
            <w:r w:rsidRPr="00567BA2">
              <w:rPr>
                <w:rFonts w:ascii="Arial Narrow" w:hAnsi="Arial Narrow" w:cs="Calibri"/>
                <w:color w:val="000000"/>
                <w:sz w:val="20"/>
                <w:szCs w:val="20"/>
                <w:lang w:val="es-CR" w:eastAsia="es-CR"/>
              </w:rPr>
              <w:t>99.42 %</w:t>
            </w:r>
          </w:p>
        </w:tc>
      </w:tr>
      <w:tr w:rsidR="006F3725" w:rsidRPr="003C3C55" w14:paraId="6D362D52" w14:textId="77777777" w:rsidTr="00FA48AC">
        <w:trPr>
          <w:trHeight w:val="300"/>
        </w:trPr>
        <w:tc>
          <w:tcPr>
            <w:tcW w:w="952" w:type="dxa"/>
            <w:tcBorders>
              <w:top w:val="nil"/>
              <w:left w:val="single" w:sz="4" w:space="0" w:color="auto"/>
              <w:bottom w:val="single" w:sz="4" w:space="0" w:color="auto"/>
              <w:right w:val="single" w:sz="4" w:space="0" w:color="auto"/>
            </w:tcBorders>
            <w:shd w:val="clear" w:color="FFFFFF" w:fill="FFFFFF"/>
            <w:vAlign w:val="center"/>
            <w:hideMark/>
          </w:tcPr>
          <w:p w14:paraId="0F884153" w14:textId="77777777" w:rsidR="00C801FF" w:rsidRPr="003C3C55" w:rsidRDefault="00C801FF" w:rsidP="00FA48AC">
            <w:pPr>
              <w:jc w:val="center"/>
              <w:rPr>
                <w:rFonts w:ascii="Arial Narrow" w:hAnsi="Arial Narrow" w:cs="Calibri"/>
                <w:color w:val="000000"/>
                <w:sz w:val="20"/>
                <w:szCs w:val="20"/>
                <w:lang w:val="es-CR" w:eastAsia="es-CR"/>
              </w:rPr>
            </w:pPr>
            <w:r w:rsidRPr="003C3C55">
              <w:rPr>
                <w:rFonts w:ascii="Arial Narrow" w:hAnsi="Arial Narrow" w:cs="Calibri"/>
                <w:color w:val="000000"/>
                <w:sz w:val="20"/>
                <w:szCs w:val="20"/>
                <w:lang w:val="es-CR" w:eastAsia="es-CR"/>
              </w:rPr>
              <w:t>19</w:t>
            </w:r>
          </w:p>
        </w:tc>
        <w:tc>
          <w:tcPr>
            <w:tcW w:w="5280" w:type="dxa"/>
            <w:tcBorders>
              <w:top w:val="nil"/>
              <w:left w:val="nil"/>
              <w:bottom w:val="single" w:sz="4" w:space="0" w:color="auto"/>
              <w:right w:val="single" w:sz="4" w:space="0" w:color="auto"/>
            </w:tcBorders>
            <w:shd w:val="clear" w:color="000000" w:fill="FFFFFF"/>
            <w:noWrap/>
            <w:vAlign w:val="center"/>
            <w:hideMark/>
          </w:tcPr>
          <w:p w14:paraId="793ED89A" w14:textId="77777777" w:rsidR="00C801FF" w:rsidRPr="003C3C55" w:rsidRDefault="00C801FF" w:rsidP="00FA48AC">
            <w:pPr>
              <w:jc w:val="center"/>
              <w:rPr>
                <w:rFonts w:ascii="Arial Narrow" w:hAnsi="Arial Narrow" w:cs="Calibri"/>
                <w:color w:val="000000"/>
                <w:sz w:val="22"/>
                <w:szCs w:val="22"/>
                <w:lang w:val="es-CR" w:eastAsia="es-CR"/>
              </w:rPr>
            </w:pPr>
            <w:r w:rsidRPr="003C3C55">
              <w:rPr>
                <w:rFonts w:ascii="Arial Narrow" w:hAnsi="Arial Narrow" w:cs="Calibri"/>
                <w:color w:val="000000"/>
                <w:sz w:val="22"/>
                <w:szCs w:val="22"/>
                <w:lang w:val="es-CR" w:eastAsia="es-CR"/>
              </w:rPr>
              <w:t>COMISION NACIONAL PARA EL MEJORAMIENTO DE LA ADMINISTRACION DE JUSTICIA</w:t>
            </w:r>
          </w:p>
        </w:tc>
        <w:tc>
          <w:tcPr>
            <w:tcW w:w="1551" w:type="dxa"/>
            <w:tcBorders>
              <w:top w:val="nil"/>
              <w:left w:val="nil"/>
              <w:bottom w:val="single" w:sz="4" w:space="0" w:color="auto"/>
              <w:right w:val="single" w:sz="4" w:space="0" w:color="auto"/>
            </w:tcBorders>
            <w:shd w:val="clear" w:color="FFFFFF" w:fill="FFFFFF"/>
            <w:vAlign w:val="center"/>
            <w:hideMark/>
          </w:tcPr>
          <w:p w14:paraId="7B0888C6" w14:textId="77777777" w:rsidR="00C801FF" w:rsidRPr="003C3C55" w:rsidRDefault="00C801FF" w:rsidP="00FA48AC">
            <w:pPr>
              <w:jc w:val="center"/>
              <w:rPr>
                <w:rFonts w:ascii="Arial Narrow" w:hAnsi="Arial Narrow" w:cs="Calibri"/>
                <w:color w:val="000000"/>
                <w:sz w:val="20"/>
                <w:szCs w:val="20"/>
                <w:lang w:val="es-CR" w:eastAsia="es-CR"/>
              </w:rPr>
            </w:pPr>
            <w:r w:rsidRPr="003C3C55">
              <w:rPr>
                <w:rFonts w:ascii="Arial Narrow" w:hAnsi="Arial Narrow" w:cs="Calibri"/>
                <w:color w:val="000000"/>
                <w:sz w:val="20"/>
                <w:szCs w:val="20"/>
                <w:lang w:val="es-CR" w:eastAsia="es-CR"/>
              </w:rPr>
              <w:t>3</w:t>
            </w:r>
          </w:p>
        </w:tc>
        <w:tc>
          <w:tcPr>
            <w:tcW w:w="1420" w:type="dxa"/>
            <w:tcBorders>
              <w:top w:val="nil"/>
              <w:left w:val="nil"/>
              <w:bottom w:val="single" w:sz="4" w:space="0" w:color="auto"/>
              <w:right w:val="single" w:sz="4" w:space="0" w:color="auto"/>
            </w:tcBorders>
            <w:shd w:val="clear" w:color="000000" w:fill="70AD47"/>
            <w:vAlign w:val="center"/>
            <w:hideMark/>
          </w:tcPr>
          <w:p w14:paraId="11740573" w14:textId="77777777" w:rsidR="00C801FF" w:rsidRPr="003C3C55" w:rsidRDefault="00C801FF" w:rsidP="00FA48AC">
            <w:pPr>
              <w:jc w:val="center"/>
              <w:rPr>
                <w:rFonts w:ascii="Arial Narrow" w:hAnsi="Arial Narrow" w:cs="Calibri"/>
                <w:color w:val="000000"/>
                <w:sz w:val="20"/>
                <w:szCs w:val="20"/>
                <w:lang w:val="es-CR" w:eastAsia="es-CR"/>
              </w:rPr>
            </w:pPr>
            <w:r w:rsidRPr="003C3C55">
              <w:rPr>
                <w:rFonts w:ascii="Arial Narrow" w:hAnsi="Arial Narrow" w:cs="Calibri"/>
                <w:color w:val="000000"/>
                <w:sz w:val="20"/>
                <w:szCs w:val="20"/>
                <w:lang w:val="es-CR" w:eastAsia="es-CR"/>
              </w:rPr>
              <w:t>99.33 %</w:t>
            </w:r>
          </w:p>
        </w:tc>
      </w:tr>
      <w:tr w:rsidR="006F3725" w:rsidRPr="003C3C55" w14:paraId="1F16D6DE" w14:textId="77777777" w:rsidTr="00FA48AC">
        <w:trPr>
          <w:trHeight w:val="300"/>
        </w:trPr>
        <w:tc>
          <w:tcPr>
            <w:tcW w:w="952" w:type="dxa"/>
            <w:tcBorders>
              <w:top w:val="nil"/>
              <w:left w:val="single" w:sz="4" w:space="0" w:color="auto"/>
              <w:bottom w:val="single" w:sz="4" w:space="0" w:color="auto"/>
              <w:right w:val="single" w:sz="4" w:space="0" w:color="auto"/>
            </w:tcBorders>
            <w:shd w:val="clear" w:color="D3D3D3" w:fill="FFFFFF"/>
            <w:vAlign w:val="center"/>
            <w:hideMark/>
          </w:tcPr>
          <w:p w14:paraId="7E4D42DE" w14:textId="77777777" w:rsidR="00C801FF" w:rsidRPr="003C3C55" w:rsidRDefault="00C801FF" w:rsidP="00FA48AC">
            <w:pPr>
              <w:jc w:val="center"/>
              <w:rPr>
                <w:rFonts w:ascii="Arial Narrow" w:hAnsi="Arial Narrow" w:cs="Calibri"/>
                <w:color w:val="000000"/>
                <w:sz w:val="20"/>
                <w:szCs w:val="20"/>
                <w:lang w:val="es-CR" w:eastAsia="es-CR"/>
              </w:rPr>
            </w:pPr>
            <w:r w:rsidRPr="003C3C55">
              <w:rPr>
                <w:rFonts w:ascii="Arial Narrow" w:hAnsi="Arial Narrow" w:cs="Calibri"/>
                <w:color w:val="000000"/>
                <w:sz w:val="20"/>
                <w:szCs w:val="20"/>
                <w:lang w:val="es-CR" w:eastAsia="es-CR"/>
              </w:rPr>
              <w:t>20</w:t>
            </w:r>
          </w:p>
        </w:tc>
        <w:tc>
          <w:tcPr>
            <w:tcW w:w="5280" w:type="dxa"/>
            <w:tcBorders>
              <w:top w:val="nil"/>
              <w:left w:val="nil"/>
              <w:bottom w:val="single" w:sz="4" w:space="0" w:color="auto"/>
              <w:right w:val="single" w:sz="4" w:space="0" w:color="auto"/>
            </w:tcBorders>
            <w:shd w:val="clear" w:color="000000" w:fill="FFFFFF"/>
            <w:noWrap/>
            <w:vAlign w:val="center"/>
            <w:hideMark/>
          </w:tcPr>
          <w:p w14:paraId="750B3269" w14:textId="77777777" w:rsidR="00C801FF" w:rsidRPr="003C3C55" w:rsidRDefault="00C801FF" w:rsidP="00FA48AC">
            <w:pPr>
              <w:jc w:val="center"/>
              <w:rPr>
                <w:rFonts w:ascii="Arial Narrow" w:hAnsi="Arial Narrow" w:cs="Calibri"/>
                <w:color w:val="000000"/>
                <w:sz w:val="22"/>
                <w:szCs w:val="22"/>
                <w:lang w:val="es-CR" w:eastAsia="es-CR"/>
              </w:rPr>
            </w:pPr>
            <w:r w:rsidRPr="003C3C55">
              <w:rPr>
                <w:rFonts w:ascii="Arial Narrow" w:hAnsi="Arial Narrow" w:cs="Calibri"/>
                <w:color w:val="000000"/>
                <w:sz w:val="22"/>
                <w:szCs w:val="22"/>
                <w:lang w:val="es-CR" w:eastAsia="es-CR"/>
              </w:rPr>
              <w:t>FISCALIA GENERAL</w:t>
            </w:r>
          </w:p>
        </w:tc>
        <w:tc>
          <w:tcPr>
            <w:tcW w:w="1551" w:type="dxa"/>
            <w:tcBorders>
              <w:top w:val="nil"/>
              <w:left w:val="nil"/>
              <w:bottom w:val="single" w:sz="4" w:space="0" w:color="auto"/>
              <w:right w:val="single" w:sz="4" w:space="0" w:color="auto"/>
            </w:tcBorders>
            <w:shd w:val="clear" w:color="D3D3D3" w:fill="FFFFFF"/>
            <w:vAlign w:val="center"/>
            <w:hideMark/>
          </w:tcPr>
          <w:p w14:paraId="4999D869" w14:textId="77777777" w:rsidR="00C801FF" w:rsidRPr="003C3C55" w:rsidRDefault="00C801FF" w:rsidP="00FA48AC">
            <w:pPr>
              <w:jc w:val="center"/>
              <w:rPr>
                <w:rFonts w:ascii="Arial Narrow" w:hAnsi="Arial Narrow" w:cs="Calibri"/>
                <w:color w:val="000000"/>
                <w:sz w:val="20"/>
                <w:szCs w:val="20"/>
                <w:lang w:val="es-CR" w:eastAsia="es-CR"/>
              </w:rPr>
            </w:pPr>
            <w:r w:rsidRPr="003C3C55">
              <w:rPr>
                <w:rFonts w:ascii="Arial Narrow" w:hAnsi="Arial Narrow" w:cs="Calibri"/>
                <w:color w:val="000000"/>
                <w:sz w:val="20"/>
                <w:szCs w:val="20"/>
                <w:lang w:val="es-CR" w:eastAsia="es-CR"/>
              </w:rPr>
              <w:t>22</w:t>
            </w:r>
          </w:p>
        </w:tc>
        <w:tc>
          <w:tcPr>
            <w:tcW w:w="1420" w:type="dxa"/>
            <w:tcBorders>
              <w:top w:val="nil"/>
              <w:left w:val="nil"/>
              <w:bottom w:val="single" w:sz="4" w:space="0" w:color="auto"/>
              <w:right w:val="single" w:sz="4" w:space="0" w:color="auto"/>
            </w:tcBorders>
            <w:shd w:val="clear" w:color="000000" w:fill="70AD47"/>
            <w:vAlign w:val="center"/>
            <w:hideMark/>
          </w:tcPr>
          <w:p w14:paraId="2E100E23" w14:textId="77777777" w:rsidR="00C801FF" w:rsidRPr="003C3C55" w:rsidRDefault="00C801FF" w:rsidP="00FA48AC">
            <w:pPr>
              <w:jc w:val="center"/>
              <w:rPr>
                <w:rFonts w:ascii="Arial Narrow" w:hAnsi="Arial Narrow" w:cs="Calibri"/>
                <w:color w:val="000000"/>
                <w:sz w:val="20"/>
                <w:szCs w:val="20"/>
                <w:lang w:val="es-CR" w:eastAsia="es-CR"/>
              </w:rPr>
            </w:pPr>
            <w:r w:rsidRPr="003C3C55">
              <w:rPr>
                <w:rFonts w:ascii="Arial Narrow" w:hAnsi="Arial Narrow" w:cs="Calibri"/>
                <w:color w:val="000000"/>
                <w:sz w:val="20"/>
                <w:szCs w:val="20"/>
                <w:lang w:val="es-CR" w:eastAsia="es-CR"/>
              </w:rPr>
              <w:t>99.32 %</w:t>
            </w:r>
          </w:p>
        </w:tc>
      </w:tr>
      <w:tr w:rsidR="006F3725" w:rsidRPr="003C3C55" w14:paraId="25CA04F2" w14:textId="77777777" w:rsidTr="00FA48AC">
        <w:trPr>
          <w:trHeight w:val="300"/>
        </w:trPr>
        <w:tc>
          <w:tcPr>
            <w:tcW w:w="952" w:type="dxa"/>
            <w:tcBorders>
              <w:top w:val="nil"/>
              <w:left w:val="single" w:sz="4" w:space="0" w:color="auto"/>
              <w:bottom w:val="single" w:sz="4" w:space="0" w:color="auto"/>
              <w:right w:val="single" w:sz="4" w:space="0" w:color="auto"/>
            </w:tcBorders>
            <w:shd w:val="clear" w:color="FFFFFF" w:fill="FFFFFF"/>
            <w:vAlign w:val="center"/>
            <w:hideMark/>
          </w:tcPr>
          <w:p w14:paraId="12536785" w14:textId="77777777" w:rsidR="00C801FF" w:rsidRPr="003C3C55" w:rsidRDefault="00C801FF" w:rsidP="00FA48AC">
            <w:pPr>
              <w:jc w:val="center"/>
              <w:rPr>
                <w:rFonts w:ascii="Arial Narrow" w:hAnsi="Arial Narrow" w:cs="Calibri"/>
                <w:color w:val="000000"/>
                <w:sz w:val="20"/>
                <w:szCs w:val="20"/>
                <w:lang w:val="es-CR" w:eastAsia="es-CR"/>
              </w:rPr>
            </w:pPr>
            <w:r w:rsidRPr="003C3C55">
              <w:rPr>
                <w:rFonts w:ascii="Arial Narrow" w:hAnsi="Arial Narrow" w:cs="Calibri"/>
                <w:color w:val="000000"/>
                <w:sz w:val="20"/>
                <w:szCs w:val="20"/>
                <w:lang w:val="es-CR" w:eastAsia="es-CR"/>
              </w:rPr>
              <w:t>21</w:t>
            </w:r>
          </w:p>
        </w:tc>
        <w:tc>
          <w:tcPr>
            <w:tcW w:w="5280" w:type="dxa"/>
            <w:tcBorders>
              <w:top w:val="nil"/>
              <w:left w:val="nil"/>
              <w:bottom w:val="single" w:sz="4" w:space="0" w:color="auto"/>
              <w:right w:val="single" w:sz="4" w:space="0" w:color="auto"/>
            </w:tcBorders>
            <w:shd w:val="clear" w:color="000000" w:fill="FFFFFF"/>
            <w:noWrap/>
            <w:vAlign w:val="center"/>
            <w:hideMark/>
          </w:tcPr>
          <w:p w14:paraId="24B701EE" w14:textId="77777777" w:rsidR="00C801FF" w:rsidRPr="003C3C55" w:rsidRDefault="00C801FF" w:rsidP="00FA48AC">
            <w:pPr>
              <w:jc w:val="center"/>
              <w:rPr>
                <w:rFonts w:ascii="Arial Narrow" w:hAnsi="Arial Narrow" w:cs="Calibri"/>
                <w:color w:val="000000"/>
                <w:sz w:val="22"/>
                <w:szCs w:val="22"/>
                <w:lang w:val="es-CR" w:eastAsia="es-CR"/>
              </w:rPr>
            </w:pPr>
            <w:r w:rsidRPr="003C3C55">
              <w:rPr>
                <w:rFonts w:ascii="Arial Narrow" w:hAnsi="Arial Narrow" w:cs="Calibri"/>
                <w:color w:val="000000"/>
                <w:sz w:val="22"/>
                <w:szCs w:val="22"/>
                <w:lang w:val="es-CR" w:eastAsia="es-CR"/>
              </w:rPr>
              <w:t>SECRETARIA TECNICA DE ETICA Y VALORES</w:t>
            </w:r>
          </w:p>
        </w:tc>
        <w:tc>
          <w:tcPr>
            <w:tcW w:w="1551" w:type="dxa"/>
            <w:tcBorders>
              <w:top w:val="nil"/>
              <w:left w:val="nil"/>
              <w:bottom w:val="single" w:sz="4" w:space="0" w:color="auto"/>
              <w:right w:val="single" w:sz="4" w:space="0" w:color="auto"/>
            </w:tcBorders>
            <w:shd w:val="clear" w:color="FFFFFF" w:fill="FFFFFF"/>
            <w:vAlign w:val="center"/>
            <w:hideMark/>
          </w:tcPr>
          <w:p w14:paraId="1BD1CC2C" w14:textId="77777777" w:rsidR="00C801FF" w:rsidRPr="003C3C55" w:rsidRDefault="00C801FF" w:rsidP="00FA48AC">
            <w:pPr>
              <w:jc w:val="center"/>
              <w:rPr>
                <w:rFonts w:ascii="Arial Narrow" w:hAnsi="Arial Narrow" w:cs="Calibri"/>
                <w:color w:val="000000"/>
                <w:sz w:val="20"/>
                <w:szCs w:val="20"/>
                <w:lang w:val="es-CR" w:eastAsia="es-CR"/>
              </w:rPr>
            </w:pPr>
            <w:r w:rsidRPr="003C3C55">
              <w:rPr>
                <w:rFonts w:ascii="Arial Narrow" w:hAnsi="Arial Narrow" w:cs="Calibri"/>
                <w:color w:val="000000"/>
                <w:sz w:val="20"/>
                <w:szCs w:val="20"/>
                <w:lang w:val="es-CR" w:eastAsia="es-CR"/>
              </w:rPr>
              <w:t>1</w:t>
            </w:r>
          </w:p>
        </w:tc>
        <w:tc>
          <w:tcPr>
            <w:tcW w:w="1420" w:type="dxa"/>
            <w:tcBorders>
              <w:top w:val="nil"/>
              <w:left w:val="nil"/>
              <w:bottom w:val="single" w:sz="4" w:space="0" w:color="auto"/>
              <w:right w:val="single" w:sz="4" w:space="0" w:color="auto"/>
            </w:tcBorders>
            <w:shd w:val="clear" w:color="000000" w:fill="70AD47"/>
            <w:vAlign w:val="center"/>
            <w:hideMark/>
          </w:tcPr>
          <w:p w14:paraId="5A927D1D" w14:textId="77777777" w:rsidR="00C801FF" w:rsidRPr="003C3C55" w:rsidRDefault="00C801FF" w:rsidP="00FA48AC">
            <w:pPr>
              <w:jc w:val="center"/>
              <w:rPr>
                <w:rFonts w:ascii="Arial Narrow" w:hAnsi="Arial Narrow" w:cs="Calibri"/>
                <w:color w:val="000000"/>
                <w:sz w:val="20"/>
                <w:szCs w:val="20"/>
                <w:lang w:val="es-CR" w:eastAsia="es-CR"/>
              </w:rPr>
            </w:pPr>
            <w:r w:rsidRPr="003C3C55">
              <w:rPr>
                <w:rFonts w:ascii="Arial Narrow" w:hAnsi="Arial Narrow" w:cs="Calibri"/>
                <w:color w:val="000000"/>
                <w:sz w:val="20"/>
                <w:szCs w:val="20"/>
                <w:lang w:val="es-CR" w:eastAsia="es-CR"/>
              </w:rPr>
              <w:t>99.00 %</w:t>
            </w:r>
          </w:p>
        </w:tc>
      </w:tr>
      <w:tr w:rsidR="006F3725" w:rsidRPr="003C3C55" w14:paraId="15C38E91" w14:textId="77777777" w:rsidTr="00FA48AC">
        <w:trPr>
          <w:trHeight w:val="300"/>
        </w:trPr>
        <w:tc>
          <w:tcPr>
            <w:tcW w:w="952" w:type="dxa"/>
            <w:tcBorders>
              <w:top w:val="nil"/>
              <w:left w:val="single" w:sz="4" w:space="0" w:color="auto"/>
              <w:bottom w:val="single" w:sz="4" w:space="0" w:color="auto"/>
              <w:right w:val="single" w:sz="4" w:space="0" w:color="auto"/>
            </w:tcBorders>
            <w:shd w:val="clear" w:color="D3D3D3" w:fill="FFFFFF"/>
            <w:vAlign w:val="center"/>
            <w:hideMark/>
          </w:tcPr>
          <w:p w14:paraId="05B170EE" w14:textId="77777777" w:rsidR="00C801FF" w:rsidRPr="003C3C55" w:rsidRDefault="00C801FF" w:rsidP="00FA48AC">
            <w:pPr>
              <w:jc w:val="center"/>
              <w:rPr>
                <w:rFonts w:ascii="Arial Narrow" w:hAnsi="Arial Narrow" w:cs="Calibri"/>
                <w:color w:val="000000"/>
                <w:sz w:val="20"/>
                <w:szCs w:val="20"/>
                <w:lang w:val="es-CR" w:eastAsia="es-CR"/>
              </w:rPr>
            </w:pPr>
            <w:r w:rsidRPr="003C3C55">
              <w:rPr>
                <w:rFonts w:ascii="Arial Narrow" w:hAnsi="Arial Narrow" w:cs="Calibri"/>
                <w:color w:val="000000"/>
                <w:sz w:val="20"/>
                <w:szCs w:val="20"/>
                <w:lang w:val="es-CR" w:eastAsia="es-CR"/>
              </w:rPr>
              <w:t>22</w:t>
            </w:r>
          </w:p>
        </w:tc>
        <w:tc>
          <w:tcPr>
            <w:tcW w:w="5280" w:type="dxa"/>
            <w:tcBorders>
              <w:top w:val="nil"/>
              <w:left w:val="nil"/>
              <w:bottom w:val="single" w:sz="4" w:space="0" w:color="auto"/>
              <w:right w:val="single" w:sz="4" w:space="0" w:color="auto"/>
            </w:tcBorders>
            <w:shd w:val="clear" w:color="000000" w:fill="FFFFFF"/>
            <w:noWrap/>
            <w:vAlign w:val="center"/>
            <w:hideMark/>
          </w:tcPr>
          <w:p w14:paraId="0345FB82" w14:textId="77777777" w:rsidR="00C801FF" w:rsidRPr="003C3C55" w:rsidRDefault="00C801FF" w:rsidP="00FA48AC">
            <w:pPr>
              <w:jc w:val="center"/>
              <w:rPr>
                <w:rFonts w:ascii="Arial Narrow" w:hAnsi="Arial Narrow" w:cs="Calibri"/>
                <w:color w:val="000000"/>
                <w:sz w:val="22"/>
                <w:szCs w:val="22"/>
                <w:lang w:val="es-CR" w:eastAsia="es-CR"/>
              </w:rPr>
            </w:pPr>
            <w:r w:rsidRPr="003C3C55">
              <w:rPr>
                <w:rFonts w:ascii="Arial Narrow" w:hAnsi="Arial Narrow" w:cs="Calibri"/>
                <w:color w:val="000000"/>
                <w:sz w:val="22"/>
                <w:szCs w:val="22"/>
                <w:lang w:val="es-CR" w:eastAsia="es-CR"/>
              </w:rPr>
              <w:t>CONSEJO SUPERIOR</w:t>
            </w:r>
          </w:p>
        </w:tc>
        <w:tc>
          <w:tcPr>
            <w:tcW w:w="1551" w:type="dxa"/>
            <w:tcBorders>
              <w:top w:val="nil"/>
              <w:left w:val="nil"/>
              <w:bottom w:val="single" w:sz="4" w:space="0" w:color="auto"/>
              <w:right w:val="single" w:sz="4" w:space="0" w:color="auto"/>
            </w:tcBorders>
            <w:shd w:val="clear" w:color="D3D3D3" w:fill="FFFFFF"/>
            <w:vAlign w:val="center"/>
            <w:hideMark/>
          </w:tcPr>
          <w:p w14:paraId="2ECE61AD" w14:textId="77777777" w:rsidR="00C801FF" w:rsidRPr="003C3C55" w:rsidRDefault="00C801FF" w:rsidP="00FA48AC">
            <w:pPr>
              <w:jc w:val="center"/>
              <w:rPr>
                <w:rFonts w:ascii="Arial Narrow" w:hAnsi="Arial Narrow" w:cs="Calibri"/>
                <w:color w:val="000000"/>
                <w:sz w:val="20"/>
                <w:szCs w:val="20"/>
                <w:lang w:val="es-CR" w:eastAsia="es-CR"/>
              </w:rPr>
            </w:pPr>
            <w:r w:rsidRPr="003C3C55">
              <w:rPr>
                <w:rFonts w:ascii="Arial Narrow" w:hAnsi="Arial Narrow" w:cs="Calibri"/>
                <w:color w:val="000000"/>
                <w:sz w:val="20"/>
                <w:szCs w:val="20"/>
                <w:lang w:val="es-CR" w:eastAsia="es-CR"/>
              </w:rPr>
              <w:t>2</w:t>
            </w:r>
          </w:p>
        </w:tc>
        <w:tc>
          <w:tcPr>
            <w:tcW w:w="1420" w:type="dxa"/>
            <w:tcBorders>
              <w:top w:val="nil"/>
              <w:left w:val="nil"/>
              <w:bottom w:val="single" w:sz="4" w:space="0" w:color="auto"/>
              <w:right w:val="single" w:sz="4" w:space="0" w:color="auto"/>
            </w:tcBorders>
            <w:shd w:val="clear" w:color="000000" w:fill="70AD47"/>
            <w:vAlign w:val="center"/>
            <w:hideMark/>
          </w:tcPr>
          <w:p w14:paraId="3E85ED36" w14:textId="77777777" w:rsidR="00C801FF" w:rsidRPr="003C3C55" w:rsidRDefault="00C801FF" w:rsidP="00FA48AC">
            <w:pPr>
              <w:jc w:val="center"/>
              <w:rPr>
                <w:rFonts w:ascii="Arial Narrow" w:hAnsi="Arial Narrow" w:cs="Calibri"/>
                <w:color w:val="000000"/>
                <w:sz w:val="20"/>
                <w:szCs w:val="20"/>
                <w:lang w:val="es-CR" w:eastAsia="es-CR"/>
              </w:rPr>
            </w:pPr>
            <w:r w:rsidRPr="003C3C55">
              <w:rPr>
                <w:rFonts w:ascii="Arial Narrow" w:hAnsi="Arial Narrow" w:cs="Calibri"/>
                <w:color w:val="000000"/>
                <w:sz w:val="20"/>
                <w:szCs w:val="20"/>
                <w:lang w:val="es-CR" w:eastAsia="es-CR"/>
              </w:rPr>
              <w:t>98.00 %</w:t>
            </w:r>
          </w:p>
        </w:tc>
      </w:tr>
      <w:tr w:rsidR="006F3725" w:rsidRPr="003C3C55" w14:paraId="4193CE00" w14:textId="77777777" w:rsidTr="00FA48AC">
        <w:trPr>
          <w:trHeight w:val="300"/>
        </w:trPr>
        <w:tc>
          <w:tcPr>
            <w:tcW w:w="952" w:type="dxa"/>
            <w:tcBorders>
              <w:top w:val="nil"/>
              <w:left w:val="single" w:sz="4" w:space="0" w:color="auto"/>
              <w:bottom w:val="single" w:sz="4" w:space="0" w:color="auto"/>
              <w:right w:val="single" w:sz="4" w:space="0" w:color="auto"/>
            </w:tcBorders>
            <w:shd w:val="clear" w:color="FFFFFF" w:fill="FFFFFF"/>
            <w:vAlign w:val="center"/>
            <w:hideMark/>
          </w:tcPr>
          <w:p w14:paraId="5704C329" w14:textId="77777777" w:rsidR="00C801FF" w:rsidRPr="003C3C55" w:rsidRDefault="00C801FF" w:rsidP="00FA48AC">
            <w:pPr>
              <w:jc w:val="center"/>
              <w:rPr>
                <w:rFonts w:ascii="Arial Narrow" w:hAnsi="Arial Narrow" w:cs="Calibri"/>
                <w:color w:val="000000"/>
                <w:sz w:val="20"/>
                <w:szCs w:val="20"/>
                <w:lang w:val="es-CR" w:eastAsia="es-CR"/>
              </w:rPr>
            </w:pPr>
            <w:r w:rsidRPr="003C3C55">
              <w:rPr>
                <w:rFonts w:ascii="Arial Narrow" w:hAnsi="Arial Narrow" w:cs="Calibri"/>
                <w:color w:val="000000"/>
                <w:sz w:val="20"/>
                <w:szCs w:val="20"/>
                <w:lang w:val="es-CR" w:eastAsia="es-CR"/>
              </w:rPr>
              <w:t>23</w:t>
            </w:r>
          </w:p>
        </w:tc>
        <w:tc>
          <w:tcPr>
            <w:tcW w:w="5280" w:type="dxa"/>
            <w:tcBorders>
              <w:top w:val="nil"/>
              <w:left w:val="nil"/>
              <w:bottom w:val="single" w:sz="4" w:space="0" w:color="auto"/>
              <w:right w:val="single" w:sz="4" w:space="0" w:color="auto"/>
            </w:tcBorders>
            <w:shd w:val="clear" w:color="000000" w:fill="FFFFFF"/>
            <w:noWrap/>
            <w:vAlign w:val="center"/>
            <w:hideMark/>
          </w:tcPr>
          <w:p w14:paraId="6CBFCDA4" w14:textId="77777777" w:rsidR="00C801FF" w:rsidRPr="003C3C55" w:rsidRDefault="00C801FF" w:rsidP="00FA48AC">
            <w:pPr>
              <w:jc w:val="center"/>
              <w:rPr>
                <w:rFonts w:ascii="Arial Narrow" w:hAnsi="Arial Narrow" w:cs="Calibri"/>
                <w:color w:val="000000"/>
                <w:sz w:val="22"/>
                <w:szCs w:val="22"/>
                <w:lang w:val="es-CR" w:eastAsia="es-CR"/>
              </w:rPr>
            </w:pPr>
            <w:r w:rsidRPr="003C3C55">
              <w:rPr>
                <w:rFonts w:ascii="Arial Narrow" w:hAnsi="Arial Narrow" w:cs="Calibri"/>
                <w:color w:val="000000"/>
                <w:sz w:val="22"/>
                <w:szCs w:val="22"/>
                <w:lang w:val="es-CR" w:eastAsia="es-CR"/>
              </w:rPr>
              <w:t>DIRECCION DE TECNOLOGIA DE LA INFORMACION</w:t>
            </w:r>
          </w:p>
        </w:tc>
        <w:tc>
          <w:tcPr>
            <w:tcW w:w="1551" w:type="dxa"/>
            <w:tcBorders>
              <w:top w:val="nil"/>
              <w:left w:val="nil"/>
              <w:bottom w:val="single" w:sz="4" w:space="0" w:color="auto"/>
              <w:right w:val="single" w:sz="4" w:space="0" w:color="auto"/>
            </w:tcBorders>
            <w:shd w:val="clear" w:color="FFFFFF" w:fill="FFFFFF"/>
            <w:vAlign w:val="center"/>
            <w:hideMark/>
          </w:tcPr>
          <w:p w14:paraId="1540ECF0" w14:textId="77777777" w:rsidR="00C801FF" w:rsidRPr="003C3C55" w:rsidRDefault="00C801FF" w:rsidP="00FA48AC">
            <w:pPr>
              <w:jc w:val="center"/>
              <w:rPr>
                <w:rFonts w:ascii="Arial Narrow" w:hAnsi="Arial Narrow" w:cs="Calibri"/>
                <w:color w:val="000000"/>
                <w:sz w:val="20"/>
                <w:szCs w:val="20"/>
                <w:lang w:val="es-CR" w:eastAsia="es-CR"/>
              </w:rPr>
            </w:pPr>
            <w:r w:rsidRPr="003C3C55">
              <w:rPr>
                <w:rFonts w:ascii="Arial Narrow" w:hAnsi="Arial Narrow" w:cs="Calibri"/>
                <w:color w:val="000000"/>
                <w:sz w:val="20"/>
                <w:szCs w:val="20"/>
                <w:lang w:val="es-CR" w:eastAsia="es-CR"/>
              </w:rPr>
              <w:t>10</w:t>
            </w:r>
          </w:p>
        </w:tc>
        <w:tc>
          <w:tcPr>
            <w:tcW w:w="1420" w:type="dxa"/>
            <w:tcBorders>
              <w:top w:val="nil"/>
              <w:left w:val="nil"/>
              <w:bottom w:val="single" w:sz="4" w:space="0" w:color="auto"/>
              <w:right w:val="single" w:sz="4" w:space="0" w:color="auto"/>
            </w:tcBorders>
            <w:shd w:val="clear" w:color="000000" w:fill="70AD47"/>
            <w:vAlign w:val="center"/>
            <w:hideMark/>
          </w:tcPr>
          <w:p w14:paraId="76CE7D70" w14:textId="77777777" w:rsidR="00C801FF" w:rsidRPr="003C3C55" w:rsidRDefault="00C801FF" w:rsidP="00FA48AC">
            <w:pPr>
              <w:jc w:val="center"/>
              <w:rPr>
                <w:rFonts w:ascii="Arial Narrow" w:hAnsi="Arial Narrow" w:cs="Calibri"/>
                <w:color w:val="000000"/>
                <w:sz w:val="20"/>
                <w:szCs w:val="20"/>
                <w:lang w:val="es-CR" w:eastAsia="es-CR"/>
              </w:rPr>
            </w:pPr>
            <w:r w:rsidRPr="003C3C55">
              <w:rPr>
                <w:rFonts w:ascii="Arial Narrow" w:hAnsi="Arial Narrow" w:cs="Calibri"/>
                <w:color w:val="000000"/>
                <w:sz w:val="20"/>
                <w:szCs w:val="20"/>
                <w:lang w:val="es-CR" w:eastAsia="es-CR"/>
              </w:rPr>
              <w:t>97.10 %</w:t>
            </w:r>
          </w:p>
        </w:tc>
      </w:tr>
      <w:tr w:rsidR="006F3725" w:rsidRPr="003C3C55" w14:paraId="3509CEE8" w14:textId="77777777" w:rsidTr="00FA48AC">
        <w:trPr>
          <w:trHeight w:val="300"/>
        </w:trPr>
        <w:tc>
          <w:tcPr>
            <w:tcW w:w="952" w:type="dxa"/>
            <w:tcBorders>
              <w:top w:val="nil"/>
              <w:left w:val="single" w:sz="4" w:space="0" w:color="auto"/>
              <w:bottom w:val="single" w:sz="4" w:space="0" w:color="auto"/>
              <w:right w:val="single" w:sz="4" w:space="0" w:color="auto"/>
            </w:tcBorders>
            <w:shd w:val="clear" w:color="D3D3D3" w:fill="FFFFFF"/>
            <w:vAlign w:val="center"/>
            <w:hideMark/>
          </w:tcPr>
          <w:p w14:paraId="5E226943" w14:textId="77777777" w:rsidR="00C801FF" w:rsidRPr="003C3C55" w:rsidRDefault="00C801FF" w:rsidP="00FA48AC">
            <w:pPr>
              <w:jc w:val="center"/>
              <w:rPr>
                <w:rFonts w:ascii="Arial Narrow" w:hAnsi="Arial Narrow" w:cs="Calibri"/>
                <w:color w:val="000000"/>
                <w:sz w:val="20"/>
                <w:szCs w:val="20"/>
                <w:lang w:val="es-CR" w:eastAsia="es-CR"/>
              </w:rPr>
            </w:pPr>
            <w:r w:rsidRPr="003C3C55">
              <w:rPr>
                <w:rFonts w:ascii="Arial Narrow" w:hAnsi="Arial Narrow" w:cs="Calibri"/>
                <w:color w:val="000000"/>
                <w:sz w:val="20"/>
                <w:szCs w:val="20"/>
                <w:lang w:val="es-CR" w:eastAsia="es-CR"/>
              </w:rPr>
              <w:t>24</w:t>
            </w:r>
          </w:p>
        </w:tc>
        <w:tc>
          <w:tcPr>
            <w:tcW w:w="5280" w:type="dxa"/>
            <w:tcBorders>
              <w:top w:val="nil"/>
              <w:left w:val="nil"/>
              <w:bottom w:val="single" w:sz="4" w:space="0" w:color="auto"/>
              <w:right w:val="single" w:sz="4" w:space="0" w:color="auto"/>
            </w:tcBorders>
            <w:shd w:val="clear" w:color="000000" w:fill="FFFFFF"/>
            <w:noWrap/>
            <w:vAlign w:val="center"/>
            <w:hideMark/>
          </w:tcPr>
          <w:p w14:paraId="692D0A4D" w14:textId="77777777" w:rsidR="00C801FF" w:rsidRPr="003C3C55" w:rsidRDefault="00C801FF" w:rsidP="00FA48AC">
            <w:pPr>
              <w:jc w:val="center"/>
              <w:rPr>
                <w:rFonts w:ascii="Arial Narrow" w:hAnsi="Arial Narrow" w:cs="Calibri"/>
                <w:color w:val="000000"/>
                <w:sz w:val="22"/>
                <w:szCs w:val="22"/>
                <w:lang w:val="es-CR" w:eastAsia="es-CR"/>
              </w:rPr>
            </w:pPr>
            <w:r w:rsidRPr="003C3C55">
              <w:rPr>
                <w:rFonts w:ascii="Arial Narrow" w:hAnsi="Arial Narrow" w:cs="Calibri"/>
                <w:color w:val="000000"/>
                <w:sz w:val="22"/>
                <w:szCs w:val="22"/>
                <w:lang w:val="es-CR" w:eastAsia="es-CR"/>
              </w:rPr>
              <w:t>OFICINA DE ATENCION A LA VICTIMA DE DELITOS</w:t>
            </w:r>
          </w:p>
        </w:tc>
        <w:tc>
          <w:tcPr>
            <w:tcW w:w="1551" w:type="dxa"/>
            <w:tcBorders>
              <w:top w:val="nil"/>
              <w:left w:val="nil"/>
              <w:bottom w:val="single" w:sz="4" w:space="0" w:color="auto"/>
              <w:right w:val="single" w:sz="4" w:space="0" w:color="auto"/>
            </w:tcBorders>
            <w:shd w:val="clear" w:color="D3D3D3" w:fill="FFFFFF"/>
            <w:vAlign w:val="center"/>
            <w:hideMark/>
          </w:tcPr>
          <w:p w14:paraId="7FF11970" w14:textId="77777777" w:rsidR="00C801FF" w:rsidRPr="003C3C55" w:rsidRDefault="00C801FF" w:rsidP="00FA48AC">
            <w:pPr>
              <w:jc w:val="center"/>
              <w:rPr>
                <w:rFonts w:ascii="Arial Narrow" w:hAnsi="Arial Narrow" w:cs="Calibri"/>
                <w:color w:val="000000"/>
                <w:sz w:val="20"/>
                <w:szCs w:val="20"/>
                <w:lang w:val="es-CR" w:eastAsia="es-CR"/>
              </w:rPr>
            </w:pPr>
            <w:r w:rsidRPr="003C3C55">
              <w:rPr>
                <w:rFonts w:ascii="Arial Narrow" w:hAnsi="Arial Narrow" w:cs="Calibri"/>
                <w:color w:val="000000"/>
                <w:sz w:val="20"/>
                <w:szCs w:val="20"/>
                <w:lang w:val="es-CR" w:eastAsia="es-CR"/>
              </w:rPr>
              <w:t>10</w:t>
            </w:r>
          </w:p>
        </w:tc>
        <w:tc>
          <w:tcPr>
            <w:tcW w:w="1420" w:type="dxa"/>
            <w:tcBorders>
              <w:top w:val="nil"/>
              <w:left w:val="nil"/>
              <w:bottom w:val="single" w:sz="4" w:space="0" w:color="auto"/>
              <w:right w:val="single" w:sz="4" w:space="0" w:color="auto"/>
            </w:tcBorders>
            <w:shd w:val="clear" w:color="000000" w:fill="70AD47"/>
            <w:vAlign w:val="center"/>
            <w:hideMark/>
          </w:tcPr>
          <w:p w14:paraId="5F69EC59" w14:textId="77777777" w:rsidR="00C801FF" w:rsidRPr="003C3C55" w:rsidRDefault="00C801FF" w:rsidP="00FA48AC">
            <w:pPr>
              <w:jc w:val="center"/>
              <w:rPr>
                <w:rFonts w:ascii="Arial Narrow" w:hAnsi="Arial Narrow" w:cs="Calibri"/>
                <w:color w:val="000000"/>
                <w:sz w:val="20"/>
                <w:szCs w:val="20"/>
                <w:lang w:val="es-CR" w:eastAsia="es-CR"/>
              </w:rPr>
            </w:pPr>
            <w:r w:rsidRPr="003C3C55">
              <w:rPr>
                <w:rFonts w:ascii="Arial Narrow" w:hAnsi="Arial Narrow" w:cs="Calibri"/>
                <w:color w:val="000000"/>
                <w:sz w:val="20"/>
                <w:szCs w:val="20"/>
                <w:lang w:val="es-CR" w:eastAsia="es-CR"/>
              </w:rPr>
              <w:t>96.70 %</w:t>
            </w:r>
          </w:p>
        </w:tc>
      </w:tr>
      <w:tr w:rsidR="006F3725" w:rsidRPr="003C3C55" w14:paraId="6AFB338A" w14:textId="77777777" w:rsidTr="00FA48AC">
        <w:trPr>
          <w:trHeight w:val="300"/>
        </w:trPr>
        <w:tc>
          <w:tcPr>
            <w:tcW w:w="952" w:type="dxa"/>
            <w:tcBorders>
              <w:top w:val="nil"/>
              <w:left w:val="single" w:sz="4" w:space="0" w:color="auto"/>
              <w:bottom w:val="single" w:sz="4" w:space="0" w:color="auto"/>
              <w:right w:val="single" w:sz="4" w:space="0" w:color="auto"/>
            </w:tcBorders>
            <w:shd w:val="clear" w:color="FFFFFF" w:fill="FFFFFF"/>
            <w:vAlign w:val="center"/>
            <w:hideMark/>
          </w:tcPr>
          <w:p w14:paraId="0CF6EDCA" w14:textId="77777777" w:rsidR="00C801FF" w:rsidRPr="003C3C55" w:rsidRDefault="00C801FF" w:rsidP="00FA48AC">
            <w:pPr>
              <w:jc w:val="center"/>
              <w:rPr>
                <w:rFonts w:ascii="Arial Narrow" w:hAnsi="Arial Narrow" w:cs="Calibri"/>
                <w:color w:val="000000"/>
                <w:sz w:val="20"/>
                <w:szCs w:val="20"/>
                <w:lang w:val="es-CR" w:eastAsia="es-CR"/>
              </w:rPr>
            </w:pPr>
            <w:r w:rsidRPr="003C3C55">
              <w:rPr>
                <w:rFonts w:ascii="Arial Narrow" w:hAnsi="Arial Narrow" w:cs="Calibri"/>
                <w:color w:val="000000"/>
                <w:sz w:val="20"/>
                <w:szCs w:val="20"/>
                <w:lang w:val="es-CR" w:eastAsia="es-CR"/>
              </w:rPr>
              <w:t>25</w:t>
            </w:r>
          </w:p>
        </w:tc>
        <w:tc>
          <w:tcPr>
            <w:tcW w:w="5280" w:type="dxa"/>
            <w:tcBorders>
              <w:top w:val="nil"/>
              <w:left w:val="nil"/>
              <w:bottom w:val="single" w:sz="4" w:space="0" w:color="auto"/>
              <w:right w:val="single" w:sz="4" w:space="0" w:color="auto"/>
            </w:tcBorders>
            <w:shd w:val="clear" w:color="000000" w:fill="FFFFFF"/>
            <w:noWrap/>
            <w:vAlign w:val="center"/>
            <w:hideMark/>
          </w:tcPr>
          <w:p w14:paraId="780D2855" w14:textId="77777777" w:rsidR="00C801FF" w:rsidRPr="003C3C55" w:rsidRDefault="00C801FF" w:rsidP="00FA48AC">
            <w:pPr>
              <w:jc w:val="center"/>
              <w:rPr>
                <w:rFonts w:ascii="Arial Narrow" w:hAnsi="Arial Narrow" w:cs="Calibri"/>
                <w:color w:val="000000"/>
                <w:sz w:val="22"/>
                <w:szCs w:val="22"/>
                <w:lang w:val="es-CR" w:eastAsia="es-CR"/>
              </w:rPr>
            </w:pPr>
            <w:r w:rsidRPr="003C3C55">
              <w:rPr>
                <w:rFonts w:ascii="Arial Narrow" w:hAnsi="Arial Narrow" w:cs="Calibri"/>
                <w:color w:val="000000"/>
                <w:sz w:val="22"/>
                <w:szCs w:val="22"/>
                <w:lang w:val="es-CR" w:eastAsia="es-CR"/>
              </w:rPr>
              <w:t>COMISION DE LA JURISDICCION CIVIL</w:t>
            </w:r>
          </w:p>
        </w:tc>
        <w:tc>
          <w:tcPr>
            <w:tcW w:w="1551" w:type="dxa"/>
            <w:tcBorders>
              <w:top w:val="nil"/>
              <w:left w:val="nil"/>
              <w:bottom w:val="single" w:sz="4" w:space="0" w:color="auto"/>
              <w:right w:val="single" w:sz="4" w:space="0" w:color="auto"/>
            </w:tcBorders>
            <w:shd w:val="clear" w:color="FFFFFF" w:fill="FFFFFF"/>
            <w:vAlign w:val="center"/>
            <w:hideMark/>
          </w:tcPr>
          <w:p w14:paraId="2BD14FCC" w14:textId="77777777" w:rsidR="00C801FF" w:rsidRPr="003C3C55" w:rsidRDefault="00C801FF" w:rsidP="00FA48AC">
            <w:pPr>
              <w:jc w:val="center"/>
              <w:rPr>
                <w:rFonts w:ascii="Arial Narrow" w:hAnsi="Arial Narrow" w:cs="Calibri"/>
                <w:color w:val="000000"/>
                <w:sz w:val="20"/>
                <w:szCs w:val="20"/>
                <w:lang w:val="es-CR" w:eastAsia="es-CR"/>
              </w:rPr>
            </w:pPr>
            <w:r w:rsidRPr="003C3C55">
              <w:rPr>
                <w:rFonts w:ascii="Arial Narrow" w:hAnsi="Arial Narrow" w:cs="Calibri"/>
                <w:color w:val="000000"/>
                <w:sz w:val="20"/>
                <w:szCs w:val="20"/>
                <w:lang w:val="es-CR" w:eastAsia="es-CR"/>
              </w:rPr>
              <w:t>2</w:t>
            </w:r>
          </w:p>
        </w:tc>
        <w:tc>
          <w:tcPr>
            <w:tcW w:w="1420" w:type="dxa"/>
            <w:tcBorders>
              <w:top w:val="nil"/>
              <w:left w:val="nil"/>
              <w:bottom w:val="single" w:sz="4" w:space="0" w:color="auto"/>
              <w:right w:val="single" w:sz="4" w:space="0" w:color="auto"/>
            </w:tcBorders>
            <w:shd w:val="clear" w:color="000000" w:fill="70AD47"/>
            <w:vAlign w:val="center"/>
            <w:hideMark/>
          </w:tcPr>
          <w:p w14:paraId="17EF15F6" w14:textId="77777777" w:rsidR="00C801FF" w:rsidRPr="003C3C55" w:rsidRDefault="00C801FF" w:rsidP="00FA48AC">
            <w:pPr>
              <w:jc w:val="center"/>
              <w:rPr>
                <w:rFonts w:ascii="Arial Narrow" w:hAnsi="Arial Narrow" w:cs="Calibri"/>
                <w:color w:val="000000"/>
                <w:sz w:val="20"/>
                <w:szCs w:val="20"/>
                <w:lang w:val="es-CR" w:eastAsia="es-CR"/>
              </w:rPr>
            </w:pPr>
            <w:r w:rsidRPr="003C3C55">
              <w:rPr>
                <w:rFonts w:ascii="Arial Narrow" w:hAnsi="Arial Narrow" w:cs="Calibri"/>
                <w:color w:val="000000"/>
                <w:sz w:val="20"/>
                <w:szCs w:val="20"/>
                <w:lang w:val="es-CR" w:eastAsia="es-CR"/>
              </w:rPr>
              <w:t>95.50 %</w:t>
            </w:r>
          </w:p>
        </w:tc>
      </w:tr>
      <w:tr w:rsidR="006F3725" w:rsidRPr="003C3C55" w14:paraId="0092BB3A" w14:textId="77777777" w:rsidTr="00FA48AC">
        <w:trPr>
          <w:trHeight w:val="300"/>
        </w:trPr>
        <w:tc>
          <w:tcPr>
            <w:tcW w:w="952" w:type="dxa"/>
            <w:tcBorders>
              <w:top w:val="nil"/>
              <w:left w:val="single" w:sz="4" w:space="0" w:color="auto"/>
              <w:bottom w:val="single" w:sz="4" w:space="0" w:color="auto"/>
              <w:right w:val="single" w:sz="4" w:space="0" w:color="auto"/>
            </w:tcBorders>
            <w:shd w:val="clear" w:color="D3D3D3" w:fill="FFFFFF"/>
            <w:vAlign w:val="center"/>
            <w:hideMark/>
          </w:tcPr>
          <w:p w14:paraId="4FB89DC9" w14:textId="77777777" w:rsidR="00C801FF" w:rsidRPr="003C3C55" w:rsidRDefault="00C801FF" w:rsidP="00FA48AC">
            <w:pPr>
              <w:jc w:val="center"/>
              <w:rPr>
                <w:rFonts w:ascii="Arial Narrow" w:hAnsi="Arial Narrow" w:cs="Calibri"/>
                <w:color w:val="000000"/>
                <w:sz w:val="20"/>
                <w:szCs w:val="20"/>
                <w:lang w:val="es-CR" w:eastAsia="es-CR"/>
              </w:rPr>
            </w:pPr>
            <w:r w:rsidRPr="003C3C55">
              <w:rPr>
                <w:rFonts w:ascii="Arial Narrow" w:hAnsi="Arial Narrow" w:cs="Calibri"/>
                <w:color w:val="000000"/>
                <w:sz w:val="20"/>
                <w:szCs w:val="20"/>
                <w:lang w:val="es-CR" w:eastAsia="es-CR"/>
              </w:rPr>
              <w:t>26</w:t>
            </w:r>
          </w:p>
        </w:tc>
        <w:tc>
          <w:tcPr>
            <w:tcW w:w="5280" w:type="dxa"/>
            <w:tcBorders>
              <w:top w:val="nil"/>
              <w:left w:val="nil"/>
              <w:bottom w:val="single" w:sz="4" w:space="0" w:color="auto"/>
              <w:right w:val="single" w:sz="4" w:space="0" w:color="auto"/>
            </w:tcBorders>
            <w:shd w:val="clear" w:color="000000" w:fill="FFFFFF"/>
            <w:noWrap/>
            <w:vAlign w:val="center"/>
            <w:hideMark/>
          </w:tcPr>
          <w:p w14:paraId="788A1603" w14:textId="77777777" w:rsidR="00C801FF" w:rsidRPr="003C3C55" w:rsidRDefault="00C801FF" w:rsidP="00FA48AC">
            <w:pPr>
              <w:jc w:val="center"/>
              <w:rPr>
                <w:rFonts w:ascii="Arial Narrow" w:hAnsi="Arial Narrow" w:cs="Calibri"/>
                <w:color w:val="000000"/>
                <w:sz w:val="22"/>
                <w:szCs w:val="22"/>
                <w:lang w:val="es-CR" w:eastAsia="es-CR"/>
              </w:rPr>
            </w:pPr>
            <w:r w:rsidRPr="003C3C55">
              <w:rPr>
                <w:rFonts w:ascii="Arial Narrow" w:hAnsi="Arial Narrow" w:cs="Calibri"/>
                <w:color w:val="000000"/>
                <w:sz w:val="22"/>
                <w:szCs w:val="22"/>
                <w:lang w:val="es-CR" w:eastAsia="es-CR"/>
              </w:rPr>
              <w:t>OFICINA RECTORA DE JUSTICIA RESTAURATIVA</w:t>
            </w:r>
          </w:p>
        </w:tc>
        <w:tc>
          <w:tcPr>
            <w:tcW w:w="1551" w:type="dxa"/>
            <w:tcBorders>
              <w:top w:val="nil"/>
              <w:left w:val="nil"/>
              <w:bottom w:val="single" w:sz="4" w:space="0" w:color="auto"/>
              <w:right w:val="single" w:sz="4" w:space="0" w:color="auto"/>
            </w:tcBorders>
            <w:shd w:val="clear" w:color="D3D3D3" w:fill="FFFFFF"/>
            <w:vAlign w:val="center"/>
            <w:hideMark/>
          </w:tcPr>
          <w:p w14:paraId="647B63CE" w14:textId="77777777" w:rsidR="00C801FF" w:rsidRPr="003C3C55" w:rsidRDefault="00C801FF" w:rsidP="00FA48AC">
            <w:pPr>
              <w:jc w:val="center"/>
              <w:rPr>
                <w:rFonts w:ascii="Arial Narrow" w:hAnsi="Arial Narrow" w:cs="Calibri"/>
                <w:color w:val="000000"/>
                <w:sz w:val="20"/>
                <w:szCs w:val="20"/>
                <w:lang w:val="es-CR" w:eastAsia="es-CR"/>
              </w:rPr>
            </w:pPr>
            <w:r w:rsidRPr="003C3C55">
              <w:rPr>
                <w:rFonts w:ascii="Arial Narrow" w:hAnsi="Arial Narrow" w:cs="Calibri"/>
                <w:color w:val="000000"/>
                <w:sz w:val="20"/>
                <w:szCs w:val="20"/>
                <w:lang w:val="es-CR" w:eastAsia="es-CR"/>
              </w:rPr>
              <w:t>2</w:t>
            </w:r>
          </w:p>
        </w:tc>
        <w:tc>
          <w:tcPr>
            <w:tcW w:w="1420" w:type="dxa"/>
            <w:tcBorders>
              <w:top w:val="nil"/>
              <w:left w:val="nil"/>
              <w:bottom w:val="single" w:sz="4" w:space="0" w:color="auto"/>
              <w:right w:val="single" w:sz="4" w:space="0" w:color="auto"/>
            </w:tcBorders>
            <w:shd w:val="clear" w:color="000000" w:fill="70AD47"/>
            <w:vAlign w:val="center"/>
            <w:hideMark/>
          </w:tcPr>
          <w:p w14:paraId="6CB0B345" w14:textId="77777777" w:rsidR="00C801FF" w:rsidRPr="003C3C55" w:rsidRDefault="00C801FF" w:rsidP="00FA48AC">
            <w:pPr>
              <w:jc w:val="center"/>
              <w:rPr>
                <w:rFonts w:ascii="Arial Narrow" w:hAnsi="Arial Narrow" w:cs="Calibri"/>
                <w:color w:val="000000"/>
                <w:sz w:val="20"/>
                <w:szCs w:val="20"/>
                <w:lang w:val="es-CR" w:eastAsia="es-CR"/>
              </w:rPr>
            </w:pPr>
            <w:r w:rsidRPr="003C3C55">
              <w:rPr>
                <w:rFonts w:ascii="Arial Narrow" w:hAnsi="Arial Narrow" w:cs="Calibri"/>
                <w:color w:val="000000"/>
                <w:sz w:val="20"/>
                <w:szCs w:val="20"/>
                <w:lang w:val="es-CR" w:eastAsia="es-CR"/>
              </w:rPr>
              <w:t>95.00 %</w:t>
            </w:r>
          </w:p>
        </w:tc>
      </w:tr>
      <w:tr w:rsidR="006F3725" w:rsidRPr="003C3C55" w14:paraId="71F3B8EA" w14:textId="77777777" w:rsidTr="00FA48AC">
        <w:trPr>
          <w:trHeight w:val="300"/>
        </w:trPr>
        <w:tc>
          <w:tcPr>
            <w:tcW w:w="952" w:type="dxa"/>
            <w:tcBorders>
              <w:top w:val="nil"/>
              <w:left w:val="single" w:sz="4" w:space="0" w:color="auto"/>
              <w:bottom w:val="single" w:sz="4" w:space="0" w:color="auto"/>
              <w:right w:val="single" w:sz="4" w:space="0" w:color="auto"/>
            </w:tcBorders>
            <w:shd w:val="clear" w:color="FFFFFF" w:fill="FFFFFF"/>
            <w:vAlign w:val="center"/>
            <w:hideMark/>
          </w:tcPr>
          <w:p w14:paraId="3E880F9C" w14:textId="77777777" w:rsidR="00C801FF" w:rsidRPr="003C3C55" w:rsidRDefault="00C801FF" w:rsidP="00FA48AC">
            <w:pPr>
              <w:jc w:val="center"/>
              <w:rPr>
                <w:rFonts w:ascii="Arial Narrow" w:hAnsi="Arial Narrow" w:cs="Calibri"/>
                <w:color w:val="000000"/>
                <w:sz w:val="20"/>
                <w:szCs w:val="20"/>
                <w:lang w:val="es-CR" w:eastAsia="es-CR"/>
              </w:rPr>
            </w:pPr>
            <w:r w:rsidRPr="003C3C55">
              <w:rPr>
                <w:rFonts w:ascii="Arial Narrow" w:hAnsi="Arial Narrow" w:cs="Calibri"/>
                <w:color w:val="000000"/>
                <w:sz w:val="20"/>
                <w:szCs w:val="20"/>
                <w:lang w:val="es-CR" w:eastAsia="es-CR"/>
              </w:rPr>
              <w:t>27</w:t>
            </w:r>
          </w:p>
        </w:tc>
        <w:tc>
          <w:tcPr>
            <w:tcW w:w="5280" w:type="dxa"/>
            <w:tcBorders>
              <w:top w:val="nil"/>
              <w:left w:val="nil"/>
              <w:bottom w:val="single" w:sz="4" w:space="0" w:color="auto"/>
              <w:right w:val="single" w:sz="4" w:space="0" w:color="auto"/>
            </w:tcBorders>
            <w:shd w:val="clear" w:color="000000" w:fill="FFFFFF"/>
            <w:noWrap/>
            <w:vAlign w:val="center"/>
            <w:hideMark/>
          </w:tcPr>
          <w:p w14:paraId="04CB9B75" w14:textId="77777777" w:rsidR="00C801FF" w:rsidRPr="003C3C55" w:rsidRDefault="00C801FF" w:rsidP="00FA48AC">
            <w:pPr>
              <w:jc w:val="center"/>
              <w:rPr>
                <w:rFonts w:ascii="Arial Narrow" w:hAnsi="Arial Narrow" w:cs="Calibri"/>
                <w:color w:val="000000"/>
                <w:sz w:val="22"/>
                <w:szCs w:val="22"/>
                <w:lang w:val="es-CR" w:eastAsia="es-CR"/>
              </w:rPr>
            </w:pPr>
            <w:r w:rsidRPr="003C3C55">
              <w:rPr>
                <w:rFonts w:ascii="Arial Narrow" w:hAnsi="Arial Narrow" w:cs="Calibri"/>
                <w:color w:val="000000"/>
                <w:sz w:val="22"/>
                <w:szCs w:val="22"/>
                <w:lang w:val="es-CR" w:eastAsia="es-CR"/>
              </w:rPr>
              <w:t>DEPARTAMENTO DE TRABAJO SOCIAL Y PSICOLOGIA (SEDE CENTRAL)</w:t>
            </w:r>
          </w:p>
        </w:tc>
        <w:tc>
          <w:tcPr>
            <w:tcW w:w="1551" w:type="dxa"/>
            <w:tcBorders>
              <w:top w:val="nil"/>
              <w:left w:val="nil"/>
              <w:bottom w:val="single" w:sz="4" w:space="0" w:color="auto"/>
              <w:right w:val="single" w:sz="4" w:space="0" w:color="auto"/>
            </w:tcBorders>
            <w:shd w:val="clear" w:color="FFFFFF" w:fill="FFFFFF"/>
            <w:vAlign w:val="center"/>
            <w:hideMark/>
          </w:tcPr>
          <w:p w14:paraId="12178B6F" w14:textId="77777777" w:rsidR="00C801FF" w:rsidRPr="003C3C55" w:rsidRDefault="00C801FF" w:rsidP="00FA48AC">
            <w:pPr>
              <w:jc w:val="center"/>
              <w:rPr>
                <w:rFonts w:ascii="Arial Narrow" w:hAnsi="Arial Narrow" w:cs="Calibri"/>
                <w:color w:val="000000"/>
                <w:sz w:val="20"/>
                <w:szCs w:val="20"/>
                <w:lang w:val="es-CR" w:eastAsia="es-CR"/>
              </w:rPr>
            </w:pPr>
            <w:r w:rsidRPr="003C3C55">
              <w:rPr>
                <w:rFonts w:ascii="Arial Narrow" w:hAnsi="Arial Narrow" w:cs="Calibri"/>
                <w:color w:val="000000"/>
                <w:sz w:val="20"/>
                <w:szCs w:val="20"/>
                <w:lang w:val="es-CR" w:eastAsia="es-CR"/>
              </w:rPr>
              <w:t>1</w:t>
            </w:r>
          </w:p>
        </w:tc>
        <w:tc>
          <w:tcPr>
            <w:tcW w:w="1420" w:type="dxa"/>
            <w:tcBorders>
              <w:top w:val="nil"/>
              <w:left w:val="nil"/>
              <w:bottom w:val="single" w:sz="4" w:space="0" w:color="auto"/>
              <w:right w:val="single" w:sz="4" w:space="0" w:color="auto"/>
            </w:tcBorders>
            <w:shd w:val="clear" w:color="000000" w:fill="70AD47"/>
            <w:vAlign w:val="center"/>
            <w:hideMark/>
          </w:tcPr>
          <w:p w14:paraId="2C4CD015" w14:textId="77777777" w:rsidR="00C801FF" w:rsidRPr="003C3C55" w:rsidRDefault="00C801FF" w:rsidP="00FA48AC">
            <w:pPr>
              <w:jc w:val="center"/>
              <w:rPr>
                <w:rFonts w:ascii="Arial Narrow" w:hAnsi="Arial Narrow" w:cs="Calibri"/>
                <w:color w:val="000000"/>
                <w:sz w:val="20"/>
                <w:szCs w:val="20"/>
                <w:lang w:val="es-CR" w:eastAsia="es-CR"/>
              </w:rPr>
            </w:pPr>
            <w:r w:rsidRPr="003C3C55">
              <w:rPr>
                <w:rFonts w:ascii="Arial Narrow" w:hAnsi="Arial Narrow" w:cs="Calibri"/>
                <w:color w:val="000000"/>
                <w:sz w:val="20"/>
                <w:szCs w:val="20"/>
                <w:lang w:val="es-CR" w:eastAsia="es-CR"/>
              </w:rPr>
              <w:t>94.00 %</w:t>
            </w:r>
          </w:p>
        </w:tc>
      </w:tr>
      <w:tr w:rsidR="006F3725" w:rsidRPr="003C3C55" w14:paraId="6639134F" w14:textId="77777777" w:rsidTr="00FA48AC">
        <w:trPr>
          <w:trHeight w:val="300"/>
        </w:trPr>
        <w:tc>
          <w:tcPr>
            <w:tcW w:w="952" w:type="dxa"/>
            <w:tcBorders>
              <w:top w:val="nil"/>
              <w:left w:val="single" w:sz="4" w:space="0" w:color="auto"/>
              <w:bottom w:val="single" w:sz="4" w:space="0" w:color="auto"/>
              <w:right w:val="single" w:sz="4" w:space="0" w:color="auto"/>
            </w:tcBorders>
            <w:shd w:val="clear" w:color="D3D3D3" w:fill="FFFFFF"/>
            <w:vAlign w:val="center"/>
            <w:hideMark/>
          </w:tcPr>
          <w:p w14:paraId="79E1EBB7" w14:textId="77777777" w:rsidR="00C801FF" w:rsidRPr="003C3C55" w:rsidRDefault="00C801FF" w:rsidP="00FA48AC">
            <w:pPr>
              <w:jc w:val="center"/>
              <w:rPr>
                <w:rFonts w:ascii="Arial Narrow" w:hAnsi="Arial Narrow" w:cs="Calibri"/>
                <w:color w:val="000000"/>
                <w:sz w:val="20"/>
                <w:szCs w:val="20"/>
                <w:lang w:val="es-CR" w:eastAsia="es-CR"/>
              </w:rPr>
            </w:pPr>
            <w:r w:rsidRPr="003C3C55">
              <w:rPr>
                <w:rFonts w:ascii="Arial Narrow" w:hAnsi="Arial Narrow" w:cs="Calibri"/>
                <w:color w:val="000000"/>
                <w:sz w:val="20"/>
                <w:szCs w:val="20"/>
                <w:lang w:val="es-CR" w:eastAsia="es-CR"/>
              </w:rPr>
              <w:lastRenderedPageBreak/>
              <w:t>28</w:t>
            </w:r>
          </w:p>
        </w:tc>
        <w:tc>
          <w:tcPr>
            <w:tcW w:w="5280" w:type="dxa"/>
            <w:tcBorders>
              <w:top w:val="nil"/>
              <w:left w:val="nil"/>
              <w:bottom w:val="single" w:sz="4" w:space="0" w:color="auto"/>
              <w:right w:val="single" w:sz="4" w:space="0" w:color="auto"/>
            </w:tcBorders>
            <w:shd w:val="clear" w:color="000000" w:fill="FFFFFF"/>
            <w:noWrap/>
            <w:vAlign w:val="center"/>
            <w:hideMark/>
          </w:tcPr>
          <w:p w14:paraId="6B1CCED4" w14:textId="77777777" w:rsidR="00C801FF" w:rsidRPr="003C3C55" w:rsidRDefault="00C801FF" w:rsidP="00FA48AC">
            <w:pPr>
              <w:jc w:val="center"/>
              <w:rPr>
                <w:rFonts w:ascii="Arial Narrow" w:hAnsi="Arial Narrow" w:cs="Calibri"/>
                <w:color w:val="000000"/>
                <w:sz w:val="22"/>
                <w:szCs w:val="22"/>
                <w:lang w:val="es-CR" w:eastAsia="es-CR"/>
              </w:rPr>
            </w:pPr>
            <w:r w:rsidRPr="003C3C55">
              <w:rPr>
                <w:rFonts w:ascii="Arial Narrow" w:hAnsi="Arial Narrow" w:cs="Calibri"/>
                <w:color w:val="000000"/>
                <w:sz w:val="22"/>
                <w:szCs w:val="22"/>
                <w:lang w:val="es-CR" w:eastAsia="es-CR"/>
              </w:rPr>
              <w:t>CENTRO DE CONCILIACION DEL PODER JUDICIAL</w:t>
            </w:r>
          </w:p>
        </w:tc>
        <w:tc>
          <w:tcPr>
            <w:tcW w:w="1551" w:type="dxa"/>
            <w:tcBorders>
              <w:top w:val="nil"/>
              <w:left w:val="nil"/>
              <w:bottom w:val="single" w:sz="4" w:space="0" w:color="auto"/>
              <w:right w:val="single" w:sz="4" w:space="0" w:color="auto"/>
            </w:tcBorders>
            <w:shd w:val="clear" w:color="D3D3D3" w:fill="FFFFFF"/>
            <w:vAlign w:val="center"/>
            <w:hideMark/>
          </w:tcPr>
          <w:p w14:paraId="4B3784E4" w14:textId="77777777" w:rsidR="00C801FF" w:rsidRPr="003C3C55" w:rsidRDefault="00C801FF" w:rsidP="00FA48AC">
            <w:pPr>
              <w:jc w:val="center"/>
              <w:rPr>
                <w:rFonts w:ascii="Arial Narrow" w:hAnsi="Arial Narrow" w:cs="Calibri"/>
                <w:color w:val="000000"/>
                <w:sz w:val="20"/>
                <w:szCs w:val="20"/>
                <w:lang w:val="es-CR" w:eastAsia="es-CR"/>
              </w:rPr>
            </w:pPr>
            <w:r w:rsidRPr="003C3C55">
              <w:rPr>
                <w:rFonts w:ascii="Arial Narrow" w:hAnsi="Arial Narrow" w:cs="Calibri"/>
                <w:color w:val="000000"/>
                <w:sz w:val="20"/>
                <w:szCs w:val="20"/>
                <w:lang w:val="es-CR" w:eastAsia="es-CR"/>
              </w:rPr>
              <w:t>2</w:t>
            </w:r>
          </w:p>
        </w:tc>
        <w:tc>
          <w:tcPr>
            <w:tcW w:w="1420" w:type="dxa"/>
            <w:tcBorders>
              <w:top w:val="nil"/>
              <w:left w:val="nil"/>
              <w:bottom w:val="single" w:sz="4" w:space="0" w:color="auto"/>
              <w:right w:val="single" w:sz="4" w:space="0" w:color="auto"/>
            </w:tcBorders>
            <w:shd w:val="clear" w:color="000000" w:fill="70AD47"/>
            <w:vAlign w:val="center"/>
            <w:hideMark/>
          </w:tcPr>
          <w:p w14:paraId="2BF1EBA2" w14:textId="77777777" w:rsidR="00C801FF" w:rsidRPr="003C3C55" w:rsidRDefault="00C801FF" w:rsidP="00FA48AC">
            <w:pPr>
              <w:jc w:val="center"/>
              <w:rPr>
                <w:rFonts w:ascii="Arial Narrow" w:hAnsi="Arial Narrow" w:cs="Calibri"/>
                <w:color w:val="000000"/>
                <w:sz w:val="20"/>
                <w:szCs w:val="20"/>
                <w:lang w:val="es-CR" w:eastAsia="es-CR"/>
              </w:rPr>
            </w:pPr>
            <w:r w:rsidRPr="003C3C55">
              <w:rPr>
                <w:rFonts w:ascii="Arial Narrow" w:hAnsi="Arial Narrow" w:cs="Calibri"/>
                <w:color w:val="000000"/>
                <w:sz w:val="20"/>
                <w:szCs w:val="20"/>
                <w:lang w:val="es-CR" w:eastAsia="es-CR"/>
              </w:rPr>
              <w:t>92.00 %</w:t>
            </w:r>
          </w:p>
        </w:tc>
      </w:tr>
      <w:tr w:rsidR="006F3725" w:rsidRPr="003C3C55" w14:paraId="7A229D4D" w14:textId="77777777" w:rsidTr="00FA48AC">
        <w:trPr>
          <w:trHeight w:val="300"/>
        </w:trPr>
        <w:tc>
          <w:tcPr>
            <w:tcW w:w="952" w:type="dxa"/>
            <w:tcBorders>
              <w:top w:val="nil"/>
              <w:left w:val="single" w:sz="4" w:space="0" w:color="auto"/>
              <w:bottom w:val="single" w:sz="4" w:space="0" w:color="auto"/>
              <w:right w:val="single" w:sz="4" w:space="0" w:color="auto"/>
            </w:tcBorders>
            <w:shd w:val="clear" w:color="FFFFFF" w:fill="FFFFFF"/>
            <w:vAlign w:val="center"/>
            <w:hideMark/>
          </w:tcPr>
          <w:p w14:paraId="66201128" w14:textId="77777777" w:rsidR="00C801FF" w:rsidRPr="003C3C55" w:rsidRDefault="00C801FF" w:rsidP="00FA48AC">
            <w:pPr>
              <w:jc w:val="center"/>
              <w:rPr>
                <w:rFonts w:ascii="Arial Narrow" w:hAnsi="Arial Narrow" w:cs="Calibri"/>
                <w:color w:val="000000"/>
                <w:sz w:val="20"/>
                <w:szCs w:val="20"/>
                <w:lang w:val="es-CR" w:eastAsia="es-CR"/>
              </w:rPr>
            </w:pPr>
            <w:r w:rsidRPr="003C3C55">
              <w:rPr>
                <w:rFonts w:ascii="Arial Narrow" w:hAnsi="Arial Narrow" w:cs="Calibri"/>
                <w:color w:val="000000"/>
                <w:sz w:val="20"/>
                <w:szCs w:val="20"/>
                <w:lang w:val="es-CR" w:eastAsia="es-CR"/>
              </w:rPr>
              <w:t>29</w:t>
            </w:r>
          </w:p>
        </w:tc>
        <w:tc>
          <w:tcPr>
            <w:tcW w:w="5280" w:type="dxa"/>
            <w:tcBorders>
              <w:top w:val="nil"/>
              <w:left w:val="nil"/>
              <w:bottom w:val="single" w:sz="4" w:space="0" w:color="auto"/>
              <w:right w:val="single" w:sz="4" w:space="0" w:color="auto"/>
            </w:tcBorders>
            <w:shd w:val="clear" w:color="000000" w:fill="FFFFFF"/>
            <w:noWrap/>
            <w:vAlign w:val="center"/>
            <w:hideMark/>
          </w:tcPr>
          <w:p w14:paraId="773F2BBB" w14:textId="77777777" w:rsidR="00C801FF" w:rsidRPr="003C3C55" w:rsidRDefault="00C801FF" w:rsidP="00FA48AC">
            <w:pPr>
              <w:jc w:val="center"/>
              <w:rPr>
                <w:rFonts w:ascii="Arial Narrow" w:hAnsi="Arial Narrow" w:cs="Calibri"/>
                <w:color w:val="000000"/>
                <w:sz w:val="22"/>
                <w:szCs w:val="22"/>
                <w:lang w:val="es-CR" w:eastAsia="es-CR"/>
              </w:rPr>
            </w:pPr>
            <w:r w:rsidRPr="003C3C55">
              <w:rPr>
                <w:rFonts w:ascii="Arial Narrow" w:hAnsi="Arial Narrow" w:cs="Calibri"/>
                <w:color w:val="000000"/>
                <w:sz w:val="22"/>
                <w:szCs w:val="22"/>
                <w:lang w:val="es-CR" w:eastAsia="es-CR"/>
              </w:rPr>
              <w:t>CENTRO DE APOYO, COORDINACION Y MEJORAMIENTO DE LA FUNCION JURISDICCIONAL</w:t>
            </w:r>
          </w:p>
        </w:tc>
        <w:tc>
          <w:tcPr>
            <w:tcW w:w="1551" w:type="dxa"/>
            <w:tcBorders>
              <w:top w:val="nil"/>
              <w:left w:val="nil"/>
              <w:bottom w:val="single" w:sz="4" w:space="0" w:color="auto"/>
              <w:right w:val="single" w:sz="4" w:space="0" w:color="auto"/>
            </w:tcBorders>
            <w:shd w:val="clear" w:color="FFFFFF" w:fill="FFFFFF"/>
            <w:vAlign w:val="center"/>
            <w:hideMark/>
          </w:tcPr>
          <w:p w14:paraId="4D7D9CF8" w14:textId="77777777" w:rsidR="00C801FF" w:rsidRPr="003C3C55" w:rsidRDefault="00C801FF" w:rsidP="00FA48AC">
            <w:pPr>
              <w:jc w:val="center"/>
              <w:rPr>
                <w:rFonts w:ascii="Arial Narrow" w:hAnsi="Arial Narrow" w:cs="Calibri"/>
                <w:color w:val="000000"/>
                <w:sz w:val="20"/>
                <w:szCs w:val="20"/>
                <w:lang w:val="es-CR" w:eastAsia="es-CR"/>
              </w:rPr>
            </w:pPr>
            <w:r w:rsidRPr="003C3C55">
              <w:rPr>
                <w:rFonts w:ascii="Arial Narrow" w:hAnsi="Arial Narrow" w:cs="Calibri"/>
                <w:color w:val="000000"/>
                <w:sz w:val="20"/>
                <w:szCs w:val="20"/>
                <w:lang w:val="es-CR" w:eastAsia="es-CR"/>
              </w:rPr>
              <w:t>45</w:t>
            </w:r>
          </w:p>
        </w:tc>
        <w:tc>
          <w:tcPr>
            <w:tcW w:w="1420" w:type="dxa"/>
            <w:tcBorders>
              <w:top w:val="nil"/>
              <w:left w:val="nil"/>
              <w:bottom w:val="single" w:sz="4" w:space="0" w:color="auto"/>
              <w:right w:val="single" w:sz="4" w:space="0" w:color="auto"/>
            </w:tcBorders>
            <w:shd w:val="clear" w:color="000000" w:fill="70AD47"/>
            <w:vAlign w:val="center"/>
            <w:hideMark/>
          </w:tcPr>
          <w:p w14:paraId="66FBAFA2" w14:textId="77777777" w:rsidR="00C801FF" w:rsidRPr="003C3C55" w:rsidRDefault="00C801FF" w:rsidP="00FA48AC">
            <w:pPr>
              <w:jc w:val="center"/>
              <w:rPr>
                <w:rFonts w:ascii="Arial Narrow" w:hAnsi="Arial Narrow" w:cs="Calibri"/>
                <w:color w:val="000000"/>
                <w:sz w:val="20"/>
                <w:szCs w:val="20"/>
                <w:lang w:val="es-CR" w:eastAsia="es-CR"/>
              </w:rPr>
            </w:pPr>
            <w:r w:rsidRPr="003C3C55">
              <w:rPr>
                <w:rFonts w:ascii="Arial Narrow" w:hAnsi="Arial Narrow" w:cs="Calibri"/>
                <w:color w:val="000000"/>
                <w:sz w:val="20"/>
                <w:szCs w:val="20"/>
                <w:lang w:val="es-CR" w:eastAsia="es-CR"/>
              </w:rPr>
              <w:t>91.07 %</w:t>
            </w:r>
          </w:p>
        </w:tc>
      </w:tr>
      <w:tr w:rsidR="006F3725" w:rsidRPr="003C3C55" w14:paraId="59937723" w14:textId="77777777" w:rsidTr="00FA48AC">
        <w:trPr>
          <w:trHeight w:val="300"/>
        </w:trPr>
        <w:tc>
          <w:tcPr>
            <w:tcW w:w="952" w:type="dxa"/>
            <w:tcBorders>
              <w:top w:val="nil"/>
              <w:left w:val="single" w:sz="4" w:space="0" w:color="auto"/>
              <w:bottom w:val="single" w:sz="4" w:space="0" w:color="auto"/>
              <w:right w:val="single" w:sz="4" w:space="0" w:color="auto"/>
            </w:tcBorders>
            <w:shd w:val="clear" w:color="D3D3D3" w:fill="FFFFFF"/>
            <w:vAlign w:val="center"/>
            <w:hideMark/>
          </w:tcPr>
          <w:p w14:paraId="378C7AF7" w14:textId="77777777" w:rsidR="00C801FF" w:rsidRPr="003C3C55" w:rsidRDefault="00C801FF" w:rsidP="00FA48AC">
            <w:pPr>
              <w:jc w:val="center"/>
              <w:rPr>
                <w:rFonts w:ascii="Arial Narrow" w:hAnsi="Arial Narrow" w:cs="Calibri"/>
                <w:color w:val="000000"/>
                <w:sz w:val="20"/>
                <w:szCs w:val="20"/>
                <w:lang w:val="es-CR" w:eastAsia="es-CR"/>
              </w:rPr>
            </w:pPr>
            <w:r w:rsidRPr="003C3C55">
              <w:rPr>
                <w:rFonts w:ascii="Arial Narrow" w:hAnsi="Arial Narrow" w:cs="Calibri"/>
                <w:color w:val="000000"/>
                <w:sz w:val="20"/>
                <w:szCs w:val="20"/>
                <w:lang w:val="es-CR" w:eastAsia="es-CR"/>
              </w:rPr>
              <w:t>30</w:t>
            </w:r>
          </w:p>
        </w:tc>
        <w:tc>
          <w:tcPr>
            <w:tcW w:w="5280" w:type="dxa"/>
            <w:tcBorders>
              <w:top w:val="nil"/>
              <w:left w:val="nil"/>
              <w:bottom w:val="single" w:sz="4" w:space="0" w:color="auto"/>
              <w:right w:val="single" w:sz="4" w:space="0" w:color="auto"/>
            </w:tcBorders>
            <w:shd w:val="clear" w:color="000000" w:fill="FFFFFF"/>
            <w:noWrap/>
            <w:vAlign w:val="center"/>
            <w:hideMark/>
          </w:tcPr>
          <w:p w14:paraId="23562276" w14:textId="77777777" w:rsidR="00C801FF" w:rsidRPr="003C3C55" w:rsidRDefault="00C801FF" w:rsidP="00FA48AC">
            <w:pPr>
              <w:jc w:val="center"/>
              <w:rPr>
                <w:rFonts w:ascii="Arial Narrow" w:hAnsi="Arial Narrow" w:cs="Calibri"/>
                <w:color w:val="000000"/>
                <w:sz w:val="22"/>
                <w:szCs w:val="22"/>
                <w:lang w:val="es-CR" w:eastAsia="es-CR"/>
              </w:rPr>
            </w:pPr>
            <w:r w:rsidRPr="003C3C55">
              <w:rPr>
                <w:rFonts w:ascii="Arial Narrow" w:hAnsi="Arial Narrow" w:cs="Calibri"/>
                <w:color w:val="000000"/>
                <w:sz w:val="22"/>
                <w:szCs w:val="22"/>
                <w:lang w:val="es-CR" w:eastAsia="es-CR"/>
              </w:rPr>
              <w:t>JUZGADO NOTARIAL</w:t>
            </w:r>
          </w:p>
        </w:tc>
        <w:tc>
          <w:tcPr>
            <w:tcW w:w="1551" w:type="dxa"/>
            <w:tcBorders>
              <w:top w:val="nil"/>
              <w:left w:val="nil"/>
              <w:bottom w:val="single" w:sz="4" w:space="0" w:color="auto"/>
              <w:right w:val="single" w:sz="4" w:space="0" w:color="auto"/>
            </w:tcBorders>
            <w:shd w:val="clear" w:color="D3D3D3" w:fill="FFFFFF"/>
            <w:vAlign w:val="center"/>
            <w:hideMark/>
          </w:tcPr>
          <w:p w14:paraId="3A74BC58" w14:textId="77777777" w:rsidR="00C801FF" w:rsidRPr="003C3C55" w:rsidRDefault="00C801FF" w:rsidP="00FA48AC">
            <w:pPr>
              <w:jc w:val="center"/>
              <w:rPr>
                <w:rFonts w:ascii="Arial Narrow" w:hAnsi="Arial Narrow" w:cs="Calibri"/>
                <w:color w:val="000000"/>
                <w:sz w:val="20"/>
                <w:szCs w:val="20"/>
                <w:lang w:val="es-CR" w:eastAsia="es-CR"/>
              </w:rPr>
            </w:pPr>
            <w:r w:rsidRPr="003C3C55">
              <w:rPr>
                <w:rFonts w:ascii="Arial Narrow" w:hAnsi="Arial Narrow" w:cs="Calibri"/>
                <w:color w:val="000000"/>
                <w:sz w:val="20"/>
                <w:szCs w:val="20"/>
                <w:lang w:val="es-CR" w:eastAsia="es-CR"/>
              </w:rPr>
              <w:t>2</w:t>
            </w:r>
          </w:p>
        </w:tc>
        <w:tc>
          <w:tcPr>
            <w:tcW w:w="1420" w:type="dxa"/>
            <w:tcBorders>
              <w:top w:val="nil"/>
              <w:left w:val="nil"/>
              <w:bottom w:val="single" w:sz="4" w:space="0" w:color="auto"/>
              <w:right w:val="single" w:sz="4" w:space="0" w:color="auto"/>
            </w:tcBorders>
            <w:shd w:val="clear" w:color="000000" w:fill="70AD47"/>
            <w:vAlign w:val="center"/>
            <w:hideMark/>
          </w:tcPr>
          <w:p w14:paraId="2B6A4DA4" w14:textId="77777777" w:rsidR="00C801FF" w:rsidRPr="003C3C55" w:rsidRDefault="00C801FF" w:rsidP="00FA48AC">
            <w:pPr>
              <w:jc w:val="center"/>
              <w:rPr>
                <w:rFonts w:ascii="Arial Narrow" w:hAnsi="Arial Narrow" w:cs="Calibri"/>
                <w:color w:val="000000"/>
                <w:sz w:val="20"/>
                <w:szCs w:val="20"/>
                <w:lang w:val="es-CR" w:eastAsia="es-CR"/>
              </w:rPr>
            </w:pPr>
            <w:r w:rsidRPr="003C3C55">
              <w:rPr>
                <w:rFonts w:ascii="Arial Narrow" w:hAnsi="Arial Narrow" w:cs="Calibri"/>
                <w:color w:val="000000"/>
                <w:sz w:val="20"/>
                <w:szCs w:val="20"/>
                <w:lang w:val="es-CR" w:eastAsia="es-CR"/>
              </w:rPr>
              <w:t>91.00 %</w:t>
            </w:r>
          </w:p>
        </w:tc>
      </w:tr>
      <w:tr w:rsidR="006F3725" w:rsidRPr="003C3C55" w14:paraId="21FFA365" w14:textId="77777777" w:rsidTr="00FA48AC">
        <w:trPr>
          <w:trHeight w:val="300"/>
        </w:trPr>
        <w:tc>
          <w:tcPr>
            <w:tcW w:w="952" w:type="dxa"/>
            <w:tcBorders>
              <w:top w:val="nil"/>
              <w:left w:val="single" w:sz="4" w:space="0" w:color="auto"/>
              <w:bottom w:val="single" w:sz="4" w:space="0" w:color="auto"/>
              <w:right w:val="single" w:sz="4" w:space="0" w:color="auto"/>
            </w:tcBorders>
            <w:shd w:val="clear" w:color="FFFFFF" w:fill="FFFFFF"/>
            <w:vAlign w:val="center"/>
            <w:hideMark/>
          </w:tcPr>
          <w:p w14:paraId="0A21A953" w14:textId="77777777" w:rsidR="00C801FF" w:rsidRPr="003C3C55" w:rsidRDefault="00C801FF" w:rsidP="00FA48AC">
            <w:pPr>
              <w:jc w:val="center"/>
              <w:rPr>
                <w:rFonts w:ascii="Arial Narrow" w:hAnsi="Arial Narrow" w:cs="Calibri"/>
                <w:color w:val="000000"/>
                <w:sz w:val="20"/>
                <w:szCs w:val="20"/>
                <w:lang w:val="es-CR" w:eastAsia="es-CR"/>
              </w:rPr>
            </w:pPr>
            <w:r w:rsidRPr="003C3C55">
              <w:rPr>
                <w:rFonts w:ascii="Arial Narrow" w:hAnsi="Arial Narrow" w:cs="Calibri"/>
                <w:color w:val="000000"/>
                <w:sz w:val="20"/>
                <w:szCs w:val="20"/>
                <w:lang w:val="es-CR" w:eastAsia="es-CR"/>
              </w:rPr>
              <w:t>31</w:t>
            </w:r>
          </w:p>
        </w:tc>
        <w:tc>
          <w:tcPr>
            <w:tcW w:w="5280" w:type="dxa"/>
            <w:tcBorders>
              <w:top w:val="nil"/>
              <w:left w:val="nil"/>
              <w:bottom w:val="single" w:sz="4" w:space="0" w:color="auto"/>
              <w:right w:val="single" w:sz="4" w:space="0" w:color="auto"/>
            </w:tcBorders>
            <w:shd w:val="clear" w:color="000000" w:fill="FFFFFF"/>
            <w:noWrap/>
            <w:vAlign w:val="center"/>
            <w:hideMark/>
          </w:tcPr>
          <w:p w14:paraId="48697A8B" w14:textId="77777777" w:rsidR="00C801FF" w:rsidRPr="003C3C55" w:rsidRDefault="00C801FF" w:rsidP="00FA48AC">
            <w:pPr>
              <w:jc w:val="center"/>
              <w:rPr>
                <w:rFonts w:ascii="Arial Narrow" w:hAnsi="Arial Narrow" w:cs="Calibri"/>
                <w:color w:val="000000"/>
                <w:sz w:val="22"/>
                <w:szCs w:val="22"/>
                <w:lang w:val="es-CR" w:eastAsia="es-CR"/>
              </w:rPr>
            </w:pPr>
            <w:r w:rsidRPr="003C3C55">
              <w:rPr>
                <w:rFonts w:ascii="Arial Narrow" w:hAnsi="Arial Narrow" w:cs="Calibri"/>
                <w:color w:val="000000"/>
                <w:sz w:val="22"/>
                <w:szCs w:val="22"/>
                <w:lang w:val="es-CR" w:eastAsia="es-CR"/>
              </w:rPr>
              <w:t>ESCUELA JUDICIAL</w:t>
            </w:r>
          </w:p>
        </w:tc>
        <w:tc>
          <w:tcPr>
            <w:tcW w:w="1551" w:type="dxa"/>
            <w:tcBorders>
              <w:top w:val="nil"/>
              <w:left w:val="nil"/>
              <w:bottom w:val="single" w:sz="4" w:space="0" w:color="auto"/>
              <w:right w:val="single" w:sz="4" w:space="0" w:color="auto"/>
            </w:tcBorders>
            <w:shd w:val="clear" w:color="FFFFFF" w:fill="FFFFFF"/>
            <w:vAlign w:val="center"/>
            <w:hideMark/>
          </w:tcPr>
          <w:p w14:paraId="118EF27A" w14:textId="77777777" w:rsidR="00C801FF" w:rsidRPr="003C3C55" w:rsidRDefault="00C801FF" w:rsidP="00FA48AC">
            <w:pPr>
              <w:jc w:val="center"/>
              <w:rPr>
                <w:rFonts w:ascii="Arial Narrow" w:hAnsi="Arial Narrow" w:cs="Calibri"/>
                <w:color w:val="000000"/>
                <w:sz w:val="20"/>
                <w:szCs w:val="20"/>
                <w:lang w:val="es-CR" w:eastAsia="es-CR"/>
              </w:rPr>
            </w:pPr>
            <w:r w:rsidRPr="003C3C55">
              <w:rPr>
                <w:rFonts w:ascii="Arial Narrow" w:hAnsi="Arial Narrow" w:cs="Calibri"/>
                <w:color w:val="000000"/>
                <w:sz w:val="20"/>
                <w:szCs w:val="20"/>
                <w:lang w:val="es-CR" w:eastAsia="es-CR"/>
              </w:rPr>
              <w:t>15</w:t>
            </w:r>
          </w:p>
        </w:tc>
        <w:tc>
          <w:tcPr>
            <w:tcW w:w="1420" w:type="dxa"/>
            <w:tcBorders>
              <w:top w:val="nil"/>
              <w:left w:val="nil"/>
              <w:bottom w:val="single" w:sz="4" w:space="0" w:color="auto"/>
              <w:right w:val="single" w:sz="4" w:space="0" w:color="auto"/>
            </w:tcBorders>
            <w:shd w:val="clear" w:color="000000" w:fill="70AD47"/>
            <w:vAlign w:val="center"/>
            <w:hideMark/>
          </w:tcPr>
          <w:p w14:paraId="33F8ECD7" w14:textId="77777777" w:rsidR="00C801FF" w:rsidRPr="003C3C55" w:rsidRDefault="00C801FF" w:rsidP="00FA48AC">
            <w:pPr>
              <w:jc w:val="center"/>
              <w:rPr>
                <w:rFonts w:ascii="Arial Narrow" w:hAnsi="Arial Narrow" w:cs="Calibri"/>
                <w:color w:val="000000"/>
                <w:sz w:val="20"/>
                <w:szCs w:val="20"/>
                <w:lang w:val="es-CR" w:eastAsia="es-CR"/>
              </w:rPr>
            </w:pPr>
            <w:r w:rsidRPr="003C3C55">
              <w:rPr>
                <w:rFonts w:ascii="Arial Narrow" w:hAnsi="Arial Narrow" w:cs="Calibri"/>
                <w:color w:val="000000"/>
                <w:sz w:val="20"/>
                <w:szCs w:val="20"/>
                <w:lang w:val="es-CR" w:eastAsia="es-CR"/>
              </w:rPr>
              <w:t>90.40 %</w:t>
            </w:r>
          </w:p>
        </w:tc>
      </w:tr>
      <w:tr w:rsidR="006F3725" w:rsidRPr="003C3C55" w14:paraId="70CC4C17" w14:textId="77777777" w:rsidTr="00FA48AC">
        <w:trPr>
          <w:trHeight w:val="300"/>
        </w:trPr>
        <w:tc>
          <w:tcPr>
            <w:tcW w:w="952" w:type="dxa"/>
            <w:tcBorders>
              <w:top w:val="nil"/>
              <w:left w:val="single" w:sz="4" w:space="0" w:color="auto"/>
              <w:bottom w:val="single" w:sz="4" w:space="0" w:color="auto"/>
              <w:right w:val="single" w:sz="4" w:space="0" w:color="auto"/>
            </w:tcBorders>
            <w:shd w:val="clear" w:color="D3D3D3" w:fill="FFFFFF"/>
            <w:vAlign w:val="center"/>
            <w:hideMark/>
          </w:tcPr>
          <w:p w14:paraId="52F777C4" w14:textId="77777777" w:rsidR="00C801FF" w:rsidRPr="003C3C55" w:rsidRDefault="00C801FF" w:rsidP="00FA48AC">
            <w:pPr>
              <w:jc w:val="center"/>
              <w:rPr>
                <w:rFonts w:ascii="Arial Narrow" w:hAnsi="Arial Narrow" w:cs="Calibri"/>
                <w:color w:val="000000"/>
                <w:sz w:val="20"/>
                <w:szCs w:val="20"/>
                <w:lang w:val="es-CR" w:eastAsia="es-CR"/>
              </w:rPr>
            </w:pPr>
            <w:r w:rsidRPr="003C3C55">
              <w:rPr>
                <w:rFonts w:ascii="Arial Narrow" w:hAnsi="Arial Narrow" w:cs="Calibri"/>
                <w:color w:val="000000"/>
                <w:sz w:val="20"/>
                <w:szCs w:val="20"/>
                <w:lang w:val="es-CR" w:eastAsia="es-CR"/>
              </w:rPr>
              <w:t>32</w:t>
            </w:r>
          </w:p>
        </w:tc>
        <w:tc>
          <w:tcPr>
            <w:tcW w:w="5280" w:type="dxa"/>
            <w:tcBorders>
              <w:top w:val="nil"/>
              <w:left w:val="nil"/>
              <w:bottom w:val="single" w:sz="4" w:space="0" w:color="auto"/>
              <w:right w:val="single" w:sz="4" w:space="0" w:color="auto"/>
            </w:tcBorders>
            <w:shd w:val="clear" w:color="000000" w:fill="FFFFFF"/>
            <w:noWrap/>
            <w:vAlign w:val="center"/>
            <w:hideMark/>
          </w:tcPr>
          <w:p w14:paraId="7ABA8BB7" w14:textId="77777777" w:rsidR="00C801FF" w:rsidRPr="003C3C55" w:rsidRDefault="00C801FF" w:rsidP="00FA48AC">
            <w:pPr>
              <w:jc w:val="center"/>
              <w:rPr>
                <w:rFonts w:ascii="Arial Narrow" w:hAnsi="Arial Narrow" w:cs="Calibri"/>
                <w:color w:val="000000"/>
                <w:sz w:val="22"/>
                <w:szCs w:val="22"/>
                <w:lang w:val="es-CR" w:eastAsia="es-CR"/>
              </w:rPr>
            </w:pPr>
            <w:r w:rsidRPr="003C3C55">
              <w:rPr>
                <w:rFonts w:ascii="Arial Narrow" w:hAnsi="Arial Narrow" w:cs="Calibri"/>
                <w:color w:val="000000"/>
                <w:sz w:val="22"/>
                <w:szCs w:val="22"/>
                <w:lang w:val="es-CR" w:eastAsia="es-CR"/>
              </w:rPr>
              <w:t>DEPARTAMENTO DE PRENSA Y COMUNICACION ORGANIZACIONAL</w:t>
            </w:r>
          </w:p>
        </w:tc>
        <w:tc>
          <w:tcPr>
            <w:tcW w:w="1551" w:type="dxa"/>
            <w:tcBorders>
              <w:top w:val="nil"/>
              <w:left w:val="nil"/>
              <w:bottom w:val="single" w:sz="4" w:space="0" w:color="auto"/>
              <w:right w:val="single" w:sz="4" w:space="0" w:color="auto"/>
            </w:tcBorders>
            <w:shd w:val="clear" w:color="D3D3D3" w:fill="FFFFFF"/>
            <w:vAlign w:val="center"/>
            <w:hideMark/>
          </w:tcPr>
          <w:p w14:paraId="618EF2CD" w14:textId="77777777" w:rsidR="00C801FF" w:rsidRPr="003C3C55" w:rsidRDefault="00C801FF" w:rsidP="00FA48AC">
            <w:pPr>
              <w:jc w:val="center"/>
              <w:rPr>
                <w:rFonts w:ascii="Arial Narrow" w:hAnsi="Arial Narrow" w:cs="Calibri"/>
                <w:color w:val="000000"/>
                <w:sz w:val="20"/>
                <w:szCs w:val="20"/>
                <w:lang w:val="es-CR" w:eastAsia="es-CR"/>
              </w:rPr>
            </w:pPr>
            <w:r w:rsidRPr="003C3C55">
              <w:rPr>
                <w:rFonts w:ascii="Arial Narrow" w:hAnsi="Arial Narrow" w:cs="Calibri"/>
                <w:color w:val="000000"/>
                <w:sz w:val="20"/>
                <w:szCs w:val="20"/>
                <w:lang w:val="es-CR" w:eastAsia="es-CR"/>
              </w:rPr>
              <w:t>2</w:t>
            </w:r>
          </w:p>
        </w:tc>
        <w:tc>
          <w:tcPr>
            <w:tcW w:w="1420" w:type="dxa"/>
            <w:tcBorders>
              <w:top w:val="nil"/>
              <w:left w:val="nil"/>
              <w:bottom w:val="single" w:sz="4" w:space="0" w:color="auto"/>
              <w:right w:val="single" w:sz="4" w:space="0" w:color="auto"/>
            </w:tcBorders>
            <w:shd w:val="clear" w:color="000000" w:fill="FFFF00"/>
            <w:vAlign w:val="center"/>
            <w:hideMark/>
          </w:tcPr>
          <w:p w14:paraId="44057E1C" w14:textId="77777777" w:rsidR="00C801FF" w:rsidRPr="003C3C55" w:rsidRDefault="00C801FF" w:rsidP="00FA48AC">
            <w:pPr>
              <w:jc w:val="center"/>
              <w:rPr>
                <w:rFonts w:ascii="Arial Narrow" w:hAnsi="Arial Narrow" w:cs="Calibri"/>
                <w:color w:val="000000"/>
                <w:sz w:val="20"/>
                <w:szCs w:val="20"/>
                <w:lang w:val="es-CR" w:eastAsia="es-CR"/>
              </w:rPr>
            </w:pPr>
            <w:r w:rsidRPr="003C3C55">
              <w:rPr>
                <w:rFonts w:ascii="Arial Narrow" w:hAnsi="Arial Narrow" w:cs="Calibri"/>
                <w:color w:val="000000"/>
                <w:sz w:val="20"/>
                <w:szCs w:val="20"/>
                <w:lang w:val="es-CR" w:eastAsia="es-CR"/>
              </w:rPr>
              <w:t>56.50 %</w:t>
            </w:r>
          </w:p>
        </w:tc>
      </w:tr>
    </w:tbl>
    <w:p w14:paraId="7134250F" w14:textId="77777777" w:rsidR="00C801FF" w:rsidRDefault="00C801FF" w:rsidP="00C801FF">
      <w:pPr>
        <w:ind w:left="-142" w:firstLine="850"/>
        <w:rPr>
          <w:rFonts w:ascii="Arial Narrow" w:eastAsia="Calibri" w:hAnsi="Arial Narrow"/>
          <w:sz w:val="18"/>
          <w:szCs w:val="18"/>
          <w:lang w:eastAsia="en-US"/>
        </w:rPr>
      </w:pPr>
      <w:r>
        <w:rPr>
          <w:rFonts w:ascii="Arial Narrow" w:eastAsia="Calibri" w:hAnsi="Arial Narrow"/>
          <w:lang w:eastAsia="en-US"/>
        </w:rPr>
        <w:t xml:space="preserve">  </w:t>
      </w:r>
      <w:r w:rsidRPr="000B4845">
        <w:rPr>
          <w:rFonts w:ascii="Arial Narrow" w:eastAsia="Calibri" w:hAnsi="Arial Narrow"/>
          <w:sz w:val="18"/>
          <w:szCs w:val="18"/>
          <w:lang w:eastAsia="en-US"/>
        </w:rPr>
        <w:t xml:space="preserve">Fuente: Sistema PEI al </w:t>
      </w:r>
      <w:r>
        <w:rPr>
          <w:rFonts w:ascii="Arial Narrow" w:eastAsia="Calibri" w:hAnsi="Arial Narrow"/>
          <w:sz w:val="18"/>
          <w:szCs w:val="18"/>
          <w:lang w:eastAsia="en-US"/>
        </w:rPr>
        <w:t>04 de marzo del 2021 (año 2020).</w:t>
      </w:r>
    </w:p>
    <w:p w14:paraId="787EAE07" w14:textId="345DC9C9" w:rsidR="00C801FF" w:rsidRDefault="00C801FF" w:rsidP="00C801FF">
      <w:pPr>
        <w:spacing w:line="360" w:lineRule="auto"/>
        <w:jc w:val="both"/>
        <w:rPr>
          <w:rFonts w:ascii="Arial Narrow" w:eastAsia="Calibri" w:hAnsi="Arial Narrow"/>
          <w:lang w:eastAsia="en-US"/>
        </w:rPr>
      </w:pPr>
    </w:p>
    <w:p w14:paraId="2985766B" w14:textId="29F0C527" w:rsidR="00C45AA7" w:rsidRDefault="00C45AA7" w:rsidP="00C45AA7">
      <w:pPr>
        <w:spacing w:line="360" w:lineRule="auto"/>
        <w:jc w:val="both"/>
        <w:rPr>
          <w:rFonts w:ascii="Arial Narrow" w:eastAsia="Calibri" w:hAnsi="Arial Narrow"/>
          <w:lang w:eastAsia="en-US"/>
        </w:rPr>
      </w:pPr>
      <w:r w:rsidRPr="000B4845">
        <w:rPr>
          <w:rFonts w:ascii="Arial Narrow" w:eastAsia="Calibri" w:hAnsi="Arial Narrow"/>
          <w:lang w:eastAsia="en-US"/>
        </w:rPr>
        <w:t xml:space="preserve">Se observa </w:t>
      </w:r>
      <w:r>
        <w:rPr>
          <w:rFonts w:ascii="Arial Narrow" w:eastAsia="Calibri" w:hAnsi="Arial Narrow"/>
          <w:lang w:eastAsia="en-US"/>
        </w:rPr>
        <w:t xml:space="preserve">en comparación con el 2019 </w:t>
      </w:r>
      <w:r w:rsidRPr="000B4845">
        <w:rPr>
          <w:rFonts w:ascii="Arial Narrow" w:eastAsia="Calibri" w:hAnsi="Arial Narrow"/>
          <w:lang w:eastAsia="en-US"/>
        </w:rPr>
        <w:t>que</w:t>
      </w:r>
      <w:r>
        <w:rPr>
          <w:rFonts w:ascii="Arial Narrow" w:eastAsia="Calibri" w:hAnsi="Arial Narrow"/>
          <w:lang w:eastAsia="en-US"/>
        </w:rPr>
        <w:t>, de</w:t>
      </w:r>
      <w:r w:rsidRPr="000B4845">
        <w:rPr>
          <w:rFonts w:ascii="Arial Narrow" w:eastAsia="Calibri" w:hAnsi="Arial Narrow"/>
          <w:lang w:eastAsia="en-US"/>
        </w:rPr>
        <w:t xml:space="preserve"> l</w:t>
      </w:r>
      <w:r>
        <w:rPr>
          <w:rFonts w:ascii="Arial Narrow" w:eastAsia="Calibri" w:hAnsi="Arial Narrow"/>
          <w:lang w:eastAsia="en-US"/>
        </w:rPr>
        <w:t>o</w:t>
      </w:r>
      <w:r w:rsidRPr="000B4845">
        <w:rPr>
          <w:rFonts w:ascii="Arial Narrow" w:eastAsia="Calibri" w:hAnsi="Arial Narrow"/>
          <w:lang w:eastAsia="en-US"/>
        </w:rPr>
        <w:t xml:space="preserve">s </w:t>
      </w:r>
      <w:r>
        <w:rPr>
          <w:rFonts w:ascii="Arial Narrow" w:eastAsia="Calibri" w:hAnsi="Arial Narrow"/>
          <w:lang w:eastAsia="en-US"/>
        </w:rPr>
        <w:t>32</w:t>
      </w:r>
      <w:r w:rsidRPr="000B4845">
        <w:rPr>
          <w:rFonts w:ascii="Arial Narrow" w:eastAsia="Calibri" w:hAnsi="Arial Narrow"/>
          <w:lang w:eastAsia="en-US"/>
        </w:rPr>
        <w:t xml:space="preserve"> </w:t>
      </w:r>
      <w:r w:rsidRPr="00484CC1">
        <w:rPr>
          <w:rFonts w:ascii="Arial Narrow" w:eastAsia="Calibri" w:hAnsi="Arial Narrow"/>
          <w:lang w:eastAsia="en-US"/>
        </w:rPr>
        <w:t>responsables estratégicos</w:t>
      </w:r>
      <w:r w:rsidRPr="000B4845">
        <w:rPr>
          <w:rFonts w:ascii="Arial Narrow" w:eastAsia="Calibri" w:hAnsi="Arial Narrow"/>
          <w:lang w:eastAsia="en-US"/>
        </w:rPr>
        <w:t xml:space="preserve">, </w:t>
      </w:r>
      <w:r>
        <w:rPr>
          <w:rFonts w:ascii="Arial Narrow" w:eastAsia="Calibri" w:hAnsi="Arial Narrow"/>
          <w:lang w:eastAsia="en-US"/>
        </w:rPr>
        <w:t>31 tienen un cumplimiento alto de</w:t>
      </w:r>
      <w:r w:rsidRPr="000B4845">
        <w:rPr>
          <w:rFonts w:ascii="Arial Narrow" w:eastAsia="Calibri" w:hAnsi="Arial Narrow"/>
          <w:lang w:eastAsia="en-US"/>
        </w:rPr>
        <w:t xml:space="preserve"> sus metas estratégicas en un </w:t>
      </w:r>
      <w:r>
        <w:rPr>
          <w:rFonts w:ascii="Arial Narrow" w:eastAsia="Calibri" w:hAnsi="Arial Narrow"/>
          <w:lang w:eastAsia="en-US"/>
        </w:rPr>
        <w:t>9</w:t>
      </w:r>
      <w:r w:rsidRPr="000B4845">
        <w:rPr>
          <w:rFonts w:ascii="Arial Narrow" w:eastAsia="Calibri" w:hAnsi="Arial Narrow"/>
          <w:lang w:eastAsia="en-US"/>
        </w:rPr>
        <w:t>0%</w:t>
      </w:r>
      <w:r>
        <w:rPr>
          <w:rFonts w:ascii="Arial Narrow" w:eastAsia="Calibri" w:hAnsi="Arial Narrow"/>
          <w:lang w:eastAsia="en-US"/>
        </w:rPr>
        <w:t>-100%</w:t>
      </w:r>
      <w:r w:rsidRPr="000B4845">
        <w:rPr>
          <w:rFonts w:ascii="Arial Narrow" w:eastAsia="Calibri" w:hAnsi="Arial Narrow"/>
          <w:lang w:eastAsia="en-US"/>
        </w:rPr>
        <w:t xml:space="preserve">, eso equivale a un </w:t>
      </w:r>
      <w:r>
        <w:rPr>
          <w:rFonts w:ascii="Arial Narrow" w:eastAsia="Calibri" w:hAnsi="Arial Narrow"/>
          <w:lang w:eastAsia="en-US"/>
        </w:rPr>
        <w:t>96,8</w:t>
      </w:r>
      <w:r w:rsidRPr="000B4845">
        <w:rPr>
          <w:rFonts w:ascii="Arial Narrow" w:eastAsia="Calibri" w:hAnsi="Arial Narrow"/>
          <w:lang w:eastAsia="en-US"/>
        </w:rPr>
        <w:t>% de la totalidad de oficinas responsables</w:t>
      </w:r>
      <w:r>
        <w:rPr>
          <w:rFonts w:ascii="Arial Narrow" w:eastAsia="Calibri" w:hAnsi="Arial Narrow"/>
          <w:lang w:eastAsia="en-US"/>
        </w:rPr>
        <w:t xml:space="preserve">, esto </w:t>
      </w:r>
      <w:r w:rsidRPr="000B4845">
        <w:rPr>
          <w:rFonts w:ascii="Arial Narrow" w:eastAsia="Calibri" w:hAnsi="Arial Narrow"/>
          <w:lang w:eastAsia="en-US"/>
        </w:rPr>
        <w:t xml:space="preserve">evidencia esfuerzos importantes para alcanzar las metas estratégicas </w:t>
      </w:r>
      <w:r w:rsidRPr="00B76759">
        <w:rPr>
          <w:rFonts w:ascii="Arial Narrow" w:eastAsia="Calibri" w:hAnsi="Arial Narrow"/>
          <w:lang w:eastAsia="en-US"/>
        </w:rPr>
        <w:t xml:space="preserve">operativizadas al PAO del </w:t>
      </w:r>
      <w:r>
        <w:rPr>
          <w:rFonts w:ascii="Arial Narrow" w:eastAsia="Calibri" w:hAnsi="Arial Narrow"/>
          <w:lang w:eastAsia="en-US"/>
        </w:rPr>
        <w:t>segundo</w:t>
      </w:r>
      <w:r w:rsidRPr="00B76759">
        <w:rPr>
          <w:rFonts w:ascii="Arial Narrow" w:eastAsia="Calibri" w:hAnsi="Arial Narrow"/>
          <w:lang w:eastAsia="en-US"/>
        </w:rPr>
        <w:t xml:space="preserve"> año del PEI</w:t>
      </w:r>
      <w:r w:rsidRPr="000B4845">
        <w:rPr>
          <w:rFonts w:ascii="Arial Narrow" w:eastAsia="Calibri" w:hAnsi="Arial Narrow"/>
          <w:lang w:eastAsia="en-US"/>
        </w:rPr>
        <w:t>.</w:t>
      </w:r>
      <w:r>
        <w:rPr>
          <w:rFonts w:ascii="Arial Narrow" w:eastAsia="Calibri" w:hAnsi="Arial Narrow"/>
          <w:lang w:eastAsia="en-US"/>
        </w:rPr>
        <w:t xml:space="preserve">  Únicamente, el responsable</w:t>
      </w:r>
      <w:r w:rsidRPr="00484CC1">
        <w:rPr>
          <w:rFonts w:ascii="Arial Narrow" w:eastAsia="Calibri" w:hAnsi="Arial Narrow"/>
          <w:lang w:eastAsia="en-US"/>
        </w:rPr>
        <w:t xml:space="preserve"> estratégico </w:t>
      </w:r>
      <w:r w:rsidRPr="000B4845">
        <w:rPr>
          <w:rFonts w:ascii="Arial Narrow" w:eastAsia="Calibri" w:hAnsi="Arial Narrow"/>
          <w:lang w:eastAsia="en-US"/>
        </w:rPr>
        <w:t xml:space="preserve">que </w:t>
      </w:r>
      <w:r>
        <w:rPr>
          <w:rFonts w:ascii="Arial Narrow" w:eastAsia="Calibri" w:hAnsi="Arial Narrow"/>
          <w:lang w:eastAsia="en-US"/>
        </w:rPr>
        <w:t>registra</w:t>
      </w:r>
      <w:r w:rsidRPr="000B4845">
        <w:rPr>
          <w:rFonts w:ascii="Arial Narrow" w:eastAsia="Calibri" w:hAnsi="Arial Narrow"/>
          <w:lang w:eastAsia="en-US"/>
        </w:rPr>
        <w:t xml:space="preserve"> un cumplimiento </w:t>
      </w:r>
      <w:r>
        <w:rPr>
          <w:rFonts w:ascii="Arial Narrow" w:eastAsia="Calibri" w:hAnsi="Arial Narrow"/>
          <w:lang w:eastAsia="en-US"/>
        </w:rPr>
        <w:t xml:space="preserve">medio </w:t>
      </w:r>
      <w:r w:rsidRPr="000B4845">
        <w:rPr>
          <w:rFonts w:ascii="Arial Narrow" w:eastAsia="Calibri" w:hAnsi="Arial Narrow"/>
          <w:lang w:eastAsia="en-US"/>
        </w:rPr>
        <w:t xml:space="preserve">de </w:t>
      </w:r>
      <w:r>
        <w:rPr>
          <w:rFonts w:ascii="Arial Narrow" w:eastAsia="Calibri" w:hAnsi="Arial Narrow"/>
          <w:lang w:eastAsia="en-US"/>
        </w:rPr>
        <w:t xml:space="preserve">56,5%, es el Departamento de Prensa y Comunicación Organizacional. </w:t>
      </w:r>
    </w:p>
    <w:p w14:paraId="14C82411" w14:textId="77777777" w:rsidR="003F3A7A" w:rsidRDefault="003F3A7A" w:rsidP="00C45AA7">
      <w:pPr>
        <w:spacing w:line="360" w:lineRule="auto"/>
        <w:jc w:val="both"/>
        <w:rPr>
          <w:rFonts w:ascii="Arial Narrow" w:eastAsia="Calibri" w:hAnsi="Arial Narrow"/>
          <w:lang w:eastAsia="en-US"/>
        </w:rPr>
      </w:pPr>
    </w:p>
    <w:p w14:paraId="79066087" w14:textId="363E19CD" w:rsidR="003F3A7A" w:rsidRDefault="003F3A7A" w:rsidP="003F3A7A">
      <w:pPr>
        <w:spacing w:line="360" w:lineRule="auto"/>
        <w:jc w:val="both"/>
        <w:rPr>
          <w:rFonts w:ascii="Arial Narrow" w:eastAsia="Calibri" w:hAnsi="Arial Narrow"/>
          <w:lang w:eastAsia="en-US"/>
        </w:rPr>
      </w:pPr>
      <w:r>
        <w:rPr>
          <w:rFonts w:ascii="Arial Narrow" w:eastAsia="Calibri" w:hAnsi="Arial Narrow"/>
          <w:lang w:eastAsia="en-US"/>
        </w:rPr>
        <w:t>Como se mencionó con anterioridad, una determinada oficina o centro responsable, se le asigna una meta estratégica y se transforma en un responsable estratégico de la misma. Esa meta se asigna a múltiples responsables operativos de los cuales se espera un cumplimiento total y un registro en el sistema PAO de los avances de manera actualizada, para que no se presente una afectación en el cumplimiento total de la meta estratégica.</w:t>
      </w:r>
    </w:p>
    <w:p w14:paraId="41EC0927" w14:textId="77777777" w:rsidR="003F3A7A" w:rsidRDefault="003F3A7A" w:rsidP="003F3A7A">
      <w:pPr>
        <w:spacing w:line="360" w:lineRule="auto"/>
        <w:jc w:val="both"/>
        <w:rPr>
          <w:rFonts w:ascii="Arial Narrow" w:eastAsia="Calibri" w:hAnsi="Arial Narrow"/>
          <w:lang w:eastAsia="en-US"/>
        </w:rPr>
      </w:pPr>
    </w:p>
    <w:p w14:paraId="0DDA5FD6" w14:textId="3AF83DEF" w:rsidR="00776FD2" w:rsidRDefault="003F3A7A" w:rsidP="00C801FF">
      <w:pPr>
        <w:spacing w:line="360" w:lineRule="auto"/>
        <w:jc w:val="both"/>
        <w:rPr>
          <w:rFonts w:ascii="Arial Narrow" w:eastAsia="Calibri" w:hAnsi="Arial Narrow"/>
          <w:lang w:eastAsia="en-US"/>
        </w:rPr>
      </w:pPr>
      <w:r>
        <w:rPr>
          <w:rFonts w:ascii="Arial Narrow" w:eastAsia="Calibri" w:hAnsi="Arial Narrow"/>
          <w:lang w:eastAsia="en-US"/>
        </w:rPr>
        <w:t>De igual manera, es importante citar el ejemplo de</w:t>
      </w:r>
      <w:r w:rsidR="00C45AA7">
        <w:rPr>
          <w:rFonts w:ascii="Arial Narrow" w:eastAsia="Calibri" w:hAnsi="Arial Narrow"/>
          <w:lang w:eastAsia="en-US"/>
        </w:rPr>
        <w:t xml:space="preserve"> la situación presentada con las metas estratégicas del responsable estratégico: Dirección de Planificación, el cual para el 2020 de sus 17 metas estratégicas, 16 fueron completadas en su totalidad (100%), mientras que una meta especifica: “</w:t>
      </w:r>
      <w:r w:rsidR="00C45AA7" w:rsidRPr="00CC279A">
        <w:rPr>
          <w:rFonts w:ascii="Arial Narrow" w:eastAsia="Calibri" w:hAnsi="Arial Narrow"/>
          <w:b/>
          <w:bCs/>
          <w:i/>
          <w:iCs/>
          <w:lang w:eastAsia="en-US"/>
        </w:rPr>
        <w:t>Que al finalizar el 2024, se haya implementado el proyecto de rediseño en al menos 7 circuitos judiciales, que involucre el ámbito jurisdiccional, auxiliar de justica y administrativo</w:t>
      </w:r>
      <w:r w:rsidR="00C45AA7">
        <w:rPr>
          <w:rFonts w:ascii="Arial Narrow" w:eastAsia="Calibri" w:hAnsi="Arial Narrow"/>
          <w:lang w:eastAsia="en-US"/>
        </w:rPr>
        <w:t>”</w:t>
      </w:r>
      <w:r w:rsidR="00155E08">
        <w:rPr>
          <w:rFonts w:ascii="Arial Narrow" w:eastAsia="Calibri" w:hAnsi="Arial Narrow"/>
          <w:lang w:eastAsia="en-US"/>
        </w:rPr>
        <w:t>,</w:t>
      </w:r>
      <w:r w:rsidR="00C45AA7">
        <w:rPr>
          <w:rFonts w:ascii="Arial Narrow" w:eastAsia="Calibri" w:hAnsi="Arial Narrow"/>
          <w:lang w:eastAsia="en-US"/>
        </w:rPr>
        <w:t xml:space="preserve"> se consigna con un cumplimiento estratégico de un 93%. Esta meta estratégica est</w:t>
      </w:r>
      <w:r>
        <w:rPr>
          <w:rFonts w:ascii="Arial Narrow" w:eastAsia="Calibri" w:hAnsi="Arial Narrow"/>
          <w:lang w:eastAsia="en-US"/>
        </w:rPr>
        <w:t>á</w:t>
      </w:r>
      <w:r w:rsidR="00C45AA7">
        <w:rPr>
          <w:rFonts w:ascii="Arial Narrow" w:eastAsia="Calibri" w:hAnsi="Arial Narrow"/>
          <w:lang w:eastAsia="en-US"/>
        </w:rPr>
        <w:t xml:space="preserve"> constituida por 16 metas operativas asignadas a 10 responsables operativos diferentes, de los cuales, solamente una oficina que fue la Comisión de la Jurisdicción de Familia, Niñez y Adolescencia reportó un 0% de avance operativo, lo que termina impactando en no lograr el 100% del cumplimiento total.</w:t>
      </w:r>
    </w:p>
    <w:p w14:paraId="6DE683FE" w14:textId="77777777" w:rsidR="00776FD2" w:rsidRDefault="00776FD2" w:rsidP="00C801FF">
      <w:pPr>
        <w:spacing w:line="360" w:lineRule="auto"/>
        <w:jc w:val="both"/>
        <w:rPr>
          <w:rFonts w:ascii="Arial Narrow" w:eastAsia="Calibri" w:hAnsi="Arial Narrow"/>
          <w:lang w:eastAsia="en-US"/>
        </w:rPr>
      </w:pPr>
    </w:p>
    <w:p w14:paraId="6761E3AA" w14:textId="39C11BA6" w:rsidR="0053265A" w:rsidRDefault="0053265A" w:rsidP="00C801FF">
      <w:pPr>
        <w:spacing w:line="360" w:lineRule="auto"/>
        <w:jc w:val="both"/>
        <w:rPr>
          <w:rFonts w:ascii="Arial Narrow" w:eastAsia="Calibri" w:hAnsi="Arial Narrow"/>
          <w:lang w:eastAsia="en-US"/>
        </w:rPr>
      </w:pPr>
    </w:p>
    <w:p w14:paraId="36B6BEF8" w14:textId="77777777" w:rsidR="00567BA2" w:rsidRDefault="00567BA2" w:rsidP="00DD6B33">
      <w:pPr>
        <w:pStyle w:val="Descripcin"/>
        <w:jc w:val="center"/>
        <w:rPr>
          <w:rFonts w:ascii="Arial Narrow" w:eastAsia="Calibri" w:hAnsi="Arial Narrow"/>
          <w:sz w:val="24"/>
          <w:szCs w:val="24"/>
          <w:lang w:eastAsia="en-US"/>
        </w:rPr>
      </w:pPr>
    </w:p>
    <w:p w14:paraId="19FF9956" w14:textId="77777777" w:rsidR="00567BA2" w:rsidRDefault="00567BA2" w:rsidP="00DD6B33">
      <w:pPr>
        <w:pStyle w:val="Descripcin"/>
        <w:jc w:val="center"/>
        <w:rPr>
          <w:rFonts w:ascii="Arial Narrow" w:eastAsia="Calibri" w:hAnsi="Arial Narrow"/>
          <w:sz w:val="24"/>
          <w:szCs w:val="24"/>
          <w:lang w:eastAsia="en-US"/>
        </w:rPr>
      </w:pPr>
    </w:p>
    <w:p w14:paraId="189A8127" w14:textId="3EDC06D9" w:rsidR="00DD6B33" w:rsidRDefault="00DD6B33" w:rsidP="00DD6B33">
      <w:pPr>
        <w:pStyle w:val="Descripcin"/>
        <w:jc w:val="center"/>
        <w:rPr>
          <w:rFonts w:ascii="Arial Narrow" w:eastAsia="Calibri" w:hAnsi="Arial Narrow"/>
          <w:sz w:val="24"/>
          <w:szCs w:val="24"/>
          <w:lang w:eastAsia="en-US"/>
        </w:rPr>
      </w:pPr>
      <w:bookmarkStart w:id="178" w:name="_Toc84919479"/>
      <w:r w:rsidRPr="00CC279A">
        <w:rPr>
          <w:rFonts w:ascii="Arial Narrow" w:eastAsia="Calibri" w:hAnsi="Arial Narrow"/>
          <w:sz w:val="24"/>
          <w:szCs w:val="24"/>
          <w:lang w:eastAsia="en-US"/>
        </w:rPr>
        <w:t xml:space="preserve">Tabla </w:t>
      </w:r>
      <w:r w:rsidRPr="00CC279A">
        <w:rPr>
          <w:rFonts w:ascii="Arial Narrow" w:eastAsia="Calibri" w:hAnsi="Arial Narrow"/>
          <w:sz w:val="24"/>
          <w:szCs w:val="24"/>
          <w:lang w:eastAsia="en-US"/>
        </w:rPr>
        <w:fldChar w:fldCharType="begin"/>
      </w:r>
      <w:r w:rsidRPr="00CC279A">
        <w:rPr>
          <w:rFonts w:ascii="Arial Narrow" w:eastAsia="Calibri" w:hAnsi="Arial Narrow"/>
          <w:sz w:val="24"/>
          <w:szCs w:val="24"/>
          <w:lang w:eastAsia="en-US"/>
        </w:rPr>
        <w:instrText xml:space="preserve"> SEQ Tabla \* ARABIC </w:instrText>
      </w:r>
      <w:r w:rsidRPr="00CC279A">
        <w:rPr>
          <w:rFonts w:ascii="Arial Narrow" w:eastAsia="Calibri" w:hAnsi="Arial Narrow"/>
          <w:sz w:val="24"/>
          <w:szCs w:val="24"/>
          <w:lang w:eastAsia="en-US"/>
        </w:rPr>
        <w:fldChar w:fldCharType="separate"/>
      </w:r>
      <w:r w:rsidRPr="00CC279A">
        <w:rPr>
          <w:rFonts w:ascii="Arial Narrow" w:eastAsia="Calibri" w:hAnsi="Arial Narrow"/>
          <w:sz w:val="24"/>
          <w:szCs w:val="24"/>
          <w:lang w:eastAsia="en-US"/>
        </w:rPr>
        <w:t>21</w:t>
      </w:r>
      <w:r w:rsidRPr="00CC279A">
        <w:rPr>
          <w:rFonts w:ascii="Arial Narrow" w:eastAsia="Calibri" w:hAnsi="Arial Narrow"/>
          <w:sz w:val="24"/>
          <w:szCs w:val="24"/>
          <w:lang w:eastAsia="en-US"/>
        </w:rPr>
        <w:fldChar w:fldCharType="end"/>
      </w:r>
      <w:r w:rsidRPr="00DD6B33">
        <w:rPr>
          <w:rFonts w:ascii="Arial Narrow" w:eastAsia="Calibri" w:hAnsi="Arial Narrow"/>
          <w:sz w:val="24"/>
          <w:szCs w:val="24"/>
          <w:lang w:eastAsia="en-US"/>
        </w:rPr>
        <w:t xml:space="preserve"> </w:t>
      </w:r>
      <w:r w:rsidRPr="00704B08">
        <w:rPr>
          <w:rFonts w:ascii="Arial Narrow" w:eastAsia="Calibri" w:hAnsi="Arial Narrow"/>
          <w:sz w:val="24"/>
          <w:szCs w:val="24"/>
          <w:lang w:eastAsia="en-US"/>
        </w:rPr>
        <w:t>Cumplimiento</w:t>
      </w:r>
      <w:r w:rsidRPr="0029096E">
        <w:rPr>
          <w:rFonts w:ascii="Arial Narrow" w:eastAsia="Calibri" w:hAnsi="Arial Narrow"/>
          <w:sz w:val="24"/>
          <w:szCs w:val="24"/>
          <w:lang w:eastAsia="en-US"/>
        </w:rPr>
        <w:t xml:space="preserve"> porcentual de las metas estratégicas del </w:t>
      </w:r>
      <w:r>
        <w:rPr>
          <w:rFonts w:ascii="Arial Narrow" w:eastAsia="Calibri" w:hAnsi="Arial Narrow"/>
          <w:sz w:val="24"/>
          <w:szCs w:val="24"/>
          <w:lang w:eastAsia="en-US"/>
        </w:rPr>
        <w:t>2020,</w:t>
      </w:r>
      <w:bookmarkEnd w:id="178"/>
      <w:r w:rsidRPr="0029096E">
        <w:rPr>
          <w:rFonts w:ascii="Arial Narrow" w:eastAsia="Calibri" w:hAnsi="Arial Narrow"/>
          <w:sz w:val="24"/>
          <w:szCs w:val="24"/>
          <w:lang w:eastAsia="en-US"/>
        </w:rPr>
        <w:t xml:space="preserve"> </w:t>
      </w:r>
    </w:p>
    <w:p w14:paraId="7A5971EE" w14:textId="00481EDD" w:rsidR="00DD6B33" w:rsidRPr="0029096E" w:rsidRDefault="00DD6B33" w:rsidP="00DD6B33">
      <w:pPr>
        <w:pStyle w:val="Descripcin"/>
        <w:jc w:val="center"/>
        <w:rPr>
          <w:rFonts w:ascii="Arial Narrow" w:eastAsia="Calibri" w:hAnsi="Arial Narrow"/>
          <w:sz w:val="24"/>
          <w:szCs w:val="24"/>
          <w:lang w:eastAsia="en-US"/>
        </w:rPr>
      </w:pPr>
      <w:r w:rsidRPr="0029096E">
        <w:rPr>
          <w:rFonts w:ascii="Arial Narrow" w:eastAsia="Calibri" w:hAnsi="Arial Narrow"/>
          <w:sz w:val="24"/>
          <w:szCs w:val="24"/>
          <w:lang w:eastAsia="en-US"/>
        </w:rPr>
        <w:t xml:space="preserve">según </w:t>
      </w:r>
      <w:r w:rsidR="00FC5B96" w:rsidRPr="0029096E">
        <w:rPr>
          <w:rFonts w:ascii="Arial Narrow" w:eastAsia="Calibri" w:hAnsi="Arial Narrow"/>
          <w:sz w:val="24"/>
          <w:szCs w:val="24"/>
          <w:lang w:eastAsia="en-US"/>
        </w:rPr>
        <w:t>responsable</w:t>
      </w:r>
      <w:r w:rsidRPr="0029096E">
        <w:rPr>
          <w:rFonts w:ascii="Arial Narrow" w:eastAsia="Calibri" w:hAnsi="Arial Narrow"/>
          <w:sz w:val="24"/>
          <w:szCs w:val="24"/>
          <w:lang w:eastAsia="en-US"/>
        </w:rPr>
        <w:t xml:space="preserve"> Estratégico</w:t>
      </w:r>
    </w:p>
    <w:p w14:paraId="404E90F0" w14:textId="5474C393" w:rsidR="00DD6B33" w:rsidRDefault="00DD6B33" w:rsidP="00CC279A">
      <w:pPr>
        <w:pStyle w:val="Descripcin"/>
        <w:rPr>
          <w:rFonts w:ascii="Arial Narrow" w:eastAsia="Calibri" w:hAnsi="Arial Narrow"/>
          <w:lang w:eastAsia="en-US"/>
        </w:rPr>
      </w:pPr>
    </w:p>
    <w:tbl>
      <w:tblPr>
        <w:tblW w:w="8642" w:type="dxa"/>
        <w:jc w:val="center"/>
        <w:tblCellMar>
          <w:left w:w="70" w:type="dxa"/>
          <w:right w:w="70" w:type="dxa"/>
        </w:tblCellMar>
        <w:tblLook w:val="04A0" w:firstRow="1" w:lastRow="0" w:firstColumn="1" w:lastColumn="0" w:noHBand="0" w:noVBand="1"/>
      </w:tblPr>
      <w:tblGrid>
        <w:gridCol w:w="1689"/>
        <w:gridCol w:w="5394"/>
        <w:gridCol w:w="1559"/>
      </w:tblGrid>
      <w:tr w:rsidR="0053265A" w:rsidRPr="0038143C" w14:paraId="05511298" w14:textId="77777777" w:rsidTr="00CC279A">
        <w:trPr>
          <w:trHeight w:val="855"/>
          <w:jc w:val="center"/>
        </w:trPr>
        <w:tc>
          <w:tcPr>
            <w:tcW w:w="1689"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7D5060B" w14:textId="77777777" w:rsidR="0053265A" w:rsidRPr="00CC279A" w:rsidRDefault="0053265A" w:rsidP="00CC279A">
            <w:pPr>
              <w:jc w:val="center"/>
              <w:rPr>
                <w:rFonts w:ascii="Arial Narrow" w:hAnsi="Arial Narrow" w:cs="Calibri"/>
                <w:b/>
                <w:bCs/>
                <w:color w:val="000000"/>
                <w:sz w:val="18"/>
                <w:szCs w:val="18"/>
                <w:lang w:val="es-CR" w:eastAsia="es-CR"/>
              </w:rPr>
            </w:pPr>
            <w:r w:rsidRPr="00CC279A">
              <w:rPr>
                <w:rFonts w:ascii="Arial Narrow" w:hAnsi="Arial Narrow" w:cs="Calibri"/>
                <w:b/>
                <w:bCs/>
                <w:color w:val="000000"/>
                <w:sz w:val="18"/>
                <w:szCs w:val="18"/>
                <w:lang w:val="es-CR" w:eastAsia="es-CR"/>
              </w:rPr>
              <w:t>RESPONSABLE ESTRATÉGICO</w:t>
            </w:r>
          </w:p>
        </w:tc>
        <w:tc>
          <w:tcPr>
            <w:tcW w:w="5394" w:type="dxa"/>
            <w:tcBorders>
              <w:top w:val="single" w:sz="4" w:space="0" w:color="auto"/>
              <w:left w:val="nil"/>
              <w:bottom w:val="single" w:sz="4" w:space="0" w:color="auto"/>
              <w:right w:val="single" w:sz="4" w:space="0" w:color="auto"/>
            </w:tcBorders>
            <w:shd w:val="clear" w:color="auto" w:fill="BFBFBF" w:themeFill="background1" w:themeFillShade="BF"/>
            <w:vAlign w:val="center"/>
            <w:hideMark/>
          </w:tcPr>
          <w:p w14:paraId="003CDAF2" w14:textId="77777777" w:rsidR="0053265A" w:rsidRPr="00CC279A" w:rsidRDefault="0053265A" w:rsidP="00CC279A">
            <w:pPr>
              <w:jc w:val="center"/>
              <w:rPr>
                <w:rFonts w:ascii="Arial Narrow" w:hAnsi="Arial Narrow" w:cs="Calibri"/>
                <w:b/>
                <w:bCs/>
                <w:color w:val="000000"/>
                <w:sz w:val="18"/>
                <w:szCs w:val="18"/>
                <w:lang w:val="es-CR" w:eastAsia="es-CR"/>
              </w:rPr>
            </w:pPr>
            <w:r w:rsidRPr="00CC279A">
              <w:rPr>
                <w:rFonts w:ascii="Arial Narrow" w:hAnsi="Arial Narrow" w:cs="Calibri"/>
                <w:b/>
                <w:bCs/>
                <w:color w:val="000000"/>
                <w:sz w:val="18"/>
                <w:szCs w:val="18"/>
                <w:lang w:val="es-CR" w:eastAsia="es-CR"/>
              </w:rPr>
              <w:t>META ESTRATÉGICA</w:t>
            </w:r>
          </w:p>
        </w:tc>
        <w:tc>
          <w:tcPr>
            <w:tcW w:w="1559" w:type="dxa"/>
            <w:tcBorders>
              <w:top w:val="single" w:sz="4" w:space="0" w:color="auto"/>
              <w:left w:val="nil"/>
              <w:bottom w:val="single" w:sz="4" w:space="0" w:color="auto"/>
              <w:right w:val="single" w:sz="4" w:space="0" w:color="auto"/>
            </w:tcBorders>
            <w:shd w:val="clear" w:color="auto" w:fill="BFBFBF" w:themeFill="background1" w:themeFillShade="BF"/>
            <w:vAlign w:val="center"/>
            <w:hideMark/>
          </w:tcPr>
          <w:p w14:paraId="39A836F4" w14:textId="1FABF040" w:rsidR="0053265A" w:rsidRPr="00CC279A" w:rsidRDefault="00FC5B96" w:rsidP="00CC279A">
            <w:pPr>
              <w:jc w:val="center"/>
              <w:rPr>
                <w:rFonts w:ascii="Arial Narrow" w:hAnsi="Arial Narrow" w:cs="Calibri"/>
                <w:b/>
                <w:bCs/>
                <w:color w:val="000000"/>
                <w:sz w:val="18"/>
                <w:szCs w:val="18"/>
                <w:lang w:val="es-CR" w:eastAsia="es-CR"/>
              </w:rPr>
            </w:pPr>
            <w:r w:rsidRPr="00CC279A">
              <w:rPr>
                <w:rFonts w:ascii="Arial Narrow" w:hAnsi="Arial Narrow" w:cs="Calibri"/>
                <w:b/>
                <w:bCs/>
                <w:color w:val="000000"/>
                <w:sz w:val="18"/>
                <w:szCs w:val="18"/>
                <w:lang w:val="es-CR" w:eastAsia="es-CR"/>
              </w:rPr>
              <w:t>PORCENTAJE</w:t>
            </w:r>
            <w:r>
              <w:rPr>
                <w:rFonts w:ascii="Arial Narrow" w:hAnsi="Arial Narrow" w:cs="Calibri"/>
                <w:b/>
                <w:bCs/>
                <w:color w:val="000000"/>
                <w:sz w:val="18"/>
                <w:szCs w:val="18"/>
                <w:lang w:val="es-CR" w:eastAsia="es-CR"/>
              </w:rPr>
              <w:t xml:space="preserve"> DE</w:t>
            </w:r>
            <w:r w:rsidR="0053265A">
              <w:rPr>
                <w:rFonts w:ascii="Arial Narrow" w:hAnsi="Arial Narrow" w:cs="Calibri"/>
                <w:b/>
                <w:bCs/>
                <w:color w:val="000000"/>
                <w:sz w:val="18"/>
                <w:szCs w:val="18"/>
                <w:lang w:val="es-CR" w:eastAsia="es-CR"/>
              </w:rPr>
              <w:t xml:space="preserve"> CUMPLIMIENTO 2020</w:t>
            </w:r>
          </w:p>
        </w:tc>
      </w:tr>
      <w:tr w:rsidR="0053265A" w:rsidRPr="0038143C" w14:paraId="17FEDFB2" w14:textId="77777777" w:rsidTr="00CC279A">
        <w:trPr>
          <w:trHeight w:val="855"/>
          <w:jc w:val="center"/>
        </w:trPr>
        <w:tc>
          <w:tcPr>
            <w:tcW w:w="1689" w:type="dxa"/>
            <w:vMerge w:val="restart"/>
            <w:tcBorders>
              <w:top w:val="nil"/>
              <w:left w:val="single" w:sz="4" w:space="0" w:color="auto"/>
              <w:bottom w:val="single" w:sz="4" w:space="0" w:color="auto"/>
              <w:right w:val="single" w:sz="4" w:space="0" w:color="auto"/>
            </w:tcBorders>
            <w:shd w:val="clear" w:color="auto" w:fill="auto"/>
            <w:vAlign w:val="center"/>
            <w:hideMark/>
          </w:tcPr>
          <w:p w14:paraId="12430047" w14:textId="77777777" w:rsidR="0053265A" w:rsidRPr="00CC279A" w:rsidRDefault="0053265A" w:rsidP="00CC279A">
            <w:pPr>
              <w:jc w:val="center"/>
              <w:rPr>
                <w:rFonts w:ascii="Arial Narrow" w:hAnsi="Arial Narrow" w:cs="Calibri"/>
                <w:color w:val="000000"/>
                <w:sz w:val="18"/>
                <w:szCs w:val="18"/>
                <w:lang w:val="es-CR" w:eastAsia="es-CR"/>
              </w:rPr>
            </w:pPr>
            <w:r w:rsidRPr="00CC279A">
              <w:rPr>
                <w:rFonts w:ascii="Arial Narrow" w:hAnsi="Arial Narrow" w:cs="Calibri"/>
                <w:color w:val="000000"/>
                <w:sz w:val="18"/>
                <w:szCs w:val="18"/>
                <w:lang w:val="es-CR" w:eastAsia="es-CR"/>
              </w:rPr>
              <w:t>0116 - DEPARTAMENTO DE PRENSA Y COMUNICACION ORGANIZACIONAL</w:t>
            </w:r>
          </w:p>
        </w:tc>
        <w:tc>
          <w:tcPr>
            <w:tcW w:w="5394" w:type="dxa"/>
            <w:tcBorders>
              <w:top w:val="nil"/>
              <w:left w:val="nil"/>
              <w:bottom w:val="single" w:sz="4" w:space="0" w:color="auto"/>
              <w:right w:val="single" w:sz="4" w:space="0" w:color="auto"/>
            </w:tcBorders>
            <w:shd w:val="clear" w:color="auto" w:fill="auto"/>
            <w:vAlign w:val="center"/>
            <w:hideMark/>
          </w:tcPr>
          <w:p w14:paraId="30449A51" w14:textId="77777777" w:rsidR="0053265A" w:rsidRPr="00CC279A" w:rsidRDefault="0053265A" w:rsidP="00CC279A">
            <w:pPr>
              <w:jc w:val="center"/>
              <w:rPr>
                <w:rFonts w:ascii="Arial Narrow" w:hAnsi="Arial Narrow" w:cs="Calibri"/>
                <w:color w:val="000000"/>
                <w:sz w:val="18"/>
                <w:szCs w:val="18"/>
                <w:lang w:val="es-CR" w:eastAsia="es-CR"/>
              </w:rPr>
            </w:pPr>
            <w:r w:rsidRPr="00CC279A">
              <w:rPr>
                <w:rFonts w:ascii="Arial Narrow" w:hAnsi="Arial Narrow" w:cs="Calibri"/>
                <w:color w:val="000000"/>
                <w:sz w:val="18"/>
                <w:szCs w:val="18"/>
                <w:lang w:val="es-CR" w:eastAsia="es-CR"/>
              </w:rPr>
              <w:t>OE.1.4.1.1 - Que al finalizar el 2024, se haya implementado una estrategia de comunicación y proyección institucional proactiva que fortalezca la democracia, institucionalidad y percepción de las personas usuarias.</w:t>
            </w:r>
          </w:p>
        </w:tc>
        <w:tc>
          <w:tcPr>
            <w:tcW w:w="1559" w:type="dxa"/>
            <w:tcBorders>
              <w:top w:val="nil"/>
              <w:left w:val="nil"/>
              <w:bottom w:val="single" w:sz="4" w:space="0" w:color="auto"/>
              <w:right w:val="single" w:sz="4" w:space="0" w:color="auto"/>
            </w:tcBorders>
            <w:shd w:val="clear" w:color="auto" w:fill="auto"/>
            <w:vAlign w:val="center"/>
            <w:hideMark/>
          </w:tcPr>
          <w:p w14:paraId="52E0E004" w14:textId="77777777" w:rsidR="0053265A" w:rsidRPr="00CC279A" w:rsidRDefault="0053265A" w:rsidP="00CC279A">
            <w:pPr>
              <w:jc w:val="center"/>
              <w:rPr>
                <w:rFonts w:ascii="Arial Narrow" w:hAnsi="Arial Narrow" w:cs="Calibri"/>
                <w:color w:val="000000"/>
                <w:sz w:val="18"/>
                <w:szCs w:val="18"/>
                <w:lang w:val="es-CR" w:eastAsia="es-CR"/>
              </w:rPr>
            </w:pPr>
            <w:r w:rsidRPr="00CC279A">
              <w:rPr>
                <w:rFonts w:ascii="Arial Narrow" w:hAnsi="Arial Narrow" w:cs="Calibri"/>
                <w:color w:val="000000"/>
                <w:sz w:val="18"/>
                <w:szCs w:val="18"/>
                <w:lang w:val="es-CR" w:eastAsia="es-CR"/>
              </w:rPr>
              <w:t>100.00%</w:t>
            </w:r>
          </w:p>
        </w:tc>
      </w:tr>
      <w:tr w:rsidR="0053265A" w:rsidRPr="0038143C" w14:paraId="373E5498" w14:textId="77777777" w:rsidTr="00CC279A">
        <w:trPr>
          <w:trHeight w:val="855"/>
          <w:jc w:val="center"/>
        </w:trPr>
        <w:tc>
          <w:tcPr>
            <w:tcW w:w="1689" w:type="dxa"/>
            <w:vMerge/>
            <w:tcBorders>
              <w:top w:val="nil"/>
              <w:left w:val="single" w:sz="4" w:space="0" w:color="auto"/>
              <w:bottom w:val="single" w:sz="4" w:space="0" w:color="auto"/>
              <w:right w:val="single" w:sz="4" w:space="0" w:color="auto"/>
            </w:tcBorders>
            <w:vAlign w:val="center"/>
            <w:hideMark/>
          </w:tcPr>
          <w:p w14:paraId="27D8708E" w14:textId="77777777" w:rsidR="0053265A" w:rsidRPr="00CC279A" w:rsidRDefault="0053265A" w:rsidP="00CC279A">
            <w:pPr>
              <w:jc w:val="center"/>
              <w:rPr>
                <w:rFonts w:ascii="Arial Narrow" w:hAnsi="Arial Narrow" w:cs="Calibri"/>
                <w:color w:val="000000"/>
                <w:sz w:val="18"/>
                <w:szCs w:val="18"/>
                <w:lang w:val="es-CR" w:eastAsia="es-CR"/>
              </w:rPr>
            </w:pPr>
          </w:p>
        </w:tc>
        <w:tc>
          <w:tcPr>
            <w:tcW w:w="5394" w:type="dxa"/>
            <w:tcBorders>
              <w:top w:val="nil"/>
              <w:left w:val="nil"/>
              <w:bottom w:val="single" w:sz="4" w:space="0" w:color="auto"/>
              <w:right w:val="single" w:sz="4" w:space="0" w:color="auto"/>
            </w:tcBorders>
            <w:shd w:val="clear" w:color="auto" w:fill="auto"/>
            <w:vAlign w:val="center"/>
            <w:hideMark/>
          </w:tcPr>
          <w:p w14:paraId="4F76F596" w14:textId="77777777" w:rsidR="0053265A" w:rsidRPr="00CC279A" w:rsidRDefault="0053265A" w:rsidP="00CC279A">
            <w:pPr>
              <w:jc w:val="center"/>
              <w:rPr>
                <w:rFonts w:ascii="Arial Narrow" w:hAnsi="Arial Narrow" w:cs="Calibri"/>
                <w:color w:val="000000"/>
                <w:sz w:val="18"/>
                <w:szCs w:val="18"/>
                <w:lang w:val="es-CR" w:eastAsia="es-CR"/>
              </w:rPr>
            </w:pPr>
            <w:r w:rsidRPr="00CC279A">
              <w:rPr>
                <w:rFonts w:ascii="Arial Narrow" w:hAnsi="Arial Narrow" w:cs="Calibri"/>
                <w:color w:val="000000"/>
                <w:sz w:val="18"/>
                <w:szCs w:val="18"/>
                <w:lang w:val="es-CR" w:eastAsia="es-CR"/>
              </w:rPr>
              <w:t>OE.1.4.7.1 - Que al finalizar el 2024, se haya aprobado la Política de Comunicación Integral.</w:t>
            </w:r>
          </w:p>
        </w:tc>
        <w:tc>
          <w:tcPr>
            <w:tcW w:w="1559" w:type="dxa"/>
            <w:tcBorders>
              <w:top w:val="nil"/>
              <w:left w:val="nil"/>
              <w:bottom w:val="single" w:sz="4" w:space="0" w:color="auto"/>
              <w:right w:val="single" w:sz="4" w:space="0" w:color="auto"/>
            </w:tcBorders>
            <w:shd w:val="clear" w:color="auto" w:fill="auto"/>
            <w:vAlign w:val="center"/>
            <w:hideMark/>
          </w:tcPr>
          <w:p w14:paraId="21B85269" w14:textId="77777777" w:rsidR="0053265A" w:rsidRPr="00CC279A" w:rsidRDefault="0053265A" w:rsidP="00CC279A">
            <w:pPr>
              <w:jc w:val="center"/>
              <w:rPr>
                <w:rFonts w:ascii="Arial Narrow" w:hAnsi="Arial Narrow" w:cs="Calibri"/>
                <w:color w:val="000000"/>
                <w:sz w:val="18"/>
                <w:szCs w:val="18"/>
                <w:lang w:val="es-CR" w:eastAsia="es-CR"/>
              </w:rPr>
            </w:pPr>
            <w:r w:rsidRPr="00CC279A">
              <w:rPr>
                <w:rFonts w:ascii="Arial Narrow" w:hAnsi="Arial Narrow" w:cs="Calibri"/>
                <w:color w:val="000000"/>
                <w:sz w:val="18"/>
                <w:szCs w:val="18"/>
                <w:lang w:val="es-CR" w:eastAsia="es-CR"/>
              </w:rPr>
              <w:t>13.33%</w:t>
            </w:r>
          </w:p>
        </w:tc>
      </w:tr>
    </w:tbl>
    <w:p w14:paraId="3478419B" w14:textId="4AD28E3D" w:rsidR="0053265A" w:rsidRDefault="0053265A" w:rsidP="00CC279A">
      <w:pPr>
        <w:spacing w:line="360" w:lineRule="auto"/>
        <w:ind w:left="708" w:firstLine="708"/>
        <w:jc w:val="both"/>
        <w:rPr>
          <w:rFonts w:ascii="Arial Narrow" w:eastAsia="Calibri" w:hAnsi="Arial Narrow"/>
          <w:lang w:eastAsia="en-US"/>
        </w:rPr>
      </w:pPr>
      <w:r w:rsidRPr="000B4845">
        <w:rPr>
          <w:rFonts w:ascii="Arial Narrow" w:eastAsia="Calibri" w:hAnsi="Arial Narrow"/>
          <w:sz w:val="18"/>
          <w:szCs w:val="18"/>
          <w:lang w:eastAsia="en-US"/>
        </w:rPr>
        <w:t xml:space="preserve">Fuente: Sistema PEI al </w:t>
      </w:r>
      <w:r>
        <w:rPr>
          <w:rFonts w:ascii="Arial Narrow" w:eastAsia="Calibri" w:hAnsi="Arial Narrow"/>
          <w:sz w:val="18"/>
          <w:szCs w:val="18"/>
          <w:lang w:eastAsia="en-US"/>
        </w:rPr>
        <w:t>04 de marzo del 2021 (año 2020).</w:t>
      </w:r>
    </w:p>
    <w:p w14:paraId="74E5E71A" w14:textId="77777777" w:rsidR="00155E08" w:rsidRDefault="00155E08" w:rsidP="00155E08">
      <w:pPr>
        <w:rPr>
          <w:rFonts w:ascii="Arial Narrow" w:hAnsi="Arial Narrow"/>
          <w:lang w:val="es-CR" w:eastAsia="es-CR"/>
        </w:rPr>
      </w:pPr>
    </w:p>
    <w:p w14:paraId="1EFE1A66" w14:textId="7B8693ED" w:rsidR="0053265A" w:rsidRPr="002641A1" w:rsidRDefault="00186574" w:rsidP="00155E08">
      <w:pPr>
        <w:spacing w:line="360" w:lineRule="auto"/>
        <w:jc w:val="both"/>
        <w:rPr>
          <w:rFonts w:ascii="Arial Narrow" w:eastAsia="Calibri" w:hAnsi="Arial Narrow"/>
        </w:rPr>
      </w:pPr>
      <w:r w:rsidRPr="00155E08">
        <w:rPr>
          <w:rFonts w:ascii="Arial Narrow" w:eastAsia="Calibri" w:hAnsi="Arial Narrow"/>
        </w:rPr>
        <w:t>Como se aprecia</w:t>
      </w:r>
      <w:r w:rsidR="0053265A" w:rsidRPr="00155E08">
        <w:rPr>
          <w:rFonts w:ascii="Arial Narrow" w:eastAsia="Calibri" w:hAnsi="Arial Narrow"/>
        </w:rPr>
        <w:t xml:space="preserve">, el Departamento de Prensa y Comunicación tienen dos metas estratégicas por las cuales responden, una la cumplieron cabalmente al 100% mientras que la restante sobre la Política de Comunicación Integral se registra a un 30% debido </w:t>
      </w:r>
      <w:r w:rsidR="0053265A">
        <w:rPr>
          <w:rFonts w:ascii="Arial Narrow" w:eastAsia="Calibri" w:hAnsi="Arial Narrow"/>
        </w:rPr>
        <w:t>a que</w:t>
      </w:r>
      <w:r w:rsidR="0053265A" w:rsidRPr="00704B08">
        <w:rPr>
          <w:rFonts w:ascii="Arial Narrow" w:eastAsia="Calibri" w:hAnsi="Arial Narrow"/>
        </w:rPr>
        <w:t xml:space="preserve"> </w:t>
      </w:r>
      <w:r w:rsidR="0053265A">
        <w:rPr>
          <w:rFonts w:ascii="Arial Narrow" w:eastAsia="Calibri" w:hAnsi="Arial Narrow"/>
        </w:rPr>
        <w:t xml:space="preserve">el </w:t>
      </w:r>
      <w:r w:rsidR="0053265A" w:rsidRPr="00704B08">
        <w:rPr>
          <w:rFonts w:ascii="Arial Narrow" w:eastAsia="Calibri" w:hAnsi="Arial Narrow"/>
        </w:rPr>
        <w:t>Departamento de Prensa y Comunicación</w:t>
      </w:r>
      <w:r w:rsidR="0053265A">
        <w:rPr>
          <w:rFonts w:ascii="Arial Narrow" w:eastAsia="Calibri" w:hAnsi="Arial Narrow"/>
        </w:rPr>
        <w:t xml:space="preserve"> formuló </w:t>
      </w:r>
      <w:r w:rsidR="0053265A" w:rsidRPr="00704B08">
        <w:rPr>
          <w:rFonts w:ascii="Arial Narrow" w:eastAsia="Calibri" w:hAnsi="Arial Narrow"/>
        </w:rPr>
        <w:t xml:space="preserve">los requerimientos </w:t>
      </w:r>
      <w:r w:rsidR="0053265A">
        <w:rPr>
          <w:rFonts w:ascii="Arial Narrow" w:eastAsia="Calibri" w:hAnsi="Arial Narrow"/>
        </w:rPr>
        <w:t xml:space="preserve">ante </w:t>
      </w:r>
      <w:r w:rsidR="0053265A" w:rsidRPr="00704B08">
        <w:rPr>
          <w:rFonts w:ascii="Arial Narrow" w:eastAsia="Calibri" w:hAnsi="Arial Narrow"/>
        </w:rPr>
        <w:t>el órgano cooperante para el apoyo financiero</w:t>
      </w:r>
      <w:r w:rsidR="0053265A">
        <w:rPr>
          <w:rFonts w:ascii="Arial Narrow" w:eastAsia="Calibri" w:hAnsi="Arial Narrow"/>
        </w:rPr>
        <w:t xml:space="preserve"> y en</w:t>
      </w:r>
      <w:r w:rsidR="0053265A" w:rsidRPr="00704B08">
        <w:rPr>
          <w:rFonts w:ascii="Arial Narrow" w:eastAsia="Calibri" w:hAnsi="Arial Narrow"/>
        </w:rPr>
        <w:t xml:space="preserve"> el mes de noviembre 2019, se informó que la Embajada Americana no aprobó la propuesta por lo que el Despacho de la Presidencia solicitó a la Oficina de Cooperación Internacional que hiciera las diligencias para conseguir apoyo para el proyecto en otros organismos de cooperación. La oficina </w:t>
      </w:r>
      <w:r w:rsidR="0053265A">
        <w:rPr>
          <w:rFonts w:ascii="Arial Narrow" w:eastAsia="Calibri" w:hAnsi="Arial Narrow"/>
        </w:rPr>
        <w:t>continuó trabajando en 2020 para</w:t>
      </w:r>
      <w:r w:rsidR="0053265A" w:rsidRPr="00704B08">
        <w:rPr>
          <w:rFonts w:ascii="Arial Narrow" w:eastAsia="Calibri" w:hAnsi="Arial Narrow"/>
        </w:rPr>
        <w:t xml:space="preserve"> reformular la propuesta para conseguir los fondos que se requieren para esta iniciativa de aprobación de Política de Comunicación Integral</w:t>
      </w:r>
      <w:r w:rsidR="0053265A">
        <w:rPr>
          <w:rFonts w:ascii="Arial Narrow" w:eastAsia="Calibri" w:hAnsi="Arial Narrow"/>
        </w:rPr>
        <w:t xml:space="preserve"> sin embargo se registra un cumplimiento de 13,33%</w:t>
      </w:r>
      <w:r w:rsidR="0053265A" w:rsidRPr="00704B08">
        <w:rPr>
          <w:rFonts w:ascii="Arial Narrow" w:eastAsia="Calibri" w:hAnsi="Arial Narrow"/>
        </w:rPr>
        <w:t>.</w:t>
      </w:r>
      <w:r w:rsidR="0053265A" w:rsidRPr="00CC279A">
        <w:rPr>
          <w:rFonts w:ascii="Arial Narrow" w:eastAsia="Calibri" w:hAnsi="Arial Narrow"/>
        </w:rPr>
        <w:t xml:space="preserve"> </w:t>
      </w:r>
    </w:p>
    <w:p w14:paraId="7592E23C" w14:textId="1A2CB3F2" w:rsidR="0053265A" w:rsidRDefault="0053265A" w:rsidP="00C801FF">
      <w:pPr>
        <w:spacing w:line="360" w:lineRule="auto"/>
        <w:jc w:val="both"/>
        <w:rPr>
          <w:rFonts w:ascii="Arial Narrow" w:eastAsia="Calibri" w:hAnsi="Arial Narrow"/>
        </w:rPr>
      </w:pPr>
    </w:p>
    <w:p w14:paraId="3FFFFB51" w14:textId="77777777" w:rsidR="004E2E9C" w:rsidRDefault="004E2E9C" w:rsidP="00C801FF">
      <w:pPr>
        <w:spacing w:line="360" w:lineRule="auto"/>
        <w:jc w:val="both"/>
        <w:rPr>
          <w:rFonts w:ascii="Arial Narrow" w:eastAsia="Calibri" w:hAnsi="Arial Narrow"/>
        </w:rPr>
      </w:pPr>
    </w:p>
    <w:p w14:paraId="1C643670" w14:textId="0C2A35AD" w:rsidR="003F3A7A" w:rsidRPr="00CC279A" w:rsidRDefault="003F3A7A" w:rsidP="00CC279A">
      <w:pPr>
        <w:pStyle w:val="Prrafodelista"/>
        <w:numPr>
          <w:ilvl w:val="0"/>
          <w:numId w:val="64"/>
        </w:numPr>
        <w:spacing w:line="360" w:lineRule="auto"/>
        <w:jc w:val="both"/>
        <w:rPr>
          <w:rFonts w:ascii="Arial Narrow" w:eastAsia="Calibri" w:hAnsi="Arial Narrow"/>
          <w:b/>
          <w:bCs/>
        </w:rPr>
      </w:pPr>
      <w:r w:rsidRPr="00CC279A">
        <w:rPr>
          <w:rFonts w:ascii="Arial Narrow" w:eastAsia="Calibri" w:hAnsi="Arial Narrow"/>
          <w:b/>
          <w:bCs/>
        </w:rPr>
        <w:t xml:space="preserve">Alcance del </w:t>
      </w:r>
      <w:r w:rsidRPr="00CC279A">
        <w:rPr>
          <w:rFonts w:ascii="Arial Narrow" w:eastAsia="Calibri" w:hAnsi="Arial Narrow"/>
          <w:b/>
          <w:bCs/>
          <w:i/>
          <w:iCs/>
        </w:rPr>
        <w:t>Informe relacionado con la Evaluación de los Planes Anuales Operativos 2020</w:t>
      </w:r>
    </w:p>
    <w:p w14:paraId="0589DB88" w14:textId="77777777" w:rsidR="003F3A7A" w:rsidRDefault="003F3A7A" w:rsidP="00C801FF">
      <w:pPr>
        <w:spacing w:line="360" w:lineRule="auto"/>
        <w:jc w:val="both"/>
        <w:rPr>
          <w:rFonts w:ascii="Arial Narrow" w:eastAsia="Calibri" w:hAnsi="Arial Narrow"/>
        </w:rPr>
      </w:pPr>
    </w:p>
    <w:p w14:paraId="64A11DA6" w14:textId="79F3AE5E" w:rsidR="00993C9F" w:rsidRDefault="004E2E9C" w:rsidP="00993C9F">
      <w:pPr>
        <w:spacing w:line="360" w:lineRule="auto"/>
        <w:jc w:val="both"/>
        <w:rPr>
          <w:rFonts w:ascii="Arial Narrow" w:eastAsia="Calibri" w:hAnsi="Arial Narrow"/>
        </w:rPr>
      </w:pPr>
      <w:r>
        <w:rPr>
          <w:rFonts w:ascii="Arial Narrow" w:eastAsia="Calibri" w:hAnsi="Arial Narrow"/>
        </w:rPr>
        <w:t>Con respecto a los resultados anteriores, e</w:t>
      </w:r>
      <w:r w:rsidR="00993C9F">
        <w:rPr>
          <w:rFonts w:ascii="Arial Narrow" w:eastAsia="Calibri" w:hAnsi="Arial Narrow"/>
        </w:rPr>
        <w:t>s importante destacar que como parte de la evaluación de los planes anuales operativos del 2020</w:t>
      </w:r>
      <w:r>
        <w:rPr>
          <w:rFonts w:ascii="Arial Narrow" w:eastAsia="Calibri" w:hAnsi="Arial Narrow"/>
        </w:rPr>
        <w:t>, mediante</w:t>
      </w:r>
      <w:r w:rsidR="00993C9F">
        <w:rPr>
          <w:rFonts w:ascii="Arial Narrow" w:eastAsia="Calibri" w:hAnsi="Arial Narrow"/>
        </w:rPr>
        <w:t xml:space="preserve"> informe 604-PLA-EV-2021 aprobado en sesión del</w:t>
      </w:r>
      <w:r w:rsidR="00993C9F" w:rsidRPr="00CC279A">
        <w:rPr>
          <w:rFonts w:ascii="Arial Narrow" w:eastAsia="Calibri" w:hAnsi="Arial Narrow"/>
        </w:rPr>
        <w:t xml:space="preserve"> Consejo Superior del Poder Judicial en sesión No. 51-2021 celebrada el 22 de junio de 2021, artículo XXXII, como recomendación de los resultados obtenidos del informe 604-PLA-2021</w:t>
      </w:r>
      <w:r w:rsidR="00993C9F">
        <w:rPr>
          <w:rFonts w:ascii="Arial Narrow" w:eastAsia="Calibri" w:hAnsi="Arial Narrow"/>
        </w:rPr>
        <w:t xml:space="preserve"> se gira la </w:t>
      </w:r>
      <w:r w:rsidR="00071199">
        <w:rPr>
          <w:rFonts w:ascii="Arial Narrow" w:eastAsia="Calibri" w:hAnsi="Arial Narrow"/>
        </w:rPr>
        <w:t>C</w:t>
      </w:r>
      <w:r w:rsidR="00993C9F">
        <w:rPr>
          <w:rFonts w:ascii="Arial Narrow" w:eastAsia="Calibri" w:hAnsi="Arial Narrow"/>
        </w:rPr>
        <w:t>ircular 147-2021 llamada</w:t>
      </w:r>
      <w:r w:rsidR="00993C9F" w:rsidRPr="00CC279A">
        <w:rPr>
          <w:rFonts w:ascii="Arial Narrow" w:eastAsia="Calibri" w:hAnsi="Arial Narrow"/>
          <w:b/>
          <w:bCs/>
          <w:i/>
          <w:iCs/>
        </w:rPr>
        <w:t xml:space="preserve"> </w:t>
      </w:r>
      <w:bookmarkStart w:id="179" w:name="x_x__Hlk71025958"/>
      <w:r w:rsidR="00993C9F" w:rsidRPr="00CC279A">
        <w:rPr>
          <w:rFonts w:ascii="Arial Narrow" w:eastAsia="Calibri" w:hAnsi="Arial Narrow"/>
          <w:b/>
          <w:bCs/>
          <w:i/>
          <w:iCs/>
        </w:rPr>
        <w:lastRenderedPageBreak/>
        <w:t xml:space="preserve">Informe relacionado con la </w:t>
      </w:r>
      <w:bookmarkEnd w:id="179"/>
      <w:r w:rsidR="00993C9F" w:rsidRPr="00CC279A">
        <w:rPr>
          <w:rFonts w:ascii="Arial Narrow" w:eastAsia="Calibri" w:hAnsi="Arial Narrow"/>
          <w:b/>
          <w:bCs/>
          <w:i/>
          <w:iCs/>
        </w:rPr>
        <w:t>Evaluación de los Planes Anuales Operativos 2020</w:t>
      </w:r>
      <w:r w:rsidR="00993C9F">
        <w:rPr>
          <w:rFonts w:ascii="Arial Narrow" w:eastAsia="Calibri" w:hAnsi="Arial Narrow"/>
        </w:rPr>
        <w:t>, contenid</w:t>
      </w:r>
      <w:r w:rsidR="00071199">
        <w:rPr>
          <w:rFonts w:ascii="Arial Narrow" w:eastAsia="Calibri" w:hAnsi="Arial Narrow"/>
        </w:rPr>
        <w:t>a</w:t>
      </w:r>
      <w:r w:rsidR="00993C9F">
        <w:rPr>
          <w:rFonts w:ascii="Arial Narrow" w:eastAsia="Calibri" w:hAnsi="Arial Narrow"/>
        </w:rPr>
        <w:t xml:space="preserve"> en el Anexo 3</w:t>
      </w:r>
      <w:r w:rsidR="00071199">
        <w:rPr>
          <w:rFonts w:ascii="Arial Narrow" w:eastAsia="Calibri" w:hAnsi="Arial Narrow"/>
        </w:rPr>
        <w:t>, se establece en la recomendación 9.2.6:</w:t>
      </w:r>
    </w:p>
    <w:p w14:paraId="19BB0FB9" w14:textId="77777777" w:rsidR="00071199" w:rsidRDefault="00071199" w:rsidP="00993C9F">
      <w:pPr>
        <w:spacing w:line="360" w:lineRule="auto"/>
        <w:jc w:val="both"/>
        <w:rPr>
          <w:rFonts w:ascii="Arial Narrow" w:eastAsia="Calibri" w:hAnsi="Arial Narrow"/>
        </w:rPr>
      </w:pPr>
    </w:p>
    <w:p w14:paraId="1BC62C57" w14:textId="77777777" w:rsidR="00071199" w:rsidRPr="00CC279A" w:rsidRDefault="00071199" w:rsidP="00CC279A">
      <w:pPr>
        <w:spacing w:line="360" w:lineRule="auto"/>
        <w:ind w:left="567" w:right="566"/>
        <w:jc w:val="both"/>
        <w:rPr>
          <w:rFonts w:ascii="Arial Narrow" w:eastAsia="Calibri" w:hAnsi="Arial Narrow"/>
          <w:b/>
          <w:bCs/>
          <w:i/>
          <w:iCs/>
        </w:rPr>
      </w:pPr>
      <w:r w:rsidRPr="00CC279A">
        <w:rPr>
          <w:rFonts w:ascii="Arial Narrow" w:eastAsia="Calibri" w:hAnsi="Arial Narrow"/>
          <w:b/>
          <w:bCs/>
          <w:i/>
          <w:iCs/>
        </w:rPr>
        <w:t>9.2.6 La siguiente lista de oficinas deberán llevar a cabo una revisión de las metas operativas del 2020 vinculadas al PEI que no fueron completadas y que registraron un avance en el rango de 0-75% de cumplimiento para determinar las razones que propiciaron no alcanzar los resultados esperados, y las medidas correctivas que se pueden implementar para que en el 2021 no se reitere la misma situación.</w:t>
      </w:r>
    </w:p>
    <w:p w14:paraId="29361B68" w14:textId="7035E960" w:rsidR="00071199" w:rsidRDefault="00071199" w:rsidP="00993C9F">
      <w:pPr>
        <w:spacing w:line="360" w:lineRule="auto"/>
        <w:jc w:val="both"/>
        <w:rPr>
          <w:rFonts w:ascii="Arial Narrow" w:eastAsia="Calibri" w:hAnsi="Arial Narrow"/>
          <w:lang w:eastAsia="en-US"/>
        </w:rPr>
      </w:pPr>
    </w:p>
    <w:p w14:paraId="5F46F33F" w14:textId="0996234A" w:rsidR="00071199" w:rsidRDefault="00071199" w:rsidP="00993C9F">
      <w:pPr>
        <w:spacing w:line="360" w:lineRule="auto"/>
        <w:jc w:val="both"/>
        <w:rPr>
          <w:rFonts w:ascii="Arial Narrow" w:eastAsia="Calibri" w:hAnsi="Arial Narrow"/>
          <w:lang w:eastAsia="en-US"/>
        </w:rPr>
      </w:pPr>
      <w:r>
        <w:rPr>
          <w:rFonts w:ascii="Arial Narrow" w:eastAsia="Calibri" w:hAnsi="Arial Narrow"/>
          <w:lang w:eastAsia="en-US"/>
        </w:rPr>
        <w:t xml:space="preserve">Se adjunta la lista de oficinas en el 2020 que reportaron metas operativas con un avance en rango de </w:t>
      </w:r>
      <w:r w:rsidRPr="00CC279A">
        <w:rPr>
          <w:rFonts w:ascii="Arial Narrow" w:eastAsia="Calibri" w:hAnsi="Arial Narrow"/>
          <w:lang w:eastAsia="en-US"/>
        </w:rPr>
        <w:t>rango de 0-75% de cumplimiento.</w:t>
      </w:r>
    </w:p>
    <w:p w14:paraId="1A5958BC" w14:textId="40CF4C9C" w:rsidR="00071199" w:rsidRDefault="00071199" w:rsidP="00993C9F">
      <w:pPr>
        <w:spacing w:line="360" w:lineRule="auto"/>
        <w:jc w:val="both"/>
        <w:rPr>
          <w:rFonts w:ascii="Arial Narrow" w:eastAsia="Calibri" w:hAnsi="Arial Narrow"/>
          <w:lang w:eastAsia="en-US"/>
        </w:rPr>
      </w:pPr>
    </w:p>
    <w:tbl>
      <w:tblPr>
        <w:tblW w:w="5000" w:type="pct"/>
        <w:jc w:val="center"/>
        <w:tblCellMar>
          <w:left w:w="0" w:type="dxa"/>
          <w:right w:w="0" w:type="dxa"/>
        </w:tblCellMar>
        <w:tblLook w:val="04A0" w:firstRow="1" w:lastRow="0" w:firstColumn="1" w:lastColumn="0" w:noHBand="0" w:noVBand="1"/>
      </w:tblPr>
      <w:tblGrid>
        <w:gridCol w:w="4376"/>
        <w:gridCol w:w="3837"/>
        <w:gridCol w:w="980"/>
      </w:tblGrid>
      <w:tr w:rsidR="00071199" w:rsidRPr="00071199" w14:paraId="47A1EB9D" w14:textId="77777777" w:rsidTr="00CC279A">
        <w:trPr>
          <w:trHeight w:val="300"/>
          <w:jc w:val="center"/>
        </w:trPr>
        <w:tc>
          <w:tcPr>
            <w:tcW w:w="2380" w:type="pct"/>
            <w:tcBorders>
              <w:top w:val="single" w:sz="8" w:space="0" w:color="auto"/>
              <w:left w:val="single" w:sz="8" w:space="0" w:color="auto"/>
              <w:bottom w:val="single" w:sz="8" w:space="0" w:color="auto"/>
              <w:right w:val="single" w:sz="8" w:space="0" w:color="auto"/>
            </w:tcBorders>
            <w:shd w:val="clear" w:color="auto" w:fill="D9D9D9"/>
            <w:tcMar>
              <w:top w:w="0" w:type="dxa"/>
              <w:left w:w="108" w:type="dxa"/>
              <w:bottom w:w="0" w:type="dxa"/>
              <w:right w:w="108" w:type="dxa"/>
            </w:tcMar>
            <w:vAlign w:val="center"/>
            <w:hideMark/>
          </w:tcPr>
          <w:p w14:paraId="2DF26EA1"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b/>
                <w:bCs/>
                <w:sz w:val="18"/>
                <w:szCs w:val="18"/>
                <w:bdr w:val="none" w:sz="0" w:space="0" w:color="auto" w:frame="1"/>
                <w:lang w:val="es-MX"/>
              </w:rPr>
              <w:t>Despacho u oficina judicial</w:t>
            </w:r>
          </w:p>
        </w:tc>
        <w:tc>
          <w:tcPr>
            <w:tcW w:w="2087" w:type="pct"/>
            <w:tcBorders>
              <w:top w:val="single" w:sz="8" w:space="0" w:color="auto"/>
              <w:left w:val="nil"/>
              <w:bottom w:val="single" w:sz="8" w:space="0" w:color="auto"/>
              <w:right w:val="single" w:sz="8" w:space="0" w:color="auto"/>
            </w:tcBorders>
            <w:shd w:val="clear" w:color="auto" w:fill="D9D9D9"/>
            <w:tcMar>
              <w:top w:w="0" w:type="dxa"/>
              <w:left w:w="108" w:type="dxa"/>
              <w:bottom w:w="0" w:type="dxa"/>
              <w:right w:w="108" w:type="dxa"/>
            </w:tcMar>
            <w:vAlign w:val="center"/>
            <w:hideMark/>
          </w:tcPr>
          <w:p w14:paraId="488ADDF8"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b/>
                <w:bCs/>
                <w:color w:val="000000"/>
                <w:sz w:val="18"/>
                <w:szCs w:val="18"/>
                <w:bdr w:val="none" w:sz="0" w:space="0" w:color="auto" w:frame="1"/>
                <w:lang w:val="es-MX"/>
              </w:rPr>
              <w:t>Centro de Responsabilidad</w:t>
            </w:r>
          </w:p>
        </w:tc>
        <w:tc>
          <w:tcPr>
            <w:tcW w:w="534" w:type="pct"/>
            <w:tcBorders>
              <w:top w:val="single" w:sz="8" w:space="0" w:color="auto"/>
              <w:left w:val="nil"/>
              <w:bottom w:val="single" w:sz="8" w:space="0" w:color="auto"/>
              <w:right w:val="single" w:sz="8" w:space="0" w:color="auto"/>
            </w:tcBorders>
            <w:shd w:val="clear" w:color="auto" w:fill="D9D9D9"/>
            <w:tcMar>
              <w:top w:w="0" w:type="dxa"/>
              <w:left w:w="108" w:type="dxa"/>
              <w:bottom w:w="0" w:type="dxa"/>
              <w:right w:w="108" w:type="dxa"/>
            </w:tcMar>
            <w:vAlign w:val="center"/>
            <w:hideMark/>
          </w:tcPr>
          <w:p w14:paraId="127257E0"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b/>
                <w:bCs/>
                <w:color w:val="000000"/>
                <w:sz w:val="18"/>
                <w:szCs w:val="18"/>
                <w:bdr w:val="none" w:sz="0" w:space="0" w:color="auto" w:frame="1"/>
                <w:lang w:val="es-MX"/>
              </w:rPr>
              <w:t>Cantidad de metas</w:t>
            </w:r>
          </w:p>
        </w:tc>
      </w:tr>
      <w:tr w:rsidR="00071199" w:rsidRPr="00071199" w14:paraId="2570DAAF" w14:textId="77777777" w:rsidTr="00CC279A">
        <w:trPr>
          <w:trHeight w:val="530"/>
          <w:jc w:val="center"/>
        </w:trPr>
        <w:tc>
          <w:tcPr>
            <w:tcW w:w="2380" w:type="pct"/>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29D8CB91" w14:textId="311F491A"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JUZGADO CIVIL,</w:t>
            </w:r>
            <w:r w:rsidR="00D13224">
              <w:rPr>
                <w:rFonts w:ascii="Arial Narrow" w:hAnsi="Arial Narrow"/>
                <w:sz w:val="18"/>
                <w:szCs w:val="18"/>
                <w:bdr w:val="none" w:sz="0" w:space="0" w:color="auto" w:frame="1"/>
                <w:lang w:val="es-MX"/>
              </w:rPr>
              <w:t xml:space="preserve"> </w:t>
            </w:r>
            <w:r w:rsidRPr="00CC279A">
              <w:rPr>
                <w:rFonts w:ascii="Arial Narrow" w:hAnsi="Arial Narrow"/>
                <w:sz w:val="18"/>
                <w:szCs w:val="18"/>
                <w:bdr w:val="none" w:sz="0" w:space="0" w:color="auto" w:frame="1"/>
                <w:lang w:val="es-MX"/>
              </w:rPr>
              <w:t>TRAB, FAM, AGRA, PENAL JUV, VIOL DOM Y PROT CAUTELAR BUENOS AIRES</w:t>
            </w:r>
          </w:p>
        </w:tc>
        <w:tc>
          <w:tcPr>
            <w:tcW w:w="2087"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7D0631DE"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PRIMER CIRCUITO JUDICIAL DE LA ZONA SUR</w:t>
            </w:r>
          </w:p>
        </w:tc>
        <w:tc>
          <w:tcPr>
            <w:tcW w:w="534"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71B41AB1"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15</w:t>
            </w:r>
          </w:p>
        </w:tc>
      </w:tr>
      <w:tr w:rsidR="00071199" w:rsidRPr="00071199" w14:paraId="4368925B" w14:textId="77777777" w:rsidTr="00CC279A">
        <w:trPr>
          <w:trHeight w:val="530"/>
          <w:jc w:val="center"/>
        </w:trPr>
        <w:tc>
          <w:tcPr>
            <w:tcW w:w="2380" w:type="pct"/>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75823214"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JUZGADO PENAL SANTA CRUZ</w:t>
            </w:r>
          </w:p>
        </w:tc>
        <w:tc>
          <w:tcPr>
            <w:tcW w:w="2087"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1EC8268C"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SEGUNDO CIRCUITO JUDICIAL DE GUANACASTE</w:t>
            </w:r>
          </w:p>
        </w:tc>
        <w:tc>
          <w:tcPr>
            <w:tcW w:w="534"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7F7B974E"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9</w:t>
            </w:r>
          </w:p>
        </w:tc>
      </w:tr>
      <w:tr w:rsidR="00071199" w:rsidRPr="00071199" w14:paraId="40D7EF6C" w14:textId="77777777" w:rsidTr="00CC279A">
        <w:trPr>
          <w:trHeight w:val="530"/>
          <w:jc w:val="center"/>
        </w:trPr>
        <w:tc>
          <w:tcPr>
            <w:tcW w:w="2380" w:type="pct"/>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1DC39330"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JUZGADO CIV, TRA, AGR, FAM, PEN JUV, VIO DOM Y PROT CAU II CIR J ALA, SEDE UPALA</w:t>
            </w:r>
          </w:p>
        </w:tc>
        <w:tc>
          <w:tcPr>
            <w:tcW w:w="2087"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72F26204"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SEGUNDO CIRCUITO JUDICIAL DE ALAJUELA</w:t>
            </w:r>
          </w:p>
        </w:tc>
        <w:tc>
          <w:tcPr>
            <w:tcW w:w="534"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57A71B87"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6</w:t>
            </w:r>
          </w:p>
        </w:tc>
      </w:tr>
      <w:tr w:rsidR="00071199" w:rsidRPr="00071199" w14:paraId="0746D709" w14:textId="77777777" w:rsidTr="00CC279A">
        <w:trPr>
          <w:trHeight w:val="300"/>
          <w:jc w:val="center"/>
        </w:trPr>
        <w:tc>
          <w:tcPr>
            <w:tcW w:w="2380" w:type="pct"/>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3708D2DC"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JUZGADO CONTRAVENCIONAL DE MONTEVERDE</w:t>
            </w:r>
          </w:p>
        </w:tc>
        <w:tc>
          <w:tcPr>
            <w:tcW w:w="2087"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688E067B"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CIRCUITO JUDICIAL DE PUNTARENAS</w:t>
            </w:r>
          </w:p>
        </w:tc>
        <w:tc>
          <w:tcPr>
            <w:tcW w:w="534"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2B9B7E3E"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5</w:t>
            </w:r>
          </w:p>
        </w:tc>
      </w:tr>
      <w:tr w:rsidR="00071199" w:rsidRPr="00071199" w14:paraId="1D8C0293" w14:textId="77777777" w:rsidTr="00CC279A">
        <w:trPr>
          <w:trHeight w:val="530"/>
          <w:jc w:val="center"/>
        </w:trPr>
        <w:tc>
          <w:tcPr>
            <w:tcW w:w="2380" w:type="pct"/>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43B424D3"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JUZGADO CONTRAVENCIONAL DE SANTA CRUZ</w:t>
            </w:r>
          </w:p>
        </w:tc>
        <w:tc>
          <w:tcPr>
            <w:tcW w:w="2087"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70F58119"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SEGUNDO CIRCUITO JUDICIAL DE GUANACASTE</w:t>
            </w:r>
          </w:p>
        </w:tc>
        <w:tc>
          <w:tcPr>
            <w:tcW w:w="534"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1566A31B"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5</w:t>
            </w:r>
          </w:p>
        </w:tc>
      </w:tr>
      <w:tr w:rsidR="00071199" w:rsidRPr="00071199" w14:paraId="1459B7D0" w14:textId="77777777" w:rsidTr="00CC279A">
        <w:trPr>
          <w:trHeight w:val="530"/>
          <w:jc w:val="center"/>
        </w:trPr>
        <w:tc>
          <w:tcPr>
            <w:tcW w:w="2380" w:type="pct"/>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1F4B8AFC"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JUZGADO PENAL DE BATAN</w:t>
            </w:r>
          </w:p>
        </w:tc>
        <w:tc>
          <w:tcPr>
            <w:tcW w:w="2087"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301FA743"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PRIMER CIRCUITO JUDICIAL DE LA ZONA ATLÁNTICA</w:t>
            </w:r>
          </w:p>
        </w:tc>
        <w:tc>
          <w:tcPr>
            <w:tcW w:w="534"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49607448"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5</w:t>
            </w:r>
          </w:p>
        </w:tc>
      </w:tr>
      <w:tr w:rsidR="00071199" w:rsidRPr="00071199" w14:paraId="2CC2772E" w14:textId="77777777" w:rsidTr="00CC279A">
        <w:trPr>
          <w:trHeight w:val="530"/>
          <w:jc w:val="center"/>
        </w:trPr>
        <w:tc>
          <w:tcPr>
            <w:tcW w:w="2380" w:type="pct"/>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50ED6F3E"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JUZGADO CONTRAVENCIONAL DE ABANGARES</w:t>
            </w:r>
          </w:p>
        </w:tc>
        <w:tc>
          <w:tcPr>
            <w:tcW w:w="2087"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3FD17EB5"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PRIMER CIRCUITO JUDICIAL DE GUANACASTE</w:t>
            </w:r>
          </w:p>
        </w:tc>
        <w:tc>
          <w:tcPr>
            <w:tcW w:w="534"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62F6AFC8"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4</w:t>
            </w:r>
          </w:p>
        </w:tc>
      </w:tr>
      <w:tr w:rsidR="00071199" w:rsidRPr="00071199" w14:paraId="5585CF77" w14:textId="77777777" w:rsidTr="00CC279A">
        <w:trPr>
          <w:trHeight w:val="530"/>
          <w:jc w:val="center"/>
        </w:trPr>
        <w:tc>
          <w:tcPr>
            <w:tcW w:w="2380" w:type="pct"/>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3B62EC4A"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JUZGADO CONTRAVENCIONAL DE POAS</w:t>
            </w:r>
          </w:p>
        </w:tc>
        <w:tc>
          <w:tcPr>
            <w:tcW w:w="2087"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5D0F9EC9"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PRIMER CIRCUITO JUDICIAL DE ALAJUELA</w:t>
            </w:r>
          </w:p>
        </w:tc>
        <w:tc>
          <w:tcPr>
            <w:tcW w:w="534"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3B4B5EEF"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4</w:t>
            </w:r>
          </w:p>
        </w:tc>
      </w:tr>
      <w:tr w:rsidR="00071199" w:rsidRPr="00071199" w14:paraId="39BA9995" w14:textId="77777777" w:rsidTr="00CC279A">
        <w:trPr>
          <w:trHeight w:val="530"/>
          <w:jc w:val="center"/>
        </w:trPr>
        <w:tc>
          <w:tcPr>
            <w:tcW w:w="2380" w:type="pct"/>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0974DD81"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JUZGADO PENAL I CIRCUITO JUDICIAL DE GUANACASTE</w:t>
            </w:r>
          </w:p>
        </w:tc>
        <w:tc>
          <w:tcPr>
            <w:tcW w:w="2087"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63624619"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PRIMER CIRCUITO JUDICIAL DE GUANACASTE</w:t>
            </w:r>
          </w:p>
        </w:tc>
        <w:tc>
          <w:tcPr>
            <w:tcW w:w="534"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4C281BAD"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4</w:t>
            </w:r>
          </w:p>
        </w:tc>
      </w:tr>
      <w:tr w:rsidR="00071199" w:rsidRPr="00071199" w14:paraId="3A8E1293" w14:textId="77777777" w:rsidTr="00CC279A">
        <w:trPr>
          <w:trHeight w:val="530"/>
          <w:jc w:val="center"/>
        </w:trPr>
        <w:tc>
          <w:tcPr>
            <w:tcW w:w="2380" w:type="pct"/>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46A2CBE2"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JUZGADO PENAL II CIRC. JUD. GUANACASTE</w:t>
            </w:r>
          </w:p>
        </w:tc>
        <w:tc>
          <w:tcPr>
            <w:tcW w:w="2087"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6E748660"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SEGUNDO CIRCUITO JUDICIAL DE GUANACASTE</w:t>
            </w:r>
          </w:p>
        </w:tc>
        <w:tc>
          <w:tcPr>
            <w:tcW w:w="534"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0753F296"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4</w:t>
            </w:r>
          </w:p>
        </w:tc>
      </w:tr>
      <w:tr w:rsidR="00071199" w:rsidRPr="00071199" w14:paraId="77C0F58B" w14:textId="77777777" w:rsidTr="00CC279A">
        <w:trPr>
          <w:trHeight w:val="530"/>
          <w:jc w:val="center"/>
        </w:trPr>
        <w:tc>
          <w:tcPr>
            <w:tcW w:w="2380" w:type="pct"/>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776B6013"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TRIBUNAL DEL II CIRCUITO JUDICIAL DE GUANACASTE</w:t>
            </w:r>
          </w:p>
        </w:tc>
        <w:tc>
          <w:tcPr>
            <w:tcW w:w="2087"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6D51AE76"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SEGUNDO CIRCUITO JUDICIAL DE GUANACASTE</w:t>
            </w:r>
          </w:p>
        </w:tc>
        <w:tc>
          <w:tcPr>
            <w:tcW w:w="534"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719EE4EB"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4</w:t>
            </w:r>
          </w:p>
        </w:tc>
      </w:tr>
      <w:tr w:rsidR="00071199" w:rsidRPr="00071199" w14:paraId="69524A51" w14:textId="77777777" w:rsidTr="00CC279A">
        <w:trPr>
          <w:trHeight w:val="530"/>
          <w:jc w:val="center"/>
        </w:trPr>
        <w:tc>
          <w:tcPr>
            <w:tcW w:w="2380" w:type="pct"/>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4098BE2C"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TRIBUNAL DEL II CIRCUITO JUDICIAL DE GUANACASTE, SEDE SANTA CRUZ</w:t>
            </w:r>
          </w:p>
        </w:tc>
        <w:tc>
          <w:tcPr>
            <w:tcW w:w="2087"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3EC46E62"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SEGUNDO CIRCUITO JUDICIAL DE GUANACASTE</w:t>
            </w:r>
          </w:p>
        </w:tc>
        <w:tc>
          <w:tcPr>
            <w:tcW w:w="534"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10CB7B9F"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4</w:t>
            </w:r>
          </w:p>
        </w:tc>
      </w:tr>
      <w:tr w:rsidR="00071199" w:rsidRPr="00071199" w14:paraId="3EC69864" w14:textId="77777777" w:rsidTr="00CC279A">
        <w:trPr>
          <w:trHeight w:val="530"/>
          <w:jc w:val="center"/>
        </w:trPr>
        <w:tc>
          <w:tcPr>
            <w:tcW w:w="2380" w:type="pct"/>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14F9F12D"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lastRenderedPageBreak/>
              <w:t>DEPARTAMENTO DE PRENSA Y COMUNICACION ORGANIZACIONAL</w:t>
            </w:r>
          </w:p>
        </w:tc>
        <w:tc>
          <w:tcPr>
            <w:tcW w:w="2087"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53A60677"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DEPARTAMENTO DE PRENSA Y COMUNICACION ORGANIZACIONAL</w:t>
            </w:r>
          </w:p>
        </w:tc>
        <w:tc>
          <w:tcPr>
            <w:tcW w:w="534"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2352E923"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3</w:t>
            </w:r>
          </w:p>
        </w:tc>
      </w:tr>
      <w:tr w:rsidR="00071199" w:rsidRPr="00071199" w14:paraId="47F7EA9B" w14:textId="77777777" w:rsidTr="00CC279A">
        <w:trPr>
          <w:trHeight w:val="530"/>
          <w:jc w:val="center"/>
        </w:trPr>
        <w:tc>
          <w:tcPr>
            <w:tcW w:w="2380" w:type="pct"/>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63D10267"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JUZGADO CIVIL Y TRABAJO DE QUEPOS</w:t>
            </w:r>
          </w:p>
        </w:tc>
        <w:tc>
          <w:tcPr>
            <w:tcW w:w="2087"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64560D98"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ADMINISTRACIÓN REGIONAL DE QUEPOS</w:t>
            </w:r>
          </w:p>
        </w:tc>
        <w:tc>
          <w:tcPr>
            <w:tcW w:w="534"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54547ACD"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3</w:t>
            </w:r>
          </w:p>
        </w:tc>
      </w:tr>
      <w:tr w:rsidR="00071199" w:rsidRPr="00071199" w14:paraId="7D588F01" w14:textId="77777777" w:rsidTr="00CC279A">
        <w:trPr>
          <w:trHeight w:val="530"/>
          <w:jc w:val="center"/>
        </w:trPr>
        <w:tc>
          <w:tcPr>
            <w:tcW w:w="2380" w:type="pct"/>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0CF017E0"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JUZGADO CIVIL, TRAB., FAM., PENAL JUV., VIOLENCIA DOM. Y PROT. CAUTELAR PURISCAL</w:t>
            </w:r>
          </w:p>
        </w:tc>
        <w:tc>
          <w:tcPr>
            <w:tcW w:w="2087"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71D09E80"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PRIMER CIRCUITO JUDICIAL DE SAN JOSÉ</w:t>
            </w:r>
          </w:p>
        </w:tc>
        <w:tc>
          <w:tcPr>
            <w:tcW w:w="534"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6B5D8231"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3</w:t>
            </w:r>
          </w:p>
        </w:tc>
      </w:tr>
      <w:tr w:rsidR="00071199" w:rsidRPr="00071199" w14:paraId="5972FBD9" w14:textId="77777777" w:rsidTr="00CC279A">
        <w:trPr>
          <w:trHeight w:val="300"/>
          <w:jc w:val="center"/>
        </w:trPr>
        <w:tc>
          <w:tcPr>
            <w:tcW w:w="2380" w:type="pct"/>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49730748"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JUZGADO CONTRAVENCIONAL DE PARAISO</w:t>
            </w:r>
          </w:p>
        </w:tc>
        <w:tc>
          <w:tcPr>
            <w:tcW w:w="2087"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5CEB40FA"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CIRCUITO JUDICIAL DE CARTAGO</w:t>
            </w:r>
          </w:p>
        </w:tc>
        <w:tc>
          <w:tcPr>
            <w:tcW w:w="534"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48289F45"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3</w:t>
            </w:r>
          </w:p>
        </w:tc>
      </w:tr>
      <w:tr w:rsidR="00071199" w:rsidRPr="00071199" w14:paraId="56E8F437" w14:textId="77777777" w:rsidTr="00CC279A">
        <w:trPr>
          <w:trHeight w:val="530"/>
          <w:jc w:val="center"/>
        </w:trPr>
        <w:tc>
          <w:tcPr>
            <w:tcW w:w="2380" w:type="pct"/>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2B348F3F"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JUZGADO CONTRAVENCIONAL Y PENSIONES ALIMENTARIAS I CJ GUANACASTE</w:t>
            </w:r>
          </w:p>
        </w:tc>
        <w:tc>
          <w:tcPr>
            <w:tcW w:w="2087"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1A682E71"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PRIMER CIRCUITO JUDICIAL DE GUANACASTE</w:t>
            </w:r>
          </w:p>
        </w:tc>
        <w:tc>
          <w:tcPr>
            <w:tcW w:w="534"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29CA74A0"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3</w:t>
            </w:r>
          </w:p>
        </w:tc>
      </w:tr>
      <w:tr w:rsidR="00071199" w:rsidRPr="00071199" w14:paraId="27410FE7" w14:textId="77777777" w:rsidTr="00CC279A">
        <w:trPr>
          <w:trHeight w:val="530"/>
          <w:jc w:val="center"/>
        </w:trPr>
        <w:tc>
          <w:tcPr>
            <w:tcW w:w="2380" w:type="pct"/>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41EDD6DE"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JUZGADO DE COBRO II CIRCUITO JUDICIAL GUANACASTE (SANTA CRUZ)</w:t>
            </w:r>
          </w:p>
        </w:tc>
        <w:tc>
          <w:tcPr>
            <w:tcW w:w="2087"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5C58EA46"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SEGUNDO CIRCUITO JUDICIAL DE GUANACASTE</w:t>
            </w:r>
          </w:p>
        </w:tc>
        <w:tc>
          <w:tcPr>
            <w:tcW w:w="534"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5A206149"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3</w:t>
            </w:r>
          </w:p>
        </w:tc>
      </w:tr>
      <w:tr w:rsidR="00071199" w:rsidRPr="00071199" w14:paraId="03813CE0" w14:textId="77777777" w:rsidTr="00CC279A">
        <w:trPr>
          <w:trHeight w:val="530"/>
          <w:jc w:val="center"/>
        </w:trPr>
        <w:tc>
          <w:tcPr>
            <w:tcW w:w="2380" w:type="pct"/>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060BD75B"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JUZGADO DE FAMILIA DEL II CIRCUITO JUDICIAL DE ALAJUELA</w:t>
            </w:r>
          </w:p>
        </w:tc>
        <w:tc>
          <w:tcPr>
            <w:tcW w:w="2087"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0F5167A6"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SEGUNDO CIRCUITO JUDICIAL DE ALAJUELA</w:t>
            </w:r>
          </w:p>
        </w:tc>
        <w:tc>
          <w:tcPr>
            <w:tcW w:w="534"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4101F783"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3</w:t>
            </w:r>
          </w:p>
        </w:tc>
      </w:tr>
      <w:tr w:rsidR="00071199" w:rsidRPr="00071199" w14:paraId="08805A3D" w14:textId="77777777" w:rsidTr="00CC279A">
        <w:trPr>
          <w:trHeight w:val="530"/>
          <w:jc w:val="center"/>
        </w:trPr>
        <w:tc>
          <w:tcPr>
            <w:tcW w:w="2380" w:type="pct"/>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10092084"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JUZGADO DE FAMILIA II CIRCUITO JUD. DE SAN JOSE</w:t>
            </w:r>
          </w:p>
        </w:tc>
        <w:tc>
          <w:tcPr>
            <w:tcW w:w="2087"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493111D6"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SEGUNDO CIRCUITO JUDICIAL DE SAN JOSÉ</w:t>
            </w:r>
          </w:p>
        </w:tc>
        <w:tc>
          <w:tcPr>
            <w:tcW w:w="534"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7A862D2F"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3</w:t>
            </w:r>
          </w:p>
        </w:tc>
      </w:tr>
      <w:tr w:rsidR="00071199" w:rsidRPr="00071199" w14:paraId="18FA526C" w14:textId="77777777" w:rsidTr="00CC279A">
        <w:trPr>
          <w:trHeight w:val="300"/>
          <w:jc w:val="center"/>
        </w:trPr>
        <w:tc>
          <w:tcPr>
            <w:tcW w:w="2380" w:type="pct"/>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3F129ADF"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JUZGADO PENAL DE GARABITO</w:t>
            </w:r>
          </w:p>
        </w:tc>
        <w:tc>
          <w:tcPr>
            <w:tcW w:w="2087"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47CC2624"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CIRCUITO JUDICIAL DE PUNTARENAS</w:t>
            </w:r>
          </w:p>
        </w:tc>
        <w:tc>
          <w:tcPr>
            <w:tcW w:w="534"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7DE017B4"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3</w:t>
            </w:r>
          </w:p>
        </w:tc>
      </w:tr>
      <w:tr w:rsidR="00071199" w:rsidRPr="00071199" w14:paraId="221CC180" w14:textId="77777777" w:rsidTr="00CC279A">
        <w:trPr>
          <w:trHeight w:val="300"/>
          <w:jc w:val="center"/>
        </w:trPr>
        <w:tc>
          <w:tcPr>
            <w:tcW w:w="2380" w:type="pct"/>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5638C0CA"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JUZGADO PENAL DE PUNTARENAS</w:t>
            </w:r>
          </w:p>
        </w:tc>
        <w:tc>
          <w:tcPr>
            <w:tcW w:w="2087"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5A48F121"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CIRCUITO JUDICIAL DE PUNTARENAS</w:t>
            </w:r>
          </w:p>
        </w:tc>
        <w:tc>
          <w:tcPr>
            <w:tcW w:w="534"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3B576078"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3</w:t>
            </w:r>
          </w:p>
        </w:tc>
      </w:tr>
      <w:tr w:rsidR="00071199" w:rsidRPr="00071199" w14:paraId="7F4B89B9" w14:textId="77777777" w:rsidTr="00CC279A">
        <w:trPr>
          <w:trHeight w:val="530"/>
          <w:jc w:val="center"/>
        </w:trPr>
        <w:tc>
          <w:tcPr>
            <w:tcW w:w="2380" w:type="pct"/>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4438002D"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JUZGADO AGRARIO DEL II CIRCUITO JUD. DE ALAJUELA</w:t>
            </w:r>
          </w:p>
        </w:tc>
        <w:tc>
          <w:tcPr>
            <w:tcW w:w="2087"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336B8C6D"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SEGUNDO CIRCUITO JUDICIAL DE ALAJUELA</w:t>
            </w:r>
          </w:p>
        </w:tc>
        <w:tc>
          <w:tcPr>
            <w:tcW w:w="534"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3FF6EF6A"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2</w:t>
            </w:r>
          </w:p>
        </w:tc>
      </w:tr>
      <w:tr w:rsidR="00071199" w:rsidRPr="00071199" w14:paraId="607876B9" w14:textId="77777777" w:rsidTr="00CC279A">
        <w:trPr>
          <w:trHeight w:val="300"/>
          <w:jc w:val="center"/>
        </w:trPr>
        <w:tc>
          <w:tcPr>
            <w:tcW w:w="2380" w:type="pct"/>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0FEF84B5"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JUZGADO CONTRAVENCIONAL DE ASERRI</w:t>
            </w:r>
          </w:p>
        </w:tc>
        <w:tc>
          <w:tcPr>
            <w:tcW w:w="2087"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72C2C906"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TERCER CIRCUITO JUDICIAL DE SAN JOSÉ</w:t>
            </w:r>
          </w:p>
        </w:tc>
        <w:tc>
          <w:tcPr>
            <w:tcW w:w="534"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35A6F101"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2</w:t>
            </w:r>
          </w:p>
        </w:tc>
      </w:tr>
      <w:tr w:rsidR="00071199" w:rsidRPr="00071199" w14:paraId="3F931F74" w14:textId="77777777" w:rsidTr="00CC279A">
        <w:trPr>
          <w:trHeight w:val="530"/>
          <w:jc w:val="center"/>
        </w:trPr>
        <w:tc>
          <w:tcPr>
            <w:tcW w:w="2380" w:type="pct"/>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086F7C5D"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JUZGADO CONTRAVENCIONAL DE BRIBRI</w:t>
            </w:r>
          </w:p>
        </w:tc>
        <w:tc>
          <w:tcPr>
            <w:tcW w:w="2087"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3802B781"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PRIMER CIRCUITO JUDICIAL DE LA ZONA ATLÁNTICA</w:t>
            </w:r>
          </w:p>
        </w:tc>
        <w:tc>
          <w:tcPr>
            <w:tcW w:w="534"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5B46A0C9"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2</w:t>
            </w:r>
          </w:p>
        </w:tc>
      </w:tr>
      <w:tr w:rsidR="00071199" w:rsidRPr="00071199" w14:paraId="273626C8" w14:textId="77777777" w:rsidTr="00CC279A">
        <w:trPr>
          <w:trHeight w:val="530"/>
          <w:jc w:val="center"/>
        </w:trPr>
        <w:tc>
          <w:tcPr>
            <w:tcW w:w="2380" w:type="pct"/>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0A2A7637"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JUZGADO CONTRAVENCIONAL DE CARRILLO</w:t>
            </w:r>
          </w:p>
        </w:tc>
        <w:tc>
          <w:tcPr>
            <w:tcW w:w="2087"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1A05E3FD"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SEGUNDO CIRCUITO JUDICIAL DE GUANACASTE</w:t>
            </w:r>
          </w:p>
        </w:tc>
        <w:tc>
          <w:tcPr>
            <w:tcW w:w="534"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6F0829BD"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2</w:t>
            </w:r>
          </w:p>
        </w:tc>
      </w:tr>
      <w:tr w:rsidR="00071199" w:rsidRPr="00071199" w14:paraId="323E5545" w14:textId="77777777" w:rsidTr="00CC279A">
        <w:trPr>
          <w:trHeight w:val="300"/>
          <w:jc w:val="center"/>
        </w:trPr>
        <w:tc>
          <w:tcPr>
            <w:tcW w:w="2380" w:type="pct"/>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637A8884"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JUZGADO CONTRAVENCIONAL DE HATILLO</w:t>
            </w:r>
          </w:p>
        </w:tc>
        <w:tc>
          <w:tcPr>
            <w:tcW w:w="2087"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6ED42331"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TERCER CIRCUITO JUDICIAL DE SAN JOSÉ</w:t>
            </w:r>
          </w:p>
        </w:tc>
        <w:tc>
          <w:tcPr>
            <w:tcW w:w="534"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5B56F693"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2</w:t>
            </w:r>
          </w:p>
        </w:tc>
      </w:tr>
      <w:tr w:rsidR="00071199" w:rsidRPr="00071199" w14:paraId="240F38CD" w14:textId="77777777" w:rsidTr="00CC279A">
        <w:trPr>
          <w:trHeight w:val="300"/>
          <w:jc w:val="center"/>
        </w:trPr>
        <w:tc>
          <w:tcPr>
            <w:tcW w:w="2380" w:type="pct"/>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1C5A192D"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JUZGADO CONTRAVENCIONAL DE PUNTARENAS</w:t>
            </w:r>
          </w:p>
        </w:tc>
        <w:tc>
          <w:tcPr>
            <w:tcW w:w="2087"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47849669"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CIRCUITO JUDICIAL DE PUNTARENAS</w:t>
            </w:r>
          </w:p>
        </w:tc>
        <w:tc>
          <w:tcPr>
            <w:tcW w:w="534"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448B036D"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2</w:t>
            </w:r>
          </w:p>
        </w:tc>
      </w:tr>
      <w:tr w:rsidR="00071199" w:rsidRPr="00071199" w14:paraId="05CDA2DA" w14:textId="77777777" w:rsidTr="00CC279A">
        <w:trPr>
          <w:trHeight w:val="300"/>
          <w:jc w:val="center"/>
        </w:trPr>
        <w:tc>
          <w:tcPr>
            <w:tcW w:w="2380" w:type="pct"/>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7702DFE5"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JUZGADO DE COBRO DE PUNTARENAS</w:t>
            </w:r>
          </w:p>
        </w:tc>
        <w:tc>
          <w:tcPr>
            <w:tcW w:w="2087"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445442B6"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CIRCUITO JUDICIAL DE PUNTARENAS</w:t>
            </w:r>
          </w:p>
        </w:tc>
        <w:tc>
          <w:tcPr>
            <w:tcW w:w="534"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6F9016F5"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2</w:t>
            </w:r>
          </w:p>
        </w:tc>
      </w:tr>
      <w:tr w:rsidR="00071199" w:rsidRPr="00071199" w14:paraId="08F8150C" w14:textId="77777777" w:rsidTr="00CC279A">
        <w:trPr>
          <w:trHeight w:val="530"/>
          <w:jc w:val="center"/>
        </w:trPr>
        <w:tc>
          <w:tcPr>
            <w:tcW w:w="2380" w:type="pct"/>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3CED43C3"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JUZGADO DE FAMILIA DEL I CIRCUITO JUDICIAL DE LA ZONA ATLANTICA</w:t>
            </w:r>
          </w:p>
        </w:tc>
        <w:tc>
          <w:tcPr>
            <w:tcW w:w="2087"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754D5D03"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PRIMER CIRCUITO JUDICIAL DE LA ZONA ATLÁNTICA</w:t>
            </w:r>
          </w:p>
        </w:tc>
        <w:tc>
          <w:tcPr>
            <w:tcW w:w="534"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33F63FBD"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2</w:t>
            </w:r>
          </w:p>
        </w:tc>
      </w:tr>
      <w:tr w:rsidR="00071199" w:rsidRPr="00071199" w14:paraId="5B93B7A7" w14:textId="77777777" w:rsidTr="00CC279A">
        <w:trPr>
          <w:trHeight w:val="300"/>
          <w:jc w:val="center"/>
        </w:trPr>
        <w:tc>
          <w:tcPr>
            <w:tcW w:w="2380" w:type="pct"/>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304C299A"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JUZGADO DE TRABAJO DE PUNTARENAS</w:t>
            </w:r>
          </w:p>
        </w:tc>
        <w:tc>
          <w:tcPr>
            <w:tcW w:w="2087"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74E4D448"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CIRCUITO JUDICIAL DE PUNTARENAS</w:t>
            </w:r>
          </w:p>
        </w:tc>
        <w:tc>
          <w:tcPr>
            <w:tcW w:w="534"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09B0B81C"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2</w:t>
            </w:r>
          </w:p>
        </w:tc>
      </w:tr>
      <w:tr w:rsidR="00071199" w:rsidRPr="00071199" w14:paraId="5ABC9FB3" w14:textId="77777777" w:rsidTr="00CC279A">
        <w:trPr>
          <w:trHeight w:val="530"/>
          <w:jc w:val="center"/>
        </w:trPr>
        <w:tc>
          <w:tcPr>
            <w:tcW w:w="2380" w:type="pct"/>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4CF96552"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JUZGADO DE TRABAJO DE SANTA CRUZ</w:t>
            </w:r>
          </w:p>
        </w:tc>
        <w:tc>
          <w:tcPr>
            <w:tcW w:w="2087"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16B0EAF6"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SEGUNDO CIRCUITO JUDICIAL DE GUANACASTE</w:t>
            </w:r>
          </w:p>
        </w:tc>
        <w:tc>
          <w:tcPr>
            <w:tcW w:w="534"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1C328FA0"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2</w:t>
            </w:r>
          </w:p>
        </w:tc>
      </w:tr>
      <w:tr w:rsidR="00071199" w:rsidRPr="00071199" w14:paraId="19A74A00" w14:textId="77777777" w:rsidTr="00CC279A">
        <w:trPr>
          <w:trHeight w:val="530"/>
          <w:jc w:val="center"/>
        </w:trPr>
        <w:tc>
          <w:tcPr>
            <w:tcW w:w="2380" w:type="pct"/>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1147872C"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JUZGADO DE TRABAJO I CIRCUITO JUDICIAL DE LA ZONA ATLANTICA</w:t>
            </w:r>
          </w:p>
        </w:tc>
        <w:tc>
          <w:tcPr>
            <w:tcW w:w="2087"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0019611B"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PRIMER CIRCUITO JUDICIAL DE LA ZONA ATLÁNTICA</w:t>
            </w:r>
          </w:p>
        </w:tc>
        <w:tc>
          <w:tcPr>
            <w:tcW w:w="534"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68AEEC2C"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2</w:t>
            </w:r>
          </w:p>
        </w:tc>
      </w:tr>
      <w:tr w:rsidR="00071199" w:rsidRPr="00071199" w14:paraId="559DF49B" w14:textId="77777777" w:rsidTr="00CC279A">
        <w:trPr>
          <w:trHeight w:val="530"/>
          <w:jc w:val="center"/>
        </w:trPr>
        <w:tc>
          <w:tcPr>
            <w:tcW w:w="2380" w:type="pct"/>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41CEA656"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JUZGADO DE TRABAJO PRIMER CIRCUITO JUDICIAL DE SAN JOSE</w:t>
            </w:r>
          </w:p>
        </w:tc>
        <w:tc>
          <w:tcPr>
            <w:tcW w:w="2087"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2FCFFDE5"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PRIMER CIRCUITO JUDICIAL DE SAN JOSÉ</w:t>
            </w:r>
          </w:p>
        </w:tc>
        <w:tc>
          <w:tcPr>
            <w:tcW w:w="534"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594C0D10"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2</w:t>
            </w:r>
          </w:p>
        </w:tc>
      </w:tr>
      <w:tr w:rsidR="00071199" w:rsidRPr="00071199" w14:paraId="3FCA121D" w14:textId="77777777" w:rsidTr="00CC279A">
        <w:trPr>
          <w:trHeight w:val="530"/>
          <w:jc w:val="center"/>
        </w:trPr>
        <w:tc>
          <w:tcPr>
            <w:tcW w:w="2380" w:type="pct"/>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27BDB753"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JUZGADO DE TRABAJO SEGUNDO CIRCUITO JUDICIAL DE SAN JOSE</w:t>
            </w:r>
          </w:p>
        </w:tc>
        <w:tc>
          <w:tcPr>
            <w:tcW w:w="2087"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342EBCE6"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SEGUNDO CIRCUITO JUDICIAL DE SAN JOSÉ</w:t>
            </w:r>
          </w:p>
        </w:tc>
        <w:tc>
          <w:tcPr>
            <w:tcW w:w="534"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0011A3EB"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2</w:t>
            </w:r>
          </w:p>
        </w:tc>
      </w:tr>
      <w:tr w:rsidR="00071199" w:rsidRPr="00071199" w14:paraId="7DB6DC77" w14:textId="77777777" w:rsidTr="00CC279A">
        <w:trPr>
          <w:trHeight w:val="530"/>
          <w:jc w:val="center"/>
        </w:trPr>
        <w:tc>
          <w:tcPr>
            <w:tcW w:w="2380" w:type="pct"/>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4625AEAA"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JUZGADO PENAL DE COTO BRUS</w:t>
            </w:r>
          </w:p>
        </w:tc>
        <w:tc>
          <w:tcPr>
            <w:tcW w:w="2087"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2EAA85DA"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SEGUNDO CIRCUITO JUDICIAL DE LA ZONA SUR</w:t>
            </w:r>
          </w:p>
        </w:tc>
        <w:tc>
          <w:tcPr>
            <w:tcW w:w="534"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5EDDCAB8"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2</w:t>
            </w:r>
          </w:p>
        </w:tc>
      </w:tr>
      <w:tr w:rsidR="00071199" w:rsidRPr="00071199" w14:paraId="0545F41F" w14:textId="77777777" w:rsidTr="00CC279A">
        <w:trPr>
          <w:trHeight w:val="530"/>
          <w:jc w:val="center"/>
        </w:trPr>
        <w:tc>
          <w:tcPr>
            <w:tcW w:w="2380" w:type="pct"/>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6B34C973"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JUZGADO PENAL II CIRC. JUD. ZONA SUR</w:t>
            </w:r>
          </w:p>
        </w:tc>
        <w:tc>
          <w:tcPr>
            <w:tcW w:w="2087"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6321234E"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SEGUNDO CIRCUITO JUDICIAL DE LA ZONA SUR</w:t>
            </w:r>
          </w:p>
        </w:tc>
        <w:tc>
          <w:tcPr>
            <w:tcW w:w="534"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09546226"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2</w:t>
            </w:r>
          </w:p>
        </w:tc>
      </w:tr>
      <w:tr w:rsidR="00071199" w:rsidRPr="00071199" w14:paraId="09925681" w14:textId="77777777" w:rsidTr="00CC279A">
        <w:trPr>
          <w:trHeight w:val="530"/>
          <w:jc w:val="center"/>
        </w:trPr>
        <w:tc>
          <w:tcPr>
            <w:tcW w:w="2380" w:type="pct"/>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67B2F218"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lastRenderedPageBreak/>
              <w:t>JUZGADO PENSIONES, VIOLENCIA DOMESTICA Y PROTECCION CAUTELAR ESCAZU</w:t>
            </w:r>
          </w:p>
        </w:tc>
        <w:tc>
          <w:tcPr>
            <w:tcW w:w="2087"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56FE82B2"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PRIMER CIRCUITO JUDICIAL DE SAN JOSÉ</w:t>
            </w:r>
          </w:p>
        </w:tc>
        <w:tc>
          <w:tcPr>
            <w:tcW w:w="534"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7CE8C9CA"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2</w:t>
            </w:r>
          </w:p>
        </w:tc>
      </w:tr>
      <w:tr w:rsidR="00071199" w:rsidRPr="00071199" w14:paraId="1F03F150" w14:textId="77777777" w:rsidTr="00CC279A">
        <w:trPr>
          <w:trHeight w:val="300"/>
          <w:jc w:val="center"/>
        </w:trPr>
        <w:tc>
          <w:tcPr>
            <w:tcW w:w="2380" w:type="pct"/>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4E0D39C0"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JUZGADO TRANSITO I CIRCUITO JUDICIAL SAN JOSE</w:t>
            </w:r>
          </w:p>
        </w:tc>
        <w:tc>
          <w:tcPr>
            <w:tcW w:w="2087"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6C6D5F00"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PRIMER CIRCUITO JUDICIAL DE SAN JOSÉ</w:t>
            </w:r>
          </w:p>
        </w:tc>
        <w:tc>
          <w:tcPr>
            <w:tcW w:w="534"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3AE2848D"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2</w:t>
            </w:r>
          </w:p>
        </w:tc>
      </w:tr>
      <w:tr w:rsidR="00071199" w:rsidRPr="00071199" w14:paraId="389607B4" w14:textId="77777777" w:rsidTr="00CC279A">
        <w:trPr>
          <w:trHeight w:val="530"/>
          <w:jc w:val="center"/>
        </w:trPr>
        <w:tc>
          <w:tcPr>
            <w:tcW w:w="2380" w:type="pct"/>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754D469A"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OFICINA DE ATENCION A LA VICTIMA DE DELITOS</w:t>
            </w:r>
          </w:p>
        </w:tc>
        <w:tc>
          <w:tcPr>
            <w:tcW w:w="2087"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309A7928"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SERVICIO DE ATENCIÓN Y PROTECCIÓN DE VICTIMAS Y TESTIGOS</w:t>
            </w:r>
          </w:p>
        </w:tc>
        <w:tc>
          <w:tcPr>
            <w:tcW w:w="534"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3126CD12"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2</w:t>
            </w:r>
          </w:p>
        </w:tc>
      </w:tr>
      <w:tr w:rsidR="00071199" w:rsidRPr="00071199" w14:paraId="7112CE53" w14:textId="77777777" w:rsidTr="00CC279A">
        <w:trPr>
          <w:trHeight w:val="530"/>
          <w:jc w:val="center"/>
        </w:trPr>
        <w:tc>
          <w:tcPr>
            <w:tcW w:w="2380" w:type="pct"/>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6EB247E6"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SECCION DE TRANSPORTES DEL O.I.J.</w:t>
            </w:r>
          </w:p>
        </w:tc>
        <w:tc>
          <w:tcPr>
            <w:tcW w:w="2087"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487D35A5"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ORGANISMO DE INVESTIGACIÓN JUDICIAL</w:t>
            </w:r>
          </w:p>
        </w:tc>
        <w:tc>
          <w:tcPr>
            <w:tcW w:w="534"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067FD4C9"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2</w:t>
            </w:r>
          </w:p>
        </w:tc>
      </w:tr>
      <w:tr w:rsidR="00071199" w:rsidRPr="00071199" w14:paraId="18301BED" w14:textId="77777777" w:rsidTr="00CC279A">
        <w:trPr>
          <w:trHeight w:val="300"/>
          <w:jc w:val="center"/>
        </w:trPr>
        <w:tc>
          <w:tcPr>
            <w:tcW w:w="2380" w:type="pct"/>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798245E7"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TRIBUNAL DE HEREDIA</w:t>
            </w:r>
          </w:p>
        </w:tc>
        <w:tc>
          <w:tcPr>
            <w:tcW w:w="2087"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15C0A396"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CIRCUITO JUDICIAL DE HEREDIA</w:t>
            </w:r>
          </w:p>
        </w:tc>
        <w:tc>
          <w:tcPr>
            <w:tcW w:w="534"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1A505DED"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2</w:t>
            </w:r>
          </w:p>
        </w:tc>
      </w:tr>
      <w:tr w:rsidR="00071199" w:rsidRPr="00071199" w14:paraId="46F2FD65" w14:textId="77777777" w:rsidTr="00CC279A">
        <w:trPr>
          <w:trHeight w:val="530"/>
          <w:jc w:val="center"/>
        </w:trPr>
        <w:tc>
          <w:tcPr>
            <w:tcW w:w="2380" w:type="pct"/>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08AC09E0"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TRIBUNAL DEL I CIRCUITO JUDICIAL DE LA ZONA ATLANTICA</w:t>
            </w:r>
          </w:p>
        </w:tc>
        <w:tc>
          <w:tcPr>
            <w:tcW w:w="2087"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4B038162"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PRIMER CIRCUITO JUDICIAL DE LA ZONA ATLÁNTICA</w:t>
            </w:r>
          </w:p>
        </w:tc>
        <w:tc>
          <w:tcPr>
            <w:tcW w:w="534"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6087707B"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2</w:t>
            </w:r>
          </w:p>
        </w:tc>
      </w:tr>
      <w:tr w:rsidR="00071199" w:rsidRPr="00071199" w14:paraId="614B8CE5" w14:textId="77777777" w:rsidTr="00CC279A">
        <w:trPr>
          <w:trHeight w:val="300"/>
          <w:jc w:val="center"/>
        </w:trPr>
        <w:tc>
          <w:tcPr>
            <w:tcW w:w="2380" w:type="pct"/>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72EFD5F1"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TRIBUNAL PENAL DEL I CIRCUITO JUDICIAL SAN JOSE</w:t>
            </w:r>
          </w:p>
        </w:tc>
        <w:tc>
          <w:tcPr>
            <w:tcW w:w="2087"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75EF7EFA"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PRIMER CIRCUITO JUDICIAL DE SAN JOSÉ</w:t>
            </w:r>
          </w:p>
        </w:tc>
        <w:tc>
          <w:tcPr>
            <w:tcW w:w="534"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7FE7238B"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2</w:t>
            </w:r>
          </w:p>
        </w:tc>
      </w:tr>
      <w:tr w:rsidR="00071199" w:rsidRPr="00071199" w14:paraId="797026F0" w14:textId="77777777" w:rsidTr="00CC279A">
        <w:trPr>
          <w:trHeight w:val="300"/>
          <w:jc w:val="center"/>
        </w:trPr>
        <w:tc>
          <w:tcPr>
            <w:tcW w:w="2380" w:type="pct"/>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2A6921B5"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TRIBUNAL PENAL DEL III CIRCUITO JUDICIAL DE SAN JOSE</w:t>
            </w:r>
          </w:p>
        </w:tc>
        <w:tc>
          <w:tcPr>
            <w:tcW w:w="2087"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1E3EE18A"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TERCER CIRCUITO JUDICIAL DE SAN JOSÉ</w:t>
            </w:r>
          </w:p>
        </w:tc>
        <w:tc>
          <w:tcPr>
            <w:tcW w:w="534"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6D5F3B3B"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2</w:t>
            </w:r>
          </w:p>
        </w:tc>
      </w:tr>
      <w:tr w:rsidR="00071199" w:rsidRPr="00071199" w14:paraId="59CC1B94" w14:textId="77777777" w:rsidTr="00CC279A">
        <w:trPr>
          <w:trHeight w:val="530"/>
          <w:jc w:val="center"/>
        </w:trPr>
        <w:tc>
          <w:tcPr>
            <w:tcW w:w="2380" w:type="pct"/>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5E92C397"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TRIBUNAL PRIMERO COLEGIADO PRIMERA INSTANCIA CIVIL I CIRCUITO JUDICIAL SAN JOSE</w:t>
            </w:r>
          </w:p>
        </w:tc>
        <w:tc>
          <w:tcPr>
            <w:tcW w:w="2087"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3F66622E"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PRIMER CIRCUITO JUDICIAL DE SAN JOSÉ</w:t>
            </w:r>
          </w:p>
        </w:tc>
        <w:tc>
          <w:tcPr>
            <w:tcW w:w="534"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55D14EE2"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2</w:t>
            </w:r>
          </w:p>
        </w:tc>
      </w:tr>
      <w:tr w:rsidR="00071199" w:rsidRPr="00071199" w14:paraId="0E80C4C3" w14:textId="77777777" w:rsidTr="00CC279A">
        <w:trPr>
          <w:trHeight w:val="300"/>
          <w:jc w:val="center"/>
        </w:trPr>
        <w:tc>
          <w:tcPr>
            <w:tcW w:w="2380" w:type="pct"/>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064AD0B0"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UNIDAD DE ADIESTRAMIENTO</w:t>
            </w:r>
          </w:p>
        </w:tc>
        <w:tc>
          <w:tcPr>
            <w:tcW w:w="2087"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7F34B432"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UNIDAD DE ADIESTRAMIENTO</w:t>
            </w:r>
          </w:p>
        </w:tc>
        <w:tc>
          <w:tcPr>
            <w:tcW w:w="534"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23F1CE36"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2</w:t>
            </w:r>
          </w:p>
        </w:tc>
      </w:tr>
      <w:tr w:rsidR="00071199" w:rsidRPr="00071199" w14:paraId="7A3BCECD" w14:textId="77777777" w:rsidTr="00CC279A">
        <w:trPr>
          <w:trHeight w:val="530"/>
          <w:jc w:val="center"/>
        </w:trPr>
        <w:tc>
          <w:tcPr>
            <w:tcW w:w="2380" w:type="pct"/>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7D0929D4"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CENTRO DE CONCILIACION DEL PODER JUDICIAL</w:t>
            </w:r>
          </w:p>
        </w:tc>
        <w:tc>
          <w:tcPr>
            <w:tcW w:w="2087"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6396A4AC"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CENTRO DE CONCILIACION DEL PODER JUDICIAL</w:t>
            </w:r>
          </w:p>
        </w:tc>
        <w:tc>
          <w:tcPr>
            <w:tcW w:w="534"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253841AA"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1</w:t>
            </w:r>
          </w:p>
        </w:tc>
      </w:tr>
      <w:tr w:rsidR="00071199" w:rsidRPr="00071199" w14:paraId="019C4916" w14:textId="77777777" w:rsidTr="00CC279A">
        <w:trPr>
          <w:trHeight w:val="530"/>
          <w:jc w:val="center"/>
        </w:trPr>
        <w:tc>
          <w:tcPr>
            <w:tcW w:w="2380" w:type="pct"/>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63798994"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CENTRO DE CONCILIACION, SEDE II CIRCUITO JUDICIAL DE ALAJUELA</w:t>
            </w:r>
          </w:p>
        </w:tc>
        <w:tc>
          <w:tcPr>
            <w:tcW w:w="2087"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489FDD63"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CENTRO DE CONCILIACION DEL PODER JUDICIAL</w:t>
            </w:r>
          </w:p>
        </w:tc>
        <w:tc>
          <w:tcPr>
            <w:tcW w:w="534"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37FD0B03"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1</w:t>
            </w:r>
          </w:p>
        </w:tc>
      </w:tr>
      <w:tr w:rsidR="00071199" w:rsidRPr="00071199" w14:paraId="1E12E245" w14:textId="77777777" w:rsidTr="00CC279A">
        <w:trPr>
          <w:trHeight w:val="530"/>
          <w:jc w:val="center"/>
        </w:trPr>
        <w:tc>
          <w:tcPr>
            <w:tcW w:w="2380" w:type="pct"/>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63AC800C"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CENTRO DE CONCILIACION, SEDE II CIRCUITO JUDICIAL ZONA ATLANTICA</w:t>
            </w:r>
          </w:p>
        </w:tc>
        <w:tc>
          <w:tcPr>
            <w:tcW w:w="2087"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6BB928E5"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CENTRO DE CONCILIACION DEL PODER JUDICIAL</w:t>
            </w:r>
          </w:p>
        </w:tc>
        <w:tc>
          <w:tcPr>
            <w:tcW w:w="534"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3962CB02"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1</w:t>
            </w:r>
          </w:p>
        </w:tc>
      </w:tr>
      <w:tr w:rsidR="00071199" w:rsidRPr="00071199" w14:paraId="371A0CD7" w14:textId="77777777" w:rsidTr="00CC279A">
        <w:trPr>
          <w:trHeight w:val="530"/>
          <w:jc w:val="center"/>
        </w:trPr>
        <w:tc>
          <w:tcPr>
            <w:tcW w:w="2380" w:type="pct"/>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557F4309"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CENTRO DE CONCILIACION, SEDE SANTA CRUZ</w:t>
            </w:r>
          </w:p>
        </w:tc>
        <w:tc>
          <w:tcPr>
            <w:tcW w:w="2087"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0E3BA589"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CENTRO DE CONCILIACION DEL PODER JUDICIAL</w:t>
            </w:r>
          </w:p>
        </w:tc>
        <w:tc>
          <w:tcPr>
            <w:tcW w:w="534"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214A3683"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1</w:t>
            </w:r>
          </w:p>
        </w:tc>
      </w:tr>
      <w:tr w:rsidR="00071199" w:rsidRPr="00071199" w14:paraId="7813DD61" w14:textId="77777777" w:rsidTr="00CC279A">
        <w:trPr>
          <w:trHeight w:val="530"/>
          <w:jc w:val="center"/>
        </w:trPr>
        <w:tc>
          <w:tcPr>
            <w:tcW w:w="2380" w:type="pct"/>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7D6B785B"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COMISION DE LA JURISDICCION DE FAMILIA, NIÑEZ Y ADOLESCENCIA</w:t>
            </w:r>
          </w:p>
        </w:tc>
        <w:tc>
          <w:tcPr>
            <w:tcW w:w="2087"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1EF53C9D"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COMISIONES INSTITUCIONALES</w:t>
            </w:r>
          </w:p>
        </w:tc>
        <w:tc>
          <w:tcPr>
            <w:tcW w:w="534"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412308C2"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1</w:t>
            </w:r>
          </w:p>
        </w:tc>
      </w:tr>
      <w:tr w:rsidR="00071199" w:rsidRPr="00071199" w14:paraId="7DDD715D" w14:textId="77777777" w:rsidTr="00CC279A">
        <w:trPr>
          <w:trHeight w:val="300"/>
          <w:jc w:val="center"/>
        </w:trPr>
        <w:tc>
          <w:tcPr>
            <w:tcW w:w="2380" w:type="pct"/>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2D20C973"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ESCUELA JUDICIAL</w:t>
            </w:r>
          </w:p>
        </w:tc>
        <w:tc>
          <w:tcPr>
            <w:tcW w:w="2087"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5DDD1A51"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ESCUELA JUDICIAL</w:t>
            </w:r>
          </w:p>
        </w:tc>
        <w:tc>
          <w:tcPr>
            <w:tcW w:w="534"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06477197"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1</w:t>
            </w:r>
          </w:p>
        </w:tc>
      </w:tr>
      <w:tr w:rsidR="00071199" w:rsidRPr="00071199" w14:paraId="4BCE010F" w14:textId="77777777" w:rsidTr="00CC279A">
        <w:trPr>
          <w:trHeight w:val="300"/>
          <w:jc w:val="center"/>
        </w:trPr>
        <w:tc>
          <w:tcPr>
            <w:tcW w:w="2380" w:type="pct"/>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3352EFE0"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FISCALIA ADJUNTA PUNTARENAS</w:t>
            </w:r>
          </w:p>
        </w:tc>
        <w:tc>
          <w:tcPr>
            <w:tcW w:w="2087"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0FC93E38"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CIRCUITO JUDICIAL DE PUNTARENAS</w:t>
            </w:r>
          </w:p>
        </w:tc>
        <w:tc>
          <w:tcPr>
            <w:tcW w:w="534"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366495A7"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1</w:t>
            </w:r>
          </w:p>
        </w:tc>
      </w:tr>
      <w:tr w:rsidR="00071199" w:rsidRPr="00071199" w14:paraId="5F99CB9D" w14:textId="77777777" w:rsidTr="00CC279A">
        <w:trPr>
          <w:trHeight w:val="300"/>
          <w:jc w:val="center"/>
        </w:trPr>
        <w:tc>
          <w:tcPr>
            <w:tcW w:w="2380" w:type="pct"/>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390B6AAD"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FISCALIA CONTRA EL NARCOTRAFICO Y DELITOS CONEXOS</w:t>
            </w:r>
          </w:p>
        </w:tc>
        <w:tc>
          <w:tcPr>
            <w:tcW w:w="2087"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06083A9B"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MINISTERIO PÚBLICO</w:t>
            </w:r>
          </w:p>
        </w:tc>
        <w:tc>
          <w:tcPr>
            <w:tcW w:w="534"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04BCF1ED"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1</w:t>
            </w:r>
          </w:p>
        </w:tc>
      </w:tr>
      <w:tr w:rsidR="00071199" w:rsidRPr="00071199" w14:paraId="1DE4048C" w14:textId="77777777" w:rsidTr="00CC279A">
        <w:trPr>
          <w:trHeight w:val="530"/>
          <w:jc w:val="center"/>
        </w:trPr>
        <w:tc>
          <w:tcPr>
            <w:tcW w:w="2380" w:type="pct"/>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2A2540EB"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FISCALIA DE BUENOS AIRES</w:t>
            </w:r>
          </w:p>
        </w:tc>
        <w:tc>
          <w:tcPr>
            <w:tcW w:w="2087"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72384D03"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PRIMER CIRCUITO JUDICIAL DE LA ZONA SUR</w:t>
            </w:r>
          </w:p>
        </w:tc>
        <w:tc>
          <w:tcPr>
            <w:tcW w:w="534"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74EF5D87"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1</w:t>
            </w:r>
          </w:p>
        </w:tc>
      </w:tr>
      <w:tr w:rsidR="00071199" w:rsidRPr="00071199" w14:paraId="7260CCCF" w14:textId="77777777" w:rsidTr="00CC279A">
        <w:trPr>
          <w:trHeight w:val="300"/>
          <w:jc w:val="center"/>
        </w:trPr>
        <w:tc>
          <w:tcPr>
            <w:tcW w:w="2380" w:type="pct"/>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4F8F361E"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FISCALIA DE COBANO</w:t>
            </w:r>
          </w:p>
        </w:tc>
        <w:tc>
          <w:tcPr>
            <w:tcW w:w="2087"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441BECC6"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CIRCUITO JUDICIAL DE PUNTARENAS</w:t>
            </w:r>
          </w:p>
        </w:tc>
        <w:tc>
          <w:tcPr>
            <w:tcW w:w="534"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7E573387"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1</w:t>
            </w:r>
          </w:p>
        </w:tc>
      </w:tr>
      <w:tr w:rsidR="00071199" w:rsidRPr="00071199" w14:paraId="53B74633" w14:textId="77777777" w:rsidTr="00CC279A">
        <w:trPr>
          <w:trHeight w:val="300"/>
          <w:jc w:val="center"/>
        </w:trPr>
        <w:tc>
          <w:tcPr>
            <w:tcW w:w="2380" w:type="pct"/>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069E0A54"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FISCALIA DE LA UNION</w:t>
            </w:r>
          </w:p>
        </w:tc>
        <w:tc>
          <w:tcPr>
            <w:tcW w:w="2087"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77FEE5FE"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CIRCUITO JUDICIAL DE CARTAGO</w:t>
            </w:r>
          </w:p>
        </w:tc>
        <w:tc>
          <w:tcPr>
            <w:tcW w:w="534"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08CA4B4C"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1</w:t>
            </w:r>
          </w:p>
        </w:tc>
      </w:tr>
      <w:tr w:rsidR="00071199" w:rsidRPr="00071199" w14:paraId="1D32166F" w14:textId="77777777" w:rsidTr="00CC279A">
        <w:trPr>
          <w:trHeight w:val="530"/>
          <w:jc w:val="center"/>
        </w:trPr>
        <w:tc>
          <w:tcPr>
            <w:tcW w:w="2380" w:type="pct"/>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390CF715"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FISCALIA DE SANTA CRUZ</w:t>
            </w:r>
          </w:p>
        </w:tc>
        <w:tc>
          <w:tcPr>
            <w:tcW w:w="2087"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416FB154"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SEGUNDO CIRCUITO JUDICIAL DE GUANACASTE</w:t>
            </w:r>
          </w:p>
        </w:tc>
        <w:tc>
          <w:tcPr>
            <w:tcW w:w="534"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74F2AF0A"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1</w:t>
            </w:r>
          </w:p>
        </w:tc>
      </w:tr>
      <w:tr w:rsidR="00071199" w:rsidRPr="00071199" w14:paraId="32FE7B53" w14:textId="77777777" w:rsidTr="00CC279A">
        <w:trPr>
          <w:trHeight w:val="530"/>
          <w:jc w:val="center"/>
        </w:trPr>
        <w:tc>
          <w:tcPr>
            <w:tcW w:w="2380" w:type="pct"/>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25936749"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JUZGADO AGRARIO DEL I CIRC. JUD. DE LA ZONA ATLANTICA</w:t>
            </w:r>
          </w:p>
        </w:tc>
        <w:tc>
          <w:tcPr>
            <w:tcW w:w="2087"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22EE0F86"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PRIMER CIRCUITO JUDICIAL DE LA ZONA ATLÁNTICA</w:t>
            </w:r>
          </w:p>
        </w:tc>
        <w:tc>
          <w:tcPr>
            <w:tcW w:w="534"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21D63D68"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1</w:t>
            </w:r>
          </w:p>
        </w:tc>
      </w:tr>
      <w:tr w:rsidR="00071199" w:rsidRPr="00071199" w14:paraId="5D4DF03A" w14:textId="77777777" w:rsidTr="00CC279A">
        <w:trPr>
          <w:trHeight w:val="530"/>
          <w:jc w:val="center"/>
        </w:trPr>
        <w:tc>
          <w:tcPr>
            <w:tcW w:w="2380" w:type="pct"/>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67CDEFFF"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JUZGADO CIVIL DEL II CIRCUITO JUDICIAL DE ALAJUELA</w:t>
            </w:r>
          </w:p>
        </w:tc>
        <w:tc>
          <w:tcPr>
            <w:tcW w:w="2087"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627D0976"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SEGUNDO CIRCUITO JUDICIAL DE ALAJUELA</w:t>
            </w:r>
          </w:p>
        </w:tc>
        <w:tc>
          <w:tcPr>
            <w:tcW w:w="534"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71E0EF6C"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1</w:t>
            </w:r>
          </w:p>
        </w:tc>
      </w:tr>
      <w:tr w:rsidR="00071199" w:rsidRPr="00071199" w14:paraId="6B52ED78" w14:textId="77777777" w:rsidTr="00CC279A">
        <w:trPr>
          <w:trHeight w:val="300"/>
          <w:jc w:val="center"/>
        </w:trPr>
        <w:tc>
          <w:tcPr>
            <w:tcW w:w="2380" w:type="pct"/>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1205D3CA"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JUZGADO CIVIL Y TRABAJO DE GOLFITO</w:t>
            </w:r>
          </w:p>
        </w:tc>
        <w:tc>
          <w:tcPr>
            <w:tcW w:w="2087"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049AA362"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ADMONISTRACIÓN DE GOLFITO</w:t>
            </w:r>
          </w:p>
        </w:tc>
        <w:tc>
          <w:tcPr>
            <w:tcW w:w="534"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3B7AA684"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1</w:t>
            </w:r>
          </w:p>
        </w:tc>
      </w:tr>
      <w:tr w:rsidR="00071199" w:rsidRPr="00071199" w14:paraId="253115E2" w14:textId="77777777" w:rsidTr="00CC279A">
        <w:trPr>
          <w:trHeight w:val="530"/>
          <w:jc w:val="center"/>
        </w:trPr>
        <w:tc>
          <w:tcPr>
            <w:tcW w:w="2380" w:type="pct"/>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676CF46D"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JUZGADO CIVIL Y TRABAJO II CIRC. JUD.DE GUANACASTE</w:t>
            </w:r>
          </w:p>
        </w:tc>
        <w:tc>
          <w:tcPr>
            <w:tcW w:w="2087"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59E9DFB9"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SEGUNDO CIRCUITO JUDICIAL DE GUANACASTE</w:t>
            </w:r>
          </w:p>
        </w:tc>
        <w:tc>
          <w:tcPr>
            <w:tcW w:w="534"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7C38AC26"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1</w:t>
            </w:r>
          </w:p>
        </w:tc>
      </w:tr>
      <w:tr w:rsidR="00071199" w:rsidRPr="00071199" w14:paraId="653B17B7" w14:textId="77777777" w:rsidTr="00CC279A">
        <w:trPr>
          <w:trHeight w:val="530"/>
          <w:jc w:val="center"/>
        </w:trPr>
        <w:tc>
          <w:tcPr>
            <w:tcW w:w="2380" w:type="pct"/>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67213E1D"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lastRenderedPageBreak/>
              <w:t>JUZGADO CIVIL Y TRABAJO II CIRCUITO JUDICIAL ZONA SUR</w:t>
            </w:r>
          </w:p>
        </w:tc>
        <w:tc>
          <w:tcPr>
            <w:tcW w:w="2087"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0158D587"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SEGUNDO CIRCUITO JUDICIAL DE LA ZONA SUR</w:t>
            </w:r>
          </w:p>
        </w:tc>
        <w:tc>
          <w:tcPr>
            <w:tcW w:w="534"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48043A3D"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1</w:t>
            </w:r>
          </w:p>
        </w:tc>
      </w:tr>
      <w:tr w:rsidR="00071199" w:rsidRPr="00071199" w14:paraId="2C4EF4BB" w14:textId="77777777" w:rsidTr="00CC279A">
        <w:trPr>
          <w:trHeight w:val="300"/>
          <w:jc w:val="center"/>
        </w:trPr>
        <w:tc>
          <w:tcPr>
            <w:tcW w:w="2380" w:type="pct"/>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2709BFD1"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JUZGADO CONTRAVENCIONAL DE ACOSTA</w:t>
            </w:r>
          </w:p>
        </w:tc>
        <w:tc>
          <w:tcPr>
            <w:tcW w:w="2087"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3C1083D3"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TERCER CIRCUITO JUDICIAL DE SAN JOSÉ</w:t>
            </w:r>
          </w:p>
        </w:tc>
        <w:tc>
          <w:tcPr>
            <w:tcW w:w="534"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609E19C1"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1</w:t>
            </w:r>
          </w:p>
        </w:tc>
      </w:tr>
      <w:tr w:rsidR="00071199" w:rsidRPr="00071199" w14:paraId="277182B5" w14:textId="77777777" w:rsidTr="00CC279A">
        <w:trPr>
          <w:trHeight w:val="300"/>
          <w:jc w:val="center"/>
        </w:trPr>
        <w:tc>
          <w:tcPr>
            <w:tcW w:w="2380" w:type="pct"/>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6C0F67D2"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JUZGADO CONTRAVENCIONAL DE CARTAGO</w:t>
            </w:r>
          </w:p>
        </w:tc>
        <w:tc>
          <w:tcPr>
            <w:tcW w:w="2087"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260EE4D8"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CIRCUITO JUDICIAL DE CARTAGO</w:t>
            </w:r>
          </w:p>
        </w:tc>
        <w:tc>
          <w:tcPr>
            <w:tcW w:w="534"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246DE832"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1</w:t>
            </w:r>
          </w:p>
        </w:tc>
      </w:tr>
      <w:tr w:rsidR="00071199" w:rsidRPr="00071199" w14:paraId="046F653E" w14:textId="77777777" w:rsidTr="00CC279A">
        <w:trPr>
          <w:trHeight w:val="530"/>
          <w:jc w:val="center"/>
        </w:trPr>
        <w:tc>
          <w:tcPr>
            <w:tcW w:w="2380" w:type="pct"/>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48B02A9A"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JUZGADO CONTRAVENCIONAL DE COTO BRUS</w:t>
            </w:r>
          </w:p>
        </w:tc>
        <w:tc>
          <w:tcPr>
            <w:tcW w:w="2087"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295F2F69"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SEGUNDO CIRCUITO JUDICIAL DE LA ZONA SUR</w:t>
            </w:r>
          </w:p>
        </w:tc>
        <w:tc>
          <w:tcPr>
            <w:tcW w:w="534"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43AAA457"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1</w:t>
            </w:r>
          </w:p>
        </w:tc>
      </w:tr>
      <w:tr w:rsidR="00071199" w:rsidRPr="00071199" w14:paraId="24F7421B" w14:textId="77777777" w:rsidTr="00CC279A">
        <w:trPr>
          <w:trHeight w:val="300"/>
          <w:jc w:val="center"/>
        </w:trPr>
        <w:tc>
          <w:tcPr>
            <w:tcW w:w="2380" w:type="pct"/>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408BA183"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JUZGADO CONTRAVENCIONAL DE GARABITO</w:t>
            </w:r>
          </w:p>
        </w:tc>
        <w:tc>
          <w:tcPr>
            <w:tcW w:w="2087"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47BFFBF3"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CIRCUITO JUDICIAL DE PUNTARENAS</w:t>
            </w:r>
          </w:p>
        </w:tc>
        <w:tc>
          <w:tcPr>
            <w:tcW w:w="534"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2B317F8E"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1</w:t>
            </w:r>
          </w:p>
        </w:tc>
      </w:tr>
      <w:tr w:rsidR="00071199" w:rsidRPr="00071199" w14:paraId="7960F23E" w14:textId="77777777" w:rsidTr="00CC279A">
        <w:trPr>
          <w:trHeight w:val="300"/>
          <w:jc w:val="center"/>
        </w:trPr>
        <w:tc>
          <w:tcPr>
            <w:tcW w:w="2380" w:type="pct"/>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3CAFBF47"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JUZGADO CONTRAVENCIONAL DE GRECIA</w:t>
            </w:r>
          </w:p>
        </w:tc>
        <w:tc>
          <w:tcPr>
            <w:tcW w:w="2087"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3D49ECD9"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ADMINISTRACIÓN DE GRECIA</w:t>
            </w:r>
          </w:p>
        </w:tc>
        <w:tc>
          <w:tcPr>
            <w:tcW w:w="534"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58100371"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1</w:t>
            </w:r>
          </w:p>
        </w:tc>
      </w:tr>
      <w:tr w:rsidR="00071199" w:rsidRPr="00071199" w14:paraId="47345B22" w14:textId="77777777" w:rsidTr="00CC279A">
        <w:trPr>
          <w:trHeight w:val="530"/>
          <w:jc w:val="center"/>
        </w:trPr>
        <w:tc>
          <w:tcPr>
            <w:tcW w:w="2380" w:type="pct"/>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173A3FD1"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JUZGADO CONTRAVENCIONAL DE JIMENEZ</w:t>
            </w:r>
          </w:p>
        </w:tc>
        <w:tc>
          <w:tcPr>
            <w:tcW w:w="2087"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30AF022E"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SEGUNDO CIRCUITO JUDICIAL DE LA ZONA SUR</w:t>
            </w:r>
          </w:p>
        </w:tc>
        <w:tc>
          <w:tcPr>
            <w:tcW w:w="534"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44F35C9A"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1</w:t>
            </w:r>
          </w:p>
        </w:tc>
      </w:tr>
      <w:tr w:rsidR="00071199" w:rsidRPr="00071199" w14:paraId="3F209F70" w14:textId="77777777" w:rsidTr="00CC279A">
        <w:trPr>
          <w:trHeight w:val="300"/>
          <w:jc w:val="center"/>
        </w:trPr>
        <w:tc>
          <w:tcPr>
            <w:tcW w:w="2380" w:type="pct"/>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3E99035D"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JUZGADO CONTRAVENCIONAL DE OSA</w:t>
            </w:r>
          </w:p>
        </w:tc>
        <w:tc>
          <w:tcPr>
            <w:tcW w:w="2087"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0F22E2BA"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ADMINISTRACIÓN DE OSA</w:t>
            </w:r>
          </w:p>
        </w:tc>
        <w:tc>
          <w:tcPr>
            <w:tcW w:w="534"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4860A82D"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1</w:t>
            </w:r>
          </w:p>
        </w:tc>
      </w:tr>
      <w:tr w:rsidR="00071199" w:rsidRPr="00071199" w14:paraId="2621FC32" w14:textId="77777777" w:rsidTr="00CC279A">
        <w:trPr>
          <w:trHeight w:val="530"/>
          <w:jc w:val="center"/>
        </w:trPr>
        <w:tc>
          <w:tcPr>
            <w:tcW w:w="2380" w:type="pct"/>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61916467"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JUZGADO CONTRAVENCIONAL DE QUEPOS</w:t>
            </w:r>
          </w:p>
        </w:tc>
        <w:tc>
          <w:tcPr>
            <w:tcW w:w="2087"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21C59FA8"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ADMINISTRACIÓN REGIONAL DE QUEPOS</w:t>
            </w:r>
          </w:p>
        </w:tc>
        <w:tc>
          <w:tcPr>
            <w:tcW w:w="534"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358ABA83"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1</w:t>
            </w:r>
          </w:p>
        </w:tc>
      </w:tr>
      <w:tr w:rsidR="00071199" w:rsidRPr="00071199" w14:paraId="35C71422" w14:textId="77777777" w:rsidTr="00CC279A">
        <w:trPr>
          <w:trHeight w:val="530"/>
          <w:jc w:val="center"/>
        </w:trPr>
        <w:tc>
          <w:tcPr>
            <w:tcW w:w="2380" w:type="pct"/>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00D4E462"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JUZGADO CONTRAVENCIONAL DE SANTA ANA</w:t>
            </w:r>
          </w:p>
        </w:tc>
        <w:tc>
          <w:tcPr>
            <w:tcW w:w="2087"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024A2B65"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ADMINISTRACIÓN DEL PRIMER CIRCUITO JUDICIAL DE SAN JOSÉ</w:t>
            </w:r>
          </w:p>
        </w:tc>
        <w:tc>
          <w:tcPr>
            <w:tcW w:w="534"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726F601C"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1</w:t>
            </w:r>
          </w:p>
        </w:tc>
      </w:tr>
      <w:tr w:rsidR="00071199" w:rsidRPr="00071199" w14:paraId="0524AE1A" w14:textId="77777777" w:rsidTr="00CC279A">
        <w:trPr>
          <w:trHeight w:val="300"/>
          <w:jc w:val="center"/>
        </w:trPr>
        <w:tc>
          <w:tcPr>
            <w:tcW w:w="2380" w:type="pct"/>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315C348B"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JUZGADO CONTRAVENCIONAL DE SANTO DOMINGO</w:t>
            </w:r>
          </w:p>
        </w:tc>
        <w:tc>
          <w:tcPr>
            <w:tcW w:w="2087"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39588A52"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CIRCUITO JUDICIAL DE HEREDIA</w:t>
            </w:r>
          </w:p>
        </w:tc>
        <w:tc>
          <w:tcPr>
            <w:tcW w:w="534"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14BF2CC1"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1</w:t>
            </w:r>
          </w:p>
        </w:tc>
      </w:tr>
      <w:tr w:rsidR="00071199" w:rsidRPr="00071199" w14:paraId="5960E21E" w14:textId="77777777" w:rsidTr="00CC279A">
        <w:trPr>
          <w:trHeight w:val="530"/>
          <w:jc w:val="center"/>
        </w:trPr>
        <w:tc>
          <w:tcPr>
            <w:tcW w:w="2380" w:type="pct"/>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6B37C195"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JUZGADO CONTRAVENCIONAL DE TURRIALBA</w:t>
            </w:r>
          </w:p>
        </w:tc>
        <w:tc>
          <w:tcPr>
            <w:tcW w:w="2087"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550A5C6D"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ADMINISTRACIÓN REGIONAL DE TURRIALBA</w:t>
            </w:r>
          </w:p>
        </w:tc>
        <w:tc>
          <w:tcPr>
            <w:tcW w:w="534"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09889FA3"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1</w:t>
            </w:r>
          </w:p>
        </w:tc>
      </w:tr>
      <w:tr w:rsidR="00071199" w:rsidRPr="00071199" w14:paraId="6F78BE73" w14:textId="77777777" w:rsidTr="00CC279A">
        <w:trPr>
          <w:trHeight w:val="300"/>
          <w:jc w:val="center"/>
        </w:trPr>
        <w:tc>
          <w:tcPr>
            <w:tcW w:w="2380" w:type="pct"/>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74CF71B0"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JUZGADO CONTRAVENCIONAL DEL I CIR.JUD. SAN JOSE</w:t>
            </w:r>
          </w:p>
        </w:tc>
        <w:tc>
          <w:tcPr>
            <w:tcW w:w="2087"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55495024"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PRIMER CIRCUITO JUDICIAL DE SAN JOSÉ</w:t>
            </w:r>
          </w:p>
        </w:tc>
        <w:tc>
          <w:tcPr>
            <w:tcW w:w="534"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789461CC"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1</w:t>
            </w:r>
          </w:p>
        </w:tc>
      </w:tr>
      <w:tr w:rsidR="00071199" w:rsidRPr="00071199" w14:paraId="70E07F48" w14:textId="77777777" w:rsidTr="00CC279A">
        <w:trPr>
          <w:trHeight w:val="530"/>
          <w:jc w:val="center"/>
        </w:trPr>
        <w:tc>
          <w:tcPr>
            <w:tcW w:w="2380" w:type="pct"/>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062F3EFD"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JUZGADO CONTRAVENCIONAL DEL II CIR.JUD. DE SAN JOSE</w:t>
            </w:r>
          </w:p>
        </w:tc>
        <w:tc>
          <w:tcPr>
            <w:tcW w:w="2087"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5D90111A"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SEGUNDO CIRCUITO JUDICIAL DE SAN JOSÉ</w:t>
            </w:r>
          </w:p>
        </w:tc>
        <w:tc>
          <w:tcPr>
            <w:tcW w:w="534"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7AECFE30"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1</w:t>
            </w:r>
          </w:p>
        </w:tc>
      </w:tr>
      <w:tr w:rsidR="00071199" w:rsidRPr="00071199" w14:paraId="53E46130" w14:textId="77777777" w:rsidTr="00CC279A">
        <w:trPr>
          <w:trHeight w:val="530"/>
          <w:jc w:val="center"/>
        </w:trPr>
        <w:tc>
          <w:tcPr>
            <w:tcW w:w="2380" w:type="pct"/>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6F7FD322"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JUZGADO CONTRAVENCIONAL Y PENS. ALIMEN. III CIRC. JUD. ALAJUELA (SAN RAMON)</w:t>
            </w:r>
          </w:p>
        </w:tc>
        <w:tc>
          <w:tcPr>
            <w:tcW w:w="2087"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15D3A170"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TERCER CIRCUITO JUDICIAL DE ALAJUELA</w:t>
            </w:r>
          </w:p>
        </w:tc>
        <w:tc>
          <w:tcPr>
            <w:tcW w:w="534"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72E4F052"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1</w:t>
            </w:r>
          </w:p>
        </w:tc>
      </w:tr>
      <w:tr w:rsidR="00071199" w:rsidRPr="00071199" w14:paraId="07C061AC" w14:textId="77777777" w:rsidTr="00CC279A">
        <w:trPr>
          <w:trHeight w:val="300"/>
          <w:jc w:val="center"/>
        </w:trPr>
        <w:tc>
          <w:tcPr>
            <w:tcW w:w="2380" w:type="pct"/>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7B7161C0"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JUZGADO CONTRAVENCIONAL Y TRANSITO SARAPIQUI</w:t>
            </w:r>
          </w:p>
        </w:tc>
        <w:tc>
          <w:tcPr>
            <w:tcW w:w="2087"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47BFF17E"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ADMINISTRACIÓN DE SARAPIQUÍ</w:t>
            </w:r>
          </w:p>
        </w:tc>
        <w:tc>
          <w:tcPr>
            <w:tcW w:w="534"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29A05A99"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1</w:t>
            </w:r>
          </w:p>
        </w:tc>
      </w:tr>
      <w:tr w:rsidR="00071199" w:rsidRPr="00071199" w14:paraId="33A733E6" w14:textId="77777777" w:rsidTr="00CC279A">
        <w:trPr>
          <w:trHeight w:val="530"/>
          <w:jc w:val="center"/>
        </w:trPr>
        <w:tc>
          <w:tcPr>
            <w:tcW w:w="2380" w:type="pct"/>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7A6FBEE6"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JUZGADO DE FAMILIA DEL II CIRCUITO JUDICIAL DE LA ZONA ATLANTICA</w:t>
            </w:r>
          </w:p>
        </w:tc>
        <w:tc>
          <w:tcPr>
            <w:tcW w:w="2087"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2BFB7F55"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SEGUNDO CIRCUITO JUDICIAL DE LA ZONA ATLÁNTICA</w:t>
            </w:r>
          </w:p>
        </w:tc>
        <w:tc>
          <w:tcPr>
            <w:tcW w:w="534"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6A50AA6E"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1</w:t>
            </w:r>
          </w:p>
        </w:tc>
      </w:tr>
      <w:tr w:rsidR="00071199" w:rsidRPr="00071199" w14:paraId="540DB36F" w14:textId="77777777" w:rsidTr="00CC279A">
        <w:trPr>
          <w:trHeight w:val="530"/>
          <w:jc w:val="center"/>
        </w:trPr>
        <w:tc>
          <w:tcPr>
            <w:tcW w:w="2380" w:type="pct"/>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307ED4A6"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JUZGADO DE TRABAJO Y FAMILIA DE HATILLO, SAN SEBASTIAN Y ALAJUELITA</w:t>
            </w:r>
          </w:p>
        </w:tc>
        <w:tc>
          <w:tcPr>
            <w:tcW w:w="2087"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0CB0B2D5"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TERCER CIRCUITO JUDICIAL DE SAN JOSÉ</w:t>
            </w:r>
          </w:p>
        </w:tc>
        <w:tc>
          <w:tcPr>
            <w:tcW w:w="534"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71C956A4"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1</w:t>
            </w:r>
          </w:p>
        </w:tc>
      </w:tr>
      <w:tr w:rsidR="00071199" w:rsidRPr="00071199" w14:paraId="3627F304" w14:textId="77777777" w:rsidTr="00CC279A">
        <w:trPr>
          <w:trHeight w:val="530"/>
          <w:jc w:val="center"/>
        </w:trPr>
        <w:tc>
          <w:tcPr>
            <w:tcW w:w="2380" w:type="pct"/>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2CA98BDB"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JUZGADO ESPECIALIZADO DE COBRO II CIRCUITO JUDICIAL DE SAN JOSE</w:t>
            </w:r>
          </w:p>
        </w:tc>
        <w:tc>
          <w:tcPr>
            <w:tcW w:w="2087"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7F6724ED"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SEGUNDO CIRCUITO JUDICIAL DE SAN JOSÉ</w:t>
            </w:r>
          </w:p>
        </w:tc>
        <w:tc>
          <w:tcPr>
            <w:tcW w:w="534"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3300862B"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1</w:t>
            </w:r>
          </w:p>
        </w:tc>
      </w:tr>
      <w:tr w:rsidR="00071199" w:rsidRPr="00071199" w14:paraId="2C0D184D" w14:textId="77777777" w:rsidTr="00CC279A">
        <w:trPr>
          <w:trHeight w:val="530"/>
          <w:jc w:val="center"/>
        </w:trPr>
        <w:tc>
          <w:tcPr>
            <w:tcW w:w="2380" w:type="pct"/>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35A2C0A9"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JUZGADO FAMILIA, VIOLENCIA DOMESTICA Y PROTECCION CAUTELAR SANTA CRUZ</w:t>
            </w:r>
          </w:p>
        </w:tc>
        <w:tc>
          <w:tcPr>
            <w:tcW w:w="2087"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3FC5F5ED"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SEGUNDO CIRCUITO JUDICIAL DE GUANACASTE</w:t>
            </w:r>
          </w:p>
        </w:tc>
        <w:tc>
          <w:tcPr>
            <w:tcW w:w="534"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28785978"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1</w:t>
            </w:r>
          </w:p>
        </w:tc>
      </w:tr>
      <w:tr w:rsidR="00071199" w:rsidRPr="00071199" w14:paraId="0C7B0507" w14:textId="77777777" w:rsidTr="00CC279A">
        <w:trPr>
          <w:trHeight w:val="300"/>
          <w:jc w:val="center"/>
        </w:trPr>
        <w:tc>
          <w:tcPr>
            <w:tcW w:w="2380" w:type="pct"/>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0D6A154C"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JUZGADO PENAL DE HATILLO</w:t>
            </w:r>
          </w:p>
        </w:tc>
        <w:tc>
          <w:tcPr>
            <w:tcW w:w="2087"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39BFB77D"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TERCER CIRCUITO JUDICIAL DE SAN JOSÉ</w:t>
            </w:r>
          </w:p>
        </w:tc>
        <w:tc>
          <w:tcPr>
            <w:tcW w:w="534"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0AEEF6B4"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1</w:t>
            </w:r>
          </w:p>
        </w:tc>
      </w:tr>
      <w:tr w:rsidR="00071199" w:rsidRPr="00071199" w14:paraId="67E5E128" w14:textId="77777777" w:rsidTr="00CC279A">
        <w:trPr>
          <w:trHeight w:val="300"/>
          <w:jc w:val="center"/>
        </w:trPr>
        <w:tc>
          <w:tcPr>
            <w:tcW w:w="2380" w:type="pct"/>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667C8268"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JUZGADO PENAL DE OSA</w:t>
            </w:r>
          </w:p>
        </w:tc>
        <w:tc>
          <w:tcPr>
            <w:tcW w:w="2087"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51A3B7B5"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ADMINISTRACIÓN DE OSA</w:t>
            </w:r>
          </w:p>
        </w:tc>
        <w:tc>
          <w:tcPr>
            <w:tcW w:w="534"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10CB7220"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1</w:t>
            </w:r>
          </w:p>
        </w:tc>
      </w:tr>
      <w:tr w:rsidR="00071199" w:rsidRPr="00071199" w14:paraId="557AC5AE" w14:textId="77777777" w:rsidTr="00CC279A">
        <w:trPr>
          <w:trHeight w:val="300"/>
          <w:jc w:val="center"/>
        </w:trPr>
        <w:tc>
          <w:tcPr>
            <w:tcW w:w="2380" w:type="pct"/>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78FBA9D3"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JUZGADO PENAL DE PUNTARENAS, SEDE COBANO</w:t>
            </w:r>
          </w:p>
        </w:tc>
        <w:tc>
          <w:tcPr>
            <w:tcW w:w="2087"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69AEEBE0"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CIRCUITO JUDICIAL DE PUNTARENAS</w:t>
            </w:r>
          </w:p>
        </w:tc>
        <w:tc>
          <w:tcPr>
            <w:tcW w:w="534"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769BE3B0"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1</w:t>
            </w:r>
          </w:p>
        </w:tc>
      </w:tr>
      <w:tr w:rsidR="00071199" w:rsidRPr="00071199" w14:paraId="2AE20A98" w14:textId="77777777" w:rsidTr="00CC279A">
        <w:trPr>
          <w:trHeight w:val="300"/>
          <w:jc w:val="center"/>
        </w:trPr>
        <w:tc>
          <w:tcPr>
            <w:tcW w:w="2380" w:type="pct"/>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61FE9008"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JUZGADO PENAL DE QUEPOS</w:t>
            </w:r>
          </w:p>
        </w:tc>
        <w:tc>
          <w:tcPr>
            <w:tcW w:w="2087"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7DE86B5A"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ADMINISTRACIÓN DE QUEPOS</w:t>
            </w:r>
          </w:p>
        </w:tc>
        <w:tc>
          <w:tcPr>
            <w:tcW w:w="534"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586B63D7"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1</w:t>
            </w:r>
          </w:p>
        </w:tc>
      </w:tr>
      <w:tr w:rsidR="00071199" w:rsidRPr="00071199" w14:paraId="6D897C62" w14:textId="77777777" w:rsidTr="00CC279A">
        <w:trPr>
          <w:trHeight w:val="530"/>
          <w:jc w:val="center"/>
        </w:trPr>
        <w:tc>
          <w:tcPr>
            <w:tcW w:w="2380" w:type="pct"/>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3CBD3ABE"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JUZGADO PENAL DE UPALA</w:t>
            </w:r>
          </w:p>
        </w:tc>
        <w:tc>
          <w:tcPr>
            <w:tcW w:w="2087"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4283567A"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SEGUNDO CIRCUITO JUDICIAL DE ALAJUELA</w:t>
            </w:r>
          </w:p>
        </w:tc>
        <w:tc>
          <w:tcPr>
            <w:tcW w:w="534"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43995CCA"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1</w:t>
            </w:r>
          </w:p>
        </w:tc>
      </w:tr>
      <w:tr w:rsidR="00071199" w:rsidRPr="00071199" w14:paraId="1FDC542D" w14:textId="77777777" w:rsidTr="00CC279A">
        <w:trPr>
          <w:trHeight w:val="530"/>
          <w:jc w:val="center"/>
        </w:trPr>
        <w:tc>
          <w:tcPr>
            <w:tcW w:w="2380" w:type="pct"/>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4E75B4FC"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JUZGADO PENAL DEL I CIRCUITO JUDICIAL DE LA ZONA ATLANTICA</w:t>
            </w:r>
          </w:p>
        </w:tc>
        <w:tc>
          <w:tcPr>
            <w:tcW w:w="2087"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14AD0B48"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PRIMER CIRCUITO JUDICIAL DE LA ZONA ATLÁNTICA</w:t>
            </w:r>
          </w:p>
        </w:tc>
        <w:tc>
          <w:tcPr>
            <w:tcW w:w="534"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4D967391"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1</w:t>
            </w:r>
          </w:p>
        </w:tc>
      </w:tr>
      <w:tr w:rsidR="00071199" w:rsidRPr="00071199" w14:paraId="54FAAF4D" w14:textId="77777777" w:rsidTr="00CC279A">
        <w:trPr>
          <w:trHeight w:val="530"/>
          <w:jc w:val="center"/>
        </w:trPr>
        <w:tc>
          <w:tcPr>
            <w:tcW w:w="2380" w:type="pct"/>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6295F54C"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JUZGADO PENAL DEL II CIRCUITO JUDICIAL DE ALAJUELA</w:t>
            </w:r>
          </w:p>
        </w:tc>
        <w:tc>
          <w:tcPr>
            <w:tcW w:w="2087"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2DF0523B"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SEGUNDO CIRCUITO JUDICIAL DE ALAJUELA</w:t>
            </w:r>
          </w:p>
        </w:tc>
        <w:tc>
          <w:tcPr>
            <w:tcW w:w="534"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778F714E"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1</w:t>
            </w:r>
          </w:p>
        </w:tc>
      </w:tr>
      <w:tr w:rsidR="00071199" w:rsidRPr="00071199" w14:paraId="61780A87" w14:textId="77777777" w:rsidTr="00CC279A">
        <w:trPr>
          <w:trHeight w:val="530"/>
          <w:jc w:val="center"/>
        </w:trPr>
        <w:tc>
          <w:tcPr>
            <w:tcW w:w="2380" w:type="pct"/>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30240174"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lastRenderedPageBreak/>
              <w:t>JUZGADO PENAL I CRC. JUD. ZONA SUR</w:t>
            </w:r>
          </w:p>
        </w:tc>
        <w:tc>
          <w:tcPr>
            <w:tcW w:w="2087"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705888DE"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PRIMER CIRCUITO JUDICIAL DE LA ZONA SUR</w:t>
            </w:r>
          </w:p>
        </w:tc>
        <w:tc>
          <w:tcPr>
            <w:tcW w:w="534"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0F87A2AA"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1</w:t>
            </w:r>
          </w:p>
        </w:tc>
      </w:tr>
      <w:tr w:rsidR="00071199" w:rsidRPr="00071199" w14:paraId="47605EEB" w14:textId="77777777" w:rsidTr="00CC279A">
        <w:trPr>
          <w:trHeight w:val="530"/>
          <w:jc w:val="center"/>
        </w:trPr>
        <w:tc>
          <w:tcPr>
            <w:tcW w:w="2380" w:type="pct"/>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5538D4C7"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JUZGADO PENAL II CIRCUITO JUDICIAL DE SAN JOSE</w:t>
            </w:r>
          </w:p>
        </w:tc>
        <w:tc>
          <w:tcPr>
            <w:tcW w:w="2087"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0047BA2D"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SEGUNDO CIRCUITO JUDICIAL DE SAN JOSÉ</w:t>
            </w:r>
          </w:p>
        </w:tc>
        <w:tc>
          <w:tcPr>
            <w:tcW w:w="534"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5ABE08B1"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1</w:t>
            </w:r>
          </w:p>
        </w:tc>
      </w:tr>
      <w:tr w:rsidR="00071199" w:rsidRPr="00071199" w14:paraId="71B19731" w14:textId="77777777" w:rsidTr="00CC279A">
        <w:trPr>
          <w:trHeight w:val="300"/>
          <w:jc w:val="center"/>
        </w:trPr>
        <w:tc>
          <w:tcPr>
            <w:tcW w:w="2380" w:type="pct"/>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572645D2"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JUZGADO PENAL JUVENIL DE SAN JOSE</w:t>
            </w:r>
          </w:p>
        </w:tc>
        <w:tc>
          <w:tcPr>
            <w:tcW w:w="2087"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72516B11"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PRIMER CIRCUITO JUDICIAL DE SAN JOSÉ</w:t>
            </w:r>
          </w:p>
        </w:tc>
        <w:tc>
          <w:tcPr>
            <w:tcW w:w="534"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38856CF4"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1</w:t>
            </w:r>
          </w:p>
        </w:tc>
      </w:tr>
      <w:tr w:rsidR="00071199" w:rsidRPr="00071199" w14:paraId="1599EAC6" w14:textId="77777777" w:rsidTr="00CC279A">
        <w:trPr>
          <w:trHeight w:val="530"/>
          <w:jc w:val="center"/>
        </w:trPr>
        <w:tc>
          <w:tcPr>
            <w:tcW w:w="2380" w:type="pct"/>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450228BD"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JUZGADO PENAL JUVENIL DEL I CIRCUITO JUDICIAL DE LA ZONA ATLANTICA</w:t>
            </w:r>
          </w:p>
        </w:tc>
        <w:tc>
          <w:tcPr>
            <w:tcW w:w="2087"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7EE1B0E6"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PRIMER CIRCUITO JUDICIAL DE LA ZONA ATLÁNTICA</w:t>
            </w:r>
          </w:p>
        </w:tc>
        <w:tc>
          <w:tcPr>
            <w:tcW w:w="534"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334C6A61"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1</w:t>
            </w:r>
          </w:p>
        </w:tc>
      </w:tr>
      <w:tr w:rsidR="00071199" w:rsidRPr="00071199" w14:paraId="32635012" w14:textId="77777777" w:rsidTr="00CC279A">
        <w:trPr>
          <w:trHeight w:val="530"/>
          <w:jc w:val="center"/>
        </w:trPr>
        <w:tc>
          <w:tcPr>
            <w:tcW w:w="2380" w:type="pct"/>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4CD0781C"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JUZGADO PENSIONES ALIMENTARIAS II CIRCUITO JUDICIAL ALAJUELA</w:t>
            </w:r>
          </w:p>
        </w:tc>
        <w:tc>
          <w:tcPr>
            <w:tcW w:w="2087"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749C9D44"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SEGUNDO CIRCUITO JUDICIAL DE ALAJUELA</w:t>
            </w:r>
          </w:p>
        </w:tc>
        <w:tc>
          <w:tcPr>
            <w:tcW w:w="534"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374A2467"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1</w:t>
            </w:r>
          </w:p>
        </w:tc>
      </w:tr>
      <w:tr w:rsidR="00071199" w:rsidRPr="00071199" w14:paraId="28A4EEA4" w14:textId="77777777" w:rsidTr="00CC279A">
        <w:trPr>
          <w:trHeight w:val="300"/>
          <w:jc w:val="center"/>
        </w:trPr>
        <w:tc>
          <w:tcPr>
            <w:tcW w:w="2380" w:type="pct"/>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27039569"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JUZGADO TERCERO CIVIL DE SAN JOSE</w:t>
            </w:r>
          </w:p>
        </w:tc>
        <w:tc>
          <w:tcPr>
            <w:tcW w:w="2087"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4F87B2F0"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PRIMER CIRCUITO JUDICIAL DE SAN JOSÉ</w:t>
            </w:r>
          </w:p>
        </w:tc>
        <w:tc>
          <w:tcPr>
            <w:tcW w:w="534"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23E87A34"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1</w:t>
            </w:r>
          </w:p>
        </w:tc>
      </w:tr>
      <w:tr w:rsidR="00071199" w:rsidRPr="00071199" w14:paraId="1F4C1E84" w14:textId="77777777" w:rsidTr="00CC279A">
        <w:trPr>
          <w:trHeight w:val="300"/>
          <w:jc w:val="center"/>
        </w:trPr>
        <w:tc>
          <w:tcPr>
            <w:tcW w:w="2380" w:type="pct"/>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5A63C392"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JUZGADO TRANSITO CARTAGO</w:t>
            </w:r>
          </w:p>
        </w:tc>
        <w:tc>
          <w:tcPr>
            <w:tcW w:w="2087"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4052A882"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CIRCUITO JUDICIAL DE CARTAGO</w:t>
            </w:r>
          </w:p>
        </w:tc>
        <w:tc>
          <w:tcPr>
            <w:tcW w:w="534"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3E174F5B"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1</w:t>
            </w:r>
          </w:p>
        </w:tc>
      </w:tr>
      <w:tr w:rsidR="00071199" w:rsidRPr="00071199" w14:paraId="52C9C5DD" w14:textId="77777777" w:rsidTr="00CC279A">
        <w:trPr>
          <w:trHeight w:val="300"/>
          <w:jc w:val="center"/>
        </w:trPr>
        <w:tc>
          <w:tcPr>
            <w:tcW w:w="2380" w:type="pct"/>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463B7A3B"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JUZGADO TRANSITO HEREDIA</w:t>
            </w:r>
          </w:p>
        </w:tc>
        <w:tc>
          <w:tcPr>
            <w:tcW w:w="2087"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72CCFFD3"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CIRCUITO JUDICIAL DE HEREDIA</w:t>
            </w:r>
          </w:p>
        </w:tc>
        <w:tc>
          <w:tcPr>
            <w:tcW w:w="534"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3D7F2C0D"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1</w:t>
            </w:r>
          </w:p>
        </w:tc>
      </w:tr>
      <w:tr w:rsidR="00071199" w:rsidRPr="00071199" w14:paraId="5224B2FA" w14:textId="77777777" w:rsidTr="00CC279A">
        <w:trPr>
          <w:trHeight w:val="530"/>
          <w:jc w:val="center"/>
        </w:trPr>
        <w:tc>
          <w:tcPr>
            <w:tcW w:w="2380" w:type="pct"/>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21B892A4"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JUZGADO TRANSITO I CIRCUITO JUDICIAL ZONA ATLANTICA</w:t>
            </w:r>
          </w:p>
        </w:tc>
        <w:tc>
          <w:tcPr>
            <w:tcW w:w="2087"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40DE71DF"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PRIMER CIRCUITO JUDICIAL DE LA ZONA ATLÁNTICA</w:t>
            </w:r>
          </w:p>
        </w:tc>
        <w:tc>
          <w:tcPr>
            <w:tcW w:w="534"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30C35F1D"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1</w:t>
            </w:r>
          </w:p>
        </w:tc>
      </w:tr>
      <w:tr w:rsidR="00071199" w:rsidRPr="00071199" w14:paraId="7D2B1643" w14:textId="77777777" w:rsidTr="00CC279A">
        <w:trPr>
          <w:trHeight w:val="300"/>
          <w:jc w:val="center"/>
        </w:trPr>
        <w:tc>
          <w:tcPr>
            <w:tcW w:w="2380" w:type="pct"/>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64F2F9AF"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JUZGADO TRANSITO II CIRCUITO JUDICIAL SAN JOSE</w:t>
            </w:r>
          </w:p>
        </w:tc>
        <w:tc>
          <w:tcPr>
            <w:tcW w:w="2087"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586198BF"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SEGUNDO CIRCUITO JUDICIAL SAN JOSÉ</w:t>
            </w:r>
          </w:p>
        </w:tc>
        <w:tc>
          <w:tcPr>
            <w:tcW w:w="534"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332DBFFD"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1</w:t>
            </w:r>
          </w:p>
        </w:tc>
      </w:tr>
      <w:tr w:rsidR="00071199" w:rsidRPr="00071199" w14:paraId="0F7CCFED" w14:textId="77777777" w:rsidTr="00CC279A">
        <w:trPr>
          <w:trHeight w:val="530"/>
          <w:jc w:val="center"/>
        </w:trPr>
        <w:tc>
          <w:tcPr>
            <w:tcW w:w="2380" w:type="pct"/>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790201DF"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JUZGADO TRANSITO III CIRCUITO JUDICIAL ALAJUELA (SAN RAMON)</w:t>
            </w:r>
          </w:p>
        </w:tc>
        <w:tc>
          <w:tcPr>
            <w:tcW w:w="2087"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5D0EB9D4"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TERCER CIRCUITO JUDICIAL DE ALAJUELA</w:t>
            </w:r>
          </w:p>
        </w:tc>
        <w:tc>
          <w:tcPr>
            <w:tcW w:w="534"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18FBD08F"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1</w:t>
            </w:r>
          </w:p>
        </w:tc>
      </w:tr>
      <w:tr w:rsidR="00071199" w:rsidRPr="00071199" w14:paraId="165A6ADF" w14:textId="77777777" w:rsidTr="00CC279A">
        <w:trPr>
          <w:trHeight w:val="530"/>
          <w:jc w:val="center"/>
        </w:trPr>
        <w:tc>
          <w:tcPr>
            <w:tcW w:w="2380" w:type="pct"/>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42415FA2"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OFICINA TRABAJO SOCIAL Y PSICOLOGIA I CIRCUITO JUDICIAL GUANACASTE</w:t>
            </w:r>
          </w:p>
        </w:tc>
        <w:tc>
          <w:tcPr>
            <w:tcW w:w="2087"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60FEADF4"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DEPARTAMENTO DE TRABAJO SOCIAL Y PSICOLOGÍA</w:t>
            </w:r>
          </w:p>
        </w:tc>
        <w:tc>
          <w:tcPr>
            <w:tcW w:w="534"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25645D42"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1</w:t>
            </w:r>
          </w:p>
        </w:tc>
      </w:tr>
      <w:tr w:rsidR="00071199" w:rsidRPr="00071199" w14:paraId="7EC0A9B0" w14:textId="77777777" w:rsidTr="00CC279A">
        <w:trPr>
          <w:trHeight w:val="530"/>
          <w:jc w:val="center"/>
        </w:trPr>
        <w:tc>
          <w:tcPr>
            <w:tcW w:w="2380" w:type="pct"/>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25C2A1D7"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OFICINA TRABAJO SOCIAL Y PSICOLOGIA I CIRUITO JUDICIAL ZONA ATLANTICA</w:t>
            </w:r>
          </w:p>
        </w:tc>
        <w:tc>
          <w:tcPr>
            <w:tcW w:w="2087"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36C76AC1"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DEPARTAMENTO DE TRABAJO SOCIAL Y PSICOLOGÍA</w:t>
            </w:r>
          </w:p>
        </w:tc>
        <w:tc>
          <w:tcPr>
            <w:tcW w:w="534"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1B574A0E"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1</w:t>
            </w:r>
          </w:p>
        </w:tc>
      </w:tr>
      <w:tr w:rsidR="00071199" w:rsidRPr="00071199" w14:paraId="7B4E7D2A" w14:textId="77777777" w:rsidTr="00CC279A">
        <w:trPr>
          <w:trHeight w:val="530"/>
          <w:jc w:val="center"/>
        </w:trPr>
        <w:tc>
          <w:tcPr>
            <w:tcW w:w="2380" w:type="pct"/>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403AC464"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TRIBUNAL CONTENCIOSO ADMINISTRATIVO</w:t>
            </w:r>
          </w:p>
        </w:tc>
        <w:tc>
          <w:tcPr>
            <w:tcW w:w="2087"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298D091F"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SEGUNDO CIRCUITO JUDICIAL DE SAN JOSÉ</w:t>
            </w:r>
          </w:p>
        </w:tc>
        <w:tc>
          <w:tcPr>
            <w:tcW w:w="534"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22A3A71B"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1</w:t>
            </w:r>
          </w:p>
        </w:tc>
      </w:tr>
      <w:tr w:rsidR="00071199" w:rsidRPr="00071199" w14:paraId="009D4811" w14:textId="77777777" w:rsidTr="00CC279A">
        <w:trPr>
          <w:trHeight w:val="530"/>
          <w:jc w:val="center"/>
        </w:trPr>
        <w:tc>
          <w:tcPr>
            <w:tcW w:w="2380" w:type="pct"/>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0D24A39B"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TRIBUNAL DE II CIRCUITO JUDICIAL DE LA ZONA ATLANTICA</w:t>
            </w:r>
          </w:p>
        </w:tc>
        <w:tc>
          <w:tcPr>
            <w:tcW w:w="2087"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51A521C9"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SEGUNDO CIRCUITO JUDICIAL DE LA ZONA ATLÁNTICA</w:t>
            </w:r>
          </w:p>
        </w:tc>
        <w:tc>
          <w:tcPr>
            <w:tcW w:w="534"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470E09DD"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1</w:t>
            </w:r>
          </w:p>
        </w:tc>
      </w:tr>
      <w:tr w:rsidR="00071199" w:rsidRPr="00071199" w14:paraId="61BF25D8" w14:textId="77777777" w:rsidTr="00CC279A">
        <w:trPr>
          <w:trHeight w:val="530"/>
          <w:jc w:val="center"/>
        </w:trPr>
        <w:tc>
          <w:tcPr>
            <w:tcW w:w="2380" w:type="pct"/>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2CE2736B"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TRIBUNAL I CIRCUITO JUDICIAL ZONA SUR</w:t>
            </w:r>
          </w:p>
        </w:tc>
        <w:tc>
          <w:tcPr>
            <w:tcW w:w="2087"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06728F0A"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PRIMER CIRCUITO JUDICIAL DE LA ZONA SUR</w:t>
            </w:r>
          </w:p>
        </w:tc>
        <w:tc>
          <w:tcPr>
            <w:tcW w:w="534"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73E63654"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1</w:t>
            </w:r>
          </w:p>
        </w:tc>
      </w:tr>
      <w:tr w:rsidR="00071199" w:rsidRPr="00071199" w14:paraId="2FE59A38" w14:textId="77777777" w:rsidTr="00CC279A">
        <w:trPr>
          <w:trHeight w:val="530"/>
          <w:jc w:val="center"/>
        </w:trPr>
        <w:tc>
          <w:tcPr>
            <w:tcW w:w="2380" w:type="pct"/>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7D1BB24C"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TRIBUNAL III CIRCUITO JUDICIAL DE ALAJUELA, SEDE GRECIA</w:t>
            </w:r>
          </w:p>
        </w:tc>
        <w:tc>
          <w:tcPr>
            <w:tcW w:w="2087"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2A93FDDB"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TERCER CIRCUITO JUDICIAL DE ALAJUELA</w:t>
            </w:r>
          </w:p>
        </w:tc>
        <w:tc>
          <w:tcPr>
            <w:tcW w:w="534"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0A7E71EF"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1</w:t>
            </w:r>
          </w:p>
        </w:tc>
      </w:tr>
      <w:tr w:rsidR="00071199" w:rsidRPr="00071199" w14:paraId="351A0679" w14:textId="77777777" w:rsidTr="00CC279A">
        <w:trPr>
          <w:trHeight w:val="530"/>
          <w:jc w:val="center"/>
        </w:trPr>
        <w:tc>
          <w:tcPr>
            <w:tcW w:w="2380" w:type="pct"/>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165A1942"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TRIBUNAL SEGUNDO COLEGIADO PRIMERA INSTANCIA CIVIL I CIRCUITO JUDICIAL SAN JOSE</w:t>
            </w:r>
          </w:p>
        </w:tc>
        <w:tc>
          <w:tcPr>
            <w:tcW w:w="2087"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1987B453"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PRIMER CIRCUITO JUDICIAL DE SAN JOSÉ</w:t>
            </w:r>
          </w:p>
        </w:tc>
        <w:tc>
          <w:tcPr>
            <w:tcW w:w="534"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061D823D" w14:textId="77777777" w:rsidR="00071199" w:rsidRPr="00CC279A" w:rsidRDefault="00071199" w:rsidP="00071199">
            <w:pPr>
              <w:pStyle w:val="NormalWeb"/>
              <w:jc w:val="center"/>
              <w:rPr>
                <w:rFonts w:ascii="Arial Narrow" w:hAnsi="Arial Narrow"/>
                <w:sz w:val="18"/>
                <w:szCs w:val="18"/>
              </w:rPr>
            </w:pPr>
            <w:r w:rsidRPr="00CC279A">
              <w:rPr>
                <w:rFonts w:ascii="Arial Narrow" w:hAnsi="Arial Narrow"/>
                <w:sz w:val="18"/>
                <w:szCs w:val="18"/>
                <w:bdr w:val="none" w:sz="0" w:space="0" w:color="auto" w:frame="1"/>
                <w:lang w:val="es-MX"/>
              </w:rPr>
              <w:t>1</w:t>
            </w:r>
          </w:p>
        </w:tc>
      </w:tr>
    </w:tbl>
    <w:p w14:paraId="5C6BC85D" w14:textId="77777777" w:rsidR="00071199" w:rsidRDefault="00071199" w:rsidP="00993C9F">
      <w:pPr>
        <w:spacing w:line="360" w:lineRule="auto"/>
        <w:jc w:val="both"/>
        <w:rPr>
          <w:rFonts w:ascii="Arial Narrow" w:eastAsia="Calibri" w:hAnsi="Arial Narrow"/>
          <w:lang w:eastAsia="en-US"/>
        </w:rPr>
      </w:pPr>
    </w:p>
    <w:p w14:paraId="40088AD8" w14:textId="77777777" w:rsidR="00071199" w:rsidRDefault="00071199" w:rsidP="00993C9F">
      <w:pPr>
        <w:spacing w:line="360" w:lineRule="auto"/>
        <w:jc w:val="both"/>
        <w:rPr>
          <w:rFonts w:ascii="Arial Narrow" w:eastAsia="Calibri" w:hAnsi="Arial Narrow"/>
          <w:lang w:eastAsia="en-US"/>
        </w:rPr>
      </w:pPr>
    </w:p>
    <w:p w14:paraId="14B317CE" w14:textId="77777777" w:rsidR="00993C9F" w:rsidRDefault="00993C9F" w:rsidP="00C801FF">
      <w:pPr>
        <w:spacing w:line="360" w:lineRule="auto"/>
        <w:jc w:val="both"/>
        <w:rPr>
          <w:rFonts w:ascii="Arial Narrow" w:eastAsia="Calibri" w:hAnsi="Arial Narrow"/>
          <w:lang w:eastAsia="en-US"/>
        </w:rPr>
      </w:pPr>
    </w:p>
    <w:p w14:paraId="7003D894" w14:textId="2945CB3E" w:rsidR="00C801FF" w:rsidRDefault="00C801FF" w:rsidP="00C801FF">
      <w:pPr>
        <w:spacing w:line="360" w:lineRule="auto"/>
        <w:jc w:val="both"/>
        <w:rPr>
          <w:rFonts w:ascii="Arial Narrow" w:eastAsia="Calibri" w:hAnsi="Arial Narrow"/>
          <w:lang w:eastAsia="en-US"/>
        </w:rPr>
      </w:pPr>
      <w:r>
        <w:rPr>
          <w:rFonts w:ascii="Arial Narrow" w:eastAsia="Calibri" w:hAnsi="Arial Narrow"/>
          <w:lang w:eastAsia="en-US"/>
        </w:rPr>
        <w:t>E</w:t>
      </w:r>
      <w:r w:rsidRPr="00DB5762">
        <w:rPr>
          <w:rFonts w:ascii="Arial Narrow" w:eastAsia="Calibri" w:hAnsi="Arial Narrow"/>
          <w:lang w:eastAsia="en-US"/>
        </w:rPr>
        <w:t>s importante tener presente estas metas estratégicas para darles una prioridad especial y una atención de relevancia en la ejecución del PEI para el 202</w:t>
      </w:r>
      <w:r>
        <w:rPr>
          <w:rFonts w:ascii="Arial Narrow" w:eastAsia="Calibri" w:hAnsi="Arial Narrow"/>
          <w:lang w:eastAsia="en-US"/>
        </w:rPr>
        <w:t>1</w:t>
      </w:r>
      <w:r w:rsidRPr="00DB5762">
        <w:rPr>
          <w:rFonts w:ascii="Arial Narrow" w:eastAsia="Calibri" w:hAnsi="Arial Narrow"/>
          <w:lang w:eastAsia="en-US"/>
        </w:rPr>
        <w:t>-2024</w:t>
      </w:r>
      <w:r>
        <w:rPr>
          <w:rFonts w:ascii="Arial Narrow" w:eastAsia="Calibri" w:hAnsi="Arial Narrow"/>
          <w:lang w:eastAsia="en-US"/>
        </w:rPr>
        <w:t xml:space="preserve">. </w:t>
      </w:r>
    </w:p>
    <w:p w14:paraId="532B2ACB" w14:textId="77777777" w:rsidR="00122544" w:rsidRPr="008E5DA9" w:rsidRDefault="00122544" w:rsidP="00CC279A">
      <w:pPr>
        <w:spacing w:line="360" w:lineRule="auto"/>
        <w:jc w:val="both"/>
      </w:pPr>
    </w:p>
    <w:p w14:paraId="6D736C5B" w14:textId="6ED7E5BD" w:rsidR="00E61DA1" w:rsidRPr="000B4845" w:rsidRDefault="00E61DA1" w:rsidP="00E61DA1">
      <w:pPr>
        <w:rPr>
          <w:rFonts w:ascii="Arial Narrow" w:eastAsia="Calibri" w:hAnsi="Arial Narrow"/>
          <w:lang w:eastAsia="en-US"/>
        </w:rPr>
      </w:pPr>
    </w:p>
    <w:p w14:paraId="4B969C1B" w14:textId="10A6965E" w:rsidR="00E07A24" w:rsidRDefault="00E07A24">
      <w:pPr>
        <w:rPr>
          <w:rFonts w:eastAsia="Calibri"/>
          <w:lang w:eastAsia="en-US"/>
        </w:rPr>
      </w:pPr>
      <w:r>
        <w:rPr>
          <w:rFonts w:eastAsia="Calibri"/>
          <w:lang w:eastAsia="en-US"/>
        </w:rPr>
        <w:br w:type="page"/>
      </w:r>
    </w:p>
    <w:p w14:paraId="3BFB4307" w14:textId="4F96853B" w:rsidR="008B6366" w:rsidRPr="000B4845" w:rsidRDefault="007F2B44">
      <w:pPr>
        <w:pStyle w:val="Ttulo2"/>
      </w:pPr>
      <w:r>
        <w:lastRenderedPageBreak/>
        <w:t xml:space="preserve"> </w:t>
      </w:r>
      <w:bookmarkStart w:id="180" w:name="_Toc84919365"/>
      <w:r w:rsidR="00353B39" w:rsidRPr="000B4845">
        <w:t>Rendición de boletines informativos sobre el cumplimiento del PEI para el 2019</w:t>
      </w:r>
      <w:r w:rsidR="0016243D">
        <w:t xml:space="preserve"> y 2020</w:t>
      </w:r>
      <w:bookmarkEnd w:id="180"/>
    </w:p>
    <w:p w14:paraId="21CB8137" w14:textId="3BB1E170" w:rsidR="005305D8" w:rsidRPr="00D10C04" w:rsidRDefault="005305D8" w:rsidP="005305D8">
      <w:pPr>
        <w:rPr>
          <w:rFonts w:ascii="Arial Narrow" w:eastAsia="Calibri" w:hAnsi="Arial Narrow"/>
          <w:lang w:eastAsia="en-US"/>
        </w:rPr>
      </w:pPr>
    </w:p>
    <w:p w14:paraId="406F6F03" w14:textId="37792089" w:rsidR="003871E0" w:rsidRDefault="00E07A24" w:rsidP="00D10C04">
      <w:pPr>
        <w:spacing w:line="360" w:lineRule="auto"/>
        <w:jc w:val="both"/>
        <w:rPr>
          <w:rFonts w:ascii="Arial Narrow" w:eastAsia="Calibri" w:hAnsi="Arial Narrow"/>
          <w:lang w:eastAsia="en-US"/>
        </w:rPr>
      </w:pPr>
      <w:r w:rsidRPr="00E43057">
        <w:rPr>
          <w:rFonts w:ascii="Arial Narrow" w:eastAsia="Calibri" w:hAnsi="Arial Narrow"/>
          <w:lang w:eastAsia="en-US"/>
        </w:rPr>
        <w:t>Como</w:t>
      </w:r>
      <w:r w:rsidR="00503AF7" w:rsidRPr="00484CC1">
        <w:rPr>
          <w:rFonts w:ascii="Arial Narrow" w:eastAsia="Calibri" w:hAnsi="Arial Narrow"/>
          <w:lang w:eastAsia="en-US"/>
        </w:rPr>
        <w:t xml:space="preserve"> parte de la Política de Justicia Abierta para el Poder Judicial, todos los Planes Anuales Operativos institucionales son de acceso público, así como los reportes que permiten observar el nivel de avance Institucional, por Programa Presupuestario, Centro de Responsabilidad y por </w:t>
      </w:r>
      <w:r w:rsidR="00E04260">
        <w:rPr>
          <w:rFonts w:ascii="Arial Narrow" w:eastAsia="Calibri" w:hAnsi="Arial Narrow"/>
          <w:lang w:eastAsia="en-US"/>
        </w:rPr>
        <w:t>o</w:t>
      </w:r>
      <w:r w:rsidR="00503AF7" w:rsidRPr="00484CC1">
        <w:rPr>
          <w:rFonts w:ascii="Arial Narrow" w:eastAsia="Calibri" w:hAnsi="Arial Narrow"/>
          <w:lang w:eastAsia="en-US"/>
        </w:rPr>
        <w:t>ficina.</w:t>
      </w:r>
    </w:p>
    <w:p w14:paraId="3CE20402" w14:textId="77777777" w:rsidR="00E04260" w:rsidRDefault="00E04260" w:rsidP="00D10C04">
      <w:pPr>
        <w:spacing w:line="360" w:lineRule="auto"/>
        <w:jc w:val="both"/>
        <w:rPr>
          <w:rFonts w:ascii="Arial Narrow" w:eastAsia="Calibri" w:hAnsi="Arial Narrow"/>
          <w:lang w:eastAsia="en-US"/>
        </w:rPr>
      </w:pPr>
    </w:p>
    <w:p w14:paraId="019D24F7" w14:textId="2EF223EC" w:rsidR="00532837" w:rsidRDefault="00503AF7" w:rsidP="00D10C04">
      <w:pPr>
        <w:spacing w:line="360" w:lineRule="auto"/>
        <w:jc w:val="both"/>
        <w:rPr>
          <w:rFonts w:ascii="Arial Narrow" w:eastAsia="Calibri" w:hAnsi="Arial Narrow"/>
          <w:lang w:eastAsia="en-US"/>
        </w:rPr>
      </w:pPr>
      <w:r w:rsidRPr="00484CC1">
        <w:rPr>
          <w:rFonts w:ascii="Arial Narrow" w:eastAsia="Calibri" w:hAnsi="Arial Narrow"/>
          <w:lang w:eastAsia="en-US"/>
        </w:rPr>
        <w:t xml:space="preserve">De igual manera, las metas e indicadores estratégicos son accesibles para que cualquier persona que desea consultarlos pueda analizar el PEI 2019-2024 por medio de diversas herramientas informáticas, se pone a disposición de la ciudadanía ese acceso libre. </w:t>
      </w:r>
    </w:p>
    <w:p w14:paraId="1A58CF8F" w14:textId="77777777" w:rsidR="00567BA2" w:rsidRDefault="00567BA2" w:rsidP="00D10C04">
      <w:pPr>
        <w:spacing w:line="360" w:lineRule="auto"/>
        <w:jc w:val="both"/>
        <w:rPr>
          <w:rFonts w:ascii="Arial Narrow" w:eastAsia="Calibri" w:hAnsi="Arial Narrow"/>
          <w:lang w:eastAsia="en-US"/>
        </w:rPr>
      </w:pPr>
    </w:p>
    <w:p w14:paraId="5C2A3607" w14:textId="77777777" w:rsidR="003871E0" w:rsidRDefault="001A60A6" w:rsidP="003871E0">
      <w:pPr>
        <w:spacing w:line="360" w:lineRule="auto"/>
        <w:jc w:val="both"/>
        <w:rPr>
          <w:rFonts w:ascii="Arial Narrow" w:eastAsia="Calibri" w:hAnsi="Arial Narrow"/>
          <w:lang w:eastAsia="en-US"/>
        </w:rPr>
      </w:pPr>
      <w:hyperlink r:id="rId177" w:history="1">
        <w:r w:rsidR="003871E0" w:rsidRPr="004D55DD">
          <w:rPr>
            <w:rStyle w:val="Hipervnculo"/>
            <w:rFonts w:ascii="Arial Narrow" w:eastAsia="Calibri" w:hAnsi="Arial Narrow"/>
            <w:lang w:eastAsia="en-US"/>
          </w:rPr>
          <w:t>https://planificacion.poder-judicial.go.cr/index.php/evaluacion/plan-estrategico-institucional</w:t>
        </w:r>
      </w:hyperlink>
    </w:p>
    <w:p w14:paraId="5A6783DB" w14:textId="77777777" w:rsidR="003871E0" w:rsidRDefault="001A60A6" w:rsidP="003871E0">
      <w:pPr>
        <w:spacing w:line="360" w:lineRule="auto"/>
        <w:jc w:val="both"/>
        <w:rPr>
          <w:rFonts w:ascii="Arial Narrow" w:eastAsia="Calibri" w:hAnsi="Arial Narrow"/>
          <w:lang w:eastAsia="en-US"/>
        </w:rPr>
      </w:pPr>
      <w:hyperlink r:id="rId178" w:history="1">
        <w:r w:rsidR="003871E0" w:rsidRPr="004D55DD">
          <w:rPr>
            <w:rStyle w:val="Hipervnculo"/>
            <w:rFonts w:ascii="Arial Narrow" w:eastAsia="Calibri" w:hAnsi="Arial Narrow"/>
            <w:lang w:eastAsia="en-US"/>
          </w:rPr>
          <w:t>https://pei.poder-judicial.go.c/</w:t>
        </w:r>
      </w:hyperlink>
    </w:p>
    <w:p w14:paraId="5963FC16" w14:textId="77777777" w:rsidR="00ED12B4" w:rsidRDefault="00ED12B4" w:rsidP="00D10C04">
      <w:pPr>
        <w:spacing w:line="360" w:lineRule="auto"/>
        <w:jc w:val="both"/>
        <w:rPr>
          <w:rFonts w:ascii="Arial Narrow" w:eastAsia="Calibri" w:hAnsi="Arial Narrow"/>
          <w:lang w:eastAsia="en-US"/>
        </w:rPr>
      </w:pPr>
    </w:p>
    <w:p w14:paraId="4E3EC03C" w14:textId="73644219" w:rsidR="00E61DA1" w:rsidRDefault="00503AF7" w:rsidP="00D10C04">
      <w:pPr>
        <w:spacing w:line="360" w:lineRule="auto"/>
        <w:jc w:val="both"/>
        <w:rPr>
          <w:rFonts w:ascii="Arial Narrow" w:eastAsia="Calibri" w:hAnsi="Arial Narrow"/>
          <w:lang w:eastAsia="en-US"/>
        </w:rPr>
      </w:pPr>
      <w:r w:rsidRPr="00484CC1">
        <w:rPr>
          <w:rFonts w:ascii="Arial Narrow" w:eastAsia="Calibri" w:hAnsi="Arial Narrow"/>
          <w:lang w:eastAsia="en-US"/>
        </w:rPr>
        <w:t>La Dirección de Planificación lleva a cabo el</w:t>
      </w:r>
      <w:r w:rsidR="00BE0940" w:rsidRPr="00484CC1">
        <w:rPr>
          <w:rFonts w:ascii="Arial Narrow" w:eastAsia="Calibri" w:hAnsi="Arial Narrow"/>
          <w:lang w:eastAsia="en-US"/>
        </w:rPr>
        <w:t xml:space="preserve"> seguimiento y rendición de cuentas sobre el quehacer estratégico </w:t>
      </w:r>
      <w:r w:rsidR="00BE0940" w:rsidRPr="003871E0">
        <w:rPr>
          <w:rFonts w:ascii="Arial Narrow" w:eastAsia="Calibri" w:hAnsi="Arial Narrow"/>
          <w:lang w:eastAsia="en-US"/>
        </w:rPr>
        <w:t>institucional</w:t>
      </w:r>
      <w:r w:rsidRPr="003871E0">
        <w:rPr>
          <w:rFonts w:ascii="Arial Narrow" w:eastAsia="Calibri" w:hAnsi="Arial Narrow"/>
          <w:lang w:eastAsia="en-US"/>
        </w:rPr>
        <w:t xml:space="preserve"> y</w:t>
      </w:r>
      <w:r w:rsidR="00E07A24" w:rsidRPr="003871E0">
        <w:rPr>
          <w:rFonts w:ascii="Arial Narrow" w:eastAsia="Calibri" w:hAnsi="Arial Narrow"/>
          <w:lang w:eastAsia="en-US"/>
        </w:rPr>
        <w:t xml:space="preserve"> durante el 2019</w:t>
      </w:r>
      <w:r w:rsidR="007F37FB" w:rsidRPr="003871E0">
        <w:rPr>
          <w:rFonts w:ascii="Arial Narrow" w:eastAsia="Calibri" w:hAnsi="Arial Narrow"/>
          <w:lang w:eastAsia="en-US"/>
        </w:rPr>
        <w:t xml:space="preserve"> y 2020</w:t>
      </w:r>
      <w:r w:rsidR="00BE0940" w:rsidRPr="003871E0">
        <w:rPr>
          <w:rFonts w:ascii="Arial Narrow" w:eastAsia="Calibri" w:hAnsi="Arial Narrow"/>
          <w:lang w:eastAsia="en-US"/>
        </w:rPr>
        <w:t xml:space="preserve"> se rindieron varios boletines </w:t>
      </w:r>
      <w:r w:rsidR="00E61DA1" w:rsidRPr="003871E0">
        <w:rPr>
          <w:rFonts w:ascii="Arial Narrow" w:eastAsia="Calibri" w:hAnsi="Arial Narrow"/>
          <w:lang w:eastAsia="en-US"/>
        </w:rPr>
        <w:t xml:space="preserve">informativos del PEI y su cumplimiento, </w:t>
      </w:r>
      <w:r w:rsidR="00BE0940" w:rsidRPr="003871E0">
        <w:rPr>
          <w:rFonts w:ascii="Arial Narrow" w:eastAsia="Calibri" w:hAnsi="Arial Narrow"/>
          <w:lang w:eastAsia="en-US"/>
        </w:rPr>
        <w:t xml:space="preserve">se destacan los </w:t>
      </w:r>
      <w:r w:rsidR="003871E0" w:rsidRPr="00CC279A">
        <w:rPr>
          <w:rFonts w:ascii="Arial Narrow" w:eastAsia="Calibri" w:hAnsi="Arial Narrow"/>
          <w:lang w:eastAsia="en-US"/>
        </w:rPr>
        <w:t xml:space="preserve">boletines </w:t>
      </w:r>
      <w:r w:rsidR="00BE0940" w:rsidRPr="003871E0">
        <w:rPr>
          <w:rFonts w:ascii="Arial Narrow" w:eastAsia="Calibri" w:hAnsi="Arial Narrow"/>
          <w:lang w:eastAsia="en-US"/>
        </w:rPr>
        <w:t xml:space="preserve">que se </w:t>
      </w:r>
      <w:r w:rsidR="00E61DA1" w:rsidRPr="003871E0">
        <w:rPr>
          <w:rFonts w:ascii="Arial Narrow" w:eastAsia="Calibri" w:hAnsi="Arial Narrow"/>
          <w:lang w:eastAsia="en-US"/>
        </w:rPr>
        <w:t>muestran de seguido:</w:t>
      </w:r>
    </w:p>
    <w:p w14:paraId="077BA012" w14:textId="77777777" w:rsidR="006F3725" w:rsidRDefault="006F3725" w:rsidP="00D10C04">
      <w:pPr>
        <w:spacing w:line="360" w:lineRule="auto"/>
        <w:jc w:val="both"/>
        <w:rPr>
          <w:rFonts w:ascii="Arial Narrow" w:eastAsia="Calibri" w:hAnsi="Arial Narrow"/>
          <w:lang w:eastAsia="en-US"/>
        </w:rPr>
      </w:pPr>
    </w:p>
    <w:p w14:paraId="2CDAAAC1" w14:textId="1D59C29E" w:rsidR="003871E0" w:rsidRDefault="00297B55" w:rsidP="00297B55">
      <w:pPr>
        <w:pStyle w:val="Descripcin"/>
        <w:jc w:val="center"/>
        <w:rPr>
          <w:rFonts w:ascii="Arial Narrow" w:eastAsia="Calibri" w:hAnsi="Arial Narrow"/>
          <w:sz w:val="24"/>
          <w:szCs w:val="24"/>
          <w:lang w:eastAsia="en-US"/>
        </w:rPr>
      </w:pPr>
      <w:bookmarkStart w:id="181" w:name="_Toc84919480"/>
      <w:r w:rsidRPr="00CC279A">
        <w:rPr>
          <w:rFonts w:ascii="Arial Narrow" w:eastAsia="Calibri" w:hAnsi="Arial Narrow"/>
          <w:sz w:val="24"/>
          <w:szCs w:val="24"/>
          <w:lang w:eastAsia="en-US"/>
        </w:rPr>
        <w:t xml:space="preserve">Tabla </w:t>
      </w:r>
      <w:r w:rsidRPr="00CC279A">
        <w:rPr>
          <w:rFonts w:ascii="Arial Narrow" w:eastAsia="Calibri" w:hAnsi="Arial Narrow"/>
          <w:sz w:val="24"/>
          <w:szCs w:val="24"/>
          <w:lang w:eastAsia="en-US"/>
        </w:rPr>
        <w:fldChar w:fldCharType="begin"/>
      </w:r>
      <w:r w:rsidRPr="00CC279A">
        <w:rPr>
          <w:rFonts w:ascii="Arial Narrow" w:eastAsia="Calibri" w:hAnsi="Arial Narrow"/>
          <w:sz w:val="24"/>
          <w:szCs w:val="24"/>
          <w:lang w:eastAsia="en-US"/>
        </w:rPr>
        <w:instrText xml:space="preserve"> SEQ Tabla \* ARABIC </w:instrText>
      </w:r>
      <w:r w:rsidRPr="00CC279A">
        <w:rPr>
          <w:rFonts w:ascii="Arial Narrow" w:eastAsia="Calibri" w:hAnsi="Arial Narrow"/>
          <w:sz w:val="24"/>
          <w:szCs w:val="24"/>
          <w:lang w:eastAsia="en-US"/>
        </w:rPr>
        <w:fldChar w:fldCharType="separate"/>
      </w:r>
      <w:r w:rsidRPr="00CC279A">
        <w:rPr>
          <w:rFonts w:ascii="Arial Narrow" w:eastAsia="Calibri" w:hAnsi="Arial Narrow"/>
          <w:sz w:val="24"/>
          <w:szCs w:val="24"/>
          <w:lang w:eastAsia="en-US"/>
        </w:rPr>
        <w:t>22</w:t>
      </w:r>
      <w:r w:rsidRPr="00CC279A">
        <w:rPr>
          <w:rFonts w:ascii="Arial Narrow" w:eastAsia="Calibri" w:hAnsi="Arial Narrow"/>
          <w:sz w:val="24"/>
          <w:szCs w:val="24"/>
          <w:lang w:eastAsia="en-US"/>
        </w:rPr>
        <w:fldChar w:fldCharType="end"/>
      </w:r>
      <w:r w:rsidRPr="00CC279A">
        <w:rPr>
          <w:rFonts w:ascii="Arial Narrow" w:eastAsia="Calibri" w:hAnsi="Arial Narrow"/>
          <w:sz w:val="24"/>
          <w:szCs w:val="24"/>
          <w:lang w:eastAsia="en-US"/>
        </w:rPr>
        <w:t xml:space="preserve"> Boletines informativos del PEI </w:t>
      </w:r>
      <w:r w:rsidRPr="00297B55">
        <w:rPr>
          <w:rFonts w:ascii="Arial Narrow" w:eastAsia="Calibri" w:hAnsi="Arial Narrow"/>
          <w:sz w:val="24"/>
          <w:szCs w:val="24"/>
          <w:lang w:eastAsia="en-US"/>
        </w:rPr>
        <w:t>rendidos en</w:t>
      </w:r>
      <w:r w:rsidRPr="00CC279A">
        <w:rPr>
          <w:rFonts w:ascii="Arial Narrow" w:eastAsia="Calibri" w:hAnsi="Arial Narrow"/>
          <w:sz w:val="24"/>
          <w:szCs w:val="24"/>
          <w:lang w:eastAsia="en-US"/>
        </w:rPr>
        <w:t xml:space="preserve"> el año 2019 y 2020</w:t>
      </w:r>
      <w:bookmarkEnd w:id="181"/>
    </w:p>
    <w:p w14:paraId="057101DA" w14:textId="77777777" w:rsidR="00297B55" w:rsidRPr="00CC279A" w:rsidRDefault="00297B55" w:rsidP="00CC279A">
      <w:pPr>
        <w:rPr>
          <w:rFonts w:eastAsia="Calibri"/>
          <w:lang w:eastAsia="en-US"/>
        </w:rPr>
      </w:pPr>
    </w:p>
    <w:tbl>
      <w:tblPr>
        <w:tblStyle w:val="Tablaconcuadrcula"/>
        <w:tblW w:w="0" w:type="auto"/>
        <w:tblLook w:val="04A0" w:firstRow="1" w:lastRow="0" w:firstColumn="1" w:lastColumn="0" w:noHBand="0" w:noVBand="1"/>
      </w:tblPr>
      <w:tblGrid>
        <w:gridCol w:w="4601"/>
        <w:gridCol w:w="4602"/>
      </w:tblGrid>
      <w:tr w:rsidR="006F3725" w14:paraId="39FAA873" w14:textId="77777777" w:rsidTr="00C801FF">
        <w:tc>
          <w:tcPr>
            <w:tcW w:w="4601" w:type="dxa"/>
            <w:vAlign w:val="center"/>
          </w:tcPr>
          <w:p w14:paraId="22675FB0" w14:textId="2DA5B5F4" w:rsidR="003871E0" w:rsidRDefault="00C801FF" w:rsidP="00CC279A">
            <w:pPr>
              <w:spacing w:line="360" w:lineRule="auto"/>
              <w:jc w:val="center"/>
              <w:rPr>
                <w:rFonts w:ascii="Arial Narrow" w:eastAsia="Calibri" w:hAnsi="Arial Narrow"/>
                <w:lang w:eastAsia="en-US"/>
              </w:rPr>
            </w:pPr>
            <w:r>
              <w:rPr>
                <w:rFonts w:ascii="Arial Narrow" w:eastAsia="Calibri" w:hAnsi="Arial Narrow"/>
                <w:lang w:eastAsia="en-US"/>
              </w:rPr>
              <w:t xml:space="preserve">Boletín </w:t>
            </w:r>
            <w:r w:rsidR="003871E0">
              <w:rPr>
                <w:rFonts w:ascii="Arial Narrow" w:eastAsia="Calibri" w:hAnsi="Arial Narrow"/>
                <w:lang w:eastAsia="en-US"/>
              </w:rPr>
              <w:t xml:space="preserve">2019 </w:t>
            </w:r>
            <w:r>
              <w:rPr>
                <w:rFonts w:ascii="Arial Narrow" w:eastAsia="Calibri" w:hAnsi="Arial Narrow"/>
                <w:lang w:eastAsia="en-US"/>
              </w:rPr>
              <w:t xml:space="preserve">con corte </w:t>
            </w:r>
            <w:r w:rsidR="003871E0">
              <w:rPr>
                <w:rFonts w:ascii="Arial Narrow" w:eastAsia="Calibri" w:hAnsi="Arial Narrow"/>
                <w:lang w:eastAsia="en-US"/>
              </w:rPr>
              <w:t>primer semestre</w:t>
            </w:r>
          </w:p>
        </w:tc>
        <w:tc>
          <w:tcPr>
            <w:tcW w:w="4602" w:type="dxa"/>
            <w:vAlign w:val="center"/>
          </w:tcPr>
          <w:p w14:paraId="72CE9669" w14:textId="6B63CACA" w:rsidR="003871E0" w:rsidRDefault="00C801FF" w:rsidP="00CC279A">
            <w:pPr>
              <w:spacing w:line="360" w:lineRule="auto"/>
              <w:jc w:val="center"/>
              <w:rPr>
                <w:rFonts w:ascii="Arial Narrow" w:eastAsia="Calibri" w:hAnsi="Arial Narrow"/>
                <w:lang w:eastAsia="en-US"/>
              </w:rPr>
            </w:pPr>
            <w:r>
              <w:rPr>
                <w:rFonts w:ascii="Arial Narrow" w:eastAsia="Calibri" w:hAnsi="Arial Narrow"/>
                <w:lang w:eastAsia="en-US"/>
              </w:rPr>
              <w:object w:dxaOrig="1548" w:dyaOrig="973" w14:anchorId="713A79E9">
                <v:shape id="_x0000_i1038" type="#_x0000_t75" style="width:77.25pt;height:46.45pt" o:ole="">
                  <v:imagedata r:id="rId179" o:title=""/>
                </v:shape>
                <o:OLEObject Type="Embed" ProgID="AcroExch.Document.DC" ShapeID="_x0000_i1038" DrawAspect="Icon" ObjectID="_1696768457" r:id="rId180"/>
              </w:object>
            </w:r>
          </w:p>
        </w:tc>
      </w:tr>
      <w:tr w:rsidR="006F3725" w14:paraId="74BBC7BC" w14:textId="77777777" w:rsidTr="00C801FF">
        <w:tc>
          <w:tcPr>
            <w:tcW w:w="4601" w:type="dxa"/>
            <w:vAlign w:val="center"/>
          </w:tcPr>
          <w:p w14:paraId="4A2AE840" w14:textId="07310D79" w:rsidR="003871E0" w:rsidRDefault="00C801FF" w:rsidP="00CC279A">
            <w:pPr>
              <w:spacing w:line="360" w:lineRule="auto"/>
              <w:jc w:val="center"/>
              <w:rPr>
                <w:rFonts w:ascii="Arial Narrow" w:eastAsia="Calibri" w:hAnsi="Arial Narrow"/>
                <w:lang w:eastAsia="en-US"/>
              </w:rPr>
            </w:pPr>
            <w:r>
              <w:rPr>
                <w:rFonts w:ascii="Arial Narrow" w:eastAsia="Calibri" w:hAnsi="Arial Narrow"/>
                <w:lang w:eastAsia="en-US"/>
              </w:rPr>
              <w:t>Boletín 2019 Anual</w:t>
            </w:r>
          </w:p>
        </w:tc>
        <w:tc>
          <w:tcPr>
            <w:tcW w:w="4602" w:type="dxa"/>
            <w:vAlign w:val="center"/>
          </w:tcPr>
          <w:p w14:paraId="6B1CBB7C" w14:textId="3F665241" w:rsidR="003871E0" w:rsidRDefault="00C801FF" w:rsidP="00CC279A">
            <w:pPr>
              <w:spacing w:line="360" w:lineRule="auto"/>
              <w:jc w:val="center"/>
              <w:rPr>
                <w:rFonts w:ascii="Arial Narrow" w:eastAsia="Calibri" w:hAnsi="Arial Narrow"/>
                <w:lang w:eastAsia="en-US"/>
              </w:rPr>
            </w:pPr>
            <w:r>
              <w:rPr>
                <w:rFonts w:ascii="Arial Narrow" w:eastAsia="Calibri" w:hAnsi="Arial Narrow"/>
                <w:lang w:eastAsia="en-US"/>
              </w:rPr>
              <w:object w:dxaOrig="1548" w:dyaOrig="973" w14:anchorId="1DA0DDB6">
                <v:shape id="_x0000_i1039" type="#_x0000_t75" style="width:77.25pt;height:46.45pt" o:ole="">
                  <v:imagedata r:id="rId181" o:title=""/>
                </v:shape>
                <o:OLEObject Type="Embed" ProgID="AcroExch.Document.DC" ShapeID="_x0000_i1039" DrawAspect="Icon" ObjectID="_1696768458" r:id="rId182"/>
              </w:object>
            </w:r>
          </w:p>
        </w:tc>
      </w:tr>
      <w:tr w:rsidR="006F3725" w14:paraId="6E502E61" w14:textId="77777777" w:rsidTr="00C801FF">
        <w:tc>
          <w:tcPr>
            <w:tcW w:w="4601" w:type="dxa"/>
            <w:vAlign w:val="center"/>
          </w:tcPr>
          <w:p w14:paraId="77FE1795" w14:textId="4BC004D9" w:rsidR="003871E0" w:rsidRDefault="00C801FF" w:rsidP="00CC279A">
            <w:pPr>
              <w:spacing w:line="360" w:lineRule="auto"/>
              <w:jc w:val="center"/>
              <w:rPr>
                <w:rFonts w:ascii="Arial Narrow" w:eastAsia="Calibri" w:hAnsi="Arial Narrow"/>
                <w:lang w:eastAsia="en-US"/>
              </w:rPr>
            </w:pPr>
            <w:r>
              <w:rPr>
                <w:rFonts w:ascii="Arial Narrow" w:eastAsia="Calibri" w:hAnsi="Arial Narrow"/>
                <w:lang w:eastAsia="en-US"/>
              </w:rPr>
              <w:t>Boletín 2019 Resultados institucionales</w:t>
            </w:r>
          </w:p>
        </w:tc>
        <w:tc>
          <w:tcPr>
            <w:tcW w:w="4602" w:type="dxa"/>
            <w:vAlign w:val="center"/>
          </w:tcPr>
          <w:p w14:paraId="69DB9747" w14:textId="773AB532" w:rsidR="003871E0" w:rsidRDefault="00C801FF" w:rsidP="00CC279A">
            <w:pPr>
              <w:spacing w:line="360" w:lineRule="auto"/>
              <w:jc w:val="center"/>
              <w:rPr>
                <w:rFonts w:ascii="Arial Narrow" w:eastAsia="Calibri" w:hAnsi="Arial Narrow"/>
                <w:lang w:eastAsia="en-US"/>
              </w:rPr>
            </w:pPr>
            <w:r>
              <w:rPr>
                <w:rFonts w:ascii="Arial Narrow" w:eastAsia="Calibri" w:hAnsi="Arial Narrow"/>
                <w:lang w:eastAsia="en-US"/>
              </w:rPr>
              <w:object w:dxaOrig="1548" w:dyaOrig="973" w14:anchorId="00311D39">
                <v:shape id="_x0000_i1040" type="#_x0000_t75" style="width:77.25pt;height:46.45pt" o:ole="">
                  <v:imagedata r:id="rId183" o:title=""/>
                </v:shape>
                <o:OLEObject Type="Embed" ProgID="AcroExch.Document.DC" ShapeID="_x0000_i1040" DrawAspect="Icon" ObjectID="_1696768459" r:id="rId184"/>
              </w:object>
            </w:r>
          </w:p>
        </w:tc>
      </w:tr>
      <w:tr w:rsidR="006F3725" w14:paraId="1817A280" w14:textId="77777777" w:rsidTr="00C801FF">
        <w:tc>
          <w:tcPr>
            <w:tcW w:w="4601" w:type="dxa"/>
            <w:vAlign w:val="center"/>
          </w:tcPr>
          <w:p w14:paraId="56E8F073" w14:textId="3FE12091" w:rsidR="003871E0" w:rsidRDefault="00C801FF" w:rsidP="00CC279A">
            <w:pPr>
              <w:spacing w:line="360" w:lineRule="auto"/>
              <w:jc w:val="center"/>
              <w:rPr>
                <w:rFonts w:ascii="Arial Narrow" w:eastAsia="Calibri" w:hAnsi="Arial Narrow"/>
                <w:lang w:eastAsia="en-US"/>
              </w:rPr>
            </w:pPr>
            <w:r>
              <w:rPr>
                <w:rFonts w:ascii="Arial Narrow" w:eastAsia="Calibri" w:hAnsi="Arial Narrow"/>
                <w:lang w:eastAsia="en-US"/>
              </w:rPr>
              <w:lastRenderedPageBreak/>
              <w:t xml:space="preserve">Boletín 2020- con corte a mayo 2020 </w:t>
            </w:r>
          </w:p>
        </w:tc>
        <w:tc>
          <w:tcPr>
            <w:tcW w:w="4602" w:type="dxa"/>
            <w:vAlign w:val="center"/>
          </w:tcPr>
          <w:p w14:paraId="415D52F4" w14:textId="1C795A86" w:rsidR="003871E0" w:rsidRDefault="00C801FF" w:rsidP="00CC279A">
            <w:pPr>
              <w:spacing w:line="360" w:lineRule="auto"/>
              <w:jc w:val="center"/>
              <w:rPr>
                <w:rFonts w:ascii="Arial Narrow" w:eastAsia="Calibri" w:hAnsi="Arial Narrow"/>
                <w:lang w:eastAsia="en-US"/>
              </w:rPr>
            </w:pPr>
            <w:r>
              <w:rPr>
                <w:rFonts w:ascii="Arial Narrow" w:eastAsia="Calibri" w:hAnsi="Arial Narrow"/>
                <w:lang w:eastAsia="en-US"/>
              </w:rPr>
              <w:object w:dxaOrig="1548" w:dyaOrig="973" w14:anchorId="48811E6F">
                <v:shape id="_x0000_i1041" type="#_x0000_t75" style="width:77.25pt;height:46.45pt" o:ole="">
                  <v:imagedata r:id="rId185" o:title=""/>
                </v:shape>
                <o:OLEObject Type="Embed" ProgID="AcroExch.Document.DC" ShapeID="_x0000_i1041" DrawAspect="Icon" ObjectID="_1696768460" r:id="rId186"/>
              </w:object>
            </w:r>
          </w:p>
        </w:tc>
      </w:tr>
      <w:tr w:rsidR="006F3725" w14:paraId="200C7E4B" w14:textId="77777777" w:rsidTr="00C801FF">
        <w:tc>
          <w:tcPr>
            <w:tcW w:w="4601" w:type="dxa"/>
            <w:vAlign w:val="center"/>
          </w:tcPr>
          <w:p w14:paraId="384D7C78" w14:textId="7D15D0F9" w:rsidR="003871E0" w:rsidRDefault="00C801FF" w:rsidP="00CC279A">
            <w:pPr>
              <w:spacing w:line="360" w:lineRule="auto"/>
              <w:jc w:val="center"/>
              <w:rPr>
                <w:rFonts w:ascii="Arial Narrow" w:eastAsia="Calibri" w:hAnsi="Arial Narrow"/>
                <w:lang w:eastAsia="en-US"/>
              </w:rPr>
            </w:pPr>
            <w:r>
              <w:rPr>
                <w:rFonts w:ascii="Arial Narrow" w:eastAsia="Calibri" w:hAnsi="Arial Narrow"/>
                <w:lang w:eastAsia="en-US"/>
              </w:rPr>
              <w:t>Boletín 2020- con corte a setiembre 2020</w:t>
            </w:r>
          </w:p>
        </w:tc>
        <w:tc>
          <w:tcPr>
            <w:tcW w:w="4602" w:type="dxa"/>
            <w:vAlign w:val="center"/>
          </w:tcPr>
          <w:p w14:paraId="0FACCBC8" w14:textId="3BA213E5" w:rsidR="003871E0" w:rsidRDefault="00C801FF" w:rsidP="00CC279A">
            <w:pPr>
              <w:spacing w:line="360" w:lineRule="auto"/>
              <w:jc w:val="center"/>
              <w:rPr>
                <w:rFonts w:ascii="Arial Narrow" w:eastAsia="Calibri" w:hAnsi="Arial Narrow"/>
                <w:lang w:eastAsia="en-US"/>
              </w:rPr>
            </w:pPr>
            <w:r>
              <w:rPr>
                <w:rFonts w:ascii="Arial Narrow" w:eastAsia="Calibri" w:hAnsi="Arial Narrow"/>
                <w:lang w:eastAsia="en-US"/>
              </w:rPr>
              <w:object w:dxaOrig="1548" w:dyaOrig="973" w14:anchorId="013DD1B1">
                <v:shape id="_x0000_i1042" type="#_x0000_t75" style="width:77.25pt;height:46.45pt" o:ole="">
                  <v:imagedata r:id="rId187" o:title=""/>
                </v:shape>
                <o:OLEObject Type="Embed" ProgID="AcroExch.Document.DC" ShapeID="_x0000_i1042" DrawAspect="Icon" ObjectID="_1696768461" r:id="rId188"/>
              </w:object>
            </w:r>
          </w:p>
        </w:tc>
      </w:tr>
      <w:tr w:rsidR="006F3725" w14:paraId="78B7CE9A" w14:textId="77777777" w:rsidTr="00C801FF">
        <w:tc>
          <w:tcPr>
            <w:tcW w:w="4601" w:type="dxa"/>
            <w:vAlign w:val="center"/>
          </w:tcPr>
          <w:p w14:paraId="2653F5A0" w14:textId="18030ED3" w:rsidR="003871E0" w:rsidRDefault="00C801FF" w:rsidP="00CC279A">
            <w:pPr>
              <w:spacing w:line="360" w:lineRule="auto"/>
              <w:jc w:val="center"/>
              <w:rPr>
                <w:rFonts w:ascii="Arial Narrow" w:eastAsia="Calibri" w:hAnsi="Arial Narrow"/>
                <w:lang w:eastAsia="en-US"/>
              </w:rPr>
            </w:pPr>
            <w:r>
              <w:rPr>
                <w:rFonts w:ascii="Arial Narrow" w:eastAsia="Calibri" w:hAnsi="Arial Narrow"/>
                <w:lang w:eastAsia="en-US"/>
              </w:rPr>
              <w:t>Boletín 2020- con corte a octubre 2020</w:t>
            </w:r>
          </w:p>
        </w:tc>
        <w:tc>
          <w:tcPr>
            <w:tcW w:w="4602" w:type="dxa"/>
            <w:vAlign w:val="center"/>
          </w:tcPr>
          <w:p w14:paraId="7E02D02A" w14:textId="51168153" w:rsidR="003871E0" w:rsidRDefault="00C801FF" w:rsidP="00CC279A">
            <w:pPr>
              <w:spacing w:line="360" w:lineRule="auto"/>
              <w:jc w:val="center"/>
              <w:rPr>
                <w:rFonts w:ascii="Arial Narrow" w:eastAsia="Calibri" w:hAnsi="Arial Narrow"/>
                <w:lang w:eastAsia="en-US"/>
              </w:rPr>
            </w:pPr>
            <w:r>
              <w:rPr>
                <w:rFonts w:ascii="Arial Narrow" w:eastAsia="Calibri" w:hAnsi="Arial Narrow"/>
                <w:lang w:eastAsia="en-US"/>
              </w:rPr>
              <w:object w:dxaOrig="1548" w:dyaOrig="973" w14:anchorId="5CAC17B6">
                <v:shape id="_x0000_i1043" type="#_x0000_t75" style="width:77.25pt;height:46.45pt" o:ole="">
                  <v:imagedata r:id="rId189" o:title=""/>
                </v:shape>
                <o:OLEObject Type="Embed" ProgID="AcroExch.Document.DC" ShapeID="_x0000_i1043" DrawAspect="Icon" ObjectID="_1696768462" r:id="rId190"/>
              </w:object>
            </w:r>
          </w:p>
        </w:tc>
      </w:tr>
      <w:tr w:rsidR="006F3725" w14:paraId="1DF390BF" w14:textId="77777777" w:rsidTr="00C801FF">
        <w:tc>
          <w:tcPr>
            <w:tcW w:w="4601" w:type="dxa"/>
            <w:vAlign w:val="center"/>
          </w:tcPr>
          <w:p w14:paraId="02F6A4F5" w14:textId="478DDE17" w:rsidR="003871E0" w:rsidRDefault="00C801FF" w:rsidP="00CC279A">
            <w:pPr>
              <w:spacing w:line="360" w:lineRule="auto"/>
              <w:jc w:val="center"/>
              <w:rPr>
                <w:rFonts w:ascii="Arial Narrow" w:eastAsia="Calibri" w:hAnsi="Arial Narrow"/>
                <w:lang w:eastAsia="en-US"/>
              </w:rPr>
            </w:pPr>
            <w:r>
              <w:rPr>
                <w:rFonts w:ascii="Arial Narrow" w:eastAsia="Calibri" w:hAnsi="Arial Narrow"/>
                <w:lang w:eastAsia="en-US"/>
              </w:rPr>
              <w:t>Boletín 2020- con corte a diciembre 2020</w:t>
            </w:r>
          </w:p>
        </w:tc>
        <w:tc>
          <w:tcPr>
            <w:tcW w:w="4602" w:type="dxa"/>
            <w:vAlign w:val="center"/>
          </w:tcPr>
          <w:p w14:paraId="4B230F30" w14:textId="260F0113" w:rsidR="003871E0" w:rsidRDefault="00C801FF" w:rsidP="00CC279A">
            <w:pPr>
              <w:spacing w:line="360" w:lineRule="auto"/>
              <w:jc w:val="center"/>
              <w:rPr>
                <w:rFonts w:ascii="Arial Narrow" w:eastAsia="Calibri" w:hAnsi="Arial Narrow"/>
                <w:lang w:eastAsia="en-US"/>
              </w:rPr>
            </w:pPr>
            <w:r>
              <w:rPr>
                <w:rFonts w:ascii="Arial Narrow" w:eastAsia="Calibri" w:hAnsi="Arial Narrow"/>
                <w:lang w:eastAsia="en-US"/>
              </w:rPr>
              <w:object w:dxaOrig="1548" w:dyaOrig="973" w14:anchorId="5918C373">
                <v:shape id="_x0000_i1044" type="#_x0000_t75" style="width:77.25pt;height:46.45pt" o:ole="">
                  <v:imagedata r:id="rId191" o:title=""/>
                </v:shape>
                <o:OLEObject Type="Embed" ProgID="AcroExch.Document.DC" ShapeID="_x0000_i1044" DrawAspect="Icon" ObjectID="_1696768463" r:id="rId192"/>
              </w:object>
            </w:r>
          </w:p>
        </w:tc>
      </w:tr>
      <w:tr w:rsidR="006F3725" w14:paraId="41FF33A5" w14:textId="77777777" w:rsidTr="00C801FF">
        <w:tc>
          <w:tcPr>
            <w:tcW w:w="4601" w:type="dxa"/>
            <w:vAlign w:val="center"/>
          </w:tcPr>
          <w:p w14:paraId="7E4A7F11" w14:textId="565FCA2B" w:rsidR="003871E0" w:rsidRDefault="00C801FF" w:rsidP="00CC279A">
            <w:pPr>
              <w:spacing w:line="360" w:lineRule="auto"/>
              <w:jc w:val="center"/>
              <w:rPr>
                <w:rFonts w:ascii="Arial Narrow" w:eastAsia="Calibri" w:hAnsi="Arial Narrow"/>
                <w:lang w:eastAsia="en-US"/>
              </w:rPr>
            </w:pPr>
            <w:r>
              <w:rPr>
                <w:rFonts w:ascii="Arial Narrow" w:eastAsia="Calibri" w:hAnsi="Arial Narrow"/>
                <w:lang w:eastAsia="en-US"/>
              </w:rPr>
              <w:t>Boletín 2020- final</w:t>
            </w:r>
          </w:p>
        </w:tc>
        <w:tc>
          <w:tcPr>
            <w:tcW w:w="4602" w:type="dxa"/>
            <w:vAlign w:val="center"/>
          </w:tcPr>
          <w:p w14:paraId="0AF9A185" w14:textId="7EE7D052" w:rsidR="003871E0" w:rsidRDefault="00C801FF" w:rsidP="00CC279A">
            <w:pPr>
              <w:spacing w:line="360" w:lineRule="auto"/>
              <w:jc w:val="center"/>
              <w:rPr>
                <w:rFonts w:ascii="Arial Narrow" w:eastAsia="Calibri" w:hAnsi="Arial Narrow"/>
                <w:lang w:eastAsia="en-US"/>
              </w:rPr>
            </w:pPr>
            <w:r>
              <w:rPr>
                <w:rFonts w:ascii="Arial Narrow" w:eastAsia="Calibri" w:hAnsi="Arial Narrow"/>
                <w:lang w:eastAsia="en-US"/>
              </w:rPr>
              <w:object w:dxaOrig="1548" w:dyaOrig="973" w14:anchorId="06016762">
                <v:shape id="_x0000_i1045" type="#_x0000_t75" style="width:77.25pt;height:46.45pt" o:ole="">
                  <v:imagedata r:id="rId193" o:title=""/>
                </v:shape>
                <o:OLEObject Type="Embed" ProgID="PowerPoint.Show.12" ShapeID="_x0000_i1045" DrawAspect="Icon" ObjectID="_1696768464" r:id="rId194"/>
              </w:object>
            </w:r>
          </w:p>
        </w:tc>
      </w:tr>
    </w:tbl>
    <w:p w14:paraId="4E23E066" w14:textId="77777777" w:rsidR="003871E0" w:rsidRPr="000B4845" w:rsidRDefault="003871E0" w:rsidP="00D10C04">
      <w:pPr>
        <w:spacing w:line="360" w:lineRule="auto"/>
        <w:jc w:val="both"/>
        <w:rPr>
          <w:rFonts w:ascii="Arial Narrow" w:eastAsia="Calibri" w:hAnsi="Arial Narrow"/>
          <w:lang w:eastAsia="en-US"/>
        </w:rPr>
      </w:pPr>
    </w:p>
    <w:p w14:paraId="0DB95555" w14:textId="5F061CBC" w:rsidR="007F37FB" w:rsidRDefault="007F37FB" w:rsidP="00D10C04">
      <w:pPr>
        <w:spacing w:line="360" w:lineRule="auto"/>
        <w:jc w:val="both"/>
        <w:rPr>
          <w:rFonts w:ascii="Arial Narrow" w:eastAsia="Calibri" w:hAnsi="Arial Narrow"/>
          <w:lang w:eastAsia="en-US"/>
        </w:rPr>
      </w:pPr>
      <w:r>
        <w:rPr>
          <w:rFonts w:ascii="Arial Narrow" w:eastAsia="Calibri" w:hAnsi="Arial Narrow"/>
          <w:lang w:eastAsia="en-US"/>
        </w:rPr>
        <w:t xml:space="preserve">Se dispone del siguiente vinculo para consultar en la página web del PEI los boletines de los años indicados  </w:t>
      </w:r>
      <w:hyperlink r:id="rId195" w:history="1">
        <w:r w:rsidRPr="00692518">
          <w:rPr>
            <w:rStyle w:val="Hipervnculo"/>
            <w:rFonts w:ascii="Arial Narrow" w:eastAsia="Calibri" w:hAnsi="Arial Narrow"/>
            <w:lang w:eastAsia="en-US"/>
          </w:rPr>
          <w:t>https://pei.poder-judicial.go.cr/</w:t>
        </w:r>
      </w:hyperlink>
      <w:r>
        <w:rPr>
          <w:rFonts w:ascii="Arial Narrow" w:eastAsia="Calibri" w:hAnsi="Arial Narrow"/>
          <w:lang w:eastAsia="en-US"/>
        </w:rPr>
        <w:t xml:space="preserve"> </w:t>
      </w:r>
    </w:p>
    <w:p w14:paraId="5E0EA7BB" w14:textId="77777777" w:rsidR="00ED12B4" w:rsidRDefault="00ED12B4" w:rsidP="00D10C04">
      <w:pPr>
        <w:spacing w:line="360" w:lineRule="auto"/>
        <w:jc w:val="both"/>
        <w:rPr>
          <w:rFonts w:ascii="Arial Narrow" w:eastAsia="Calibri" w:hAnsi="Arial Narrow"/>
          <w:lang w:eastAsia="en-US"/>
        </w:rPr>
      </w:pPr>
    </w:p>
    <w:p w14:paraId="0D368FBD" w14:textId="77777777" w:rsidR="00ED12B4" w:rsidRDefault="00ED12B4" w:rsidP="00D10C04">
      <w:pPr>
        <w:spacing w:line="360" w:lineRule="auto"/>
        <w:jc w:val="both"/>
        <w:rPr>
          <w:rFonts w:ascii="Arial Narrow" w:eastAsia="Calibri" w:hAnsi="Arial Narrow"/>
          <w:lang w:eastAsia="en-US"/>
        </w:rPr>
      </w:pPr>
    </w:p>
    <w:p w14:paraId="08F9264C" w14:textId="5CC85A21" w:rsidR="00D10C04" w:rsidRDefault="002D42D4" w:rsidP="00D10C04">
      <w:pPr>
        <w:spacing w:line="360" w:lineRule="auto"/>
        <w:jc w:val="both"/>
        <w:rPr>
          <w:rFonts w:ascii="Arial Narrow" w:eastAsia="Calibri" w:hAnsi="Arial Narrow"/>
          <w:lang w:eastAsia="en-US"/>
        </w:rPr>
      </w:pPr>
      <w:r w:rsidRPr="00D10C04">
        <w:rPr>
          <w:rFonts w:ascii="Arial Narrow" w:eastAsia="Calibri" w:hAnsi="Arial Narrow"/>
          <w:lang w:eastAsia="en-US"/>
        </w:rPr>
        <w:t xml:space="preserve">A su vez, se dispone de un </w:t>
      </w:r>
      <w:r w:rsidR="00D10C04" w:rsidRPr="00D10C04">
        <w:rPr>
          <w:rFonts w:ascii="Arial Narrow" w:eastAsia="Calibri" w:hAnsi="Arial Narrow"/>
          <w:lang w:eastAsia="en-US"/>
        </w:rPr>
        <w:t>enlace</w:t>
      </w:r>
      <w:r w:rsidR="0092267A" w:rsidRPr="00D10C04">
        <w:rPr>
          <w:rFonts w:ascii="Arial Narrow" w:eastAsia="Calibri" w:hAnsi="Arial Narrow"/>
          <w:lang w:eastAsia="en-US"/>
        </w:rPr>
        <w:t xml:space="preserve"> </w:t>
      </w:r>
      <w:r w:rsidR="00D10C04" w:rsidRPr="00D10C04">
        <w:rPr>
          <w:rFonts w:ascii="Arial Narrow" w:eastAsia="Calibri" w:hAnsi="Arial Narrow"/>
          <w:lang w:eastAsia="en-US"/>
        </w:rPr>
        <w:t>al Sistema PEI, que permite acce</w:t>
      </w:r>
      <w:r w:rsidR="00E07A24">
        <w:rPr>
          <w:rFonts w:ascii="Arial Narrow" w:eastAsia="Calibri" w:hAnsi="Arial Narrow"/>
          <w:lang w:eastAsia="en-US"/>
        </w:rPr>
        <w:t>der</w:t>
      </w:r>
      <w:r w:rsidR="00D10C04" w:rsidRPr="00D10C04">
        <w:rPr>
          <w:rFonts w:ascii="Arial Narrow" w:eastAsia="Calibri" w:hAnsi="Arial Narrow"/>
          <w:lang w:eastAsia="en-US"/>
        </w:rPr>
        <w:t xml:space="preserve"> a la información acá indicada, esto en cumplimiento de la transparencia y acceso a la información. </w:t>
      </w:r>
      <w:r w:rsidR="00D10C04">
        <w:rPr>
          <w:rFonts w:ascii="Arial Narrow" w:eastAsia="Calibri" w:hAnsi="Arial Narrow"/>
          <w:lang w:eastAsia="en-US"/>
        </w:rPr>
        <w:t>Esto permite obtener avances del cumplimiento del PEI en tiempo real</w:t>
      </w:r>
      <w:r w:rsidR="00503AF7">
        <w:rPr>
          <w:rFonts w:ascii="Arial Narrow" w:eastAsia="Calibri" w:hAnsi="Arial Narrow"/>
          <w:lang w:eastAsia="en-US"/>
        </w:rPr>
        <w:t xml:space="preserve"> (de acuerdo con la fecha seleccionada).</w:t>
      </w:r>
    </w:p>
    <w:p w14:paraId="696BB831" w14:textId="77777777" w:rsidR="00ED12B4" w:rsidRDefault="001A60A6">
      <w:pPr>
        <w:rPr>
          <w:rStyle w:val="Hipervnculo"/>
          <w:rFonts w:ascii="Arial Narrow" w:eastAsia="Calibri" w:hAnsi="Arial Narrow"/>
          <w:lang w:eastAsia="en-US"/>
        </w:rPr>
      </w:pPr>
      <w:hyperlink r:id="rId196" w:history="1">
        <w:r w:rsidR="00D10C04" w:rsidRPr="002C3773">
          <w:rPr>
            <w:rStyle w:val="Hipervnculo"/>
            <w:rFonts w:ascii="Arial Narrow" w:eastAsia="Calibri" w:hAnsi="Arial Narrow"/>
            <w:lang w:eastAsia="en-US"/>
          </w:rPr>
          <w:t>https://pjenlinea3.poder-judicial.go.cr/SitioExternoPEI</w:t>
        </w:r>
      </w:hyperlink>
      <w:r w:rsidR="00901E05">
        <w:rPr>
          <w:rStyle w:val="Hipervnculo"/>
          <w:rFonts w:ascii="Arial Narrow" w:eastAsia="Calibri" w:hAnsi="Arial Narrow"/>
          <w:lang w:eastAsia="en-US"/>
        </w:rPr>
        <w:t xml:space="preserve">   </w:t>
      </w:r>
    </w:p>
    <w:p w14:paraId="0B1A716F" w14:textId="77777777" w:rsidR="00ED12B4" w:rsidRDefault="00ED12B4">
      <w:pPr>
        <w:rPr>
          <w:rStyle w:val="Hipervnculo"/>
          <w:rFonts w:ascii="Arial Narrow" w:eastAsia="Calibri" w:hAnsi="Arial Narrow"/>
          <w:lang w:eastAsia="en-US"/>
        </w:rPr>
      </w:pPr>
    </w:p>
    <w:p w14:paraId="137F7070" w14:textId="406F803D" w:rsidR="00A31105" w:rsidRDefault="00A31105">
      <w:pPr>
        <w:rPr>
          <w:rFonts w:ascii="Arial Narrow" w:eastAsia="Calibri" w:hAnsi="Arial Narrow"/>
          <w:sz w:val="28"/>
          <w:szCs w:val="28"/>
          <w:lang w:eastAsia="en-US"/>
        </w:rPr>
      </w:pPr>
      <w:r>
        <w:rPr>
          <w:rFonts w:ascii="Arial Narrow" w:eastAsia="Calibri" w:hAnsi="Arial Narrow"/>
          <w:sz w:val="28"/>
          <w:szCs w:val="28"/>
          <w:lang w:eastAsia="en-US"/>
        </w:rPr>
        <w:br w:type="page"/>
      </w:r>
    </w:p>
    <w:p w14:paraId="0373A208" w14:textId="039ABA6D" w:rsidR="00D46867" w:rsidRDefault="00D46867">
      <w:pPr>
        <w:rPr>
          <w:rFonts w:ascii="Arial Narrow" w:eastAsia="Calibri" w:hAnsi="Arial Narrow"/>
          <w:lang w:eastAsia="en-US"/>
        </w:rPr>
      </w:pPr>
    </w:p>
    <w:p w14:paraId="6BCFF81A" w14:textId="200B9EF8" w:rsidR="00DA143C" w:rsidRDefault="00DA143C">
      <w:pPr>
        <w:pStyle w:val="Ttulo2"/>
      </w:pPr>
      <w:bookmarkStart w:id="182" w:name="_Toc83621715"/>
      <w:bookmarkStart w:id="183" w:name="_Toc83621761"/>
      <w:bookmarkStart w:id="184" w:name="_Toc83630182"/>
      <w:bookmarkStart w:id="185" w:name="_Toc83621716"/>
      <w:bookmarkStart w:id="186" w:name="_Toc83621762"/>
      <w:bookmarkStart w:id="187" w:name="_Toc83630183"/>
      <w:bookmarkStart w:id="188" w:name="_Toc83621717"/>
      <w:bookmarkStart w:id="189" w:name="_Toc83621763"/>
      <w:bookmarkStart w:id="190" w:name="_Toc83630184"/>
      <w:bookmarkStart w:id="191" w:name="_Toc83621718"/>
      <w:bookmarkStart w:id="192" w:name="_Toc83621764"/>
      <w:bookmarkStart w:id="193" w:name="_Toc83630185"/>
      <w:bookmarkStart w:id="194" w:name="_Toc83621719"/>
      <w:bookmarkStart w:id="195" w:name="_Toc83621765"/>
      <w:bookmarkStart w:id="196" w:name="_Toc83630186"/>
      <w:bookmarkStart w:id="197" w:name="_Toc83621720"/>
      <w:bookmarkStart w:id="198" w:name="_Toc83621766"/>
      <w:bookmarkStart w:id="199" w:name="_Toc83630187"/>
      <w:bookmarkStart w:id="200" w:name="_Toc52198643"/>
      <w:bookmarkStart w:id="201" w:name="_Toc52200468"/>
      <w:bookmarkStart w:id="202" w:name="_Toc52198644"/>
      <w:bookmarkStart w:id="203" w:name="_Toc52200469"/>
      <w:bookmarkStart w:id="204" w:name="_Toc52198645"/>
      <w:bookmarkStart w:id="205" w:name="_Toc52200470"/>
      <w:bookmarkStart w:id="206" w:name="_Toc52198646"/>
      <w:bookmarkStart w:id="207" w:name="_Toc52200471"/>
      <w:bookmarkStart w:id="208" w:name="_Toc52198647"/>
      <w:bookmarkStart w:id="209" w:name="_Toc52200472"/>
      <w:bookmarkStart w:id="210" w:name="_Toc52198648"/>
      <w:bookmarkStart w:id="211" w:name="_Toc52200473"/>
      <w:bookmarkStart w:id="212" w:name="_Toc52198649"/>
      <w:bookmarkStart w:id="213" w:name="_Toc52200474"/>
      <w:bookmarkStart w:id="214" w:name="_Toc52198650"/>
      <w:bookmarkStart w:id="215" w:name="_Toc52200475"/>
      <w:bookmarkStart w:id="216" w:name="_Toc52198651"/>
      <w:bookmarkStart w:id="217" w:name="_Toc52200476"/>
      <w:bookmarkStart w:id="218" w:name="_Toc52198652"/>
      <w:bookmarkStart w:id="219" w:name="_Toc52200477"/>
      <w:bookmarkStart w:id="220" w:name="_Toc52198653"/>
      <w:bookmarkStart w:id="221" w:name="_Toc52200478"/>
      <w:bookmarkStart w:id="222" w:name="_Toc52198654"/>
      <w:bookmarkStart w:id="223" w:name="_Toc52200479"/>
      <w:bookmarkStart w:id="224" w:name="_Toc52198655"/>
      <w:bookmarkStart w:id="225" w:name="_Toc52200480"/>
      <w:bookmarkStart w:id="226" w:name="_Toc52198656"/>
      <w:bookmarkStart w:id="227" w:name="_Toc52200481"/>
      <w:bookmarkStart w:id="228" w:name="_Toc52198657"/>
      <w:bookmarkStart w:id="229" w:name="_Toc52200482"/>
      <w:bookmarkStart w:id="230" w:name="_Toc52198658"/>
      <w:bookmarkStart w:id="231" w:name="_Toc52200483"/>
      <w:bookmarkStart w:id="232" w:name="_Toc52198659"/>
      <w:bookmarkStart w:id="233" w:name="_Toc52200484"/>
      <w:bookmarkStart w:id="234" w:name="_Toc52198660"/>
      <w:bookmarkStart w:id="235" w:name="_Toc52200485"/>
      <w:bookmarkStart w:id="236" w:name="_Toc52198661"/>
      <w:bookmarkStart w:id="237" w:name="_Toc52200486"/>
      <w:bookmarkStart w:id="238" w:name="_Toc52198662"/>
      <w:bookmarkStart w:id="239" w:name="_Toc52200487"/>
      <w:bookmarkStart w:id="240" w:name="_Toc52198663"/>
      <w:bookmarkStart w:id="241" w:name="_Toc52200488"/>
      <w:bookmarkStart w:id="242" w:name="_Toc52198664"/>
      <w:bookmarkStart w:id="243" w:name="_Toc52200489"/>
      <w:bookmarkStart w:id="244" w:name="_Toc52198665"/>
      <w:bookmarkStart w:id="245" w:name="_Toc52200490"/>
      <w:bookmarkStart w:id="246" w:name="_Toc52198666"/>
      <w:bookmarkStart w:id="247" w:name="_Toc52200491"/>
      <w:bookmarkStart w:id="248" w:name="_Toc52198667"/>
      <w:bookmarkStart w:id="249" w:name="_Toc52200492"/>
      <w:bookmarkStart w:id="250" w:name="_Toc52198668"/>
      <w:bookmarkStart w:id="251" w:name="_Toc52200493"/>
      <w:bookmarkStart w:id="252" w:name="_Toc52198669"/>
      <w:bookmarkStart w:id="253" w:name="_Toc52200494"/>
      <w:bookmarkStart w:id="254" w:name="_Toc52198670"/>
      <w:bookmarkStart w:id="255" w:name="_Toc52200495"/>
      <w:bookmarkStart w:id="256" w:name="_Toc52198671"/>
      <w:bookmarkStart w:id="257" w:name="_Toc52200496"/>
      <w:bookmarkStart w:id="258" w:name="_Toc83621721"/>
      <w:bookmarkStart w:id="259" w:name="_Toc83621767"/>
      <w:bookmarkStart w:id="260" w:name="_Toc83630188"/>
      <w:bookmarkStart w:id="261" w:name="_Toc83621722"/>
      <w:bookmarkStart w:id="262" w:name="_Toc83621768"/>
      <w:bookmarkStart w:id="263" w:name="_Toc83630189"/>
      <w:bookmarkStart w:id="264" w:name="_Toc76061960"/>
      <w:bookmarkStart w:id="265" w:name="_Toc76062188"/>
      <w:bookmarkStart w:id="266" w:name="_Toc76066146"/>
      <w:bookmarkStart w:id="267" w:name="_Toc76069214"/>
      <w:bookmarkStart w:id="268" w:name="_Toc76061961"/>
      <w:bookmarkStart w:id="269" w:name="_Toc76062189"/>
      <w:bookmarkStart w:id="270" w:name="_Toc76066147"/>
      <w:bookmarkStart w:id="271" w:name="_Toc76069215"/>
      <w:bookmarkStart w:id="272" w:name="_Toc52200512"/>
      <w:bookmarkStart w:id="273" w:name="_Toc84919366"/>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r w:rsidRPr="00DA143C">
        <w:t xml:space="preserve">Impacto del </w:t>
      </w:r>
      <w:r w:rsidR="00731D25">
        <w:t>COVID-</w:t>
      </w:r>
      <w:r w:rsidRPr="00DA143C">
        <w:t xml:space="preserve"> 19</w:t>
      </w:r>
      <w:bookmarkEnd w:id="272"/>
      <w:r w:rsidRPr="00DA143C">
        <w:t xml:space="preserve"> en el P</w:t>
      </w:r>
      <w:r w:rsidR="006E5CA9">
        <w:t>lan Estratégico Institucional</w:t>
      </w:r>
      <w:bookmarkEnd w:id="273"/>
    </w:p>
    <w:p w14:paraId="78DE4EE1" w14:textId="77777777" w:rsidR="00806F7F" w:rsidRPr="008E5DA9" w:rsidRDefault="00806F7F" w:rsidP="00CC279A"/>
    <w:p w14:paraId="246DE60C" w14:textId="77777777" w:rsidR="00DA143C" w:rsidRPr="00DA143C" w:rsidRDefault="00DA143C" w:rsidP="00DA143C">
      <w:pPr>
        <w:rPr>
          <w:rFonts w:ascii="Arial Narrow" w:eastAsia="Calibri" w:hAnsi="Arial Narrow"/>
          <w:highlight w:val="yellow"/>
          <w:lang w:eastAsia="en-US"/>
        </w:rPr>
      </w:pPr>
    </w:p>
    <w:p w14:paraId="70A9F6A6" w14:textId="56C175F7" w:rsidR="00DA143C" w:rsidRPr="00DA143C" w:rsidRDefault="00DA143C" w:rsidP="00DA143C">
      <w:pPr>
        <w:spacing w:line="360" w:lineRule="auto"/>
        <w:jc w:val="both"/>
        <w:rPr>
          <w:rFonts w:ascii="Arial Narrow" w:hAnsi="Arial Narrow"/>
          <w:color w:val="000000"/>
          <w:shd w:val="clear" w:color="auto" w:fill="FFFFFF"/>
        </w:rPr>
      </w:pPr>
      <w:r w:rsidRPr="00DA143C">
        <w:rPr>
          <w:rFonts w:ascii="Arial Narrow" w:hAnsi="Arial Narrow"/>
          <w:color w:val="000000"/>
          <w:shd w:val="clear" w:color="auto" w:fill="FFFFFF"/>
        </w:rPr>
        <w:t xml:space="preserve">El 11 de marzo de 2020 la Organización Mundial de la Salud declaró al </w:t>
      </w:r>
      <w:r w:rsidR="00731D25">
        <w:rPr>
          <w:rFonts w:ascii="Arial Narrow" w:hAnsi="Arial Narrow"/>
          <w:color w:val="000000"/>
          <w:shd w:val="clear" w:color="auto" w:fill="FFFFFF"/>
        </w:rPr>
        <w:t>COVID-</w:t>
      </w:r>
      <w:r w:rsidRPr="00DA143C">
        <w:rPr>
          <w:rFonts w:ascii="Arial Narrow" w:hAnsi="Arial Narrow"/>
          <w:color w:val="000000"/>
          <w:shd w:val="clear" w:color="auto" w:fill="FFFFFF"/>
        </w:rPr>
        <w:t xml:space="preserve"> 19 como pandemia a nivel mundial, lo cual ha provocado una situación de emergencia a nivel internacional y nacional, lo cual ha impacto en la prestación de servicios al tenerse limitaciones en el desarrollo de actos procesales de manera presencial por los riesgos de contagio y volatilidad de propagación de la enfermedad, lo cual ha provocado que el Poder Judicial no escape de esa afectación y haya tenido que diseñar estrategias para la prestación de servicios, adaptándose a la nueva realidad y provocando una afectación en las metas del Plan Estratégico Institucional 2019-2024, lo cual se origina </w:t>
      </w:r>
      <w:r w:rsidR="00505A06">
        <w:rPr>
          <w:rFonts w:ascii="Arial Narrow" w:hAnsi="Arial Narrow"/>
          <w:color w:val="000000"/>
          <w:shd w:val="clear" w:color="auto" w:fill="FFFFFF"/>
        </w:rPr>
        <w:t>y</w:t>
      </w:r>
      <w:r w:rsidRPr="00DA143C">
        <w:rPr>
          <w:rFonts w:ascii="Arial Narrow" w:hAnsi="Arial Narrow"/>
          <w:color w:val="000000"/>
          <w:shd w:val="clear" w:color="auto" w:fill="FFFFFF"/>
        </w:rPr>
        <w:t xml:space="preserve">a que cuando este fue formulado era impensable una emergencia del impacto que ha tenido el </w:t>
      </w:r>
      <w:r w:rsidR="00731D25">
        <w:rPr>
          <w:rFonts w:ascii="Arial Narrow" w:hAnsi="Arial Narrow"/>
          <w:color w:val="000000"/>
          <w:shd w:val="clear" w:color="auto" w:fill="FFFFFF"/>
        </w:rPr>
        <w:t>COVID-</w:t>
      </w:r>
      <w:r w:rsidRPr="00DA143C">
        <w:rPr>
          <w:rFonts w:ascii="Arial Narrow" w:hAnsi="Arial Narrow"/>
          <w:color w:val="000000"/>
          <w:shd w:val="clear" w:color="auto" w:fill="FFFFFF"/>
        </w:rPr>
        <w:t>19.  A continuación, se hace una descripción de las principales decisiones tomadas por la Corte Plena para la prestación de servicios durante este periodo de emergencia y los respectivos análisis que se han solicitado a la Dirección de Planificación que tienen impacto en las metas del PEI</w:t>
      </w:r>
      <w:r w:rsidR="004E3F80">
        <w:rPr>
          <w:rFonts w:ascii="Arial Narrow" w:hAnsi="Arial Narrow"/>
          <w:color w:val="000000"/>
          <w:shd w:val="clear" w:color="auto" w:fill="FFFFFF"/>
        </w:rPr>
        <w:t>.</w:t>
      </w:r>
    </w:p>
    <w:p w14:paraId="43682FF9" w14:textId="77777777" w:rsidR="00DA143C" w:rsidRPr="00DA143C" w:rsidRDefault="00DA143C" w:rsidP="00DA143C">
      <w:pPr>
        <w:spacing w:line="360" w:lineRule="auto"/>
        <w:jc w:val="both"/>
        <w:rPr>
          <w:rFonts w:ascii="Arial Narrow" w:hAnsi="Arial Narrow"/>
          <w:color w:val="000000"/>
          <w:shd w:val="clear" w:color="auto" w:fill="FFFFFF"/>
        </w:rPr>
      </w:pPr>
    </w:p>
    <w:p w14:paraId="0F052C11" w14:textId="69E3CED6" w:rsidR="00DA143C" w:rsidRPr="00DA143C" w:rsidRDefault="00DA143C" w:rsidP="005E067A">
      <w:pPr>
        <w:spacing w:line="360" w:lineRule="auto"/>
        <w:jc w:val="both"/>
        <w:rPr>
          <w:rFonts w:ascii="Arial Narrow" w:hAnsi="Arial Narrow"/>
          <w:color w:val="000000"/>
          <w:shd w:val="clear" w:color="auto" w:fill="FFFFFF"/>
        </w:rPr>
      </w:pPr>
      <w:r w:rsidRPr="00DA143C">
        <w:rPr>
          <w:rFonts w:ascii="Arial Narrow" w:hAnsi="Arial Narrow"/>
          <w:color w:val="000000"/>
          <w:shd w:val="clear" w:color="auto" w:fill="FFFFFF"/>
        </w:rPr>
        <w:t>La Corte Plena en sesión extraordinaria</w:t>
      </w:r>
      <w:r w:rsidR="00136C09">
        <w:rPr>
          <w:rFonts w:ascii="Arial Narrow" w:hAnsi="Arial Narrow"/>
          <w:color w:val="000000"/>
          <w:shd w:val="clear" w:color="auto" w:fill="FFFFFF"/>
        </w:rPr>
        <w:t xml:space="preserve"> </w:t>
      </w:r>
      <w:r w:rsidRPr="00DA143C">
        <w:rPr>
          <w:rFonts w:ascii="Arial Narrow" w:hAnsi="Arial Narrow"/>
          <w:color w:val="000000"/>
          <w:shd w:val="clear" w:color="auto" w:fill="FFFFFF"/>
        </w:rPr>
        <w:t xml:space="preserve">15-2020, celebrada el 20 de marzo de 2020, artículo Único, en atención a las medidas adoptadas por el Ministerio de Salud, así como el decreto ejecutivo 42227-MS emitido el día 16 de marzo de 2020, en que se declara estado de emergencia nacional en todo el territorio de la República de Costa Rica, debido a la situación de emergencia sanitaria provocada por la enfermedad </w:t>
      </w:r>
      <w:r w:rsidR="00731D25">
        <w:rPr>
          <w:rFonts w:ascii="Arial Narrow" w:hAnsi="Arial Narrow"/>
          <w:color w:val="000000"/>
          <w:shd w:val="clear" w:color="auto" w:fill="FFFFFF"/>
        </w:rPr>
        <w:t>COVID-</w:t>
      </w:r>
      <w:r w:rsidRPr="00DA143C">
        <w:rPr>
          <w:rFonts w:ascii="Arial Narrow" w:hAnsi="Arial Narrow"/>
          <w:color w:val="000000"/>
          <w:shd w:val="clear" w:color="auto" w:fill="FFFFFF"/>
        </w:rPr>
        <w:t>19, </w:t>
      </w:r>
      <w:r w:rsidR="00010417">
        <w:rPr>
          <w:rFonts w:ascii="Arial Narrow" w:hAnsi="Arial Narrow"/>
          <w:color w:val="000000"/>
          <w:shd w:val="clear" w:color="auto" w:fill="FFFFFF"/>
        </w:rPr>
        <w:t>l</w:t>
      </w:r>
      <w:r w:rsidRPr="00DA143C">
        <w:rPr>
          <w:rFonts w:ascii="Arial Narrow" w:hAnsi="Arial Narrow"/>
          <w:color w:val="000000"/>
          <w:shd w:val="clear" w:color="auto" w:fill="FFFFFF"/>
        </w:rPr>
        <w:t xml:space="preserve">a propuesta de la Comisión de Emergencias del Poder Judicial, suspendió las actividades presenciales y que no sean teletrabajables que se desarrollan en el Poder Judicial, a partir del día lunes 23 de marzo de 2020 y hasta el día viernes 3 de abril de 2020, a fin de que las personas servidoras se mantengan en sus hogares y reduzcan el contagio de la enfermedad </w:t>
      </w:r>
      <w:r w:rsidR="00731D25">
        <w:rPr>
          <w:rFonts w:ascii="Arial Narrow" w:hAnsi="Arial Narrow"/>
          <w:color w:val="000000"/>
          <w:shd w:val="clear" w:color="auto" w:fill="FFFFFF"/>
        </w:rPr>
        <w:t>COVID-</w:t>
      </w:r>
      <w:r w:rsidRPr="00DA143C">
        <w:rPr>
          <w:rFonts w:ascii="Arial Narrow" w:hAnsi="Arial Narrow"/>
          <w:color w:val="000000"/>
          <w:shd w:val="clear" w:color="auto" w:fill="FFFFFF"/>
        </w:rPr>
        <w:t>19. En aquellos casos en que por razones de interés público y según la naturaleza del servicio, sea estrictamente necesario mantener la prestación de un servicio que pueda ser ejecutado bajo la modalidad del teletrabajo, se realizará de tal manera, a criterio y control de la Jefatura o coordinador respectivo, esto se comunicó mediante la circular 52-2020.</w:t>
      </w:r>
    </w:p>
    <w:p w14:paraId="54783C06" w14:textId="77777777" w:rsidR="00DA143C" w:rsidRPr="00DA143C" w:rsidRDefault="00DA143C" w:rsidP="00DA143C">
      <w:pPr>
        <w:spacing w:line="360" w:lineRule="auto"/>
        <w:ind w:left="360"/>
        <w:jc w:val="both"/>
        <w:rPr>
          <w:rFonts w:ascii="Arial Narrow" w:hAnsi="Arial Narrow"/>
          <w:color w:val="000000"/>
          <w:shd w:val="clear" w:color="auto" w:fill="FFFFFF"/>
        </w:rPr>
      </w:pPr>
    </w:p>
    <w:p w14:paraId="23A3A6B2" w14:textId="56D75E1E" w:rsidR="00DA143C" w:rsidRDefault="00DA143C" w:rsidP="005E067A">
      <w:pPr>
        <w:spacing w:line="360" w:lineRule="auto"/>
        <w:jc w:val="both"/>
        <w:rPr>
          <w:rFonts w:ascii="Arial Narrow" w:hAnsi="Arial Narrow"/>
          <w:color w:val="000000"/>
          <w:shd w:val="clear" w:color="auto" w:fill="FFFFFF"/>
        </w:rPr>
      </w:pPr>
      <w:r w:rsidRPr="00DA143C">
        <w:rPr>
          <w:rFonts w:ascii="Arial Narrow" w:hAnsi="Arial Narrow"/>
          <w:color w:val="000000"/>
          <w:shd w:val="clear" w:color="auto" w:fill="FFFFFF"/>
        </w:rPr>
        <w:lastRenderedPageBreak/>
        <w:t xml:space="preserve">El primer impacto que se alcanzó en el PEI fue que durante el periodo del 23 de marzo al 3 de abril se dio un cierre colectivo adelantado reduciendo los servicios judiciales al mínimo, lo cual impactaba en todas las actividades presenciales, capacitaciones, coordinaciones y desarrollo de audiencias o juicios. </w:t>
      </w:r>
    </w:p>
    <w:p w14:paraId="1F42997D" w14:textId="77777777" w:rsidR="00505A06" w:rsidRPr="00DA143C" w:rsidRDefault="00505A06" w:rsidP="005E067A">
      <w:pPr>
        <w:spacing w:line="360" w:lineRule="auto"/>
        <w:jc w:val="both"/>
        <w:rPr>
          <w:rFonts w:ascii="Arial Narrow" w:hAnsi="Arial Narrow"/>
          <w:color w:val="000000"/>
          <w:shd w:val="clear" w:color="auto" w:fill="FFFFFF"/>
        </w:rPr>
      </w:pPr>
    </w:p>
    <w:p w14:paraId="7A436EDF" w14:textId="20764047" w:rsidR="00DA143C" w:rsidRPr="00DA143C" w:rsidRDefault="00DA143C" w:rsidP="00DA143C">
      <w:pPr>
        <w:spacing w:line="360" w:lineRule="auto"/>
        <w:jc w:val="both"/>
        <w:rPr>
          <w:rFonts w:ascii="Arial Narrow" w:hAnsi="Arial Narrow"/>
          <w:color w:val="000000"/>
          <w:shd w:val="clear" w:color="auto" w:fill="FFFFFF"/>
        </w:rPr>
      </w:pPr>
      <w:r w:rsidRPr="00DA143C">
        <w:rPr>
          <w:rFonts w:ascii="Arial Narrow" w:hAnsi="Arial Narrow"/>
          <w:color w:val="000000"/>
          <w:shd w:val="clear" w:color="auto" w:fill="FFFFFF"/>
        </w:rPr>
        <w:t xml:space="preserve">Una vez vencido el periodo señalado por la circular 52-2020, la Corte Plena en sesión extraordinaria  18-2020, celebrada el 2 de abril de 2020, artículo Único, en atención a las medidas adoptadas por el Ministerio de Salud, así como el decreto ejecutivo 42227-MS emitido el día 16 de marzo de 2020, en que se declara estado de emergencia nacional en todo el territorio de la República de Costa Rica, debido a la situación de emergencia sanitaria provocada por la enfermedad </w:t>
      </w:r>
      <w:r w:rsidR="00731D25">
        <w:rPr>
          <w:rFonts w:ascii="Arial Narrow" w:hAnsi="Arial Narrow"/>
          <w:color w:val="000000"/>
          <w:shd w:val="clear" w:color="auto" w:fill="FFFFFF"/>
        </w:rPr>
        <w:t>COVID-</w:t>
      </w:r>
      <w:r w:rsidRPr="00DA143C">
        <w:rPr>
          <w:rFonts w:ascii="Arial Narrow" w:hAnsi="Arial Narrow"/>
          <w:color w:val="000000"/>
          <w:shd w:val="clear" w:color="auto" w:fill="FFFFFF"/>
        </w:rPr>
        <w:t xml:space="preserve">19 tomó el acuerdo de mantener la adecuación de la prestación de servicios del Poder Judicial, por la semana del día 13 al 20 de abril del año 2020 y dispuso que todos los órganos jurisdiccionales, administrativos y auxiliares de justicia, debían mantener la continuidad de los servicios, conforme a las directrices generales de funcionamiento establecidas por cada Comisión Jurisdiccional, junto con la Dirección de Planificación y de las Direcciones de apoyo administrativo y en coordinación con el Centro de Apoyo, Coordinación y Mejoramiento de la Función Jurisdiccional, , lo cual derivó en la circular 67-2020, donde cada una de las diferentes jurisdicciones estableció su catálogo de servicios y se suspendieron todos los plazos procesales.  </w:t>
      </w:r>
    </w:p>
    <w:p w14:paraId="080167E3" w14:textId="77777777" w:rsidR="00DA143C" w:rsidRPr="00DA143C" w:rsidRDefault="00DA143C" w:rsidP="00DA143C">
      <w:pPr>
        <w:spacing w:line="360" w:lineRule="auto"/>
        <w:jc w:val="both"/>
        <w:rPr>
          <w:rFonts w:ascii="Arial Narrow" w:hAnsi="Arial Narrow"/>
          <w:color w:val="000000"/>
        </w:rPr>
      </w:pPr>
    </w:p>
    <w:p w14:paraId="38FB2125" w14:textId="76EF7D11" w:rsidR="00DA143C" w:rsidRPr="00DA143C" w:rsidRDefault="00DA143C" w:rsidP="00DA143C">
      <w:pPr>
        <w:spacing w:line="360" w:lineRule="auto"/>
        <w:jc w:val="both"/>
        <w:rPr>
          <w:rFonts w:ascii="Arial Narrow" w:hAnsi="Arial Narrow"/>
          <w:color w:val="000000"/>
          <w:shd w:val="clear" w:color="auto" w:fill="FFFFFF"/>
        </w:rPr>
      </w:pPr>
      <w:r w:rsidRPr="00DA143C">
        <w:rPr>
          <w:rFonts w:ascii="Arial Narrow" w:hAnsi="Arial Narrow"/>
          <w:color w:val="000000"/>
          <w:shd w:val="clear" w:color="auto" w:fill="FFFFFF"/>
        </w:rPr>
        <w:t xml:space="preserve">Posteriormente la Corte Plena en Sesión  23-2020 del 28 de abril de 2020, en atención a la declaratoria de emergencia nacional, debido a la situación de emergencia sanitaria provocada por la enfermedad </w:t>
      </w:r>
      <w:r w:rsidR="00731D25">
        <w:rPr>
          <w:rFonts w:ascii="Arial Narrow" w:hAnsi="Arial Narrow"/>
          <w:color w:val="000000"/>
          <w:shd w:val="clear" w:color="auto" w:fill="FFFFFF"/>
        </w:rPr>
        <w:t>COVID-</w:t>
      </w:r>
      <w:r w:rsidRPr="00DA143C">
        <w:rPr>
          <w:rFonts w:ascii="Arial Narrow" w:hAnsi="Arial Narrow"/>
          <w:color w:val="000000"/>
          <w:shd w:val="clear" w:color="auto" w:fill="FFFFFF"/>
        </w:rPr>
        <w:t xml:space="preserve">19, acordó prorrogar los efectos del acuerdo de la sesión  18-2020 celebrada el 2 de abril del año en curso, artículo Único, a partir del día 1° y hasta el día 15 de mayo del año 2020 y solicitó a la Dirección de Planificación y al Centro de Apoyo, Coordinación y Mejoramiento de la Función Jurisdiccional un informe sobre los funcionarios y funcionarias que ya están trabajando en la distribución de los dos turnos de 6 de la mañana a las 12 medio día y de las 12 medio día a las seis de la tarde (6712), en el plazo de 8 días hábiles, un informe al Consejo Superior sobre el rendimiento de las personas que se encuentran en teletrabajo y una solicitud a la Comisión de Emergencias del Poder Judicial para que remitiera a la Corte una propuesta para regresar a la normalidad en el Poder Judicial, en el plazo de 15 días hábiles, los cuales son rendidos por esas dependencias el 13 de mayo de 2020, el cual fue presentado por el Despacho de la Presidencia en el oficio DP-240-2020, recopilando los análisis solicitados a las diferentes direcciones, </w:t>
      </w:r>
      <w:r w:rsidRPr="00DA143C">
        <w:rPr>
          <w:rFonts w:ascii="Arial Narrow" w:hAnsi="Arial Narrow"/>
          <w:color w:val="000000"/>
          <w:shd w:val="clear" w:color="auto" w:fill="FFFFFF"/>
        </w:rPr>
        <w:lastRenderedPageBreak/>
        <w:t>donde se evidenció que las oficinas estaban realizando las actividades de tramitación autorizadas por las respetivas Comisiones y pudiendo culminar procesos que fueran de trabajo de escritorio con la mínima participación de partes en audiencias.</w:t>
      </w:r>
    </w:p>
    <w:p w14:paraId="15334C54" w14:textId="77777777" w:rsidR="00DA143C" w:rsidRPr="00DA143C" w:rsidRDefault="00DA143C" w:rsidP="00DA143C">
      <w:pPr>
        <w:spacing w:line="360" w:lineRule="auto"/>
        <w:jc w:val="both"/>
        <w:rPr>
          <w:rFonts w:ascii="Arial Narrow" w:hAnsi="Arial Narrow"/>
        </w:rPr>
      </w:pPr>
    </w:p>
    <w:p w14:paraId="6C03FBB8" w14:textId="05E1B6F5" w:rsidR="00DA143C" w:rsidRDefault="00DA143C" w:rsidP="00DA143C">
      <w:pPr>
        <w:spacing w:line="360" w:lineRule="auto"/>
        <w:jc w:val="both"/>
        <w:rPr>
          <w:rFonts w:ascii="Arial Narrow" w:hAnsi="Arial Narrow"/>
        </w:rPr>
      </w:pPr>
      <w:r w:rsidRPr="00DA143C">
        <w:rPr>
          <w:rFonts w:ascii="Arial Narrow" w:hAnsi="Arial Narrow"/>
        </w:rPr>
        <w:t>La Corte Plena</w:t>
      </w:r>
      <w:r w:rsidR="00E04260">
        <w:rPr>
          <w:rFonts w:ascii="Arial Narrow" w:hAnsi="Arial Narrow"/>
        </w:rPr>
        <w:t xml:space="preserve"> en s</w:t>
      </w:r>
      <w:r w:rsidRPr="00DA143C">
        <w:rPr>
          <w:rFonts w:ascii="Arial Narrow" w:hAnsi="Arial Narrow"/>
        </w:rPr>
        <w:t>esión 26-2020 del 13 de mayo de</w:t>
      </w:r>
      <w:r w:rsidR="00E04260">
        <w:rPr>
          <w:rFonts w:ascii="Arial Narrow" w:hAnsi="Arial Narrow"/>
        </w:rPr>
        <w:t>l</w:t>
      </w:r>
      <w:r w:rsidRPr="00DA143C">
        <w:rPr>
          <w:rFonts w:ascii="Arial Narrow" w:hAnsi="Arial Narrow"/>
        </w:rPr>
        <w:t xml:space="preserve"> 2020,</w:t>
      </w:r>
      <w:r w:rsidRPr="00DA143C">
        <w:rPr>
          <w:rFonts w:ascii="Arial Narrow" w:hAnsi="Arial Narrow"/>
          <w:b/>
          <w:bCs/>
        </w:rPr>
        <w:t xml:space="preserve"> </w:t>
      </w:r>
      <w:r w:rsidRPr="00DA143C">
        <w:rPr>
          <w:rFonts w:ascii="Arial Narrow" w:hAnsi="Arial Narrow"/>
        </w:rPr>
        <w:t xml:space="preserve">en atención a la declaratoria de emergencia nacional, debido a la situación de emergencia sanitaria provocada por la enfermedad </w:t>
      </w:r>
      <w:r w:rsidR="00731D25">
        <w:rPr>
          <w:rFonts w:ascii="Arial Narrow" w:hAnsi="Arial Narrow"/>
        </w:rPr>
        <w:t>COVID-</w:t>
      </w:r>
      <w:r w:rsidRPr="00DA143C">
        <w:rPr>
          <w:rFonts w:ascii="Arial Narrow" w:hAnsi="Arial Narrow"/>
        </w:rPr>
        <w:t xml:space="preserve">19 acordó prorrogar los efectos del acuerdo de la </w:t>
      </w:r>
      <w:r w:rsidR="003E7F4C" w:rsidRPr="00DA143C">
        <w:rPr>
          <w:rFonts w:ascii="Arial Narrow" w:hAnsi="Arial Narrow"/>
        </w:rPr>
        <w:t>sesión 18</w:t>
      </w:r>
      <w:r w:rsidRPr="00DA143C">
        <w:rPr>
          <w:rFonts w:ascii="Arial Narrow" w:hAnsi="Arial Narrow"/>
        </w:rPr>
        <w:t>-2020 celebrada el 2 de abril del año en curso, artículo Único, a partir del día 16 y hasta el día 31 de mayo del año 2020 y ordenó:</w:t>
      </w:r>
    </w:p>
    <w:p w14:paraId="22A2039E" w14:textId="77777777" w:rsidR="00136C09" w:rsidRPr="00DA143C" w:rsidRDefault="00136C09" w:rsidP="00DA143C">
      <w:pPr>
        <w:spacing w:line="360" w:lineRule="auto"/>
        <w:jc w:val="both"/>
        <w:rPr>
          <w:rFonts w:ascii="Arial Narrow" w:hAnsi="Arial Narrow"/>
        </w:rPr>
      </w:pPr>
    </w:p>
    <w:p w14:paraId="6FDCAD70" w14:textId="3C717A6C" w:rsidR="00DA143C" w:rsidRDefault="00DA143C" w:rsidP="00136C09">
      <w:pPr>
        <w:spacing w:line="360" w:lineRule="auto"/>
        <w:ind w:left="714" w:right="567" w:hanging="357"/>
        <w:jc w:val="both"/>
        <w:rPr>
          <w:rFonts w:ascii="Arial Narrow" w:hAnsi="Arial Narrow"/>
          <w:lang w:eastAsia="es-CR"/>
        </w:rPr>
      </w:pPr>
      <w:r w:rsidRPr="00DA143C">
        <w:rPr>
          <w:rFonts w:ascii="Arial Narrow" w:hAnsi="Arial Narrow"/>
          <w:lang w:eastAsia="es-CR"/>
        </w:rPr>
        <w:t xml:space="preserve">a )   Disponer la continuidad de la prestación de servicios en todos los despachos del Poder Judicial, manteniendo el distanciamiento físico de 1.8 metros y las medidas establecidas en el </w:t>
      </w:r>
      <w:bookmarkStart w:id="274" w:name="x__Hlk40265695"/>
      <w:r w:rsidRPr="00DA143C">
        <w:rPr>
          <w:rFonts w:ascii="Arial Narrow" w:hAnsi="Arial Narrow"/>
          <w:lang w:eastAsia="es-CR"/>
        </w:rPr>
        <w:t xml:space="preserve">Lineamiento General para Propietarios y administradores de Centro de Trabajo por </w:t>
      </w:r>
      <w:r w:rsidR="00731D25">
        <w:rPr>
          <w:rFonts w:ascii="Arial Narrow" w:hAnsi="Arial Narrow"/>
          <w:lang w:eastAsia="es-CR"/>
        </w:rPr>
        <w:t>COVID-</w:t>
      </w:r>
      <w:r w:rsidRPr="00DA143C">
        <w:rPr>
          <w:rFonts w:ascii="Arial Narrow" w:hAnsi="Arial Narrow"/>
          <w:lang w:eastAsia="es-CR"/>
        </w:rPr>
        <w:t xml:space="preserve">19 emitido por el Ministerio de Salud. </w:t>
      </w:r>
      <w:bookmarkEnd w:id="274"/>
    </w:p>
    <w:p w14:paraId="687259A6" w14:textId="77777777" w:rsidR="00136C09" w:rsidRPr="00DA143C" w:rsidRDefault="00136C09" w:rsidP="00136C09">
      <w:pPr>
        <w:spacing w:line="360" w:lineRule="auto"/>
        <w:ind w:left="714" w:right="567" w:hanging="357"/>
        <w:jc w:val="both"/>
        <w:rPr>
          <w:rFonts w:ascii="Arial Narrow" w:hAnsi="Arial Narrow"/>
          <w:lang w:eastAsia="es-CR"/>
        </w:rPr>
      </w:pPr>
    </w:p>
    <w:p w14:paraId="7FF69B98" w14:textId="05E61C09" w:rsidR="00DA143C" w:rsidRDefault="00DA143C" w:rsidP="00136C09">
      <w:pPr>
        <w:spacing w:line="360" w:lineRule="auto"/>
        <w:ind w:left="714" w:right="567" w:hanging="357"/>
        <w:jc w:val="both"/>
        <w:rPr>
          <w:rFonts w:ascii="Arial Narrow" w:hAnsi="Arial Narrow"/>
          <w:lang w:eastAsia="es-CR"/>
        </w:rPr>
      </w:pPr>
      <w:r w:rsidRPr="00DA143C">
        <w:rPr>
          <w:rFonts w:ascii="Arial Narrow" w:hAnsi="Arial Narrow"/>
          <w:lang w:eastAsia="es-CR"/>
        </w:rPr>
        <w:t xml:space="preserve">b)    Disponer que corresponderá </w:t>
      </w:r>
      <w:bookmarkStart w:id="275" w:name="x__Hlk40266903"/>
      <w:r w:rsidRPr="00DA143C">
        <w:rPr>
          <w:rFonts w:ascii="Arial Narrow" w:hAnsi="Arial Narrow"/>
          <w:lang w:eastAsia="es-CR"/>
        </w:rPr>
        <w:t xml:space="preserve">a las Comisiones Jurisdiccionales </w:t>
      </w:r>
      <w:bookmarkEnd w:id="275"/>
      <w:r w:rsidRPr="00DA143C">
        <w:rPr>
          <w:rFonts w:ascii="Arial Narrow" w:hAnsi="Arial Narrow"/>
          <w:lang w:eastAsia="es-CR"/>
        </w:rPr>
        <w:t xml:space="preserve">junto con Dirección Ejecutiva, la Dirección de Planificación, y el Centro de Apoyo, Coordinación y Mejoramiento de la Función Jurisdiccional, establecer planes de readecuación de servicios, que prevea de manera progresiva la ampliación paulatina de servicios presenciales, conforme a las posibilidades de los respectivos despachos, con el fin de ser presentado a conocimiento y aprobación del Consejo Superior.  La anterior disposición también aplica a la ampliación de servicios presenciales en el ámbito administrativo. </w:t>
      </w:r>
    </w:p>
    <w:p w14:paraId="67CE39DE" w14:textId="77777777" w:rsidR="00136C09" w:rsidRPr="00DA143C" w:rsidRDefault="00136C09" w:rsidP="00136C09">
      <w:pPr>
        <w:spacing w:line="360" w:lineRule="auto"/>
        <w:ind w:left="714" w:right="567" w:hanging="357"/>
        <w:jc w:val="both"/>
        <w:rPr>
          <w:rFonts w:ascii="Arial Narrow" w:hAnsi="Arial Narrow"/>
          <w:lang w:eastAsia="es-CR"/>
        </w:rPr>
      </w:pPr>
    </w:p>
    <w:p w14:paraId="32BC0470" w14:textId="6D8EE71E" w:rsidR="00DA143C" w:rsidRDefault="00DA143C" w:rsidP="00136C09">
      <w:pPr>
        <w:spacing w:line="360" w:lineRule="auto"/>
        <w:ind w:left="714" w:right="567" w:hanging="357"/>
        <w:jc w:val="both"/>
        <w:rPr>
          <w:rFonts w:ascii="Arial Narrow" w:hAnsi="Arial Narrow"/>
          <w:lang w:eastAsia="es-CR"/>
        </w:rPr>
      </w:pPr>
      <w:r w:rsidRPr="00DA143C">
        <w:rPr>
          <w:rFonts w:ascii="Arial Narrow" w:hAnsi="Arial Narrow"/>
          <w:lang w:eastAsia="es-CR"/>
        </w:rPr>
        <w:t xml:space="preserve">c)    Mantener la alternativa de prestación de servicios bajo la modalidad de teletrabajo con motivo de la situación de emergencia, aplicando las disposiciones sobre la materia por parte del Ministerio de Salud, los “Lineamientos para implementar el teletrabajo en ocasión de la alerta sanitaria por </w:t>
      </w:r>
      <w:r w:rsidR="00731D25">
        <w:rPr>
          <w:rFonts w:ascii="Arial Narrow" w:hAnsi="Arial Narrow"/>
          <w:lang w:eastAsia="es-CR"/>
        </w:rPr>
        <w:t>COVID-</w:t>
      </w:r>
      <w:r w:rsidRPr="00DA143C">
        <w:rPr>
          <w:rFonts w:ascii="Arial Narrow" w:hAnsi="Arial Narrow"/>
          <w:lang w:eastAsia="es-CR"/>
        </w:rPr>
        <w:t xml:space="preserve">19” emitidos por el Ministerio de Trabajo y Seguridad Social y la normativa aplicable a la materia.  </w:t>
      </w:r>
    </w:p>
    <w:p w14:paraId="1E455233" w14:textId="77777777" w:rsidR="00136C09" w:rsidRPr="00DA143C" w:rsidRDefault="00136C09" w:rsidP="00136C09">
      <w:pPr>
        <w:spacing w:line="360" w:lineRule="auto"/>
        <w:ind w:left="714" w:right="567" w:hanging="357"/>
        <w:jc w:val="both"/>
        <w:rPr>
          <w:rFonts w:ascii="Arial Narrow" w:hAnsi="Arial Narrow"/>
          <w:lang w:eastAsia="es-CR"/>
        </w:rPr>
      </w:pPr>
    </w:p>
    <w:p w14:paraId="72031E04" w14:textId="3F347838" w:rsidR="00DA143C" w:rsidRDefault="00DA143C" w:rsidP="00136C09">
      <w:pPr>
        <w:spacing w:line="360" w:lineRule="auto"/>
        <w:ind w:left="714" w:right="567" w:hanging="357"/>
        <w:jc w:val="both"/>
        <w:rPr>
          <w:rFonts w:ascii="Arial Narrow" w:hAnsi="Arial Narrow"/>
          <w:lang w:eastAsia="es-CR"/>
        </w:rPr>
      </w:pPr>
      <w:r w:rsidRPr="00DA143C">
        <w:rPr>
          <w:rFonts w:ascii="Arial Narrow" w:hAnsi="Arial Narrow"/>
          <w:lang w:eastAsia="es-CR"/>
        </w:rPr>
        <w:lastRenderedPageBreak/>
        <w:t xml:space="preserve">d)    Disponer que los espacios físicos de las personas servidoras que se encuentran laborando en la modalidad de teletrabajo, puedan ser destinados por los titulares subordinados para la redistribución del personal que hace labores presenciales, a efecto de cumplir las medidas de distanciamiento social, establecidos en el Lineamiento General para Propietarios y administradores de Centro de Trabajo por </w:t>
      </w:r>
      <w:r w:rsidR="00731D25">
        <w:rPr>
          <w:rFonts w:ascii="Arial Narrow" w:hAnsi="Arial Narrow"/>
          <w:lang w:eastAsia="es-CR"/>
        </w:rPr>
        <w:t>COVID-</w:t>
      </w:r>
      <w:r w:rsidRPr="00DA143C">
        <w:rPr>
          <w:rFonts w:ascii="Arial Narrow" w:hAnsi="Arial Narrow"/>
          <w:lang w:eastAsia="es-CR"/>
        </w:rPr>
        <w:t>19 emitido por el Ministerio de Salud.</w:t>
      </w:r>
    </w:p>
    <w:p w14:paraId="5AF4E46B" w14:textId="77777777" w:rsidR="00E04260" w:rsidRPr="00DA143C" w:rsidRDefault="00E04260" w:rsidP="00E04260">
      <w:pPr>
        <w:spacing w:line="360" w:lineRule="auto"/>
        <w:ind w:right="567"/>
        <w:jc w:val="both"/>
        <w:rPr>
          <w:rFonts w:ascii="Arial Narrow" w:hAnsi="Arial Narrow"/>
          <w:lang w:eastAsia="es-CR"/>
        </w:rPr>
      </w:pPr>
    </w:p>
    <w:p w14:paraId="1B521A2B" w14:textId="77777777" w:rsidR="00136C09" w:rsidRDefault="00DA143C" w:rsidP="00136C09">
      <w:pPr>
        <w:spacing w:line="360" w:lineRule="auto"/>
        <w:ind w:left="714" w:right="567" w:hanging="357"/>
        <w:jc w:val="both"/>
        <w:rPr>
          <w:rFonts w:ascii="Arial Narrow" w:hAnsi="Arial Narrow"/>
          <w:lang w:eastAsia="es-CR"/>
        </w:rPr>
      </w:pPr>
      <w:r w:rsidRPr="00DA143C">
        <w:rPr>
          <w:rFonts w:ascii="Arial Narrow" w:hAnsi="Arial Narrow"/>
          <w:lang w:eastAsia="es-CR"/>
        </w:rPr>
        <w:t>e)    Disponer la realización por parte de la Dirección Ejecutiva de un estudio de los espacios físicos existentes en cada uno de los despachos judiciales, a efecto de que el mismo sea la base para la toma de decisiones a que se refieran los puntos anteriores. </w:t>
      </w:r>
    </w:p>
    <w:p w14:paraId="7CA37DC7" w14:textId="646F425F" w:rsidR="00DA143C" w:rsidRPr="00DA143C" w:rsidRDefault="00DA143C" w:rsidP="00136C09">
      <w:pPr>
        <w:spacing w:line="360" w:lineRule="auto"/>
        <w:ind w:left="714" w:right="567" w:hanging="357"/>
        <w:jc w:val="both"/>
        <w:rPr>
          <w:rFonts w:ascii="Arial Narrow" w:hAnsi="Arial Narrow"/>
          <w:lang w:eastAsia="es-CR"/>
        </w:rPr>
      </w:pPr>
      <w:r w:rsidRPr="00DA143C">
        <w:rPr>
          <w:rFonts w:ascii="Arial Narrow" w:hAnsi="Arial Narrow"/>
          <w:lang w:eastAsia="es-CR"/>
        </w:rPr>
        <w:t xml:space="preserve">   </w:t>
      </w:r>
    </w:p>
    <w:p w14:paraId="271D4517" w14:textId="37C2AD6D" w:rsidR="00DA143C" w:rsidRDefault="00DA143C" w:rsidP="00136C09">
      <w:pPr>
        <w:spacing w:line="360" w:lineRule="auto"/>
        <w:ind w:left="714" w:right="567" w:hanging="357"/>
        <w:jc w:val="both"/>
        <w:rPr>
          <w:rFonts w:ascii="Arial Narrow" w:hAnsi="Arial Narrow"/>
          <w:lang w:eastAsia="es-CR"/>
        </w:rPr>
      </w:pPr>
      <w:r w:rsidRPr="00DA143C">
        <w:rPr>
          <w:rFonts w:ascii="Arial Narrow" w:hAnsi="Arial Narrow"/>
          <w:lang w:eastAsia="es-CR"/>
        </w:rPr>
        <w:t xml:space="preserve">f)     Fomentar la realización de las audiencias virtuales y disponer que aquellas que se requiera hacer presenciales en las diferentes materias, se adopten las medidas preventivas dispuestas por el Ministerio de Salud. Corresponderá a las Comisiones Jurisdiccionales determinar aquellas materias y/o lugares en donde podrán realizarse dichas audiencias presenciales. </w:t>
      </w:r>
    </w:p>
    <w:p w14:paraId="42840537" w14:textId="77777777" w:rsidR="00136C09" w:rsidRPr="00DA143C" w:rsidRDefault="00136C09" w:rsidP="00136C09">
      <w:pPr>
        <w:spacing w:line="360" w:lineRule="auto"/>
        <w:ind w:left="714" w:right="567" w:hanging="357"/>
        <w:jc w:val="both"/>
        <w:rPr>
          <w:rFonts w:ascii="Arial Narrow" w:hAnsi="Arial Narrow"/>
          <w:lang w:eastAsia="es-CR"/>
        </w:rPr>
      </w:pPr>
    </w:p>
    <w:p w14:paraId="28F03855" w14:textId="1526CC0D" w:rsidR="00DA143C" w:rsidRDefault="00DA143C" w:rsidP="00136C09">
      <w:pPr>
        <w:spacing w:line="360" w:lineRule="auto"/>
        <w:ind w:left="714" w:right="567" w:hanging="357"/>
        <w:jc w:val="both"/>
        <w:rPr>
          <w:rFonts w:ascii="Arial Narrow" w:hAnsi="Arial Narrow"/>
          <w:lang w:eastAsia="es-CR"/>
        </w:rPr>
      </w:pPr>
      <w:r w:rsidRPr="00DA143C">
        <w:rPr>
          <w:rFonts w:ascii="Arial Narrow" w:hAnsi="Arial Narrow"/>
          <w:lang w:eastAsia="es-CR"/>
        </w:rPr>
        <w:t xml:space="preserve">g)    Disponer </w:t>
      </w:r>
      <w:r w:rsidR="003E7F4C" w:rsidRPr="00DA143C">
        <w:rPr>
          <w:rFonts w:ascii="Arial Narrow" w:hAnsi="Arial Narrow"/>
          <w:lang w:eastAsia="es-CR"/>
        </w:rPr>
        <w:t>que,</w:t>
      </w:r>
      <w:r w:rsidRPr="00DA143C">
        <w:rPr>
          <w:rFonts w:ascii="Arial Narrow" w:hAnsi="Arial Narrow"/>
          <w:lang w:eastAsia="es-CR"/>
        </w:rPr>
        <w:t xml:space="preserve"> en los </w:t>
      </w:r>
      <w:r w:rsidR="00E04260">
        <w:rPr>
          <w:rFonts w:ascii="Arial Narrow" w:hAnsi="Arial Narrow"/>
          <w:lang w:eastAsia="es-CR"/>
        </w:rPr>
        <w:t>t</w:t>
      </w:r>
      <w:r w:rsidRPr="00DA143C">
        <w:rPr>
          <w:rFonts w:ascii="Arial Narrow" w:hAnsi="Arial Narrow"/>
          <w:lang w:eastAsia="es-CR"/>
        </w:rPr>
        <w:t xml:space="preserve">ribunales y </w:t>
      </w:r>
      <w:r w:rsidR="00E04260">
        <w:rPr>
          <w:rFonts w:ascii="Arial Narrow" w:hAnsi="Arial Narrow"/>
          <w:lang w:eastAsia="es-CR"/>
        </w:rPr>
        <w:t>j</w:t>
      </w:r>
      <w:r w:rsidRPr="00DA143C">
        <w:rPr>
          <w:rFonts w:ascii="Arial Narrow" w:hAnsi="Arial Narrow"/>
          <w:lang w:eastAsia="es-CR"/>
        </w:rPr>
        <w:t>uzgados de Flagrancia, también puedan desarrollar juicios con personas en libertad el mismo día en que se hace la continuación de la audiencia inicial, en todos los casos deberá realizarse el juicio guardando los protocolos de salubridad y seguridad dispuestos.</w:t>
      </w:r>
    </w:p>
    <w:p w14:paraId="7F761382" w14:textId="77777777" w:rsidR="00136C09" w:rsidRPr="00DA143C" w:rsidRDefault="00136C09" w:rsidP="00136C09">
      <w:pPr>
        <w:spacing w:line="360" w:lineRule="auto"/>
        <w:ind w:left="714" w:right="567" w:hanging="357"/>
        <w:jc w:val="both"/>
        <w:rPr>
          <w:rFonts w:ascii="Arial Narrow" w:hAnsi="Arial Narrow"/>
          <w:lang w:eastAsia="es-CR"/>
        </w:rPr>
      </w:pPr>
    </w:p>
    <w:p w14:paraId="22ADD877" w14:textId="6FD76D11" w:rsidR="00DA143C" w:rsidRDefault="00DA143C" w:rsidP="00136C09">
      <w:pPr>
        <w:spacing w:line="360" w:lineRule="auto"/>
        <w:ind w:left="714" w:right="567" w:hanging="357"/>
        <w:jc w:val="both"/>
        <w:rPr>
          <w:rFonts w:ascii="Arial Narrow" w:hAnsi="Arial Narrow"/>
          <w:lang w:eastAsia="es-CR"/>
        </w:rPr>
      </w:pPr>
      <w:r w:rsidRPr="00DA143C">
        <w:rPr>
          <w:rFonts w:ascii="Arial Narrow" w:hAnsi="Arial Narrow"/>
          <w:lang w:eastAsia="es-CR"/>
        </w:rPr>
        <w:t xml:space="preserve">h)    Determinar que en el caso de las personas que no puedan realizar labores bajo la modalidad de teletrabajo y no sea posible que sigan realizando sus labores ordinarias presenciales por las condiciones de su despacho o funciones, se procederá a implementar medidas alternativas en lo que corresponde a sus horarios, jornadas de trabajo, funciones o sede de trabajo, respetando sus condiciones de empleo esenciales. Corresponderá al titular subordinado o Jefatura, disponer la implementación conforme a los lineamientos que defina el Consejo Superior al efecto, con el apoyo técnico de la Dirección de Gestión Humana.  </w:t>
      </w:r>
    </w:p>
    <w:p w14:paraId="36801558" w14:textId="77777777" w:rsidR="00136C09" w:rsidRPr="00DA143C" w:rsidRDefault="00136C09" w:rsidP="00136C09">
      <w:pPr>
        <w:spacing w:line="360" w:lineRule="auto"/>
        <w:ind w:left="714" w:right="567" w:hanging="357"/>
        <w:jc w:val="both"/>
        <w:rPr>
          <w:rFonts w:ascii="Arial Narrow" w:hAnsi="Arial Narrow"/>
          <w:lang w:eastAsia="es-CR"/>
        </w:rPr>
      </w:pPr>
    </w:p>
    <w:p w14:paraId="025620EE" w14:textId="6DC72379" w:rsidR="00DA143C" w:rsidRDefault="00DA143C" w:rsidP="00136C09">
      <w:pPr>
        <w:spacing w:line="360" w:lineRule="auto"/>
        <w:ind w:left="714" w:right="567" w:hanging="357"/>
        <w:jc w:val="both"/>
        <w:rPr>
          <w:rFonts w:ascii="Arial Narrow" w:hAnsi="Arial Narrow"/>
          <w:lang w:eastAsia="es-CR"/>
        </w:rPr>
      </w:pPr>
      <w:r w:rsidRPr="00DA143C">
        <w:rPr>
          <w:rFonts w:ascii="Arial Narrow" w:hAnsi="Arial Narrow"/>
          <w:lang w:eastAsia="es-CR"/>
        </w:rPr>
        <w:t xml:space="preserve">i)     Determinar que en el caso de las personas que se encontraban en vacaciones al día 15 de mayo de 2020, con motivo de la emergencia del </w:t>
      </w:r>
      <w:r w:rsidR="00731D25">
        <w:rPr>
          <w:rFonts w:ascii="Arial Narrow" w:hAnsi="Arial Narrow"/>
          <w:lang w:eastAsia="es-CR"/>
        </w:rPr>
        <w:t>COVID-</w:t>
      </w:r>
      <w:r w:rsidRPr="00DA143C">
        <w:rPr>
          <w:rFonts w:ascii="Arial Narrow" w:hAnsi="Arial Narrow"/>
          <w:lang w:eastAsia="es-CR"/>
        </w:rPr>
        <w:t>19, a más tardar el lunes 18 de mayo de 2020, la Jefatura o persona coordinadora respectiva deberá valorar la adopción de alternativas para mantenerlas en el Despacho donde laboraban, respetando el distanciamiento. Si no es posible cumplir las medidas de distanciamiento social y las regulaciones al respecto establecidas por el Ministerio de Salud, la jefatura o la coordinación comunicará al Consejo Superior el que, con el apoyo de la Dirección de Gestión Humana, estudiará las alternativas posibles para reasignar algunas tareas teletrabajables a la persona servidora, o en su defecto, reasignarle su sitio de trabajo a otro despacho sin que se afecte sus condiciones esenciales de trabajo. Si ninguna de las alternativas previamente indicadas no fuere posible de aplicar, se estudiará la posibilidad de ubicarlo en una tercera jornada voluntaria en el mismo Despacho donde labora, de 18:00 pm a 23:00 pm, para que continúe haciendo las funciones propias de su cargo. En todo caso la jefatura o coordinación respectiva deberá adoptar las medidas necesarias para que siempre exista una efectiva prestación de servicio.</w:t>
      </w:r>
    </w:p>
    <w:p w14:paraId="48DC695B" w14:textId="77777777" w:rsidR="00136C09" w:rsidRPr="00DA143C" w:rsidRDefault="00136C09" w:rsidP="00136C09">
      <w:pPr>
        <w:spacing w:line="360" w:lineRule="auto"/>
        <w:ind w:left="714" w:right="567" w:hanging="357"/>
        <w:jc w:val="both"/>
        <w:rPr>
          <w:rFonts w:ascii="Arial Narrow" w:hAnsi="Arial Narrow"/>
          <w:lang w:eastAsia="es-CR"/>
        </w:rPr>
      </w:pPr>
    </w:p>
    <w:p w14:paraId="2545E333" w14:textId="77777777" w:rsidR="00136C09" w:rsidRDefault="00DA143C" w:rsidP="00136C09">
      <w:pPr>
        <w:spacing w:line="360" w:lineRule="auto"/>
        <w:ind w:left="714" w:right="567" w:hanging="357"/>
        <w:jc w:val="both"/>
        <w:rPr>
          <w:rFonts w:ascii="Arial Narrow" w:hAnsi="Arial Narrow"/>
          <w:lang w:eastAsia="es-CR"/>
        </w:rPr>
      </w:pPr>
      <w:r w:rsidRPr="00DA143C">
        <w:rPr>
          <w:rFonts w:ascii="Arial Narrow" w:hAnsi="Arial Narrow"/>
          <w:lang w:eastAsia="es-CR"/>
        </w:rPr>
        <w:t xml:space="preserve">j)     Instruir la formulación de los protocolos que sean necesarios para la implementación del presente acuerdo, a fin de proteger la vida y salud de las personas servidoras y usuarias. Dichos protocolos serán conocidos y aprobados por el Consejo Superior.  Corresponderá a la unidad de salud ocupacional, el seguimiento de su cumplimiento en las diferentes unidades en donde los mismos se apliquen. </w:t>
      </w:r>
    </w:p>
    <w:p w14:paraId="3D39F9D1" w14:textId="4AC2911D" w:rsidR="00DA143C" w:rsidRPr="00DA143C" w:rsidRDefault="00DA143C" w:rsidP="00136C09">
      <w:pPr>
        <w:spacing w:line="360" w:lineRule="auto"/>
        <w:ind w:left="714" w:right="567" w:hanging="357"/>
        <w:jc w:val="both"/>
        <w:rPr>
          <w:rFonts w:ascii="Arial Narrow" w:hAnsi="Arial Narrow"/>
          <w:lang w:eastAsia="es-CR"/>
        </w:rPr>
      </w:pPr>
      <w:r w:rsidRPr="00DA143C">
        <w:rPr>
          <w:rFonts w:ascii="Arial Narrow" w:hAnsi="Arial Narrow"/>
          <w:lang w:eastAsia="es-CR"/>
        </w:rPr>
        <w:t xml:space="preserve"> </w:t>
      </w:r>
    </w:p>
    <w:p w14:paraId="743198F9" w14:textId="77777777" w:rsidR="00DA143C" w:rsidRPr="00DA143C" w:rsidRDefault="00DA143C" w:rsidP="00136C09">
      <w:pPr>
        <w:spacing w:line="360" w:lineRule="auto"/>
        <w:ind w:left="714" w:right="567" w:hanging="357"/>
        <w:jc w:val="both"/>
        <w:rPr>
          <w:rFonts w:ascii="Arial Narrow" w:hAnsi="Arial Narrow"/>
          <w:lang w:eastAsia="es-CR"/>
        </w:rPr>
      </w:pPr>
      <w:r w:rsidRPr="00DA143C">
        <w:rPr>
          <w:rFonts w:ascii="Arial Narrow" w:hAnsi="Arial Narrow"/>
          <w:lang w:eastAsia="es-CR"/>
        </w:rPr>
        <w:t>k)    La Inspección Judicial deberá incorporar dentro de sus labores, la verificación del cumplimiento de los planes de trabajo establecidos con motivo de la situación de emergencia objeto del presente acuerdo.</w:t>
      </w:r>
    </w:p>
    <w:p w14:paraId="2DC67554" w14:textId="77777777" w:rsidR="00DA143C" w:rsidRPr="00DA143C" w:rsidRDefault="00DA143C" w:rsidP="00DA143C">
      <w:pPr>
        <w:spacing w:line="360" w:lineRule="auto"/>
        <w:jc w:val="both"/>
        <w:rPr>
          <w:rFonts w:ascii="Arial Narrow" w:hAnsi="Arial Narrow"/>
          <w:color w:val="000000"/>
        </w:rPr>
      </w:pPr>
    </w:p>
    <w:p w14:paraId="79BDC6A4" w14:textId="0529D0F5" w:rsidR="00DA143C" w:rsidRPr="00DA143C" w:rsidRDefault="00DA143C" w:rsidP="00DA143C">
      <w:pPr>
        <w:spacing w:line="360" w:lineRule="auto"/>
        <w:jc w:val="both"/>
        <w:rPr>
          <w:rFonts w:ascii="Arial Narrow" w:hAnsi="Arial Narrow"/>
          <w:color w:val="000000"/>
        </w:rPr>
      </w:pPr>
      <w:r w:rsidRPr="00DA143C">
        <w:rPr>
          <w:rFonts w:ascii="Arial Narrow" w:hAnsi="Arial Narrow"/>
          <w:color w:val="000000"/>
        </w:rPr>
        <w:t>Mediante este acuerdo</w:t>
      </w:r>
      <w:r w:rsidR="00136C09">
        <w:rPr>
          <w:rFonts w:ascii="Arial Narrow" w:hAnsi="Arial Narrow"/>
          <w:color w:val="000000"/>
        </w:rPr>
        <w:t>,</w:t>
      </w:r>
      <w:r w:rsidRPr="00DA143C">
        <w:rPr>
          <w:rFonts w:ascii="Arial Narrow" w:hAnsi="Arial Narrow"/>
          <w:color w:val="000000"/>
        </w:rPr>
        <w:t xml:space="preserve"> la Corte le solicitó a cada una de las Comisiones diseñar estrategias y protocolos de reactivación de servicios promoviendo el uso de la videoconferencia o audiencias virtuales, lo cual tiene </w:t>
      </w:r>
      <w:r w:rsidRPr="00DA143C">
        <w:rPr>
          <w:rFonts w:ascii="Arial Narrow" w:hAnsi="Arial Narrow"/>
          <w:color w:val="000000"/>
        </w:rPr>
        <w:lastRenderedPageBreak/>
        <w:t xml:space="preserve">un impacto positivo en el cumplimiento de las metas del PEI porque a través de esas prácticas se podían retomar capacitaciones, desarrollo de audiencias, reuniones y el retorno a una nueva normalidad de los servicios judiciales en el contexto de la pandemia mundial </w:t>
      </w:r>
      <w:r w:rsidR="00731D25">
        <w:rPr>
          <w:rFonts w:ascii="Arial Narrow" w:hAnsi="Arial Narrow"/>
          <w:color w:val="000000"/>
        </w:rPr>
        <w:t>COVID-</w:t>
      </w:r>
      <w:r w:rsidRPr="00DA143C">
        <w:rPr>
          <w:rFonts w:ascii="Arial Narrow" w:hAnsi="Arial Narrow"/>
          <w:color w:val="000000"/>
        </w:rPr>
        <w:t xml:space="preserve"> 19.</w:t>
      </w:r>
    </w:p>
    <w:p w14:paraId="007A847B" w14:textId="77777777" w:rsidR="00DA143C" w:rsidRPr="00DA143C" w:rsidRDefault="00DA143C" w:rsidP="00DA143C">
      <w:pPr>
        <w:spacing w:line="360" w:lineRule="auto"/>
        <w:jc w:val="both"/>
        <w:rPr>
          <w:rFonts w:ascii="Arial Narrow" w:hAnsi="Arial Narrow"/>
          <w:color w:val="000000"/>
        </w:rPr>
      </w:pPr>
    </w:p>
    <w:p w14:paraId="65F6DED7" w14:textId="7CFF9C39" w:rsidR="00DA143C" w:rsidRPr="00DA143C" w:rsidRDefault="00DA143C" w:rsidP="00DA143C">
      <w:pPr>
        <w:spacing w:line="360" w:lineRule="auto"/>
        <w:jc w:val="both"/>
        <w:rPr>
          <w:rFonts w:ascii="Arial Narrow" w:hAnsi="Arial Narrow"/>
          <w:lang w:eastAsia="ar-SA"/>
        </w:rPr>
      </w:pPr>
      <w:r w:rsidRPr="00DA143C">
        <w:rPr>
          <w:rFonts w:ascii="Arial Narrow" w:hAnsi="Arial Narrow"/>
          <w:lang w:eastAsia="es-CR"/>
        </w:rPr>
        <w:t xml:space="preserve">Posteriormente la Corte Plena en Sesión  33-2020 del 15 de junio de 2020, en atención a la declaratoria de emergencia nacional, debido a la situación de emergencia sanitaria provocada por la enfermedad </w:t>
      </w:r>
      <w:r w:rsidR="00731D25">
        <w:rPr>
          <w:rFonts w:ascii="Arial Narrow" w:hAnsi="Arial Narrow"/>
          <w:lang w:eastAsia="es-CR"/>
        </w:rPr>
        <w:t>COVID-</w:t>
      </w:r>
      <w:r w:rsidRPr="00DA143C">
        <w:rPr>
          <w:rFonts w:ascii="Arial Narrow" w:hAnsi="Arial Narrow"/>
          <w:lang w:eastAsia="es-CR"/>
        </w:rPr>
        <w:t xml:space="preserve">19 acogió </w:t>
      </w:r>
      <w:r w:rsidRPr="00DA143C">
        <w:rPr>
          <w:rFonts w:ascii="Arial Narrow" w:hAnsi="Arial Narrow"/>
          <w:lang w:eastAsia="ar-SA"/>
        </w:rPr>
        <w:t xml:space="preserve">la propuesta de la Comisión de Emergencias del Poder Judicial y prorrogó los efectos del acuerdo de la sesión  18-2020 celebrada el 2 de abril del año en curso, artículo Único, así como lo dispuesto en el acuerdo de </w:t>
      </w:r>
      <w:r w:rsidRPr="00DA143C">
        <w:rPr>
          <w:rFonts w:ascii="Arial Narrow" w:eastAsia="Calibri" w:hAnsi="Arial Narrow"/>
          <w:color w:val="000000"/>
          <w:lang w:eastAsia="ar-SA"/>
        </w:rPr>
        <w:t xml:space="preserve">sesión extraordinaria  26-2020, celebrada el 13 de mayo de 2020, artículo Único y en el acuerdo de Sesión  32-2020 del 8 de junio de 2020, artículo XVIII, </w:t>
      </w:r>
      <w:r w:rsidRPr="00DA143C">
        <w:rPr>
          <w:rFonts w:ascii="Arial Narrow" w:hAnsi="Arial Narrow"/>
          <w:lang w:eastAsia="ar-SA"/>
        </w:rPr>
        <w:t xml:space="preserve">a partir del día 16 de junio de 2020 y hasta el día 15 de julio de 2020. Los efectos de ese acuerdo se encontraban condicionados al mantenimiento del estado de emergencia dispuesto por el decreto ejecutivo 42227-MS emitido el día 16 de marzo de 2020 y a lo establecido por los lineamientos del Ministerio de Salud aplicables al Poder Judicial, durante el término de su vigencia. </w:t>
      </w:r>
    </w:p>
    <w:p w14:paraId="4ACFC13C" w14:textId="77777777" w:rsidR="00DA143C" w:rsidRPr="00DA143C" w:rsidRDefault="00DA143C" w:rsidP="00DA143C">
      <w:pPr>
        <w:spacing w:line="360" w:lineRule="auto"/>
        <w:jc w:val="both"/>
        <w:rPr>
          <w:rFonts w:ascii="Arial Narrow" w:hAnsi="Arial Narrow"/>
          <w:lang w:eastAsia="ar-SA"/>
        </w:rPr>
      </w:pPr>
    </w:p>
    <w:p w14:paraId="1F35008D" w14:textId="77777777" w:rsidR="00DA143C" w:rsidRPr="00CC279A" w:rsidRDefault="00DA143C" w:rsidP="00DA143C">
      <w:pPr>
        <w:spacing w:line="360" w:lineRule="auto"/>
        <w:jc w:val="both"/>
        <w:rPr>
          <w:rFonts w:ascii="Arial Narrow" w:hAnsi="Arial Narrow"/>
          <w:b/>
          <w:bCs/>
          <w:lang w:eastAsia="ar-SA"/>
        </w:rPr>
      </w:pPr>
      <w:r w:rsidRPr="00CC279A">
        <w:rPr>
          <w:rFonts w:ascii="Arial Narrow" w:hAnsi="Arial Narrow"/>
          <w:b/>
          <w:bCs/>
          <w:lang w:eastAsia="ar-SA"/>
        </w:rPr>
        <w:t>La Dirección de Planificación mediante el informe 875-PLA-2020 y el Centro de Apoyo, Coordinación y Mejoramiento de la Función Jurisdiccional, informe 184-CACMFJ-JEF-2020, presentados ambos de manera conjunta a la Corte Plena en la sesión 33-2020 del 15 de junio contenía en su primer capítulo la propuesta para ajustes en los objetivos y metas del plan estratégico institucional y los planes anuales operativos relacionados con casos terminados por materia e instancia al 2020.</w:t>
      </w:r>
    </w:p>
    <w:p w14:paraId="4F62EE53" w14:textId="77777777" w:rsidR="00DA143C" w:rsidRPr="00DA143C" w:rsidRDefault="00DA143C" w:rsidP="00DA143C">
      <w:pPr>
        <w:spacing w:line="360" w:lineRule="auto"/>
        <w:jc w:val="both"/>
        <w:rPr>
          <w:rFonts w:ascii="Arial Narrow" w:hAnsi="Arial Narrow"/>
          <w:lang w:eastAsia="ar-SA"/>
        </w:rPr>
      </w:pPr>
    </w:p>
    <w:p w14:paraId="215DBC79" w14:textId="05BF3000" w:rsidR="00DA143C" w:rsidRPr="00DA143C" w:rsidRDefault="00DA143C" w:rsidP="00DA143C">
      <w:pPr>
        <w:spacing w:line="360" w:lineRule="auto"/>
        <w:jc w:val="both"/>
        <w:rPr>
          <w:rFonts w:ascii="Arial Narrow" w:eastAsia="Calibri" w:hAnsi="Arial Narrow" w:cs="Arial"/>
          <w:color w:val="000000" w:themeColor="text1"/>
          <w:lang w:val="es-ES" w:eastAsia="es-CR"/>
        </w:rPr>
      </w:pPr>
      <w:r w:rsidRPr="00DA143C">
        <w:rPr>
          <w:rFonts w:ascii="Arial Narrow" w:hAnsi="Arial Narrow"/>
          <w:lang w:eastAsia="ar-SA"/>
        </w:rPr>
        <w:t xml:space="preserve">Para poder hacer la revisión del impacto de la pandemia </w:t>
      </w:r>
      <w:r w:rsidR="00731D25">
        <w:rPr>
          <w:rFonts w:ascii="Arial Narrow" w:hAnsi="Arial Narrow"/>
          <w:lang w:eastAsia="ar-SA"/>
        </w:rPr>
        <w:t>COVID-</w:t>
      </w:r>
      <w:r w:rsidRPr="00DA143C">
        <w:rPr>
          <w:rFonts w:ascii="Arial Narrow" w:hAnsi="Arial Narrow"/>
          <w:lang w:eastAsia="ar-SA"/>
        </w:rPr>
        <w:t xml:space="preserve"> 19 en el plan estratégico l</w:t>
      </w:r>
      <w:r w:rsidRPr="00DA143C">
        <w:rPr>
          <w:rFonts w:ascii="Arial Narrow" w:eastAsia="Calibri" w:hAnsi="Arial Narrow" w:cs="Arial"/>
          <w:color w:val="000000" w:themeColor="text1"/>
          <w:lang w:val="es-ES" w:eastAsia="es-CR"/>
        </w:rPr>
        <w:t xml:space="preserve">a Dirección de Planificación procedió a gestionar con las oficinas y despachos judiciales la reprogramación de los objetivos y metas del Plan Estratégico Institucional (PEI) y los Planes Anuales Operativos (PAOs) para el 2020; quedando pendiente el ajuste de los objetivos metas relacionados con la siguiente meta estratégica: </w:t>
      </w:r>
    </w:p>
    <w:p w14:paraId="12E01063" w14:textId="77777777" w:rsidR="00E04260" w:rsidRDefault="00E04260" w:rsidP="0003182C">
      <w:pPr>
        <w:pStyle w:val="Descripcin"/>
        <w:rPr>
          <w:rFonts w:ascii="Arial Narrow" w:eastAsia="Calibri" w:hAnsi="Arial Narrow" w:cs="Arial"/>
          <w:color w:val="000000" w:themeColor="text1"/>
          <w:lang w:val="es-ES" w:eastAsia="es-CR"/>
        </w:rPr>
      </w:pPr>
    </w:p>
    <w:p w14:paraId="3B6CF07A" w14:textId="77777777" w:rsidR="00E04260" w:rsidRDefault="00E04260" w:rsidP="0003182C">
      <w:pPr>
        <w:pStyle w:val="Descripcin"/>
        <w:rPr>
          <w:rFonts w:ascii="Arial Narrow" w:eastAsia="Calibri" w:hAnsi="Arial Narrow" w:cs="Arial"/>
          <w:color w:val="000000" w:themeColor="text1"/>
          <w:lang w:val="es-ES" w:eastAsia="es-CR"/>
        </w:rPr>
      </w:pPr>
    </w:p>
    <w:p w14:paraId="3A717D34" w14:textId="77777777" w:rsidR="00E04260" w:rsidRDefault="00E04260" w:rsidP="0003182C">
      <w:pPr>
        <w:pStyle w:val="Descripcin"/>
        <w:rPr>
          <w:rFonts w:ascii="Arial Narrow" w:eastAsia="Calibri" w:hAnsi="Arial Narrow" w:cs="Arial"/>
          <w:color w:val="000000" w:themeColor="text1"/>
          <w:lang w:val="es-ES" w:eastAsia="es-CR"/>
        </w:rPr>
      </w:pPr>
    </w:p>
    <w:p w14:paraId="728403AC" w14:textId="77777777" w:rsidR="00E04260" w:rsidRDefault="00E04260" w:rsidP="0003182C">
      <w:pPr>
        <w:pStyle w:val="Descripcin"/>
        <w:rPr>
          <w:rFonts w:ascii="Arial Narrow" w:eastAsia="Calibri" w:hAnsi="Arial Narrow" w:cs="Arial"/>
          <w:color w:val="000000" w:themeColor="text1"/>
          <w:lang w:val="es-ES" w:eastAsia="es-CR"/>
        </w:rPr>
      </w:pPr>
    </w:p>
    <w:p w14:paraId="6557FC67" w14:textId="2EDD1539" w:rsidR="0003182C" w:rsidRDefault="00DA143C" w:rsidP="0003182C">
      <w:pPr>
        <w:pStyle w:val="Descripcin"/>
        <w:rPr>
          <w:rFonts w:ascii="Arial Narrow" w:eastAsia="Calibri" w:hAnsi="Arial Narrow" w:cs="Arial"/>
          <w:color w:val="000000" w:themeColor="text1"/>
          <w:lang w:val="es-ES" w:eastAsia="es-CR"/>
        </w:rPr>
      </w:pPr>
      <w:r w:rsidRPr="00DA143C">
        <w:rPr>
          <w:rFonts w:ascii="Arial Narrow" w:eastAsia="Calibri" w:hAnsi="Arial Narrow" w:cs="Arial"/>
          <w:color w:val="000000" w:themeColor="text1"/>
          <w:lang w:val="es-ES" w:eastAsia="es-CR"/>
        </w:rPr>
        <w:t xml:space="preserve"> </w:t>
      </w:r>
    </w:p>
    <w:p w14:paraId="08907359" w14:textId="4611B1B5" w:rsidR="00297B55" w:rsidRPr="00136C09" w:rsidRDefault="00297B55" w:rsidP="00297B55">
      <w:pPr>
        <w:pStyle w:val="Descripcin"/>
        <w:jc w:val="center"/>
        <w:rPr>
          <w:rFonts w:ascii="Arial Narrow" w:eastAsia="Calibri" w:hAnsi="Arial Narrow"/>
          <w:sz w:val="24"/>
          <w:szCs w:val="24"/>
          <w:lang w:val="es-ES" w:eastAsia="es-CR"/>
        </w:rPr>
      </w:pPr>
      <w:bookmarkStart w:id="276" w:name="_Toc84919481"/>
      <w:r w:rsidRPr="00CC279A">
        <w:rPr>
          <w:rFonts w:ascii="Arial Narrow" w:hAnsi="Arial Narrow"/>
          <w:sz w:val="24"/>
          <w:szCs w:val="24"/>
        </w:rPr>
        <w:lastRenderedPageBreak/>
        <w:t xml:space="preserve">Tabla </w:t>
      </w:r>
      <w:r w:rsidRPr="00CC279A">
        <w:rPr>
          <w:rFonts w:ascii="Arial Narrow" w:hAnsi="Arial Narrow"/>
          <w:sz w:val="24"/>
          <w:szCs w:val="24"/>
        </w:rPr>
        <w:fldChar w:fldCharType="begin"/>
      </w:r>
      <w:r w:rsidRPr="00CC279A">
        <w:rPr>
          <w:rFonts w:ascii="Arial Narrow" w:hAnsi="Arial Narrow"/>
          <w:sz w:val="24"/>
          <w:szCs w:val="24"/>
        </w:rPr>
        <w:instrText xml:space="preserve"> SEQ Tabla \* ARABIC </w:instrText>
      </w:r>
      <w:r w:rsidRPr="00CC279A">
        <w:rPr>
          <w:rFonts w:ascii="Arial Narrow" w:hAnsi="Arial Narrow"/>
          <w:sz w:val="24"/>
          <w:szCs w:val="24"/>
        </w:rPr>
        <w:fldChar w:fldCharType="separate"/>
      </w:r>
      <w:r w:rsidRPr="00CC279A">
        <w:rPr>
          <w:rFonts w:ascii="Arial Narrow" w:hAnsi="Arial Narrow"/>
          <w:sz w:val="24"/>
          <w:szCs w:val="24"/>
        </w:rPr>
        <w:t>23</w:t>
      </w:r>
      <w:r w:rsidRPr="00CC279A">
        <w:rPr>
          <w:rFonts w:ascii="Arial Narrow" w:hAnsi="Arial Narrow"/>
          <w:sz w:val="24"/>
          <w:szCs w:val="24"/>
        </w:rPr>
        <w:fldChar w:fldCharType="end"/>
      </w:r>
      <w:r w:rsidRPr="00CC279A">
        <w:rPr>
          <w:rFonts w:ascii="Arial Narrow" w:hAnsi="Arial Narrow"/>
          <w:sz w:val="24"/>
          <w:szCs w:val="24"/>
        </w:rPr>
        <w:t xml:space="preserve"> </w:t>
      </w:r>
      <w:r w:rsidRPr="00297B55">
        <w:rPr>
          <w:rFonts w:ascii="Arial Narrow" w:hAnsi="Arial Narrow"/>
          <w:sz w:val="24"/>
          <w:szCs w:val="24"/>
        </w:rPr>
        <w:t xml:space="preserve"> </w:t>
      </w:r>
      <w:r w:rsidRPr="00136C09">
        <w:rPr>
          <w:rFonts w:ascii="Arial Narrow" w:hAnsi="Arial Narrow"/>
          <w:sz w:val="24"/>
          <w:szCs w:val="24"/>
        </w:rPr>
        <w:t>Meta estratégica asignada a todos los despachos judiciales por materia de primera, segunda y tercera instancia</w:t>
      </w:r>
      <w:bookmarkEnd w:id="276"/>
    </w:p>
    <w:p w14:paraId="6C894756" w14:textId="28A5DA07" w:rsidR="00297B55" w:rsidRPr="00CC279A" w:rsidRDefault="00297B55" w:rsidP="00297B55">
      <w:pPr>
        <w:pStyle w:val="Descripcin"/>
        <w:rPr>
          <w:rFonts w:eastAsia="Calibri"/>
          <w:lang w:val="es-ES" w:eastAsia="es-CR"/>
        </w:rPr>
      </w:pPr>
    </w:p>
    <w:p w14:paraId="7A3E1B9C" w14:textId="5512FAA1" w:rsidR="00C62848" w:rsidRPr="00136C09" w:rsidRDefault="00C62848" w:rsidP="005E067A">
      <w:pPr>
        <w:pStyle w:val="Descripcin"/>
        <w:jc w:val="center"/>
        <w:rPr>
          <w:rFonts w:ascii="Arial Narrow" w:eastAsia="Calibri" w:hAnsi="Arial Narrow"/>
          <w:sz w:val="24"/>
          <w:szCs w:val="24"/>
          <w:lang w:val="es-ES" w:eastAsia="es-CR"/>
        </w:rPr>
      </w:pPr>
    </w:p>
    <w:p w14:paraId="358751CB" w14:textId="379457D3" w:rsidR="0003182C" w:rsidRPr="005E067A" w:rsidRDefault="0003182C">
      <w:pPr>
        <w:jc w:val="center"/>
        <w:rPr>
          <w:rFonts w:ascii="Arial Narrow" w:eastAsia="Calibri" w:hAnsi="Arial Narrow"/>
          <w:b/>
          <w:bCs/>
          <w:lang w:val="es-ES" w:eastAsia="es-CR"/>
        </w:rPr>
      </w:pPr>
    </w:p>
    <w:tbl>
      <w:tblPr>
        <w:tblW w:w="92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527"/>
        <w:gridCol w:w="2721"/>
        <w:gridCol w:w="3104"/>
        <w:gridCol w:w="1851"/>
      </w:tblGrid>
      <w:tr w:rsidR="00DA143C" w:rsidRPr="00DA143C" w14:paraId="69FF8FDB" w14:textId="77777777" w:rsidTr="00DA143C">
        <w:trPr>
          <w:trHeight w:val="286"/>
        </w:trPr>
        <w:tc>
          <w:tcPr>
            <w:tcW w:w="1527" w:type="dxa"/>
            <w:shd w:val="clear" w:color="000000" w:fill="D9D9D9"/>
            <w:noWrap/>
            <w:vAlign w:val="center"/>
            <w:hideMark/>
          </w:tcPr>
          <w:p w14:paraId="4657B208" w14:textId="77777777" w:rsidR="00DA143C" w:rsidRPr="00DA143C" w:rsidRDefault="00DA143C" w:rsidP="00DA143C">
            <w:pPr>
              <w:jc w:val="center"/>
              <w:rPr>
                <w:rFonts w:ascii="Arial Narrow" w:eastAsia="Calibri" w:hAnsi="Arial Narrow" w:cs="Arial"/>
                <w:b/>
                <w:color w:val="000000" w:themeColor="text1"/>
                <w:lang w:val="es-ES" w:eastAsia="es-CR"/>
              </w:rPr>
            </w:pPr>
            <w:r w:rsidRPr="00DA143C">
              <w:rPr>
                <w:rFonts w:ascii="Arial Narrow" w:eastAsia="Calibri" w:hAnsi="Arial Narrow" w:cs="Arial"/>
                <w:b/>
                <w:color w:val="000000" w:themeColor="text1"/>
                <w:lang w:val="es-ES" w:eastAsia="es-CR"/>
              </w:rPr>
              <w:t>Tema estratégico</w:t>
            </w:r>
          </w:p>
        </w:tc>
        <w:tc>
          <w:tcPr>
            <w:tcW w:w="2721" w:type="dxa"/>
            <w:shd w:val="clear" w:color="000000" w:fill="D9D9D9"/>
            <w:noWrap/>
            <w:vAlign w:val="center"/>
            <w:hideMark/>
          </w:tcPr>
          <w:p w14:paraId="2D55B4B9" w14:textId="77777777" w:rsidR="00DA143C" w:rsidRPr="00DA143C" w:rsidRDefault="00DA143C" w:rsidP="00DA143C">
            <w:pPr>
              <w:jc w:val="center"/>
              <w:rPr>
                <w:rFonts w:ascii="Arial Narrow" w:eastAsia="Calibri" w:hAnsi="Arial Narrow" w:cs="Arial"/>
                <w:b/>
                <w:color w:val="000000" w:themeColor="text1"/>
                <w:lang w:val="es-ES" w:eastAsia="es-CR"/>
              </w:rPr>
            </w:pPr>
            <w:r w:rsidRPr="00DA143C">
              <w:rPr>
                <w:rFonts w:ascii="Arial Narrow" w:eastAsia="Calibri" w:hAnsi="Arial Narrow" w:cs="Arial"/>
                <w:b/>
                <w:color w:val="000000" w:themeColor="text1"/>
                <w:lang w:val="es-ES" w:eastAsia="es-CR"/>
              </w:rPr>
              <w:t>Acción Estratégica</w:t>
            </w:r>
          </w:p>
        </w:tc>
        <w:tc>
          <w:tcPr>
            <w:tcW w:w="3104" w:type="dxa"/>
            <w:shd w:val="clear" w:color="000000" w:fill="D9D9D9"/>
          </w:tcPr>
          <w:p w14:paraId="4C02F28D" w14:textId="77777777" w:rsidR="00DA143C" w:rsidRPr="00DA143C" w:rsidRDefault="00DA143C" w:rsidP="00DA143C">
            <w:pPr>
              <w:jc w:val="center"/>
              <w:rPr>
                <w:rFonts w:ascii="Arial Narrow" w:eastAsia="Calibri" w:hAnsi="Arial Narrow" w:cs="Arial"/>
                <w:b/>
                <w:color w:val="000000" w:themeColor="text1"/>
                <w:lang w:val="es-ES" w:eastAsia="es-CR"/>
              </w:rPr>
            </w:pPr>
            <w:r w:rsidRPr="00DA143C">
              <w:rPr>
                <w:rFonts w:ascii="Arial Narrow" w:eastAsia="Calibri" w:hAnsi="Arial Narrow" w:cs="Arial"/>
                <w:b/>
                <w:color w:val="000000" w:themeColor="text1"/>
                <w:lang w:val="es-ES" w:eastAsia="es-CR"/>
              </w:rPr>
              <w:t>Meta Estratégica para el 2020</w:t>
            </w:r>
          </w:p>
        </w:tc>
        <w:tc>
          <w:tcPr>
            <w:tcW w:w="1851" w:type="dxa"/>
            <w:shd w:val="clear" w:color="000000" w:fill="D9D9D9"/>
            <w:noWrap/>
            <w:vAlign w:val="center"/>
            <w:hideMark/>
          </w:tcPr>
          <w:p w14:paraId="281FE0CB" w14:textId="77777777" w:rsidR="00DA143C" w:rsidRPr="00DA143C" w:rsidRDefault="00DA143C" w:rsidP="00DA143C">
            <w:pPr>
              <w:jc w:val="center"/>
              <w:rPr>
                <w:rFonts w:ascii="Arial Narrow" w:eastAsia="Calibri" w:hAnsi="Arial Narrow" w:cs="Arial"/>
                <w:b/>
                <w:color w:val="000000" w:themeColor="text1"/>
                <w:lang w:val="es-ES" w:eastAsia="es-CR"/>
              </w:rPr>
            </w:pPr>
            <w:r w:rsidRPr="00DA143C">
              <w:rPr>
                <w:rFonts w:ascii="Arial Narrow" w:eastAsia="Calibri" w:hAnsi="Arial Narrow" w:cs="Arial"/>
                <w:b/>
                <w:color w:val="000000" w:themeColor="text1"/>
                <w:lang w:val="es-ES" w:eastAsia="es-CR"/>
              </w:rPr>
              <w:t>Indicador Estratégico</w:t>
            </w:r>
          </w:p>
        </w:tc>
      </w:tr>
      <w:tr w:rsidR="00DA143C" w:rsidRPr="00DA143C" w14:paraId="5ABE9E01" w14:textId="77777777" w:rsidTr="00DA143C">
        <w:trPr>
          <w:trHeight w:val="286"/>
        </w:trPr>
        <w:tc>
          <w:tcPr>
            <w:tcW w:w="1527" w:type="dxa"/>
            <w:shd w:val="clear" w:color="auto" w:fill="auto"/>
            <w:vAlign w:val="center"/>
            <w:hideMark/>
          </w:tcPr>
          <w:p w14:paraId="0C3EA2AC" w14:textId="77777777" w:rsidR="00DA143C" w:rsidRPr="00DA143C" w:rsidRDefault="00DA143C" w:rsidP="00DA143C">
            <w:pPr>
              <w:jc w:val="both"/>
              <w:rPr>
                <w:rFonts w:ascii="Arial Narrow" w:eastAsia="Calibri" w:hAnsi="Arial Narrow" w:cs="Arial"/>
                <w:color w:val="000000" w:themeColor="text1"/>
                <w:lang w:val="es-ES" w:eastAsia="es-CR"/>
              </w:rPr>
            </w:pPr>
            <w:r w:rsidRPr="00DA143C">
              <w:rPr>
                <w:rFonts w:ascii="Arial Narrow" w:eastAsia="Calibri" w:hAnsi="Arial Narrow" w:cs="Arial"/>
                <w:color w:val="000000" w:themeColor="text1"/>
                <w:lang w:val="es-ES" w:eastAsia="es-CR"/>
              </w:rPr>
              <w:t>Resolución oportuna de conflictos</w:t>
            </w:r>
          </w:p>
        </w:tc>
        <w:tc>
          <w:tcPr>
            <w:tcW w:w="2721" w:type="dxa"/>
            <w:shd w:val="clear" w:color="auto" w:fill="auto"/>
            <w:vAlign w:val="center"/>
            <w:hideMark/>
          </w:tcPr>
          <w:p w14:paraId="59F3595B" w14:textId="77777777" w:rsidR="00DA143C" w:rsidRPr="00DA143C" w:rsidRDefault="00DA143C" w:rsidP="00DA143C">
            <w:pPr>
              <w:jc w:val="both"/>
              <w:rPr>
                <w:rFonts w:ascii="Arial Narrow" w:eastAsia="Calibri" w:hAnsi="Arial Narrow" w:cs="Arial"/>
                <w:color w:val="000000" w:themeColor="text1"/>
                <w:lang w:val="es-ES" w:eastAsia="es-CR"/>
              </w:rPr>
            </w:pPr>
            <w:r w:rsidRPr="00DA143C">
              <w:rPr>
                <w:rFonts w:ascii="Arial Narrow" w:eastAsia="Calibri" w:hAnsi="Arial Narrow" w:cs="Arial"/>
                <w:color w:val="000000" w:themeColor="text1"/>
                <w:lang w:val="es-ES" w:eastAsia="es-CR"/>
              </w:rPr>
              <w:t>OE.1.2 - CELERIDAD JUDICIAL: Implementar mecanismos de gestión que permitan aumentar la celeridad judicial de los juzgados y oficinas judiciales.</w:t>
            </w:r>
          </w:p>
        </w:tc>
        <w:tc>
          <w:tcPr>
            <w:tcW w:w="3104" w:type="dxa"/>
          </w:tcPr>
          <w:p w14:paraId="67B7CCBA" w14:textId="77777777" w:rsidR="00DA143C" w:rsidRPr="00DA143C" w:rsidRDefault="00DA143C" w:rsidP="00DA143C">
            <w:pPr>
              <w:jc w:val="both"/>
              <w:rPr>
                <w:rFonts w:ascii="Arial Narrow" w:eastAsia="Calibri" w:hAnsi="Arial Narrow" w:cs="Arial"/>
                <w:color w:val="000000" w:themeColor="text1"/>
                <w:lang w:val="es-ES" w:eastAsia="es-CR"/>
              </w:rPr>
            </w:pPr>
            <w:r w:rsidRPr="00DA143C">
              <w:rPr>
                <w:rFonts w:ascii="Arial Narrow" w:eastAsia="Calibri" w:hAnsi="Arial Narrow" w:cs="Arial"/>
                <w:color w:val="000000" w:themeColor="text1"/>
                <w:lang w:val="es-ES" w:eastAsia="es-CR"/>
              </w:rPr>
              <w:t>Que al finalizar el 2020, se haya incrementado la cantidad de casos terminados por materia en un 1% en comparación con el primer año. Sumando los del primer año 2019 y 2020 tendríamos un acumulado de 2%.</w:t>
            </w:r>
          </w:p>
        </w:tc>
        <w:tc>
          <w:tcPr>
            <w:tcW w:w="1851" w:type="dxa"/>
            <w:shd w:val="clear" w:color="auto" w:fill="auto"/>
            <w:vAlign w:val="center"/>
            <w:hideMark/>
          </w:tcPr>
          <w:p w14:paraId="1135DF27" w14:textId="77777777" w:rsidR="00DA143C" w:rsidRPr="00DA143C" w:rsidRDefault="00DA143C" w:rsidP="00DA143C">
            <w:pPr>
              <w:jc w:val="both"/>
              <w:rPr>
                <w:rFonts w:ascii="Arial Narrow" w:eastAsia="Calibri" w:hAnsi="Arial Narrow" w:cs="Arial"/>
                <w:color w:val="000000" w:themeColor="text1"/>
                <w:lang w:val="es-ES" w:eastAsia="es-CR"/>
              </w:rPr>
            </w:pPr>
            <w:r w:rsidRPr="00DA143C">
              <w:rPr>
                <w:rFonts w:ascii="Arial Narrow" w:eastAsia="Calibri" w:hAnsi="Arial Narrow" w:cs="Arial"/>
                <w:color w:val="000000" w:themeColor="text1"/>
                <w:lang w:val="es-ES" w:eastAsia="es-CR"/>
              </w:rPr>
              <w:t>OE.1.2.3 - Cantidad de casos terminados</w:t>
            </w:r>
          </w:p>
        </w:tc>
      </w:tr>
    </w:tbl>
    <w:p w14:paraId="5DC0671A" w14:textId="77777777" w:rsidR="00DA143C" w:rsidRPr="00136C09" w:rsidRDefault="00DA143C" w:rsidP="00DA143C">
      <w:pPr>
        <w:spacing w:line="360" w:lineRule="auto"/>
        <w:jc w:val="both"/>
        <w:rPr>
          <w:rFonts w:ascii="Arial Narrow" w:hAnsi="Arial Narrow"/>
          <w:sz w:val="20"/>
          <w:szCs w:val="20"/>
          <w:lang w:eastAsia="ar-SA"/>
        </w:rPr>
      </w:pPr>
      <w:r w:rsidRPr="00136C09">
        <w:rPr>
          <w:rFonts w:ascii="Arial Narrow" w:hAnsi="Arial Narrow"/>
          <w:sz w:val="20"/>
          <w:szCs w:val="20"/>
          <w:lang w:eastAsia="ar-SA"/>
        </w:rPr>
        <w:t>Fuente: informe 875-PLA-2020</w:t>
      </w:r>
    </w:p>
    <w:p w14:paraId="39402903" w14:textId="77777777" w:rsidR="00DA143C" w:rsidRPr="00DA143C" w:rsidRDefault="00DA143C" w:rsidP="00DA143C">
      <w:pPr>
        <w:spacing w:line="276" w:lineRule="auto"/>
        <w:jc w:val="both"/>
        <w:rPr>
          <w:rFonts w:ascii="Arial Narrow" w:hAnsi="Arial Narrow" w:cs="Book Antiqua"/>
          <w:snapToGrid w:val="0"/>
          <w:color w:val="000000" w:themeColor="text1"/>
          <w:lang w:val="pt-BR"/>
        </w:rPr>
      </w:pPr>
    </w:p>
    <w:p w14:paraId="7FADE03E" w14:textId="5228EC9A" w:rsidR="00136C09" w:rsidRDefault="00DA143C" w:rsidP="00136C09">
      <w:pPr>
        <w:spacing w:line="360" w:lineRule="auto"/>
        <w:jc w:val="both"/>
        <w:rPr>
          <w:rFonts w:ascii="Arial Narrow" w:hAnsi="Arial Narrow" w:cs="Book Antiqua"/>
          <w:snapToGrid w:val="0"/>
          <w:color w:val="000000" w:themeColor="text1"/>
        </w:rPr>
      </w:pPr>
      <w:r w:rsidRPr="00DA143C">
        <w:rPr>
          <w:rFonts w:ascii="Arial Narrow" w:hAnsi="Arial Narrow" w:cs="Book Antiqua"/>
          <w:snapToGrid w:val="0"/>
          <w:color w:val="000000" w:themeColor="text1"/>
          <w:lang w:val="pt-BR"/>
        </w:rPr>
        <w:t xml:space="preserve">A </w:t>
      </w:r>
      <w:r w:rsidRPr="00DA143C">
        <w:rPr>
          <w:rFonts w:ascii="Arial Narrow" w:hAnsi="Arial Narrow" w:cs="Book Antiqua"/>
          <w:snapToGrid w:val="0"/>
          <w:color w:val="000000" w:themeColor="text1"/>
        </w:rPr>
        <w:t xml:space="preserve">partir del análisis de los casos terminados en el primer semestre del 2020, la Dirección de Planificación </w:t>
      </w:r>
      <w:r w:rsidR="00167828">
        <w:rPr>
          <w:rFonts w:ascii="Arial Narrow" w:hAnsi="Arial Narrow" w:cs="Book Antiqua"/>
          <w:snapToGrid w:val="0"/>
          <w:color w:val="000000" w:themeColor="text1"/>
        </w:rPr>
        <w:t xml:space="preserve">propuso </w:t>
      </w:r>
      <w:r w:rsidRPr="00DA143C">
        <w:rPr>
          <w:rFonts w:ascii="Arial Narrow" w:hAnsi="Arial Narrow" w:cs="Book Antiqua"/>
          <w:snapToGrid w:val="0"/>
          <w:color w:val="000000" w:themeColor="text1"/>
        </w:rPr>
        <w:t>dejar sin efecto al menos y como primera medida el incremento del 2% de los casos terminados en el primer semestre y a partir del comportamiento de los datos producto de las medidas impuestas en las diferentes zonas del país, se podría reactivar este 2%</w:t>
      </w:r>
      <w:r w:rsidR="00D13224">
        <w:rPr>
          <w:rFonts w:ascii="Arial Narrow" w:hAnsi="Arial Narrow" w:cs="Book Antiqua"/>
          <w:snapToGrid w:val="0"/>
          <w:color w:val="000000" w:themeColor="text1"/>
        </w:rPr>
        <w:t>,</w:t>
      </w:r>
      <w:r w:rsidRPr="00DA143C">
        <w:rPr>
          <w:rFonts w:ascii="Arial Narrow" w:hAnsi="Arial Narrow" w:cs="Book Antiqua"/>
          <w:snapToGrid w:val="0"/>
          <w:color w:val="000000" w:themeColor="text1"/>
        </w:rPr>
        <w:t xml:space="preserve"> </w:t>
      </w:r>
      <w:r w:rsidR="00E04260">
        <w:rPr>
          <w:rFonts w:ascii="Arial Narrow" w:hAnsi="Arial Narrow" w:cs="Book Antiqua"/>
          <w:snapToGrid w:val="0"/>
          <w:color w:val="000000" w:themeColor="text1"/>
        </w:rPr>
        <w:t>o</w:t>
      </w:r>
      <w:r w:rsidRPr="00DA143C">
        <w:rPr>
          <w:rFonts w:ascii="Arial Narrow" w:hAnsi="Arial Narrow" w:cs="Book Antiqua"/>
          <w:snapToGrid w:val="0"/>
          <w:color w:val="000000" w:themeColor="text1"/>
        </w:rPr>
        <w:t xml:space="preserve"> se propondría el ajuste correspondiente, este ajuste podría implicar una disminución o el incremento, a partir de las medidas sanitarias que se establezcan; o conforme las posibilidades de teletrabajo o realización de audiencias virtuales se concreten.</w:t>
      </w:r>
    </w:p>
    <w:p w14:paraId="7F4211F7" w14:textId="77777777" w:rsidR="00136C09" w:rsidRDefault="00136C09" w:rsidP="00136C09">
      <w:pPr>
        <w:spacing w:line="360" w:lineRule="auto"/>
        <w:jc w:val="both"/>
        <w:rPr>
          <w:rFonts w:ascii="Arial Narrow" w:hAnsi="Arial Narrow" w:cs="Book Antiqua"/>
          <w:snapToGrid w:val="0"/>
          <w:color w:val="000000" w:themeColor="text1"/>
        </w:rPr>
      </w:pPr>
    </w:p>
    <w:p w14:paraId="6D722663" w14:textId="6AD5C78A" w:rsidR="00DA143C" w:rsidRPr="00DA143C" w:rsidRDefault="00DA143C" w:rsidP="00136C09">
      <w:pPr>
        <w:spacing w:line="360" w:lineRule="auto"/>
        <w:jc w:val="both"/>
        <w:rPr>
          <w:rFonts w:ascii="Arial Narrow" w:hAnsi="Arial Narrow" w:cs="Book Antiqua"/>
          <w:snapToGrid w:val="0"/>
          <w:color w:val="000000" w:themeColor="text1"/>
        </w:rPr>
      </w:pPr>
      <w:r w:rsidRPr="00CC279A">
        <w:rPr>
          <w:rFonts w:ascii="Arial Narrow" w:hAnsi="Arial Narrow" w:cs="Book Antiqua"/>
          <w:b/>
          <w:bCs/>
          <w:snapToGrid w:val="0"/>
          <w:color w:val="000000" w:themeColor="text1"/>
        </w:rPr>
        <w:t xml:space="preserve">Esto fundamentalmente se considera, ya que hay a la fecha una reducción del 39% en las audiencias, producto de la imposibilidad material para realizarlas, esto va de la mano </w:t>
      </w:r>
      <w:r w:rsidR="003E7F4C" w:rsidRPr="00CC279A">
        <w:rPr>
          <w:rFonts w:ascii="Arial Narrow" w:hAnsi="Arial Narrow" w:cs="Book Antiqua"/>
          <w:b/>
          <w:bCs/>
          <w:snapToGrid w:val="0"/>
          <w:color w:val="000000" w:themeColor="text1"/>
        </w:rPr>
        <w:t>a una</w:t>
      </w:r>
      <w:r w:rsidRPr="00CC279A">
        <w:rPr>
          <w:rFonts w:ascii="Arial Narrow" w:hAnsi="Arial Narrow" w:cs="Book Antiqua"/>
          <w:b/>
          <w:bCs/>
          <w:snapToGrid w:val="0"/>
          <w:color w:val="000000" w:themeColor="text1"/>
        </w:rPr>
        <w:t xml:space="preserve"> caída en los asuntos entrados de un 20% en este período (e</w:t>
      </w:r>
      <w:r w:rsidR="00167828" w:rsidRPr="00CC279A">
        <w:rPr>
          <w:rFonts w:ascii="Arial Narrow" w:hAnsi="Arial Narrow" w:cs="Book Antiqua"/>
          <w:b/>
          <w:bCs/>
          <w:snapToGrid w:val="0"/>
          <w:color w:val="000000" w:themeColor="text1"/>
        </w:rPr>
        <w:t>n</w:t>
      </w:r>
      <w:r w:rsidRPr="00CC279A">
        <w:rPr>
          <w:rFonts w:ascii="Arial Narrow" w:hAnsi="Arial Narrow" w:cs="Book Antiqua"/>
          <w:b/>
          <w:bCs/>
          <w:snapToGrid w:val="0"/>
          <w:color w:val="000000" w:themeColor="text1"/>
        </w:rPr>
        <w:t xml:space="preserve"> el mes de mayo ya hay un repunte de los casos entrados nuevamente) y las medidas sanitarias que se han dispuesto.</w:t>
      </w:r>
      <w:r w:rsidRPr="00DA143C">
        <w:rPr>
          <w:rFonts w:ascii="Arial Narrow" w:hAnsi="Arial Narrow" w:cs="Book Antiqua"/>
          <w:snapToGrid w:val="0"/>
          <w:color w:val="000000" w:themeColor="text1"/>
        </w:rPr>
        <w:t xml:space="preserve"> En los casos que las oficinas hayan alcanzado la meta, no se realizarán los ajustes, ya que se visualiza que hay oficinas en donde su trámite ha sido posible seguirlo realizando virtual, es decir por medio de teletrabajo, esto se visualiza sobre todo en las segundas y terceras instancias, en que han aumentado su producción, o en las oficinas que atienden Violencia Doméstica que han mantenido su trabajo prácticamente igual, se hizo la aclaración</w:t>
      </w:r>
      <w:r w:rsidRPr="00DA143C">
        <w:rPr>
          <w:rFonts w:ascii="Arial Narrow" w:hAnsi="Arial Narrow" w:cs="Book Antiqua"/>
          <w:snapToGrid w:val="0"/>
          <w:color w:val="000000" w:themeColor="text1"/>
          <w:lang w:val="pt-BR"/>
        </w:rPr>
        <w:t xml:space="preserve"> de </w:t>
      </w:r>
      <w:r w:rsidRPr="00DA143C">
        <w:rPr>
          <w:rFonts w:ascii="Arial Narrow" w:hAnsi="Arial Narrow" w:cs="Book Antiqua"/>
          <w:snapToGrid w:val="0"/>
          <w:color w:val="000000" w:themeColor="text1"/>
        </w:rPr>
        <w:t xml:space="preserve">que la meta a ajustar es únicamente para el efecto de los casos terminados, porque el personal judicial se encuentra trabajando bajo los lineamientos establecidos, también se indicó monitorear el dato mensualmente y cada trimestre se procederá a informar, revisar y analizar el </w:t>
      </w:r>
      <w:r w:rsidR="0003182C" w:rsidRPr="00DA143C">
        <w:rPr>
          <w:rFonts w:ascii="Arial Narrow" w:hAnsi="Arial Narrow" w:cs="Book Antiqua"/>
          <w:snapToGrid w:val="0"/>
          <w:color w:val="000000" w:themeColor="text1"/>
        </w:rPr>
        <w:t>comportamiento</w:t>
      </w:r>
      <w:r w:rsidRPr="00DA143C">
        <w:rPr>
          <w:rFonts w:ascii="Arial Narrow" w:hAnsi="Arial Narrow" w:cs="Book Antiqua"/>
          <w:snapToGrid w:val="0"/>
          <w:color w:val="000000" w:themeColor="text1"/>
        </w:rPr>
        <w:t xml:space="preserve"> y </w:t>
      </w:r>
      <w:r w:rsidRPr="00DA143C">
        <w:rPr>
          <w:rFonts w:ascii="Arial Narrow" w:hAnsi="Arial Narrow" w:cs="Book Antiqua"/>
          <w:snapToGrid w:val="0"/>
          <w:color w:val="000000" w:themeColor="text1"/>
        </w:rPr>
        <w:lastRenderedPageBreak/>
        <w:t>volatilidad de los casos terminados, esto con el objetivo de realizar los ajustes correspondientes a los objetivos y metas.</w:t>
      </w:r>
    </w:p>
    <w:p w14:paraId="4A342765" w14:textId="77777777" w:rsidR="00136C09" w:rsidRDefault="00136C09" w:rsidP="00136C09">
      <w:pPr>
        <w:spacing w:line="360" w:lineRule="auto"/>
        <w:jc w:val="both"/>
        <w:rPr>
          <w:rFonts w:ascii="Arial Narrow" w:hAnsi="Arial Narrow"/>
          <w:lang w:eastAsia="ar-SA"/>
        </w:rPr>
      </w:pPr>
    </w:p>
    <w:p w14:paraId="2390C395" w14:textId="24B83774" w:rsidR="00DA143C" w:rsidRPr="00DA143C" w:rsidRDefault="00DA143C" w:rsidP="00136C09">
      <w:pPr>
        <w:spacing w:line="360" w:lineRule="auto"/>
        <w:jc w:val="both"/>
        <w:rPr>
          <w:rFonts w:ascii="Arial Narrow" w:hAnsi="Arial Narrow" w:cs="Book Antiqua"/>
          <w:snapToGrid w:val="0"/>
          <w:color w:val="000000" w:themeColor="text1"/>
        </w:rPr>
      </w:pPr>
      <w:r w:rsidRPr="00DA143C">
        <w:rPr>
          <w:rFonts w:ascii="Arial Narrow" w:hAnsi="Arial Narrow" w:cs="Book Antiqua"/>
          <w:snapToGrid w:val="0"/>
          <w:color w:val="000000" w:themeColor="text1"/>
        </w:rPr>
        <w:t xml:space="preserve">En dicha sesión la Corte Suprema dispuso tener por hechas las exposiciones anteriores y por rendidos los informes de la Comisión de Emergencias, del Despacho de la Presidencia, de las Direcciones Ejecutiva, Gestión Humana y Planificación, y del Centro de Apoyo, Coordinación y Mejoramiento de la Función Jurisdiccional, referentes a los resultados del trabajo que han hecho las diferentes oficinas del Poder Judicial, con motivo de la declaratoria de estado de emergencia nacional, debido a la situación sanitaria provocada por el </w:t>
      </w:r>
      <w:r w:rsidR="00731D25">
        <w:rPr>
          <w:rFonts w:ascii="Arial Narrow" w:hAnsi="Arial Narrow" w:cs="Book Antiqua"/>
          <w:snapToGrid w:val="0"/>
          <w:color w:val="000000" w:themeColor="text1"/>
        </w:rPr>
        <w:t>COVID-</w:t>
      </w:r>
      <w:r w:rsidRPr="00DA143C">
        <w:rPr>
          <w:rFonts w:ascii="Arial Narrow" w:hAnsi="Arial Narrow" w:cs="Book Antiqua"/>
          <w:snapToGrid w:val="0"/>
          <w:color w:val="000000" w:themeColor="text1"/>
        </w:rPr>
        <w:t>19, los cuales se tendrán como insumos para decisiones que se tengan que adoptar a futuro y acoger las recomendaciones de la Dirección de Planificación, las que deberán ser cumplidas por cada uno de los despachos responsables.</w:t>
      </w:r>
    </w:p>
    <w:p w14:paraId="03ABE607" w14:textId="77777777" w:rsidR="00DA143C" w:rsidRPr="00DA143C" w:rsidRDefault="00DA143C" w:rsidP="00DA143C">
      <w:pPr>
        <w:spacing w:line="360" w:lineRule="auto"/>
        <w:jc w:val="both"/>
        <w:rPr>
          <w:rFonts w:ascii="Arial Narrow" w:hAnsi="Arial Narrow"/>
          <w:lang w:eastAsia="ar-SA"/>
        </w:rPr>
      </w:pPr>
    </w:p>
    <w:p w14:paraId="74A4452D" w14:textId="7A716F6E" w:rsidR="00DA143C" w:rsidRPr="00DA143C" w:rsidRDefault="00DA143C" w:rsidP="00DA143C">
      <w:pPr>
        <w:spacing w:line="360" w:lineRule="auto"/>
        <w:jc w:val="both"/>
        <w:rPr>
          <w:rFonts w:ascii="Arial Narrow" w:hAnsi="Arial Narrow"/>
          <w:color w:val="000000"/>
          <w:shd w:val="clear" w:color="auto" w:fill="FFFFFF"/>
        </w:rPr>
      </w:pPr>
      <w:r w:rsidRPr="00DA143C">
        <w:rPr>
          <w:rFonts w:ascii="Arial Narrow" w:hAnsi="Arial Narrow"/>
          <w:color w:val="000000"/>
          <w:shd w:val="clear" w:color="auto" w:fill="FFFFFF"/>
        </w:rPr>
        <w:t>La Corte Plena en sesión  40-2020 del 11 de julio de 2020,</w:t>
      </w:r>
      <w:r w:rsidRPr="00DA143C">
        <w:rPr>
          <w:rFonts w:ascii="Arial Narrow" w:hAnsi="Arial Narrow"/>
          <w:b/>
          <w:bCs/>
          <w:color w:val="000000"/>
          <w:shd w:val="clear" w:color="auto" w:fill="FFFFFF"/>
        </w:rPr>
        <w:t> </w:t>
      </w:r>
      <w:r w:rsidRPr="00DA143C">
        <w:rPr>
          <w:rFonts w:ascii="Arial Narrow" w:hAnsi="Arial Narrow"/>
          <w:color w:val="000000"/>
          <w:shd w:val="clear" w:color="auto" w:fill="FFFFFF"/>
        </w:rPr>
        <w:t xml:space="preserve">en atención a la declaratoria de emergencia nacional, debido a la situación de emergencia sanitaria provocada por la enfermedad </w:t>
      </w:r>
      <w:r w:rsidR="00731D25">
        <w:rPr>
          <w:rFonts w:ascii="Arial Narrow" w:hAnsi="Arial Narrow"/>
          <w:color w:val="000000"/>
          <w:shd w:val="clear" w:color="auto" w:fill="FFFFFF"/>
        </w:rPr>
        <w:t>COVID-</w:t>
      </w:r>
      <w:r w:rsidRPr="00DA143C">
        <w:rPr>
          <w:rFonts w:ascii="Arial Narrow" w:hAnsi="Arial Narrow"/>
          <w:color w:val="000000"/>
          <w:shd w:val="clear" w:color="auto" w:fill="FFFFFF"/>
        </w:rPr>
        <w:t xml:space="preserve">19 acordó acoger la propuesta de la Comisión de Emergencias en la que se recomendó suspender las actividades presenciales que se desarrollan en los despachos administrativos y jurisdiccionales del Poder Judicial ubicados en los cantones designados por el Poder Ejecutivo como en alerta naranja, a partir del día sábado 11 de julio de 2020 y hasta el día domingo 19 de dicho mes inclusive, a fin de que las personas servidoras se mantengan en sus hogares y reducir el contagio de la enfermedad </w:t>
      </w:r>
      <w:r w:rsidR="00731D25">
        <w:rPr>
          <w:rFonts w:ascii="Arial Narrow" w:hAnsi="Arial Narrow"/>
          <w:color w:val="000000"/>
          <w:shd w:val="clear" w:color="auto" w:fill="FFFFFF"/>
        </w:rPr>
        <w:t>COVID-</w:t>
      </w:r>
      <w:r w:rsidRPr="00DA143C">
        <w:rPr>
          <w:rFonts w:ascii="Arial Narrow" w:hAnsi="Arial Narrow"/>
          <w:color w:val="000000"/>
          <w:shd w:val="clear" w:color="auto" w:fill="FFFFFF"/>
        </w:rPr>
        <w:t xml:space="preserve">19, por lo cual se ordenó un nuevo cierre colectivo. Mientras que, para los despachos administrativos y jurisdiccionales ubicados en los cantones y distritos categorizados en alerta amarilla, se prorrogan los efectos del acuerdo de la </w:t>
      </w:r>
      <w:r w:rsidR="003E7F4C" w:rsidRPr="00DA143C">
        <w:rPr>
          <w:rFonts w:ascii="Arial Narrow" w:hAnsi="Arial Narrow"/>
          <w:color w:val="000000"/>
          <w:shd w:val="clear" w:color="auto" w:fill="FFFFFF"/>
        </w:rPr>
        <w:t>sesión 18</w:t>
      </w:r>
      <w:r w:rsidRPr="00DA143C">
        <w:rPr>
          <w:rFonts w:ascii="Arial Narrow" w:hAnsi="Arial Narrow"/>
          <w:color w:val="000000"/>
          <w:shd w:val="clear" w:color="auto" w:fill="FFFFFF"/>
        </w:rPr>
        <w:t xml:space="preserve">-2020 sesión </w:t>
      </w:r>
      <w:r w:rsidR="00652A12" w:rsidRPr="00DA143C">
        <w:rPr>
          <w:rFonts w:ascii="Arial Narrow" w:hAnsi="Arial Narrow"/>
          <w:color w:val="000000"/>
          <w:shd w:val="clear" w:color="auto" w:fill="FFFFFF"/>
        </w:rPr>
        <w:t>extraordinaria 26</w:t>
      </w:r>
      <w:r w:rsidRPr="00DA143C">
        <w:rPr>
          <w:rFonts w:ascii="Arial Narrow" w:hAnsi="Arial Narrow"/>
          <w:color w:val="000000"/>
          <w:shd w:val="clear" w:color="auto" w:fill="FFFFFF"/>
        </w:rPr>
        <w:t xml:space="preserve">-2020, </w:t>
      </w:r>
      <w:r w:rsidR="00652A12" w:rsidRPr="00DA143C">
        <w:rPr>
          <w:rFonts w:ascii="Arial Narrow" w:hAnsi="Arial Narrow"/>
          <w:color w:val="000000"/>
          <w:shd w:val="clear" w:color="auto" w:fill="FFFFFF"/>
        </w:rPr>
        <w:t>Sesión 32</w:t>
      </w:r>
      <w:r w:rsidRPr="00DA143C">
        <w:rPr>
          <w:rFonts w:ascii="Arial Narrow" w:hAnsi="Arial Narrow"/>
          <w:color w:val="000000"/>
          <w:shd w:val="clear" w:color="auto" w:fill="FFFFFF"/>
        </w:rPr>
        <w:t>-2020, a partir del día 16 de julio de 2020 y hasta el día 15 de agosto de 2020, manteniéndose la prestación de servicios conforme a lo dispuesto en dichos actos administrativos, así como lo dispuesto por el Consejo Superior.</w:t>
      </w:r>
    </w:p>
    <w:p w14:paraId="5CFEB6BF" w14:textId="77777777" w:rsidR="00DA143C" w:rsidRPr="00DA143C" w:rsidRDefault="00DA143C" w:rsidP="00DA143C">
      <w:pPr>
        <w:spacing w:line="360" w:lineRule="auto"/>
        <w:jc w:val="both"/>
        <w:rPr>
          <w:rFonts w:ascii="Arial Narrow" w:hAnsi="Arial Narrow"/>
          <w:color w:val="000000"/>
          <w:shd w:val="clear" w:color="auto" w:fill="FFFFFF"/>
        </w:rPr>
      </w:pPr>
    </w:p>
    <w:p w14:paraId="32B5B0B4" w14:textId="21288404" w:rsidR="00DA143C" w:rsidRPr="00DA143C" w:rsidRDefault="00DA143C" w:rsidP="00DA143C">
      <w:pPr>
        <w:spacing w:line="360" w:lineRule="auto"/>
        <w:jc w:val="both"/>
        <w:rPr>
          <w:rFonts w:ascii="Arial Narrow" w:hAnsi="Arial Narrow"/>
          <w:color w:val="000000"/>
          <w:shd w:val="clear" w:color="auto" w:fill="FFFFFF"/>
        </w:rPr>
      </w:pPr>
      <w:r w:rsidRPr="00DA143C">
        <w:rPr>
          <w:rFonts w:ascii="Arial Narrow" w:hAnsi="Arial Narrow"/>
          <w:color w:val="000000"/>
          <w:shd w:val="clear" w:color="auto" w:fill="FFFFFF"/>
        </w:rPr>
        <w:t xml:space="preserve">En ese momento histórico la emergencia del </w:t>
      </w:r>
      <w:r w:rsidR="00731D25">
        <w:rPr>
          <w:rFonts w:ascii="Arial Narrow" w:hAnsi="Arial Narrow"/>
          <w:color w:val="000000"/>
          <w:shd w:val="clear" w:color="auto" w:fill="FFFFFF"/>
        </w:rPr>
        <w:t>COVID-</w:t>
      </w:r>
      <w:r w:rsidRPr="00DA143C">
        <w:rPr>
          <w:rFonts w:ascii="Arial Narrow" w:hAnsi="Arial Narrow"/>
          <w:color w:val="000000"/>
          <w:shd w:val="clear" w:color="auto" w:fill="FFFFFF"/>
        </w:rPr>
        <w:t xml:space="preserve"> 19 se complica a nivel nacional y comienzan a existir zonas geográficas con alerta naranja, lo cual provoca que se tenga que detener el avance institucional de la reactivación de servicios y existan oficinas con cierres parciales o totales de sus labores, afectando las metas vinculadas a temas de actividades presenciales, capacitaciones, audiencias y juicios.</w:t>
      </w:r>
    </w:p>
    <w:p w14:paraId="7F48B1C5" w14:textId="77777777" w:rsidR="00DA143C" w:rsidRPr="00DA143C" w:rsidRDefault="00DA143C" w:rsidP="00DA143C">
      <w:pPr>
        <w:spacing w:line="360" w:lineRule="auto"/>
        <w:jc w:val="both"/>
        <w:rPr>
          <w:rFonts w:ascii="Arial Narrow" w:hAnsi="Arial Narrow"/>
          <w:color w:val="000000"/>
          <w:shd w:val="clear" w:color="auto" w:fill="FFFFFF"/>
        </w:rPr>
      </w:pPr>
    </w:p>
    <w:p w14:paraId="22D8BE3E" w14:textId="34D54B5E" w:rsidR="00DA143C" w:rsidRPr="00DA143C" w:rsidRDefault="00DA143C" w:rsidP="00DA143C">
      <w:pPr>
        <w:spacing w:line="360" w:lineRule="auto"/>
        <w:jc w:val="both"/>
        <w:rPr>
          <w:rFonts w:ascii="Arial Narrow" w:hAnsi="Arial Narrow"/>
          <w:color w:val="000000"/>
          <w:lang w:eastAsia="es-CR"/>
        </w:rPr>
      </w:pPr>
      <w:r w:rsidRPr="00DA143C">
        <w:rPr>
          <w:rFonts w:ascii="Arial Narrow" w:hAnsi="Arial Narrow"/>
          <w:color w:val="000000"/>
          <w:shd w:val="clear" w:color="auto" w:fill="FFFFFF"/>
        </w:rPr>
        <w:t xml:space="preserve"> La Corte Plena mediante la circular 183-2020 comunicó el acuerdo de Corte Plena de la sesión  48-2020 del 31 de agosto de 2020,</w:t>
      </w:r>
      <w:r w:rsidRPr="00DA143C">
        <w:rPr>
          <w:rFonts w:ascii="Arial Narrow" w:hAnsi="Arial Narrow"/>
          <w:b/>
          <w:bCs/>
          <w:color w:val="000000"/>
          <w:shd w:val="clear" w:color="auto" w:fill="FFFFFF"/>
        </w:rPr>
        <w:t> </w:t>
      </w:r>
      <w:r w:rsidRPr="00DA143C">
        <w:rPr>
          <w:rFonts w:ascii="Arial Narrow" w:hAnsi="Arial Narrow"/>
          <w:color w:val="000000"/>
          <w:shd w:val="clear" w:color="auto" w:fill="FFFFFF"/>
        </w:rPr>
        <w:t xml:space="preserve">en atención a la declaratoria de emergencia nacional, debido a la situación de emergencia sanitaria provocada por la enfermedad </w:t>
      </w:r>
      <w:r w:rsidR="00731D25">
        <w:rPr>
          <w:rFonts w:ascii="Arial Narrow" w:hAnsi="Arial Narrow"/>
          <w:color w:val="000000"/>
          <w:shd w:val="clear" w:color="auto" w:fill="FFFFFF"/>
        </w:rPr>
        <w:t>COVID-</w:t>
      </w:r>
      <w:r w:rsidRPr="00DA143C">
        <w:rPr>
          <w:rFonts w:ascii="Arial Narrow" w:hAnsi="Arial Narrow"/>
          <w:color w:val="000000"/>
          <w:shd w:val="clear" w:color="auto" w:fill="FFFFFF"/>
        </w:rPr>
        <w:t xml:space="preserve">19, acogió la propuesta de la Comisión de Emergencias del Poder Judicial y prorrogo los efectos de los acuerdos de </w:t>
      </w:r>
      <w:r w:rsidRPr="00DA143C">
        <w:rPr>
          <w:rFonts w:ascii="Arial Narrow" w:hAnsi="Arial Narrow"/>
          <w:color w:val="000000"/>
          <w:lang w:eastAsia="es-CR"/>
        </w:rPr>
        <w:t xml:space="preserve">sesión  18-2020 celebrada el 2 de abril del año en curso, artículo Único, así como lo dispuesto en el acuerdo de sesión extraordinaria  26-2020, celebrada el 13 de mayo de 2020, artículo Único y en los acuerdos de Sesión  32-2020 del 8 de junio de 2020, artículo XVIII y de sesión extraordinaria  42-2020, celebrada el 20 de julio del 2020, artículo X, todos de esta Corte, a partir del día 31 de agosto de 2020 y hasta el día 8 de setiembre del mismo año, para todos despachos administrativos y jurisdiccionales del Poder Judicial, los efectos del presente acuerdo se encuentran condicionados al mantenimiento del estado de emergencia dispuesto por el decreto ejecutivo 42227-MS emitido el día 16 de marzo de 2020 y a lo establecido por los lineamientos del Ministerio de Salud aplicables al Poder Judicial, durante el término de su vigencia y se solicitó un informe actualizado a las Direcciones de este Poder de la República y al Centro de Apoyo, Coordinación y Mejoramiento de la Función Jurisdiccional, sobre la situación de los despachos judiciales y si existe alguna jurisdicción que haya presentado un atraso en la realización de audiencias, durante este tiempo en que se han aplicado las medidas debido a la situación de emergencia sanitaria provocada por la enfermedad </w:t>
      </w:r>
      <w:r w:rsidR="00731D25">
        <w:rPr>
          <w:rFonts w:ascii="Arial Narrow" w:hAnsi="Arial Narrow"/>
          <w:color w:val="000000"/>
          <w:lang w:eastAsia="es-CR"/>
        </w:rPr>
        <w:t>COVID</w:t>
      </w:r>
      <w:r w:rsidRPr="00DA143C">
        <w:rPr>
          <w:rFonts w:ascii="Arial Narrow" w:hAnsi="Arial Narrow"/>
          <w:color w:val="000000"/>
          <w:lang w:eastAsia="es-CR"/>
        </w:rPr>
        <w:t>-</w:t>
      </w:r>
      <w:r w:rsidR="00731D25">
        <w:rPr>
          <w:rFonts w:ascii="Arial Narrow" w:hAnsi="Arial Narrow"/>
          <w:color w:val="000000"/>
          <w:lang w:eastAsia="es-CR"/>
        </w:rPr>
        <w:t>1</w:t>
      </w:r>
      <w:r w:rsidRPr="00DA143C">
        <w:rPr>
          <w:rFonts w:ascii="Arial Narrow" w:hAnsi="Arial Narrow"/>
          <w:color w:val="000000"/>
          <w:lang w:eastAsia="es-CR"/>
        </w:rPr>
        <w:t>9, por lo tanto la Dirección de Planificación presentó el informe 1385-PLA-2020 y el Centro de Apoyo, Coordinación y Mejoramiento de la Función Jurisdiccional el informe 331-CACMFJ-JEF-2020 en la sesión del 07 de setiembre de 2020.</w:t>
      </w:r>
    </w:p>
    <w:p w14:paraId="700704BF" w14:textId="77777777" w:rsidR="00DA143C" w:rsidRPr="00DA143C" w:rsidRDefault="00DA143C" w:rsidP="00DA143C">
      <w:pPr>
        <w:spacing w:line="360" w:lineRule="auto"/>
        <w:jc w:val="both"/>
        <w:rPr>
          <w:rFonts w:ascii="Arial Narrow" w:hAnsi="Arial Narrow"/>
          <w:color w:val="000000"/>
          <w:lang w:eastAsia="es-CR"/>
        </w:rPr>
      </w:pPr>
    </w:p>
    <w:p w14:paraId="584E0461" w14:textId="70C6F851" w:rsidR="00DA143C" w:rsidRPr="00DA143C" w:rsidRDefault="00DA143C" w:rsidP="00DA143C">
      <w:pPr>
        <w:spacing w:line="360" w:lineRule="auto"/>
        <w:jc w:val="both"/>
        <w:rPr>
          <w:rFonts w:ascii="Arial Narrow" w:hAnsi="Arial Narrow" w:cs="Arial"/>
          <w:color w:val="000000"/>
          <w:lang w:eastAsia="es-CR"/>
        </w:rPr>
      </w:pPr>
      <w:r w:rsidRPr="00DA143C">
        <w:rPr>
          <w:rFonts w:ascii="Arial Narrow" w:hAnsi="Arial Narrow"/>
          <w:color w:val="000000"/>
          <w:lang w:eastAsia="es-CR"/>
        </w:rPr>
        <w:t xml:space="preserve">La Corte Plena en la sesión </w:t>
      </w:r>
      <w:r w:rsidRPr="00DA143C">
        <w:rPr>
          <w:rFonts w:ascii="Arial Narrow" w:hAnsi="Arial Narrow"/>
          <w:color w:val="000000"/>
          <w:shd w:val="clear" w:color="auto" w:fill="FFFFFF"/>
        </w:rPr>
        <w:t> 50-2020 del 7 de setiembre de 2020,</w:t>
      </w:r>
      <w:r w:rsidRPr="00DA143C">
        <w:rPr>
          <w:rFonts w:ascii="Arial Narrow" w:hAnsi="Arial Narrow"/>
          <w:b/>
          <w:bCs/>
          <w:color w:val="000000"/>
          <w:shd w:val="clear" w:color="auto" w:fill="FFFFFF"/>
        </w:rPr>
        <w:t> </w:t>
      </w:r>
      <w:r w:rsidRPr="00DA143C">
        <w:rPr>
          <w:rFonts w:ascii="Arial Narrow" w:hAnsi="Arial Narrow"/>
          <w:color w:val="000000"/>
          <w:shd w:val="clear" w:color="auto" w:fill="FFFFFF"/>
        </w:rPr>
        <w:t xml:space="preserve"> p</w:t>
      </w:r>
      <w:r w:rsidRPr="00DA143C">
        <w:rPr>
          <w:rFonts w:ascii="Arial Narrow" w:hAnsi="Arial Narrow"/>
          <w:color w:val="000000"/>
          <w:lang w:eastAsia="es-CR"/>
        </w:rPr>
        <w:t xml:space="preserve">rorroga los efectos de los acuerdos de sesión  18-2020 celebrada el 2 de abril del año en curso, artículo Único, así como lo dispuesto en el acuerdo de sesión extraordinaria  26-2020, celebrada el 13 de mayo de 2020, artículo Único y en los acuerdos de sesión  32-2020 del 8 de junio de 2020, artículo XVIII y de sesión extraordinaria  42-2020, celebrada el 20 de julio del 2020, artículo X, todos de esta Corte, a partir del día 9 de setiembre de 2020 y hasta el día 30 de setiembre del mismo año,  para todos despachos administrativos y jurisdiccionales del Poder Judicial, lo cual se debe ejecutar disponiendo el estricto cumplimiento de los protocolos aprobados en el Poder Judicial para prevenir el contagio del </w:t>
      </w:r>
      <w:r w:rsidR="00731D25">
        <w:rPr>
          <w:rFonts w:ascii="Arial Narrow" w:hAnsi="Arial Narrow"/>
          <w:color w:val="000000"/>
          <w:lang w:eastAsia="es-CR"/>
        </w:rPr>
        <w:t>COVID-</w:t>
      </w:r>
      <w:r w:rsidRPr="00DA143C">
        <w:rPr>
          <w:rFonts w:ascii="Arial Narrow" w:hAnsi="Arial Narrow"/>
          <w:color w:val="000000"/>
          <w:lang w:eastAsia="es-CR"/>
        </w:rPr>
        <w:t xml:space="preserve"> 19 por parte de los titulares subordinados, </w:t>
      </w:r>
      <w:r w:rsidRPr="00DA143C">
        <w:rPr>
          <w:rFonts w:ascii="Arial Narrow" w:hAnsi="Arial Narrow"/>
          <w:color w:val="000000"/>
          <w:lang w:eastAsia="es-CR"/>
        </w:rPr>
        <w:lastRenderedPageBreak/>
        <w:t>servidores en general, trabajadores de empresas prestatarias de servicios y personas usuarias, así como el uso de mascarillas y otros mecanismos de protección dispuestos al efecto por el Ministerio de Salud, esta Corte y el Consejo Superior, todo lo anterior condicionado al mantenimiento del estado de emergencia dispuesto por el decreto ejecutivo 42227-MS emitido el día 16 de marzo de 2020 y a lo establecido por los lineamientos del Ministerio de Salud aplicables al Poder Judicial, durante el término de su vigencia.</w:t>
      </w:r>
    </w:p>
    <w:p w14:paraId="440AD3C8" w14:textId="77777777" w:rsidR="00DA143C" w:rsidRPr="00DA143C" w:rsidRDefault="00DA143C" w:rsidP="00DA143C">
      <w:pPr>
        <w:spacing w:line="360" w:lineRule="auto"/>
        <w:jc w:val="both"/>
        <w:rPr>
          <w:rFonts w:ascii="Arial Narrow" w:hAnsi="Arial Narrow"/>
          <w:color w:val="000000"/>
          <w:lang w:eastAsia="es-CR"/>
        </w:rPr>
      </w:pPr>
    </w:p>
    <w:p w14:paraId="6E6B71A0" w14:textId="1311AC27" w:rsidR="00DA143C" w:rsidRDefault="00DA143C" w:rsidP="00DA143C">
      <w:pPr>
        <w:spacing w:line="360" w:lineRule="auto"/>
        <w:jc w:val="both"/>
        <w:rPr>
          <w:rFonts w:ascii="Arial Narrow" w:hAnsi="Arial Narrow"/>
          <w:b/>
          <w:bCs/>
        </w:rPr>
      </w:pPr>
      <w:r w:rsidRPr="00CC279A">
        <w:rPr>
          <w:rFonts w:ascii="Arial Narrow" w:hAnsi="Arial Narrow"/>
          <w:b/>
          <w:bCs/>
          <w:color w:val="000000"/>
          <w:highlight w:val="lightGray"/>
          <w:lang w:eastAsia="es-CR"/>
        </w:rPr>
        <w:t xml:space="preserve">El impacto de la pandemia se cuantificó en el informe 1385-PLA-2020 donde se </w:t>
      </w:r>
      <w:r w:rsidR="00266097">
        <w:rPr>
          <w:rFonts w:ascii="Arial Narrow" w:hAnsi="Arial Narrow"/>
          <w:b/>
          <w:bCs/>
          <w:color w:val="000000"/>
          <w:highlight w:val="lightGray"/>
          <w:lang w:eastAsia="es-CR"/>
        </w:rPr>
        <w:t xml:space="preserve">logró determinar </w:t>
      </w:r>
      <w:r w:rsidR="00266097" w:rsidRPr="00CC279A">
        <w:rPr>
          <w:rFonts w:ascii="Arial Narrow" w:hAnsi="Arial Narrow"/>
          <w:b/>
          <w:bCs/>
          <w:color w:val="000000"/>
          <w:highlight w:val="lightGray"/>
          <w:lang w:eastAsia="es-CR"/>
        </w:rPr>
        <w:t xml:space="preserve"> </w:t>
      </w:r>
      <w:r w:rsidRPr="00CC279A">
        <w:rPr>
          <w:rFonts w:ascii="Arial Narrow" w:hAnsi="Arial Narrow"/>
          <w:b/>
          <w:bCs/>
          <w:color w:val="000000"/>
          <w:highlight w:val="lightGray"/>
          <w:lang w:eastAsia="es-CR"/>
        </w:rPr>
        <w:t xml:space="preserve">que </w:t>
      </w:r>
      <w:r w:rsidR="00432E15">
        <w:rPr>
          <w:rFonts w:ascii="Arial Narrow" w:hAnsi="Arial Narrow"/>
          <w:b/>
          <w:bCs/>
          <w:color w:val="000000"/>
          <w:highlight w:val="lightGray"/>
          <w:lang w:eastAsia="es-CR"/>
        </w:rPr>
        <w:t>la</w:t>
      </w:r>
      <w:r w:rsidRPr="00CC279A">
        <w:rPr>
          <w:rFonts w:ascii="Arial Narrow" w:hAnsi="Arial Narrow"/>
          <w:b/>
          <w:bCs/>
          <w:highlight w:val="lightGray"/>
        </w:rPr>
        <w:t xml:space="preserve"> entrada de asuntos nuevos disminuyó </w:t>
      </w:r>
      <w:r w:rsidR="000C35A1">
        <w:rPr>
          <w:rFonts w:ascii="Arial Narrow" w:hAnsi="Arial Narrow"/>
          <w:b/>
          <w:bCs/>
          <w:highlight w:val="lightGray"/>
        </w:rPr>
        <w:t>y pasó de</w:t>
      </w:r>
      <w:r w:rsidR="00432E15">
        <w:rPr>
          <w:rFonts w:ascii="Arial Narrow" w:hAnsi="Arial Narrow"/>
          <w:b/>
          <w:bCs/>
          <w:highlight w:val="lightGray"/>
        </w:rPr>
        <w:t xml:space="preserve"> un promedio de </w:t>
      </w:r>
      <w:r w:rsidRPr="00CC279A">
        <w:rPr>
          <w:rFonts w:ascii="Arial Narrow" w:hAnsi="Arial Narrow"/>
          <w:b/>
          <w:bCs/>
          <w:highlight w:val="lightGray"/>
        </w:rPr>
        <w:t>62</w:t>
      </w:r>
      <w:r w:rsidR="000C35A1">
        <w:rPr>
          <w:rFonts w:ascii="Arial Narrow" w:hAnsi="Arial Narrow"/>
          <w:b/>
          <w:bCs/>
          <w:highlight w:val="lightGray"/>
        </w:rPr>
        <w:t>.</w:t>
      </w:r>
      <w:r w:rsidRPr="00CC279A">
        <w:rPr>
          <w:rFonts w:ascii="Arial Narrow" w:hAnsi="Arial Narrow"/>
          <w:b/>
          <w:bCs/>
          <w:highlight w:val="lightGray"/>
        </w:rPr>
        <w:t xml:space="preserve">038 asuntos </w:t>
      </w:r>
      <w:r w:rsidR="000C35A1">
        <w:rPr>
          <w:rFonts w:ascii="Arial Narrow" w:hAnsi="Arial Narrow"/>
          <w:b/>
          <w:bCs/>
          <w:highlight w:val="lightGray"/>
        </w:rPr>
        <w:t>mensuales en el periodo de</w:t>
      </w:r>
      <w:r w:rsidR="000C35A1" w:rsidRPr="00CC279A">
        <w:rPr>
          <w:rFonts w:ascii="Arial Narrow" w:hAnsi="Arial Narrow"/>
          <w:b/>
          <w:bCs/>
          <w:highlight w:val="lightGray"/>
        </w:rPr>
        <w:t xml:space="preserve"> </w:t>
      </w:r>
      <w:r w:rsidRPr="00CC279A">
        <w:rPr>
          <w:rFonts w:ascii="Arial Narrow" w:hAnsi="Arial Narrow"/>
          <w:b/>
          <w:bCs/>
          <w:highlight w:val="lightGray"/>
        </w:rPr>
        <w:t>enero y febrero</w:t>
      </w:r>
      <w:r w:rsidR="00432E15">
        <w:rPr>
          <w:rFonts w:ascii="Arial Narrow" w:hAnsi="Arial Narrow"/>
          <w:b/>
          <w:bCs/>
          <w:highlight w:val="lightGray"/>
        </w:rPr>
        <w:t xml:space="preserve">, a </w:t>
      </w:r>
      <w:r w:rsidR="000C35A1">
        <w:rPr>
          <w:rFonts w:ascii="Arial Narrow" w:hAnsi="Arial Narrow"/>
          <w:b/>
          <w:bCs/>
          <w:highlight w:val="lightGray"/>
        </w:rPr>
        <w:t>posteriormente registra</w:t>
      </w:r>
      <w:r w:rsidR="00432E15">
        <w:rPr>
          <w:rFonts w:ascii="Arial Narrow" w:hAnsi="Arial Narrow"/>
          <w:b/>
          <w:bCs/>
          <w:highlight w:val="lightGray"/>
        </w:rPr>
        <w:t>r un promedio de</w:t>
      </w:r>
      <w:r w:rsidRPr="00CC279A">
        <w:rPr>
          <w:rFonts w:ascii="Arial Narrow" w:hAnsi="Arial Narrow"/>
          <w:b/>
          <w:bCs/>
          <w:highlight w:val="lightGray"/>
        </w:rPr>
        <w:t xml:space="preserve"> 52</w:t>
      </w:r>
      <w:r w:rsidR="000C35A1">
        <w:rPr>
          <w:rFonts w:ascii="Arial Narrow" w:hAnsi="Arial Narrow"/>
          <w:b/>
          <w:bCs/>
          <w:highlight w:val="lightGray"/>
        </w:rPr>
        <w:t>.</w:t>
      </w:r>
      <w:r w:rsidRPr="00CC279A">
        <w:rPr>
          <w:rFonts w:ascii="Arial Narrow" w:hAnsi="Arial Narrow"/>
          <w:b/>
          <w:bCs/>
          <w:highlight w:val="lightGray"/>
        </w:rPr>
        <w:t xml:space="preserve">835 </w:t>
      </w:r>
      <w:r w:rsidR="000C35A1">
        <w:rPr>
          <w:rFonts w:ascii="Arial Narrow" w:hAnsi="Arial Narrow"/>
          <w:b/>
          <w:bCs/>
          <w:highlight w:val="lightGray"/>
        </w:rPr>
        <w:t xml:space="preserve">asuntos mensuales en el periodo de </w:t>
      </w:r>
      <w:r w:rsidRPr="00CC279A">
        <w:rPr>
          <w:rFonts w:ascii="Arial Narrow" w:hAnsi="Arial Narrow"/>
          <w:b/>
          <w:bCs/>
          <w:highlight w:val="lightGray"/>
        </w:rPr>
        <w:t>marzo a julio</w:t>
      </w:r>
      <w:r w:rsidR="000C35A1">
        <w:rPr>
          <w:rFonts w:ascii="Arial Narrow" w:hAnsi="Arial Narrow"/>
          <w:b/>
          <w:bCs/>
          <w:highlight w:val="lightGray"/>
        </w:rPr>
        <w:t>, lo que represent</w:t>
      </w:r>
      <w:r w:rsidR="00432E15">
        <w:rPr>
          <w:rFonts w:ascii="Arial Narrow" w:hAnsi="Arial Narrow"/>
          <w:b/>
          <w:bCs/>
          <w:highlight w:val="lightGray"/>
        </w:rPr>
        <w:t>ó</w:t>
      </w:r>
      <w:r w:rsidR="000C35A1">
        <w:rPr>
          <w:rFonts w:ascii="Arial Narrow" w:hAnsi="Arial Narrow"/>
          <w:b/>
          <w:bCs/>
          <w:highlight w:val="lightGray"/>
        </w:rPr>
        <w:t xml:space="preserve"> </w:t>
      </w:r>
      <w:r w:rsidRPr="00CC279A">
        <w:rPr>
          <w:rFonts w:ascii="Arial Narrow" w:hAnsi="Arial Narrow"/>
          <w:b/>
          <w:bCs/>
          <w:highlight w:val="lightGray"/>
        </w:rPr>
        <w:t xml:space="preserve">una disminución de un 14.8% </w:t>
      </w:r>
      <w:r w:rsidR="000C35A1">
        <w:rPr>
          <w:rFonts w:ascii="Arial Narrow" w:hAnsi="Arial Narrow"/>
          <w:b/>
          <w:bCs/>
          <w:highlight w:val="lightGray"/>
        </w:rPr>
        <w:t>del primer mes del año a</w:t>
      </w:r>
      <w:r w:rsidR="00AA5A31">
        <w:rPr>
          <w:rFonts w:ascii="Arial Narrow" w:hAnsi="Arial Narrow"/>
          <w:b/>
          <w:bCs/>
          <w:highlight w:val="lightGray"/>
        </w:rPr>
        <w:t>l mes de julio,</w:t>
      </w:r>
      <w:r w:rsidR="001C6D86">
        <w:rPr>
          <w:rFonts w:ascii="Arial Narrow" w:hAnsi="Arial Narrow"/>
          <w:b/>
          <w:bCs/>
          <w:highlight w:val="lightGray"/>
        </w:rPr>
        <w:t xml:space="preserve"> </w:t>
      </w:r>
      <w:r w:rsidR="00432E15">
        <w:rPr>
          <w:rFonts w:ascii="Arial Narrow" w:hAnsi="Arial Narrow"/>
          <w:b/>
          <w:bCs/>
          <w:highlight w:val="lightGray"/>
        </w:rPr>
        <w:t>originado</w:t>
      </w:r>
      <w:r w:rsidR="00432E15" w:rsidRPr="00CC279A">
        <w:rPr>
          <w:rFonts w:ascii="Arial Narrow" w:hAnsi="Arial Narrow"/>
          <w:b/>
          <w:bCs/>
          <w:highlight w:val="lightGray"/>
        </w:rPr>
        <w:t xml:space="preserve"> </w:t>
      </w:r>
      <w:r w:rsidRPr="00CC279A">
        <w:rPr>
          <w:rFonts w:ascii="Arial Narrow" w:hAnsi="Arial Narrow"/>
          <w:b/>
          <w:bCs/>
          <w:highlight w:val="lightGray"/>
        </w:rPr>
        <w:t xml:space="preserve">por la afectación a nivel nacional </w:t>
      </w:r>
      <w:r w:rsidR="00432E15">
        <w:rPr>
          <w:rFonts w:ascii="Arial Narrow" w:hAnsi="Arial Narrow"/>
          <w:b/>
          <w:bCs/>
          <w:highlight w:val="lightGray"/>
        </w:rPr>
        <w:t>por el</w:t>
      </w:r>
      <w:r w:rsidRPr="00CC279A">
        <w:rPr>
          <w:rFonts w:ascii="Arial Narrow" w:hAnsi="Arial Narrow"/>
          <w:b/>
          <w:bCs/>
          <w:highlight w:val="lightGray"/>
        </w:rPr>
        <w:t xml:space="preserve"> </w:t>
      </w:r>
      <w:r w:rsidR="00731D25" w:rsidRPr="00CC279A">
        <w:rPr>
          <w:rFonts w:ascii="Arial Narrow" w:hAnsi="Arial Narrow"/>
          <w:b/>
          <w:bCs/>
          <w:highlight w:val="lightGray"/>
        </w:rPr>
        <w:t>COVID-</w:t>
      </w:r>
      <w:r w:rsidRPr="00CC279A">
        <w:rPr>
          <w:rFonts w:ascii="Arial Narrow" w:hAnsi="Arial Narrow"/>
          <w:b/>
          <w:bCs/>
          <w:highlight w:val="lightGray"/>
        </w:rPr>
        <w:t xml:space="preserve"> 19. </w:t>
      </w:r>
      <w:r w:rsidR="00AA5A31">
        <w:rPr>
          <w:rFonts w:ascii="Arial Narrow" w:hAnsi="Arial Narrow"/>
          <w:b/>
          <w:bCs/>
          <w:highlight w:val="lightGray"/>
        </w:rPr>
        <w:t>Por otra parte, el</w:t>
      </w:r>
      <w:r w:rsidRPr="00CC279A">
        <w:rPr>
          <w:rFonts w:ascii="Arial Narrow" w:hAnsi="Arial Narrow"/>
          <w:b/>
          <w:bCs/>
          <w:highlight w:val="lightGray"/>
        </w:rPr>
        <w:t xml:space="preserve"> promedio de </w:t>
      </w:r>
      <w:r w:rsidR="00AA5A31">
        <w:rPr>
          <w:rFonts w:ascii="Arial Narrow" w:hAnsi="Arial Narrow"/>
          <w:b/>
          <w:bCs/>
          <w:highlight w:val="lightGray"/>
        </w:rPr>
        <w:t xml:space="preserve">casos </w:t>
      </w:r>
      <w:r w:rsidRPr="00CC279A">
        <w:rPr>
          <w:rFonts w:ascii="Arial Narrow" w:hAnsi="Arial Narrow"/>
          <w:b/>
          <w:bCs/>
          <w:highlight w:val="lightGray"/>
        </w:rPr>
        <w:t>terminados disminuyó e</w:t>
      </w:r>
      <w:r w:rsidR="00266097">
        <w:rPr>
          <w:rFonts w:ascii="Arial Narrow" w:hAnsi="Arial Narrow"/>
          <w:b/>
          <w:bCs/>
          <w:highlight w:val="lightGray"/>
        </w:rPr>
        <w:t>ntre</w:t>
      </w:r>
      <w:r w:rsidRPr="00CC279A">
        <w:rPr>
          <w:rFonts w:ascii="Arial Narrow" w:hAnsi="Arial Narrow"/>
          <w:b/>
          <w:bCs/>
          <w:highlight w:val="lightGray"/>
        </w:rPr>
        <w:t xml:space="preserve"> enero </w:t>
      </w:r>
      <w:r w:rsidR="00266097">
        <w:rPr>
          <w:rFonts w:ascii="Arial Narrow" w:hAnsi="Arial Narrow"/>
          <w:b/>
          <w:bCs/>
          <w:highlight w:val="lightGray"/>
        </w:rPr>
        <w:t>y</w:t>
      </w:r>
      <w:r w:rsidRPr="00CC279A">
        <w:rPr>
          <w:rFonts w:ascii="Arial Narrow" w:hAnsi="Arial Narrow"/>
          <w:b/>
          <w:bCs/>
          <w:highlight w:val="lightGray"/>
        </w:rPr>
        <w:t xml:space="preserve"> julio, en un </w:t>
      </w:r>
      <w:r w:rsidR="00AA5A31">
        <w:rPr>
          <w:rFonts w:ascii="Arial Narrow" w:hAnsi="Arial Narrow"/>
          <w:b/>
          <w:bCs/>
          <w:highlight w:val="lightGray"/>
        </w:rPr>
        <w:t>6.3</w:t>
      </w:r>
      <w:r w:rsidRPr="00CC279A">
        <w:rPr>
          <w:rFonts w:ascii="Arial Narrow" w:hAnsi="Arial Narrow"/>
          <w:b/>
          <w:bCs/>
          <w:highlight w:val="lightGray"/>
        </w:rPr>
        <w:t xml:space="preserve">%. </w:t>
      </w:r>
      <w:r w:rsidR="00266097">
        <w:rPr>
          <w:rFonts w:ascii="Arial Narrow" w:hAnsi="Arial Narrow"/>
          <w:b/>
          <w:bCs/>
          <w:highlight w:val="lightGray"/>
        </w:rPr>
        <w:t>Lo anterior, como</w:t>
      </w:r>
      <w:r w:rsidRPr="00CC279A">
        <w:rPr>
          <w:rFonts w:ascii="Arial Narrow" w:hAnsi="Arial Narrow"/>
          <w:b/>
          <w:bCs/>
          <w:highlight w:val="lightGray"/>
        </w:rPr>
        <w:t xml:space="preserve"> efecto de </w:t>
      </w:r>
      <w:r w:rsidR="00266097">
        <w:rPr>
          <w:rFonts w:ascii="Arial Narrow" w:hAnsi="Arial Narrow"/>
          <w:b/>
          <w:bCs/>
          <w:highlight w:val="lightGray"/>
        </w:rPr>
        <w:t xml:space="preserve">la no realización de muchas </w:t>
      </w:r>
      <w:r w:rsidRPr="00CC279A">
        <w:rPr>
          <w:rFonts w:ascii="Arial Narrow" w:hAnsi="Arial Narrow"/>
          <w:b/>
          <w:bCs/>
          <w:highlight w:val="lightGray"/>
        </w:rPr>
        <w:t xml:space="preserve">audiencias que </w:t>
      </w:r>
      <w:r w:rsidR="00AA5A31">
        <w:rPr>
          <w:rFonts w:ascii="Arial Narrow" w:hAnsi="Arial Narrow"/>
          <w:b/>
          <w:bCs/>
          <w:highlight w:val="lightGray"/>
        </w:rPr>
        <w:t>permitiera</w:t>
      </w:r>
      <w:r w:rsidR="00266097">
        <w:rPr>
          <w:rFonts w:ascii="Arial Narrow" w:hAnsi="Arial Narrow"/>
          <w:b/>
          <w:bCs/>
          <w:highlight w:val="lightGray"/>
        </w:rPr>
        <w:t>n</w:t>
      </w:r>
      <w:r w:rsidR="00AA5A31">
        <w:rPr>
          <w:rFonts w:ascii="Arial Narrow" w:hAnsi="Arial Narrow"/>
          <w:b/>
          <w:bCs/>
          <w:highlight w:val="lightGray"/>
        </w:rPr>
        <w:t xml:space="preserve"> dar</w:t>
      </w:r>
      <w:r w:rsidR="00AA5A31" w:rsidRPr="00CC279A">
        <w:rPr>
          <w:rFonts w:ascii="Arial Narrow" w:hAnsi="Arial Narrow"/>
          <w:b/>
          <w:bCs/>
          <w:highlight w:val="lightGray"/>
        </w:rPr>
        <w:t xml:space="preserve"> </w:t>
      </w:r>
      <w:r w:rsidRPr="00CC279A">
        <w:rPr>
          <w:rFonts w:ascii="Arial Narrow" w:hAnsi="Arial Narrow"/>
          <w:b/>
          <w:bCs/>
          <w:highlight w:val="lightGray"/>
        </w:rPr>
        <w:t>por terminados los procesos</w:t>
      </w:r>
      <w:r w:rsidR="00AA5A31">
        <w:rPr>
          <w:rFonts w:ascii="Arial Narrow" w:hAnsi="Arial Narrow"/>
          <w:b/>
          <w:bCs/>
          <w:highlight w:val="lightGray"/>
        </w:rPr>
        <w:t xml:space="preserve">. Finalmente, </w:t>
      </w:r>
      <w:r w:rsidRPr="00CC279A">
        <w:rPr>
          <w:rFonts w:ascii="Arial Narrow" w:hAnsi="Arial Narrow"/>
          <w:b/>
          <w:bCs/>
          <w:highlight w:val="lightGray"/>
        </w:rPr>
        <w:t xml:space="preserve">el promedio de circulante </w:t>
      </w:r>
      <w:r w:rsidR="00AA5A31">
        <w:rPr>
          <w:rFonts w:ascii="Arial Narrow" w:hAnsi="Arial Narrow"/>
          <w:b/>
          <w:bCs/>
          <w:highlight w:val="lightGray"/>
        </w:rPr>
        <w:t>aumentó</w:t>
      </w:r>
      <w:r w:rsidR="00AA5A31" w:rsidRPr="00CC279A">
        <w:rPr>
          <w:rFonts w:ascii="Arial Narrow" w:hAnsi="Arial Narrow"/>
          <w:b/>
          <w:bCs/>
          <w:highlight w:val="lightGray"/>
        </w:rPr>
        <w:t xml:space="preserve"> </w:t>
      </w:r>
      <w:r w:rsidRPr="00CC279A">
        <w:rPr>
          <w:rFonts w:ascii="Arial Narrow" w:hAnsi="Arial Narrow"/>
          <w:b/>
          <w:bCs/>
          <w:highlight w:val="lightGray"/>
        </w:rPr>
        <w:t xml:space="preserve">de enero a julio </w:t>
      </w:r>
      <w:r w:rsidR="00AA5A31">
        <w:rPr>
          <w:rFonts w:ascii="Arial Narrow" w:hAnsi="Arial Narrow"/>
          <w:b/>
          <w:bCs/>
          <w:highlight w:val="lightGray"/>
        </w:rPr>
        <w:t>pasando de</w:t>
      </w:r>
      <w:r w:rsidR="00AA5A31" w:rsidRPr="00CC279A">
        <w:rPr>
          <w:rFonts w:ascii="Arial Narrow" w:hAnsi="Arial Narrow"/>
          <w:b/>
          <w:bCs/>
          <w:highlight w:val="lightGray"/>
        </w:rPr>
        <w:t xml:space="preserve"> </w:t>
      </w:r>
      <w:r w:rsidRPr="00CC279A">
        <w:rPr>
          <w:rFonts w:ascii="Arial Narrow" w:hAnsi="Arial Narrow"/>
          <w:b/>
          <w:bCs/>
          <w:highlight w:val="lightGray"/>
        </w:rPr>
        <w:t>68</w:t>
      </w:r>
      <w:r w:rsidR="00AA5A31">
        <w:rPr>
          <w:rFonts w:ascii="Arial Narrow" w:hAnsi="Arial Narrow"/>
          <w:b/>
          <w:bCs/>
          <w:highlight w:val="lightGray"/>
        </w:rPr>
        <w:t>.</w:t>
      </w:r>
      <w:r w:rsidRPr="00CC279A">
        <w:rPr>
          <w:rFonts w:ascii="Arial Narrow" w:hAnsi="Arial Narrow"/>
          <w:b/>
          <w:bCs/>
          <w:highlight w:val="lightGray"/>
        </w:rPr>
        <w:t xml:space="preserve">086 </w:t>
      </w:r>
      <w:r w:rsidR="00AA5A31">
        <w:rPr>
          <w:rFonts w:ascii="Arial Narrow" w:hAnsi="Arial Narrow"/>
          <w:b/>
          <w:bCs/>
          <w:highlight w:val="lightGray"/>
        </w:rPr>
        <w:t xml:space="preserve">asuntos </w:t>
      </w:r>
      <w:r w:rsidRPr="00CC279A">
        <w:rPr>
          <w:rFonts w:ascii="Arial Narrow" w:hAnsi="Arial Narrow"/>
          <w:b/>
          <w:bCs/>
          <w:highlight w:val="lightGray"/>
        </w:rPr>
        <w:t>a 70</w:t>
      </w:r>
      <w:r w:rsidR="00AA5A31">
        <w:rPr>
          <w:rFonts w:ascii="Arial Narrow" w:hAnsi="Arial Narrow"/>
          <w:b/>
          <w:bCs/>
          <w:highlight w:val="lightGray"/>
        </w:rPr>
        <w:t>.</w:t>
      </w:r>
      <w:r w:rsidRPr="00CC279A">
        <w:rPr>
          <w:rFonts w:ascii="Arial Narrow" w:hAnsi="Arial Narrow"/>
          <w:b/>
          <w:bCs/>
          <w:highlight w:val="lightGray"/>
        </w:rPr>
        <w:t>334</w:t>
      </w:r>
      <w:r w:rsidR="00AA5A31">
        <w:rPr>
          <w:rFonts w:ascii="Arial Narrow" w:hAnsi="Arial Narrow"/>
          <w:b/>
          <w:bCs/>
          <w:highlight w:val="lightGray"/>
        </w:rPr>
        <w:t xml:space="preserve"> casos</w:t>
      </w:r>
      <w:r w:rsidRPr="00CC279A">
        <w:rPr>
          <w:rFonts w:ascii="Arial Narrow" w:hAnsi="Arial Narrow"/>
          <w:b/>
          <w:bCs/>
          <w:highlight w:val="lightGray"/>
        </w:rPr>
        <w:t>, es decir</w:t>
      </w:r>
      <w:r w:rsidR="00AA5A31">
        <w:rPr>
          <w:rFonts w:ascii="Arial Narrow" w:hAnsi="Arial Narrow"/>
          <w:b/>
          <w:bCs/>
          <w:highlight w:val="lightGray"/>
        </w:rPr>
        <w:t>,</w:t>
      </w:r>
      <w:r w:rsidRPr="00CC279A">
        <w:rPr>
          <w:rFonts w:ascii="Arial Narrow" w:hAnsi="Arial Narrow"/>
          <w:b/>
          <w:bCs/>
          <w:highlight w:val="lightGray"/>
        </w:rPr>
        <w:t xml:space="preserve"> un crecimiento de un 3</w:t>
      </w:r>
      <w:r w:rsidR="00AA5A31">
        <w:rPr>
          <w:rFonts w:ascii="Arial Narrow" w:hAnsi="Arial Narrow"/>
          <w:b/>
          <w:bCs/>
          <w:highlight w:val="lightGray"/>
        </w:rPr>
        <w:t>,2</w:t>
      </w:r>
      <w:r w:rsidRPr="00CC279A">
        <w:rPr>
          <w:rFonts w:ascii="Arial Narrow" w:hAnsi="Arial Narrow"/>
          <w:b/>
          <w:bCs/>
          <w:highlight w:val="lightGray"/>
        </w:rPr>
        <w:t xml:space="preserve">%. </w:t>
      </w:r>
    </w:p>
    <w:p w14:paraId="181088B0" w14:textId="7CFCBC2A" w:rsidR="002D6149" w:rsidRDefault="002D6149" w:rsidP="00DA143C">
      <w:pPr>
        <w:spacing w:line="360" w:lineRule="auto"/>
        <w:jc w:val="both"/>
        <w:rPr>
          <w:rFonts w:ascii="Arial Narrow" w:hAnsi="Arial Narrow"/>
          <w:b/>
          <w:bCs/>
        </w:rPr>
      </w:pPr>
    </w:p>
    <w:p w14:paraId="10FA9AB5" w14:textId="46CAC6A2" w:rsidR="007323B7" w:rsidRPr="00D35E26" w:rsidRDefault="007323B7" w:rsidP="007323B7">
      <w:pPr>
        <w:spacing w:line="360" w:lineRule="auto"/>
        <w:jc w:val="both"/>
        <w:rPr>
          <w:rFonts w:ascii="Arial Narrow" w:eastAsia="Calibri" w:hAnsi="Arial Narrow"/>
        </w:rPr>
      </w:pPr>
      <w:r w:rsidRPr="00CC279A">
        <w:rPr>
          <w:rFonts w:ascii="Arial Narrow" w:eastAsia="Calibri" w:hAnsi="Arial Narrow"/>
        </w:rPr>
        <w:t xml:space="preserve">La Dirección de Planificación está trabajando en un informe de proyecciones de casos terminados para el ajuste de la línea base como parte del </w:t>
      </w:r>
      <w:r w:rsidRPr="00CF2478">
        <w:rPr>
          <w:rFonts w:ascii="Arial Narrow" w:eastAsia="Calibri" w:hAnsi="Arial Narrow"/>
        </w:rPr>
        <w:t>realineamiento</w:t>
      </w:r>
      <w:r w:rsidRPr="00D35E26">
        <w:rPr>
          <w:rFonts w:ascii="Arial Narrow" w:eastAsia="Calibri" w:hAnsi="Arial Narrow"/>
        </w:rPr>
        <w:t xml:space="preserve"> estratégico (921-PLA-PE-2021) el cual se encuentra en consulta. Por otra parte, se presentó el   Informe 301PLA-MI-2021/76-CACMFJ-JEF-2021 relacionado con los resultados del seguimiento mensual de la materia Penal y no Penal durante la atención de la emergencia COVID-19, de octubre 2020 a enero 2021. Este informe contiene la información recopilada por la Dirección de Planificación y por el Centro de Apoyo, Coordinación y Mejoramiento de la Función Jurisdiccional</w:t>
      </w:r>
      <w:r>
        <w:rPr>
          <w:rFonts w:ascii="Arial Narrow" w:eastAsia="Calibri" w:hAnsi="Arial Narrow"/>
        </w:rPr>
        <w:t>.</w:t>
      </w:r>
    </w:p>
    <w:p w14:paraId="2AF2FC64" w14:textId="77777777" w:rsidR="00DA143C" w:rsidRPr="00DA143C" w:rsidRDefault="00DA143C" w:rsidP="00DA143C">
      <w:pPr>
        <w:spacing w:after="200"/>
        <w:ind w:right="-141"/>
        <w:contextualSpacing/>
        <w:jc w:val="both"/>
        <w:rPr>
          <w:rFonts w:ascii="Arial Narrow" w:hAnsi="Arial Narrow"/>
        </w:rPr>
      </w:pPr>
    </w:p>
    <w:p w14:paraId="46C94625" w14:textId="0AA7F362" w:rsidR="00DA143C" w:rsidRPr="00DA143C" w:rsidRDefault="00DA143C" w:rsidP="00DA143C">
      <w:pPr>
        <w:spacing w:line="360" w:lineRule="auto"/>
        <w:jc w:val="both"/>
        <w:rPr>
          <w:rFonts w:ascii="Arial Narrow" w:hAnsi="Arial Narrow"/>
          <w:color w:val="000000"/>
          <w:lang w:eastAsia="es-CR"/>
        </w:rPr>
      </w:pPr>
      <w:r w:rsidRPr="00DA143C">
        <w:rPr>
          <w:rFonts w:ascii="Arial Narrow" w:hAnsi="Arial Narrow"/>
          <w:color w:val="000000"/>
          <w:lang w:eastAsia="es-CR"/>
        </w:rPr>
        <w:t xml:space="preserve">A nivel institucional </w:t>
      </w:r>
      <w:r w:rsidR="00AA5A31">
        <w:rPr>
          <w:rFonts w:ascii="Arial Narrow" w:hAnsi="Arial Narrow"/>
          <w:color w:val="000000"/>
          <w:lang w:eastAsia="es-CR"/>
        </w:rPr>
        <w:t>en el periodo de</w:t>
      </w:r>
      <w:r w:rsidR="00AA5A31" w:rsidRPr="00DA143C">
        <w:rPr>
          <w:rFonts w:ascii="Arial Narrow" w:hAnsi="Arial Narrow"/>
          <w:color w:val="000000"/>
          <w:lang w:eastAsia="es-CR"/>
        </w:rPr>
        <w:t xml:space="preserve"> </w:t>
      </w:r>
      <w:r w:rsidRPr="00DA143C">
        <w:rPr>
          <w:rFonts w:ascii="Arial Narrow" w:hAnsi="Arial Narrow"/>
          <w:color w:val="000000"/>
          <w:lang w:eastAsia="es-CR"/>
        </w:rPr>
        <w:t xml:space="preserve">enero </w:t>
      </w:r>
      <w:r w:rsidR="00AA5A31">
        <w:rPr>
          <w:rFonts w:ascii="Arial Narrow" w:hAnsi="Arial Narrow"/>
          <w:color w:val="000000"/>
          <w:lang w:eastAsia="es-CR"/>
        </w:rPr>
        <w:t>a</w:t>
      </w:r>
      <w:r w:rsidRPr="003871E0">
        <w:rPr>
          <w:rFonts w:ascii="Arial Narrow" w:hAnsi="Arial Narrow"/>
          <w:color w:val="000000"/>
          <w:lang w:eastAsia="es-CR"/>
        </w:rPr>
        <w:t xml:space="preserve"> julio</w:t>
      </w:r>
      <w:r w:rsidR="00505A06" w:rsidRPr="003871E0">
        <w:rPr>
          <w:rFonts w:ascii="Arial Narrow" w:hAnsi="Arial Narrow"/>
          <w:color w:val="000000"/>
          <w:lang w:eastAsia="es-CR"/>
        </w:rPr>
        <w:t xml:space="preserve"> </w:t>
      </w:r>
      <w:r w:rsidR="00505A06" w:rsidRPr="00CC279A">
        <w:rPr>
          <w:rFonts w:ascii="Arial Narrow" w:hAnsi="Arial Narrow"/>
          <w:color w:val="000000"/>
          <w:lang w:eastAsia="es-CR"/>
        </w:rPr>
        <w:t>del 2020</w:t>
      </w:r>
      <w:r w:rsidRPr="003871E0">
        <w:rPr>
          <w:rFonts w:ascii="Arial Narrow" w:hAnsi="Arial Narrow"/>
          <w:color w:val="000000"/>
          <w:lang w:eastAsia="es-CR"/>
        </w:rPr>
        <w:t xml:space="preserve"> se efectuaron</w:t>
      </w:r>
      <w:r w:rsidRPr="00DA143C">
        <w:rPr>
          <w:rFonts w:ascii="Arial Narrow" w:hAnsi="Arial Narrow"/>
          <w:color w:val="000000"/>
          <w:lang w:eastAsia="es-CR"/>
        </w:rPr>
        <w:t xml:space="preserve"> 56</w:t>
      </w:r>
      <w:r w:rsidR="00AA5A31">
        <w:rPr>
          <w:rFonts w:ascii="Arial Narrow" w:hAnsi="Arial Narrow"/>
          <w:color w:val="000000"/>
          <w:lang w:eastAsia="es-CR"/>
        </w:rPr>
        <w:t>.</w:t>
      </w:r>
      <w:r w:rsidRPr="00DA143C">
        <w:rPr>
          <w:rFonts w:ascii="Arial Narrow" w:hAnsi="Arial Narrow"/>
          <w:color w:val="000000"/>
          <w:lang w:eastAsia="es-CR"/>
        </w:rPr>
        <w:t>147 audiencias, donde se alcanzó el valor más elevado en febrero con 12</w:t>
      </w:r>
      <w:r w:rsidR="00AA5A31">
        <w:rPr>
          <w:rFonts w:ascii="Arial Narrow" w:hAnsi="Arial Narrow"/>
          <w:color w:val="000000"/>
          <w:lang w:eastAsia="es-CR"/>
        </w:rPr>
        <w:t>.</w:t>
      </w:r>
      <w:r w:rsidRPr="00DA143C">
        <w:rPr>
          <w:rFonts w:ascii="Arial Narrow" w:hAnsi="Arial Narrow"/>
          <w:color w:val="000000"/>
          <w:lang w:eastAsia="es-CR"/>
        </w:rPr>
        <w:t xml:space="preserve">811, en segundo </w:t>
      </w:r>
      <w:r w:rsidR="003E7F4C" w:rsidRPr="00DA143C">
        <w:rPr>
          <w:rFonts w:ascii="Arial Narrow" w:hAnsi="Arial Narrow"/>
          <w:color w:val="000000"/>
          <w:lang w:eastAsia="es-CR"/>
        </w:rPr>
        <w:t>lugar,</w:t>
      </w:r>
      <w:r w:rsidRPr="00DA143C">
        <w:rPr>
          <w:rFonts w:ascii="Arial Narrow" w:hAnsi="Arial Narrow"/>
          <w:color w:val="000000"/>
          <w:lang w:eastAsia="es-CR"/>
        </w:rPr>
        <w:t xml:space="preserve"> enero 10</w:t>
      </w:r>
      <w:r w:rsidR="00AA5A31">
        <w:rPr>
          <w:rFonts w:ascii="Arial Narrow" w:hAnsi="Arial Narrow"/>
          <w:color w:val="000000"/>
          <w:lang w:eastAsia="es-CR"/>
        </w:rPr>
        <w:t>.</w:t>
      </w:r>
      <w:r w:rsidRPr="00DA143C">
        <w:rPr>
          <w:rFonts w:ascii="Arial Narrow" w:hAnsi="Arial Narrow"/>
          <w:color w:val="000000"/>
          <w:lang w:eastAsia="es-CR"/>
        </w:rPr>
        <w:t>693 y en tercer lugar junio 10</w:t>
      </w:r>
      <w:r w:rsidR="00AA5A31">
        <w:rPr>
          <w:rFonts w:ascii="Arial Narrow" w:hAnsi="Arial Narrow"/>
          <w:color w:val="000000"/>
          <w:lang w:eastAsia="es-CR"/>
        </w:rPr>
        <w:t>.</w:t>
      </w:r>
      <w:r w:rsidRPr="00DA143C">
        <w:rPr>
          <w:rFonts w:ascii="Arial Narrow" w:hAnsi="Arial Narrow"/>
          <w:color w:val="000000"/>
          <w:lang w:eastAsia="es-CR"/>
        </w:rPr>
        <w:t xml:space="preserve">187. Lo que evidencia que conforme las aperturas se daban, el personal del Poder </w:t>
      </w:r>
      <w:r w:rsidR="003E7F4C" w:rsidRPr="00DA143C">
        <w:rPr>
          <w:rFonts w:ascii="Arial Narrow" w:hAnsi="Arial Narrow"/>
          <w:color w:val="000000"/>
          <w:lang w:eastAsia="es-CR"/>
        </w:rPr>
        <w:t>Judicial</w:t>
      </w:r>
      <w:r w:rsidRPr="00DA143C">
        <w:rPr>
          <w:rFonts w:ascii="Arial Narrow" w:hAnsi="Arial Narrow"/>
          <w:color w:val="000000"/>
          <w:lang w:eastAsia="es-CR"/>
        </w:rPr>
        <w:t xml:space="preserve"> incrementaba su capacidad para realizar las audiencias, al considerar el mes de junio con mayor apertura. </w:t>
      </w:r>
    </w:p>
    <w:p w14:paraId="11A2AC88" w14:textId="77777777" w:rsidR="00DA143C" w:rsidRPr="00DA143C" w:rsidRDefault="00DA143C" w:rsidP="00DA143C">
      <w:pPr>
        <w:spacing w:line="360" w:lineRule="auto"/>
        <w:jc w:val="both"/>
        <w:rPr>
          <w:rFonts w:ascii="Arial Narrow" w:hAnsi="Arial Narrow"/>
          <w:color w:val="000000"/>
          <w:lang w:eastAsia="es-CR"/>
        </w:rPr>
      </w:pPr>
    </w:p>
    <w:p w14:paraId="28C1929B" w14:textId="6BC7375F" w:rsidR="00DA143C" w:rsidRDefault="00DA143C" w:rsidP="00DA143C">
      <w:pPr>
        <w:spacing w:line="360" w:lineRule="auto"/>
        <w:jc w:val="both"/>
        <w:rPr>
          <w:rFonts w:ascii="Arial Narrow" w:hAnsi="Arial Narrow"/>
          <w:color w:val="000000"/>
          <w:lang w:eastAsia="es-CR"/>
        </w:rPr>
      </w:pPr>
      <w:r w:rsidRPr="00DA143C">
        <w:rPr>
          <w:rFonts w:ascii="Arial Narrow" w:hAnsi="Arial Narrow"/>
          <w:color w:val="000000"/>
          <w:lang w:eastAsia="es-CR"/>
        </w:rPr>
        <w:lastRenderedPageBreak/>
        <w:t xml:space="preserve">El mes de abril </w:t>
      </w:r>
      <w:r w:rsidR="00A40F67" w:rsidRPr="00CC279A">
        <w:rPr>
          <w:rFonts w:ascii="Arial Narrow" w:hAnsi="Arial Narrow"/>
          <w:color w:val="000000"/>
          <w:lang w:eastAsia="es-CR"/>
        </w:rPr>
        <w:t>2020</w:t>
      </w:r>
      <w:r w:rsidR="00A40F67" w:rsidRPr="003871E0">
        <w:rPr>
          <w:rFonts w:ascii="Arial Narrow" w:hAnsi="Arial Narrow"/>
          <w:color w:val="000000"/>
          <w:lang w:eastAsia="es-CR"/>
        </w:rPr>
        <w:t xml:space="preserve"> </w:t>
      </w:r>
      <w:r w:rsidRPr="003871E0">
        <w:rPr>
          <w:rFonts w:ascii="Arial Narrow" w:hAnsi="Arial Narrow"/>
          <w:color w:val="000000"/>
          <w:lang w:eastAsia="es-CR"/>
        </w:rPr>
        <w:t>es el que tiene</w:t>
      </w:r>
      <w:r w:rsidRPr="00DA143C">
        <w:rPr>
          <w:rFonts w:ascii="Arial Narrow" w:hAnsi="Arial Narrow"/>
          <w:color w:val="000000"/>
          <w:lang w:eastAsia="es-CR"/>
        </w:rPr>
        <w:t xml:space="preserve"> menor cantidad de audiencias realizadas, 2765, este mes propuso cierres totales producto de la pandemia, posteriormente ese valor crece en mayo a 6346, luego se incrementa </w:t>
      </w:r>
      <w:r w:rsidRPr="003871E0">
        <w:rPr>
          <w:rFonts w:ascii="Arial Narrow" w:hAnsi="Arial Narrow"/>
          <w:color w:val="000000"/>
          <w:lang w:eastAsia="es-CR"/>
        </w:rPr>
        <w:t xml:space="preserve">en </w:t>
      </w:r>
      <w:r w:rsidRPr="00CC279A">
        <w:rPr>
          <w:rFonts w:ascii="Arial Narrow" w:hAnsi="Arial Narrow"/>
          <w:color w:val="000000"/>
          <w:lang w:eastAsia="es-CR"/>
        </w:rPr>
        <w:t xml:space="preserve">junio </w:t>
      </w:r>
      <w:r w:rsidR="00A40F67" w:rsidRPr="00CC279A">
        <w:rPr>
          <w:rFonts w:ascii="Arial Narrow" w:hAnsi="Arial Narrow"/>
          <w:color w:val="000000"/>
          <w:lang w:eastAsia="es-CR"/>
        </w:rPr>
        <w:t>2020</w:t>
      </w:r>
      <w:r w:rsidR="00A40F67" w:rsidRPr="003871E0">
        <w:rPr>
          <w:rFonts w:ascii="Arial Narrow" w:hAnsi="Arial Narrow"/>
          <w:color w:val="000000"/>
          <w:lang w:eastAsia="es-CR"/>
        </w:rPr>
        <w:t xml:space="preserve"> </w:t>
      </w:r>
      <w:r w:rsidRPr="003871E0">
        <w:rPr>
          <w:rFonts w:ascii="Arial Narrow" w:hAnsi="Arial Narrow"/>
          <w:color w:val="000000"/>
          <w:lang w:eastAsia="es-CR"/>
        </w:rPr>
        <w:t>a 10187</w:t>
      </w:r>
      <w:r w:rsidRPr="00DA143C">
        <w:rPr>
          <w:rFonts w:ascii="Arial Narrow" w:hAnsi="Arial Narrow"/>
          <w:color w:val="000000"/>
          <w:lang w:eastAsia="es-CR"/>
        </w:rPr>
        <w:t>, a partir de la implementación de la circular 100-2020 de reactivación paulatina de servicios, sin embargo, baja otra vez en julio a 6648, ya que nuevamente hay un cierre por “alerta naranja”.</w:t>
      </w:r>
    </w:p>
    <w:p w14:paraId="6F7B1991" w14:textId="77777777" w:rsidR="009E502F" w:rsidRDefault="009E502F" w:rsidP="00DA143C">
      <w:pPr>
        <w:spacing w:line="360" w:lineRule="auto"/>
        <w:jc w:val="both"/>
        <w:rPr>
          <w:rFonts w:ascii="Arial Narrow" w:hAnsi="Arial Narrow"/>
          <w:color w:val="000000"/>
          <w:lang w:eastAsia="es-CR"/>
        </w:rPr>
      </w:pPr>
    </w:p>
    <w:p w14:paraId="3CCEDB13" w14:textId="77777777" w:rsidR="005702B0" w:rsidRDefault="009E502F">
      <w:pPr>
        <w:spacing w:line="360" w:lineRule="auto"/>
        <w:jc w:val="both"/>
        <w:rPr>
          <w:rFonts w:ascii="Arial Narrow" w:hAnsi="Arial Narrow"/>
          <w:color w:val="000000"/>
          <w:lang w:eastAsia="es-CR"/>
        </w:rPr>
      </w:pPr>
      <w:r w:rsidRPr="005702B0">
        <w:rPr>
          <w:rFonts w:ascii="Arial Narrow" w:hAnsi="Arial Narrow"/>
          <w:color w:val="000000"/>
          <w:lang w:eastAsia="es-CR"/>
        </w:rPr>
        <w:t>De seguido</w:t>
      </w:r>
      <w:r w:rsidR="00194BB6" w:rsidRPr="005702B0">
        <w:rPr>
          <w:rFonts w:ascii="Arial Narrow" w:hAnsi="Arial Narrow"/>
          <w:color w:val="000000"/>
          <w:lang w:eastAsia="es-CR"/>
        </w:rPr>
        <w:t>,</w:t>
      </w:r>
      <w:r w:rsidRPr="005702B0">
        <w:rPr>
          <w:rFonts w:ascii="Arial Narrow" w:hAnsi="Arial Narrow"/>
          <w:color w:val="000000"/>
          <w:lang w:eastAsia="es-CR"/>
        </w:rPr>
        <w:t xml:space="preserve"> se detalla</w:t>
      </w:r>
      <w:r w:rsidR="000E3BF1" w:rsidRPr="005702B0">
        <w:rPr>
          <w:rFonts w:ascii="Arial Narrow" w:hAnsi="Arial Narrow"/>
          <w:color w:val="000000"/>
          <w:lang w:eastAsia="es-CR"/>
        </w:rPr>
        <w:t xml:space="preserve"> en el Anexo 2 (</w:t>
      </w:r>
      <w:r w:rsidRPr="005702B0">
        <w:rPr>
          <w:rFonts w:ascii="Arial Narrow" w:hAnsi="Arial Narrow"/>
          <w:color w:val="000000"/>
          <w:lang w:eastAsia="es-CR"/>
        </w:rPr>
        <w:t>el informe 1481-PLA-PE-2020, con fecha del 23 de setiembre del 2020</w:t>
      </w:r>
      <w:r w:rsidR="000E3BF1" w:rsidRPr="005702B0">
        <w:rPr>
          <w:rFonts w:ascii="Arial Narrow" w:hAnsi="Arial Narrow"/>
          <w:color w:val="000000"/>
          <w:lang w:eastAsia="es-CR"/>
        </w:rPr>
        <w:t>), los</w:t>
      </w:r>
      <w:r w:rsidRPr="005702B0">
        <w:rPr>
          <w:rFonts w:ascii="Arial Narrow" w:hAnsi="Arial Narrow"/>
          <w:color w:val="000000"/>
          <w:lang w:eastAsia="es-CR"/>
        </w:rPr>
        <w:t xml:space="preserve"> esfuerzos realizados por parte de los múltiples responsables estratégicos con el fin de informar el </w:t>
      </w:r>
      <w:r w:rsidR="004637FB" w:rsidRPr="00CC279A">
        <w:rPr>
          <w:rFonts w:ascii="Arial Narrow" w:hAnsi="Arial Narrow"/>
          <w:color w:val="000000"/>
          <w:lang w:eastAsia="es-CR"/>
        </w:rPr>
        <w:t>P</w:t>
      </w:r>
      <w:r w:rsidRPr="00CC279A">
        <w:rPr>
          <w:rFonts w:ascii="Arial Narrow" w:hAnsi="Arial Narrow"/>
          <w:color w:val="000000"/>
          <w:lang w:eastAsia="es-CR"/>
        </w:rPr>
        <w:t xml:space="preserve">lan de </w:t>
      </w:r>
      <w:r w:rsidR="004637FB" w:rsidRPr="00CC279A">
        <w:rPr>
          <w:rFonts w:ascii="Arial Narrow" w:hAnsi="Arial Narrow"/>
          <w:color w:val="000000"/>
          <w:lang w:eastAsia="es-CR"/>
        </w:rPr>
        <w:t>A</w:t>
      </w:r>
      <w:r w:rsidRPr="00CC279A">
        <w:rPr>
          <w:rFonts w:ascii="Arial Narrow" w:hAnsi="Arial Narrow"/>
          <w:color w:val="000000"/>
          <w:lang w:eastAsia="es-CR"/>
        </w:rPr>
        <w:t xml:space="preserve">cción para la </w:t>
      </w:r>
      <w:r w:rsidR="004637FB" w:rsidRPr="00CC279A">
        <w:rPr>
          <w:rFonts w:ascii="Arial Narrow" w:hAnsi="Arial Narrow"/>
          <w:color w:val="000000"/>
          <w:lang w:eastAsia="es-CR"/>
        </w:rPr>
        <w:t>C</w:t>
      </w:r>
      <w:r w:rsidRPr="00CC279A">
        <w:rPr>
          <w:rFonts w:ascii="Arial Narrow" w:hAnsi="Arial Narrow"/>
          <w:color w:val="000000"/>
          <w:lang w:eastAsia="es-CR"/>
        </w:rPr>
        <w:t xml:space="preserve">ontinuidad de los </w:t>
      </w:r>
      <w:r w:rsidR="004637FB" w:rsidRPr="00CC279A">
        <w:rPr>
          <w:rFonts w:ascii="Arial Narrow" w:hAnsi="Arial Narrow"/>
          <w:color w:val="000000"/>
          <w:lang w:eastAsia="es-CR"/>
        </w:rPr>
        <w:t>S</w:t>
      </w:r>
      <w:r w:rsidRPr="00CC279A">
        <w:rPr>
          <w:rFonts w:ascii="Arial Narrow" w:hAnsi="Arial Narrow"/>
          <w:color w:val="000000"/>
          <w:lang w:eastAsia="es-CR"/>
        </w:rPr>
        <w:t xml:space="preserve">ervicios </w:t>
      </w:r>
      <w:r w:rsidR="004637FB" w:rsidRPr="00CC279A">
        <w:rPr>
          <w:rFonts w:ascii="Arial Narrow" w:hAnsi="Arial Narrow"/>
          <w:color w:val="000000"/>
          <w:lang w:eastAsia="es-CR"/>
        </w:rPr>
        <w:t>J</w:t>
      </w:r>
      <w:r w:rsidRPr="00CC279A">
        <w:rPr>
          <w:rFonts w:ascii="Arial Narrow" w:hAnsi="Arial Narrow"/>
          <w:color w:val="000000"/>
          <w:lang w:eastAsia="es-CR"/>
        </w:rPr>
        <w:t>udiciales</w:t>
      </w:r>
      <w:r w:rsidRPr="005702B0">
        <w:rPr>
          <w:rFonts w:ascii="Arial Narrow" w:hAnsi="Arial Narrow"/>
          <w:color w:val="000000"/>
          <w:lang w:eastAsia="es-CR"/>
        </w:rPr>
        <w:t xml:space="preserve"> como respuesta al impacto de la emergencia nacional COVID-19.</w:t>
      </w:r>
      <w:r w:rsidR="007323B7" w:rsidRPr="005702B0">
        <w:rPr>
          <w:rFonts w:ascii="Arial Narrow" w:hAnsi="Arial Narrow"/>
          <w:color w:val="000000"/>
          <w:lang w:eastAsia="es-CR"/>
        </w:rPr>
        <w:t xml:space="preserve"> </w:t>
      </w:r>
    </w:p>
    <w:p w14:paraId="6345F89D" w14:textId="77777777" w:rsidR="005702B0" w:rsidRDefault="005702B0">
      <w:pPr>
        <w:spacing w:line="360" w:lineRule="auto"/>
        <w:jc w:val="both"/>
        <w:rPr>
          <w:rFonts w:ascii="Arial Narrow" w:hAnsi="Arial Narrow"/>
          <w:color w:val="000000"/>
          <w:lang w:eastAsia="es-CR"/>
        </w:rPr>
      </w:pPr>
    </w:p>
    <w:p w14:paraId="0F19C1FD" w14:textId="7D849B47" w:rsidR="007323B7" w:rsidRDefault="007323B7" w:rsidP="00CC279A">
      <w:pPr>
        <w:spacing w:line="360" w:lineRule="auto"/>
        <w:jc w:val="both"/>
        <w:rPr>
          <w:rFonts w:ascii="Book Antiqua" w:hAnsi="Book Antiqua"/>
          <w:lang w:val="es-CR"/>
        </w:rPr>
      </w:pPr>
      <w:r w:rsidRPr="005702B0">
        <w:rPr>
          <w:rFonts w:ascii="Arial Narrow" w:hAnsi="Arial Narrow"/>
          <w:color w:val="000000"/>
          <w:lang w:eastAsia="es-CR"/>
        </w:rPr>
        <w:t xml:space="preserve">Dentro de ese informe, se establece como objetivo primordial </w:t>
      </w:r>
      <w:r w:rsidRPr="00CC279A">
        <w:rPr>
          <w:rFonts w:ascii="Arial Narrow" w:hAnsi="Arial Narrow"/>
          <w:i/>
          <w:iCs/>
          <w:color w:val="000000"/>
          <w:lang w:eastAsia="es-CR"/>
        </w:rPr>
        <w:t>consolidar en un plan de acción para la continuidad de los servicios judiciales, de las acciones institucionales que se han venido desarrollando, como efecto del COVID-19; con el fin de realizar la alineación estratégica e incorporarlas en los Sistemas del PEI y PAO, para la implementación y seguimiento de manera automatizada</w:t>
      </w:r>
      <w:r w:rsidRPr="00CC279A">
        <w:rPr>
          <w:rFonts w:ascii="Arial Narrow" w:hAnsi="Arial Narrow"/>
          <w:color w:val="000000"/>
          <w:lang w:eastAsia="es-CR"/>
        </w:rPr>
        <w:t>.</w:t>
      </w:r>
      <w:r w:rsidRPr="005702B0">
        <w:rPr>
          <w:rFonts w:ascii="Arial Narrow" w:hAnsi="Arial Narrow"/>
          <w:color w:val="000000"/>
          <w:lang w:eastAsia="es-CR"/>
        </w:rPr>
        <w:t xml:space="preserve"> Por lo tanto, para llevar a cabo el proyecto anterior, para </w:t>
      </w:r>
      <w:r w:rsidRPr="00CC279A">
        <w:rPr>
          <w:rFonts w:ascii="Arial Narrow" w:hAnsi="Arial Narrow"/>
          <w:color w:val="000000"/>
          <w:lang w:eastAsia="es-CR"/>
        </w:rPr>
        <w:t xml:space="preserve">la construcción del plan de acción, se tomaron las diferentes acciones desarrolladas producto del COVID-19, las cuales fueron agrupadas en </w:t>
      </w:r>
      <w:r w:rsidRPr="005702B0">
        <w:rPr>
          <w:rFonts w:ascii="Arial Narrow" w:hAnsi="Arial Narrow"/>
          <w:color w:val="000000"/>
          <w:lang w:eastAsia="es-CR"/>
        </w:rPr>
        <w:t>21</w:t>
      </w:r>
      <w:r w:rsidRPr="00CC279A">
        <w:rPr>
          <w:rFonts w:ascii="Arial Narrow" w:hAnsi="Arial Narrow"/>
          <w:color w:val="000000"/>
          <w:lang w:eastAsia="es-CR"/>
        </w:rPr>
        <w:t xml:space="preserve"> estrategias institucionales</w:t>
      </w:r>
      <w:r w:rsidRPr="005702B0">
        <w:rPr>
          <w:rFonts w:ascii="Arial Narrow" w:hAnsi="Arial Narrow"/>
          <w:color w:val="000000"/>
          <w:lang w:eastAsia="es-CR"/>
        </w:rPr>
        <w:t xml:space="preserve">. </w:t>
      </w:r>
      <w:r w:rsidRPr="00CC279A">
        <w:rPr>
          <w:rFonts w:ascii="Arial Narrow" w:hAnsi="Arial Narrow"/>
          <w:color w:val="000000"/>
          <w:lang w:eastAsia="es-CR"/>
        </w:rPr>
        <w:t xml:space="preserve">Este Plan de acción, constituye </w:t>
      </w:r>
      <w:r w:rsidRPr="005702B0">
        <w:rPr>
          <w:rFonts w:ascii="Arial Narrow" w:hAnsi="Arial Narrow"/>
          <w:color w:val="000000"/>
          <w:lang w:eastAsia="es-CR"/>
        </w:rPr>
        <w:t>una</w:t>
      </w:r>
      <w:r w:rsidRPr="00CC279A">
        <w:rPr>
          <w:rFonts w:ascii="Arial Narrow" w:hAnsi="Arial Narrow"/>
          <w:color w:val="000000"/>
          <w:lang w:eastAsia="es-CR"/>
        </w:rPr>
        <w:t xml:space="preserve"> herramienta de sistematización y consolidación de objetivos, tanto ya realizados, como de los que se deben de realizar, que </w:t>
      </w:r>
      <w:r w:rsidRPr="005702B0">
        <w:rPr>
          <w:rFonts w:ascii="Arial Narrow" w:hAnsi="Arial Narrow"/>
          <w:color w:val="000000"/>
          <w:lang w:eastAsia="es-CR"/>
        </w:rPr>
        <w:t>permitirían</w:t>
      </w:r>
      <w:r w:rsidRPr="00CC279A">
        <w:rPr>
          <w:rFonts w:ascii="Arial Narrow" w:hAnsi="Arial Narrow"/>
          <w:color w:val="000000"/>
          <w:lang w:eastAsia="es-CR"/>
        </w:rPr>
        <w:t xml:space="preserve"> dar seguimiento a acciones futuras, para mantener la continuidad de los servicios en el Poder Judicial.</w:t>
      </w:r>
    </w:p>
    <w:p w14:paraId="4A525D52" w14:textId="606D519B" w:rsidR="00593E57" w:rsidRDefault="00593E57">
      <w:pPr>
        <w:spacing w:line="360" w:lineRule="auto"/>
        <w:jc w:val="both"/>
        <w:rPr>
          <w:rFonts w:ascii="Arial Narrow" w:hAnsi="Arial Narrow"/>
          <w:color w:val="000000"/>
          <w:lang w:eastAsia="es-CR"/>
        </w:rPr>
      </w:pPr>
    </w:p>
    <w:p w14:paraId="6B6D42E5" w14:textId="5ACAB2EF" w:rsidR="00806F7F" w:rsidRDefault="005702B0">
      <w:pPr>
        <w:spacing w:line="360" w:lineRule="auto"/>
        <w:jc w:val="both"/>
        <w:rPr>
          <w:rFonts w:ascii="Arial Narrow" w:hAnsi="Arial Narrow"/>
          <w:color w:val="000000"/>
          <w:lang w:eastAsia="es-CR"/>
        </w:rPr>
      </w:pPr>
      <w:r>
        <w:rPr>
          <w:rFonts w:ascii="Arial Narrow" w:hAnsi="Arial Narrow"/>
          <w:color w:val="000000"/>
          <w:lang w:eastAsia="es-CR"/>
        </w:rPr>
        <w:t xml:space="preserve">Como parte del seguimiento del plan de acción, se tienen los informes </w:t>
      </w:r>
      <w:r w:rsidRPr="00CC279A">
        <w:rPr>
          <w:rFonts w:ascii="Arial Narrow" w:hAnsi="Arial Narrow"/>
          <w:color w:val="000000"/>
          <w:lang w:eastAsia="es-CR"/>
        </w:rPr>
        <w:t>687-PLA-MI-2021, 709-PLA-PE-2021, 706-PLA-MI-2021</w:t>
      </w:r>
      <w:r>
        <w:rPr>
          <w:rFonts w:ascii="Arial Narrow" w:hAnsi="Arial Narrow"/>
          <w:color w:val="000000"/>
          <w:lang w:eastAsia="es-CR"/>
        </w:rPr>
        <w:t>, conocidos y aprobados por Corte Plena en sesión 27-2021, artículo II, del 30 de junio del 2021.</w:t>
      </w:r>
    </w:p>
    <w:p w14:paraId="66D62D89" w14:textId="77777777" w:rsidR="00BB72FA" w:rsidRDefault="00BB72FA">
      <w:pPr>
        <w:spacing w:line="360" w:lineRule="auto"/>
        <w:jc w:val="both"/>
        <w:rPr>
          <w:rFonts w:ascii="Arial Narrow" w:hAnsi="Arial Narrow"/>
          <w:color w:val="000000"/>
          <w:lang w:eastAsia="es-CR"/>
        </w:rPr>
      </w:pPr>
    </w:p>
    <w:p w14:paraId="28B7ABCE" w14:textId="1B8DE4EF" w:rsidR="00DA143C" w:rsidRDefault="00DA143C" w:rsidP="00DA143C">
      <w:pPr>
        <w:spacing w:line="360" w:lineRule="auto"/>
        <w:jc w:val="both"/>
        <w:rPr>
          <w:rFonts w:ascii="Arial Narrow" w:hAnsi="Arial Narrow"/>
          <w:color w:val="000000"/>
          <w:lang w:eastAsia="es-CR"/>
        </w:rPr>
      </w:pPr>
      <w:r w:rsidRPr="00DA143C">
        <w:rPr>
          <w:rFonts w:ascii="Arial Narrow" w:hAnsi="Arial Narrow"/>
          <w:color w:val="000000"/>
          <w:lang w:eastAsia="es-CR"/>
        </w:rPr>
        <w:t>Por lo tanto</w:t>
      </w:r>
      <w:r w:rsidR="00593E57">
        <w:rPr>
          <w:rFonts w:ascii="Arial Narrow" w:hAnsi="Arial Narrow"/>
          <w:color w:val="000000"/>
          <w:lang w:eastAsia="es-CR"/>
        </w:rPr>
        <w:t>,</w:t>
      </w:r>
      <w:r w:rsidRPr="00DA143C">
        <w:rPr>
          <w:rFonts w:ascii="Arial Narrow" w:hAnsi="Arial Narrow"/>
          <w:color w:val="000000"/>
          <w:lang w:eastAsia="es-CR"/>
        </w:rPr>
        <w:t xml:space="preserve"> se evidencia que el Poder Judicial ha diseñado estrategias y tomado acuerdos de su jerarquía para que la afectación de servicios por la pandemia mundial </w:t>
      </w:r>
      <w:r w:rsidR="00731D25">
        <w:rPr>
          <w:rFonts w:ascii="Arial Narrow" w:hAnsi="Arial Narrow"/>
          <w:color w:val="000000"/>
          <w:lang w:eastAsia="es-CR"/>
        </w:rPr>
        <w:t>COVID-</w:t>
      </w:r>
      <w:r w:rsidRPr="00DA143C">
        <w:rPr>
          <w:rFonts w:ascii="Arial Narrow" w:hAnsi="Arial Narrow"/>
          <w:color w:val="000000"/>
          <w:lang w:eastAsia="es-CR"/>
        </w:rPr>
        <w:t xml:space="preserve"> 19 sean mínimos, dentro de los que se destaca la definición de catálogos de servicios para atender en cada jurisdicción según el tipo de alerta sanitaria que se tenga en cada zona geográfica, protocolos para el desarrollo de audiencias o </w:t>
      </w:r>
      <w:r w:rsidRPr="00DA143C">
        <w:rPr>
          <w:rFonts w:ascii="Arial Narrow" w:hAnsi="Arial Narrow"/>
          <w:color w:val="000000"/>
          <w:lang w:eastAsia="es-CR"/>
        </w:rPr>
        <w:lastRenderedPageBreak/>
        <w:t>videoconferencias, coordinaciones para habilitar espacios físicos que permitan mantener el distanciamiento recomendado por el Ministerio de Salud, estrategias de divulgación de los servicios, sin embargo la crisis sanitaria ha repercutido en las metas relacionadas a capacitaciones, casos terminados en las jurisdicciones que deben efectuar una audiencia o juicio para poder finalizar un caso, coordinaciones con entes externos al Poder Judicial y de manera transversal ha tenido afectación por las medidas sanitarias que se han impuesto en diferentes despachos judiciales y oficinas administrativas, lo cual provoca incapacidades y disminución en la prestación de servicios.</w:t>
      </w:r>
    </w:p>
    <w:p w14:paraId="2D9467BD" w14:textId="77777777" w:rsidR="00CF2478" w:rsidRDefault="00CF2478" w:rsidP="00DA143C">
      <w:pPr>
        <w:spacing w:line="360" w:lineRule="auto"/>
        <w:jc w:val="both"/>
        <w:rPr>
          <w:rFonts w:ascii="Arial Narrow" w:hAnsi="Arial Narrow"/>
          <w:color w:val="000000"/>
          <w:lang w:eastAsia="es-CR"/>
        </w:rPr>
      </w:pPr>
    </w:p>
    <w:p w14:paraId="66CBB853" w14:textId="6830B5B0" w:rsidR="00750BC4" w:rsidRPr="00CC279A" w:rsidRDefault="00750BC4" w:rsidP="00CC279A">
      <w:pPr>
        <w:spacing w:line="360" w:lineRule="auto"/>
        <w:jc w:val="both"/>
        <w:rPr>
          <w:rFonts w:ascii="Arial Narrow" w:hAnsi="Arial Narrow"/>
          <w:color w:val="000000"/>
          <w:lang w:eastAsia="es-CR"/>
        </w:rPr>
      </w:pPr>
      <w:r w:rsidRPr="00CC279A">
        <w:rPr>
          <w:rFonts w:ascii="Arial Narrow" w:hAnsi="Arial Narrow"/>
          <w:color w:val="000000"/>
          <w:lang w:eastAsia="es-CR"/>
        </w:rPr>
        <w:t>Aunado a lo anterior, el COVID</w:t>
      </w:r>
      <w:r>
        <w:rPr>
          <w:rFonts w:ascii="Arial Narrow" w:hAnsi="Arial Narrow"/>
          <w:color w:val="000000"/>
          <w:lang w:eastAsia="es-CR"/>
        </w:rPr>
        <w:t xml:space="preserve">-19 </w:t>
      </w:r>
      <w:r w:rsidRPr="00CC279A">
        <w:rPr>
          <w:rFonts w:ascii="Arial Narrow" w:hAnsi="Arial Narrow"/>
          <w:color w:val="000000"/>
          <w:lang w:eastAsia="es-CR"/>
        </w:rPr>
        <w:t>ha impactado a la institución en la toma de decisiones y acciones que han afectado la resolución de los casos en aras de adaptarse a la nueva normalidad. Por tanto, se considera necesario el realizar nuevas proyecciones a partir del 2022</w:t>
      </w:r>
      <w:r w:rsidR="00AA5A31">
        <w:rPr>
          <w:rFonts w:ascii="Arial Narrow" w:hAnsi="Arial Narrow"/>
          <w:color w:val="000000"/>
          <w:lang w:eastAsia="es-CR"/>
        </w:rPr>
        <w:t xml:space="preserve"> con base en </w:t>
      </w:r>
      <w:r w:rsidR="00AA5A31" w:rsidRPr="00C9711A">
        <w:rPr>
          <w:rFonts w:ascii="Arial Narrow" w:hAnsi="Arial Narrow"/>
          <w:color w:val="000000"/>
          <w:lang w:eastAsia="es-CR"/>
        </w:rPr>
        <w:t>argumentos estadísticos</w:t>
      </w:r>
      <w:r w:rsidR="00AA5A31">
        <w:rPr>
          <w:rFonts w:ascii="Arial Narrow" w:hAnsi="Arial Narrow"/>
          <w:color w:val="000000"/>
          <w:lang w:eastAsia="es-CR"/>
        </w:rPr>
        <w:t xml:space="preserve"> y la debida técnica</w:t>
      </w:r>
      <w:r w:rsidRPr="00CC279A">
        <w:rPr>
          <w:rFonts w:ascii="Arial Narrow" w:hAnsi="Arial Narrow"/>
          <w:color w:val="000000"/>
          <w:lang w:eastAsia="es-CR"/>
        </w:rPr>
        <w:t xml:space="preserve">, </w:t>
      </w:r>
      <w:r w:rsidR="00AA5A31">
        <w:rPr>
          <w:rFonts w:ascii="Arial Narrow" w:hAnsi="Arial Narrow"/>
          <w:color w:val="000000"/>
          <w:lang w:eastAsia="es-CR"/>
        </w:rPr>
        <w:t xml:space="preserve">y </w:t>
      </w:r>
      <w:r w:rsidRPr="00CC279A">
        <w:rPr>
          <w:rFonts w:ascii="Arial Narrow" w:hAnsi="Arial Narrow"/>
          <w:color w:val="000000"/>
          <w:lang w:eastAsia="es-CR"/>
        </w:rPr>
        <w:t>como línea base</w:t>
      </w:r>
      <w:r w:rsidR="008A7E94">
        <w:rPr>
          <w:rFonts w:ascii="Arial Narrow" w:hAnsi="Arial Narrow"/>
          <w:color w:val="000000"/>
          <w:lang w:eastAsia="es-CR"/>
        </w:rPr>
        <w:t xml:space="preserve"> a utilizar,</w:t>
      </w:r>
      <w:r w:rsidRPr="00CC279A">
        <w:rPr>
          <w:rFonts w:ascii="Arial Narrow" w:hAnsi="Arial Narrow"/>
          <w:color w:val="000000"/>
          <w:lang w:eastAsia="es-CR"/>
        </w:rPr>
        <w:t xml:space="preserve"> los datos estadísticos de entrados, terminados y circulante a partir de los datos obtenidos durante el 2019, 2020 y el primer trimestre de 2021, con el fin de establecer nuevas líneas base y adaptar los objetivos y metas a la nueva realidad, en procura de incidir en el logro de la misión de administrar justicia de manera pronta y cumplida. </w:t>
      </w:r>
    </w:p>
    <w:p w14:paraId="306B4762" w14:textId="77777777" w:rsidR="00750BC4" w:rsidRPr="00CC279A" w:rsidRDefault="00750BC4" w:rsidP="00CC279A">
      <w:pPr>
        <w:spacing w:line="360" w:lineRule="auto"/>
        <w:jc w:val="both"/>
        <w:rPr>
          <w:rFonts w:ascii="Arial Narrow" w:hAnsi="Arial Narrow"/>
          <w:color w:val="000000"/>
          <w:lang w:eastAsia="es-CR"/>
        </w:rPr>
      </w:pPr>
    </w:p>
    <w:p w14:paraId="1E9E3E6A" w14:textId="00F2B942" w:rsidR="00750BC4" w:rsidRPr="00CC279A" w:rsidRDefault="00750BC4" w:rsidP="00CC279A">
      <w:pPr>
        <w:spacing w:line="360" w:lineRule="auto"/>
        <w:jc w:val="both"/>
        <w:rPr>
          <w:rFonts w:ascii="Arial Narrow" w:hAnsi="Arial Narrow"/>
          <w:color w:val="000000"/>
          <w:lang w:eastAsia="es-CR"/>
        </w:rPr>
      </w:pPr>
      <w:r w:rsidRPr="00CC279A">
        <w:rPr>
          <w:rFonts w:ascii="Arial Narrow" w:hAnsi="Arial Narrow"/>
          <w:color w:val="000000"/>
          <w:lang w:eastAsia="es-CR"/>
        </w:rPr>
        <w:t xml:space="preserve">Cabe mencionar, que </w:t>
      </w:r>
      <w:r>
        <w:rPr>
          <w:rFonts w:ascii="Arial Narrow" w:hAnsi="Arial Narrow"/>
          <w:color w:val="000000"/>
          <w:lang w:eastAsia="es-CR"/>
        </w:rPr>
        <w:t>los</w:t>
      </w:r>
      <w:r w:rsidRPr="00CC279A">
        <w:rPr>
          <w:rFonts w:ascii="Arial Narrow" w:hAnsi="Arial Narrow"/>
          <w:color w:val="000000"/>
          <w:lang w:eastAsia="es-CR"/>
        </w:rPr>
        <w:t xml:space="preserve"> ajustes a la línea base es para alinear a la institución de una manera más efectiva en torno a estas metas para los próximos años, pero no pretende modificar la línea base del 2017 y 2018 que fue el punto de partida para la construcción del PEI y que se espera mantener hasta finalizar el periodo 2019-2024, así en el 2025, se realizará un análisis del impacto más detallado de la estrategia institucional tomando la línea base del 2017 y 2018. De esta manera, </w:t>
      </w:r>
      <w:r>
        <w:rPr>
          <w:rFonts w:ascii="Arial Narrow" w:hAnsi="Arial Narrow"/>
          <w:color w:val="000000"/>
          <w:lang w:eastAsia="es-CR"/>
        </w:rPr>
        <w:t xml:space="preserve">se han realizado esfuerzos para analizar y realizar las proyecciones de </w:t>
      </w:r>
      <w:r w:rsidRPr="00CC279A">
        <w:rPr>
          <w:rFonts w:ascii="Arial Narrow" w:hAnsi="Arial Narrow"/>
          <w:color w:val="000000"/>
          <w:lang w:eastAsia="es-CR"/>
        </w:rPr>
        <w:t xml:space="preserve">las metas relacionadas con casos terminados al 2022 y sus periodos posteriores 2023 y 2024 respectivamente. </w:t>
      </w:r>
      <w:r>
        <w:rPr>
          <w:rFonts w:ascii="Arial Narrow" w:hAnsi="Arial Narrow"/>
          <w:color w:val="000000"/>
          <w:lang w:eastAsia="es-CR"/>
        </w:rPr>
        <w:t xml:space="preserve">Por lo tanto, para el 2021 se continuará con la línea base estipulada antes de las nuevas propuestas. </w:t>
      </w:r>
    </w:p>
    <w:p w14:paraId="4C78A7DB" w14:textId="77777777" w:rsidR="00EB773B" w:rsidRPr="00DF211C" w:rsidRDefault="00EB773B" w:rsidP="00EB773B">
      <w:pPr>
        <w:jc w:val="both"/>
        <w:rPr>
          <w:rFonts w:ascii="Book Antiqua" w:hAnsi="Book Antiqua"/>
        </w:rPr>
      </w:pPr>
    </w:p>
    <w:p w14:paraId="1341B649" w14:textId="77777777" w:rsidR="00EB773B" w:rsidRPr="00C9711A" w:rsidRDefault="00EB773B" w:rsidP="00C9711A">
      <w:pPr>
        <w:rPr>
          <w:rFonts w:eastAsia="Calibri"/>
          <w:lang w:eastAsia="en-US"/>
        </w:rPr>
      </w:pPr>
    </w:p>
    <w:p w14:paraId="1D59DEB2" w14:textId="0ABFED97" w:rsidR="004E3F80" w:rsidRDefault="000A7635">
      <w:pPr>
        <w:pStyle w:val="Ttulo2"/>
      </w:pPr>
      <w:bookmarkStart w:id="277" w:name="_Toc84919367"/>
      <w:bookmarkStart w:id="278" w:name="_Hlk84492602"/>
      <w:r>
        <w:t>Conclusiones</w:t>
      </w:r>
      <w:bookmarkEnd w:id="277"/>
      <w:r w:rsidR="004637FB">
        <w:t xml:space="preserve"> </w:t>
      </w:r>
      <w:bookmarkEnd w:id="278"/>
    </w:p>
    <w:p w14:paraId="19E71D77" w14:textId="77777777" w:rsidR="006E5CA9" w:rsidRDefault="006E5CA9" w:rsidP="006E5CA9">
      <w:pPr>
        <w:spacing w:line="360" w:lineRule="auto"/>
        <w:jc w:val="both"/>
        <w:rPr>
          <w:rFonts w:ascii="Arial Narrow" w:hAnsi="Arial Narrow" w:cs="Book Antiqua"/>
          <w:snapToGrid w:val="0"/>
          <w:highlight w:val="yellow"/>
        </w:rPr>
      </w:pPr>
    </w:p>
    <w:p w14:paraId="258D7A87" w14:textId="642B2387" w:rsidR="004E3F80" w:rsidRPr="00CC279A" w:rsidRDefault="00E04260" w:rsidP="00CC279A">
      <w:pPr>
        <w:pStyle w:val="Prrafodelista"/>
        <w:numPr>
          <w:ilvl w:val="1"/>
          <w:numId w:val="76"/>
        </w:numPr>
        <w:spacing w:line="360" w:lineRule="auto"/>
        <w:jc w:val="both"/>
        <w:rPr>
          <w:rFonts w:ascii="Arial Narrow" w:hAnsi="Arial Narrow" w:cs="Book Antiqua"/>
        </w:rPr>
      </w:pPr>
      <w:r>
        <w:rPr>
          <w:rFonts w:ascii="Arial Narrow" w:hAnsi="Arial Narrow" w:cs="Book Antiqua"/>
          <w:snapToGrid w:val="0"/>
        </w:rPr>
        <w:t xml:space="preserve"> </w:t>
      </w:r>
      <w:r w:rsidR="004E3F80" w:rsidRPr="00CC279A">
        <w:rPr>
          <w:rFonts w:ascii="Arial Narrow" w:hAnsi="Arial Narrow" w:cs="Book Antiqua"/>
          <w:snapToGrid w:val="0"/>
        </w:rPr>
        <w:t>Sobre los informes evaluativos estratégicos del PEI anteriores, se tenían muchas limitaciones para acceso a la información</w:t>
      </w:r>
      <w:r w:rsidR="009B7B0A">
        <w:rPr>
          <w:rFonts w:ascii="Arial Narrow" w:hAnsi="Arial Narrow" w:cs="Book Antiqua"/>
          <w:snapToGrid w:val="0"/>
        </w:rPr>
        <w:t xml:space="preserve">, las cuales han sido debidamente subsanadas por medio de </w:t>
      </w:r>
      <w:r w:rsidR="009B7B0A">
        <w:rPr>
          <w:rFonts w:ascii="Arial Narrow" w:hAnsi="Arial Narrow" w:cs="Book Antiqua"/>
          <w:snapToGrid w:val="0"/>
        </w:rPr>
        <w:lastRenderedPageBreak/>
        <w:t>implementación de sistemas informáticos y mejoras al registro de la información</w:t>
      </w:r>
      <w:r w:rsidR="004E3F80" w:rsidRPr="00CC279A">
        <w:rPr>
          <w:rFonts w:ascii="Arial Narrow" w:hAnsi="Arial Narrow" w:cs="Book Antiqua"/>
          <w:snapToGrid w:val="0"/>
        </w:rPr>
        <w:t>. Adicionalmente, las instancias responsables no tenían claros sus compromisos o los olvidaban</w:t>
      </w:r>
      <w:r w:rsidR="0030409C" w:rsidRPr="00CC279A">
        <w:rPr>
          <w:rFonts w:ascii="Arial Narrow" w:hAnsi="Arial Narrow" w:cs="Book Antiqua"/>
          <w:snapToGrid w:val="0"/>
        </w:rPr>
        <w:t>,</w:t>
      </w:r>
      <w:r w:rsidR="004E3F80" w:rsidRPr="00CC279A">
        <w:rPr>
          <w:rFonts w:ascii="Arial Narrow" w:hAnsi="Arial Narrow" w:cs="Book Antiqua"/>
          <w:snapToGrid w:val="0"/>
        </w:rPr>
        <w:t xml:space="preserve"> entonces las evaluaciones estratégicas aportaban incumplimientos más altos que los que se muestran mediante el presente informe de evaluación del PEI 2019-</w:t>
      </w:r>
      <w:r w:rsidR="00194BB6" w:rsidRPr="00CC279A">
        <w:rPr>
          <w:rFonts w:ascii="Arial Narrow" w:hAnsi="Arial Narrow" w:cs="Book Antiqua"/>
          <w:snapToGrid w:val="0"/>
        </w:rPr>
        <w:t>2020</w:t>
      </w:r>
      <w:r w:rsidR="004E3F80" w:rsidRPr="00CC279A">
        <w:rPr>
          <w:rFonts w:ascii="Arial Narrow" w:hAnsi="Arial Narrow" w:cs="Book Antiqua"/>
          <w:snapToGrid w:val="0"/>
        </w:rPr>
        <w:t xml:space="preserve">.  </w:t>
      </w:r>
    </w:p>
    <w:p w14:paraId="3FA24FBB" w14:textId="77777777" w:rsidR="004E3F80" w:rsidRPr="00704B08" w:rsidRDefault="004E3F80" w:rsidP="004E3F80">
      <w:pPr>
        <w:pStyle w:val="Prrafodelista"/>
        <w:spacing w:line="360" w:lineRule="auto"/>
        <w:ind w:left="720"/>
        <w:jc w:val="both"/>
        <w:rPr>
          <w:rFonts w:ascii="Arial Narrow" w:hAnsi="Arial Narrow" w:cs="Book Antiqua"/>
          <w:snapToGrid w:val="0"/>
          <w:highlight w:val="yellow"/>
        </w:rPr>
      </w:pPr>
    </w:p>
    <w:p w14:paraId="50D985BC" w14:textId="65FEE368" w:rsidR="004E3F80" w:rsidRPr="00194BB6" w:rsidRDefault="00E04260" w:rsidP="00CC279A">
      <w:pPr>
        <w:pStyle w:val="Prrafodelista"/>
        <w:numPr>
          <w:ilvl w:val="1"/>
          <w:numId w:val="76"/>
        </w:numPr>
        <w:spacing w:line="360" w:lineRule="auto"/>
        <w:jc w:val="both"/>
        <w:rPr>
          <w:rFonts w:ascii="Arial Narrow" w:hAnsi="Arial Narrow" w:cs="Book Antiqua"/>
          <w:snapToGrid w:val="0"/>
        </w:rPr>
      </w:pPr>
      <w:r>
        <w:rPr>
          <w:rFonts w:ascii="Arial Narrow" w:hAnsi="Arial Narrow" w:cs="Book Antiqua"/>
          <w:snapToGrid w:val="0"/>
        </w:rPr>
        <w:t xml:space="preserve"> </w:t>
      </w:r>
      <w:r w:rsidR="004E3F80" w:rsidRPr="00194BB6">
        <w:rPr>
          <w:rFonts w:ascii="Arial Narrow" w:hAnsi="Arial Narrow" w:cs="Book Antiqua"/>
          <w:snapToGrid w:val="0"/>
        </w:rPr>
        <w:t xml:space="preserve">En aras de continuar el impulso de la planificación institucional, se realizó un análisis de las oportunidades de mejora y lecciones aprendidas de los procesos anteriores, y se planteó la metodología a aplicar por medio del “Modelo de Gestión para el Proceso de Planificación Estratégica 2019-2024”, basada en los principios orientadores de innovación, participación e integración; aprobado por la Corte Plena en sesión 32-17 del 02 de octubre del 2017, artículo XII. A raíz de lo anterior, y de múltiples mejoras llevadas a cabo </w:t>
      </w:r>
      <w:r w:rsidR="00194BB6">
        <w:rPr>
          <w:rFonts w:ascii="Arial Narrow" w:hAnsi="Arial Narrow" w:cs="Book Antiqua"/>
          <w:snapToGrid w:val="0"/>
        </w:rPr>
        <w:t>por medio de</w:t>
      </w:r>
      <w:r w:rsidR="00194BB6" w:rsidRPr="00194BB6">
        <w:rPr>
          <w:rFonts w:ascii="Arial Narrow" w:hAnsi="Arial Narrow" w:cs="Book Antiqua"/>
          <w:snapToGrid w:val="0"/>
        </w:rPr>
        <w:t xml:space="preserve"> </w:t>
      </w:r>
      <w:r w:rsidR="004E3F80" w:rsidRPr="00194BB6">
        <w:rPr>
          <w:rFonts w:ascii="Arial Narrow" w:hAnsi="Arial Narrow" w:cs="Book Antiqua"/>
          <w:snapToGrid w:val="0"/>
        </w:rPr>
        <w:t>los Sistemas informáticos</w:t>
      </w:r>
      <w:r w:rsidR="00194BB6">
        <w:rPr>
          <w:rFonts w:ascii="Arial Narrow" w:hAnsi="Arial Narrow" w:cs="Book Antiqua"/>
          <w:snapToGrid w:val="0"/>
        </w:rPr>
        <w:t xml:space="preserve"> y esto</w:t>
      </w:r>
      <w:r w:rsidR="004E3F80" w:rsidRPr="00194BB6">
        <w:rPr>
          <w:rFonts w:ascii="Arial Narrow" w:hAnsi="Arial Narrow" w:cs="Book Antiqua"/>
          <w:snapToGrid w:val="0"/>
        </w:rPr>
        <w:t xml:space="preserve"> </w:t>
      </w:r>
      <w:r w:rsidR="004E3F80" w:rsidRPr="007323B7">
        <w:rPr>
          <w:rFonts w:ascii="Arial Narrow" w:hAnsi="Arial Narrow" w:cs="Book Antiqua"/>
          <w:snapToGrid w:val="0"/>
        </w:rPr>
        <w:t>permitió</w:t>
      </w:r>
      <w:r w:rsidR="002D6149" w:rsidRPr="00CC279A">
        <w:rPr>
          <w:rFonts w:ascii="Arial Narrow" w:hAnsi="Arial Narrow" w:cs="Book Antiqua"/>
          <w:snapToGrid w:val="0"/>
        </w:rPr>
        <w:t xml:space="preserve"> automatizar</w:t>
      </w:r>
      <w:r w:rsidR="0030409C" w:rsidRPr="007323B7">
        <w:rPr>
          <w:rFonts w:ascii="Arial Narrow" w:hAnsi="Arial Narrow" w:cs="Book Antiqua"/>
          <w:snapToGrid w:val="0"/>
        </w:rPr>
        <w:t xml:space="preserve"> la tarea de seguimiento </w:t>
      </w:r>
      <w:r w:rsidR="007323B7">
        <w:rPr>
          <w:rFonts w:ascii="Arial Narrow" w:hAnsi="Arial Narrow" w:cs="Book Antiqua"/>
          <w:snapToGrid w:val="0"/>
        </w:rPr>
        <w:t xml:space="preserve">y evaluación del </w:t>
      </w:r>
      <w:r w:rsidR="004E3F80" w:rsidRPr="007323B7">
        <w:rPr>
          <w:rFonts w:ascii="Arial Narrow" w:hAnsi="Arial Narrow" w:cs="Book Antiqua"/>
          <w:snapToGrid w:val="0"/>
        </w:rPr>
        <w:t>plan estratégico por primera vez para el Poder Judicial.</w:t>
      </w:r>
      <w:r w:rsidR="004E3F80" w:rsidRPr="00194BB6">
        <w:rPr>
          <w:rFonts w:ascii="Arial Narrow" w:hAnsi="Arial Narrow" w:cs="Book Antiqua"/>
          <w:snapToGrid w:val="0"/>
        </w:rPr>
        <w:t xml:space="preserve">  </w:t>
      </w:r>
    </w:p>
    <w:p w14:paraId="224F3EEB" w14:textId="77777777" w:rsidR="00CF2478" w:rsidRDefault="00CF2478" w:rsidP="00CC279A">
      <w:pPr>
        <w:pStyle w:val="Prrafodelista"/>
        <w:rPr>
          <w:rFonts w:ascii="Arial Narrow" w:hAnsi="Arial Narrow" w:cs="Book Antiqua"/>
          <w:snapToGrid w:val="0"/>
          <w:highlight w:val="yellow"/>
        </w:rPr>
      </w:pPr>
    </w:p>
    <w:p w14:paraId="43EC5E1B" w14:textId="77777777" w:rsidR="004E3F80" w:rsidRPr="00704B08" w:rsidRDefault="004E3F80" w:rsidP="004E3F80">
      <w:pPr>
        <w:pStyle w:val="Prrafodelista"/>
        <w:spacing w:line="360" w:lineRule="auto"/>
        <w:ind w:left="720"/>
        <w:jc w:val="both"/>
        <w:rPr>
          <w:rFonts w:ascii="Arial Narrow" w:hAnsi="Arial Narrow" w:cs="Book Antiqua"/>
          <w:snapToGrid w:val="0"/>
          <w:highlight w:val="yellow"/>
        </w:rPr>
      </w:pPr>
    </w:p>
    <w:p w14:paraId="5DE2FF5C" w14:textId="7E670629" w:rsidR="004E3F80" w:rsidRPr="00AE3F2A" w:rsidRDefault="00E04260" w:rsidP="00CC279A">
      <w:pPr>
        <w:pStyle w:val="Prrafodelista"/>
        <w:numPr>
          <w:ilvl w:val="1"/>
          <w:numId w:val="76"/>
        </w:numPr>
        <w:spacing w:line="360" w:lineRule="auto"/>
        <w:jc w:val="both"/>
        <w:rPr>
          <w:rFonts w:ascii="Arial Narrow" w:hAnsi="Arial Narrow" w:cs="Book Antiqua"/>
          <w:snapToGrid w:val="0"/>
        </w:rPr>
      </w:pPr>
      <w:r>
        <w:rPr>
          <w:rFonts w:ascii="Arial Narrow" w:hAnsi="Arial Narrow" w:cs="Book Antiqua"/>
          <w:snapToGrid w:val="0"/>
        </w:rPr>
        <w:t xml:space="preserve"> </w:t>
      </w:r>
      <w:r w:rsidR="004E3F80" w:rsidRPr="00AE3F2A">
        <w:rPr>
          <w:rFonts w:ascii="Arial Narrow" w:hAnsi="Arial Narrow" w:cs="Book Antiqua"/>
          <w:snapToGrid w:val="0"/>
        </w:rPr>
        <w:t xml:space="preserve">Sobre el alcance de la evaluación del PEI para </w:t>
      </w:r>
      <w:r w:rsidR="00F4582E" w:rsidRPr="00AE3F2A">
        <w:rPr>
          <w:rFonts w:ascii="Arial Narrow" w:hAnsi="Arial Narrow" w:cs="Book Antiqua"/>
          <w:snapToGrid w:val="0"/>
        </w:rPr>
        <w:t>los años</w:t>
      </w:r>
      <w:r w:rsidR="004E3F80" w:rsidRPr="00AE3F2A">
        <w:rPr>
          <w:rFonts w:ascii="Arial Narrow" w:hAnsi="Arial Narrow" w:cs="Book Antiqua"/>
          <w:snapToGrid w:val="0"/>
        </w:rPr>
        <w:t xml:space="preserve"> 2019 </w:t>
      </w:r>
      <w:r w:rsidR="00F4582E" w:rsidRPr="00AE3F2A">
        <w:rPr>
          <w:rFonts w:ascii="Arial Narrow" w:hAnsi="Arial Narrow" w:cs="Book Antiqua"/>
          <w:snapToGrid w:val="0"/>
        </w:rPr>
        <w:t xml:space="preserve">y 2020 </w:t>
      </w:r>
      <w:r w:rsidR="004E3F80" w:rsidRPr="00AE3F2A">
        <w:rPr>
          <w:rFonts w:ascii="Arial Narrow" w:hAnsi="Arial Narrow" w:cs="Book Antiqua"/>
          <w:snapToGrid w:val="0"/>
        </w:rPr>
        <w:t xml:space="preserve">se delimita a 187 </w:t>
      </w:r>
      <w:r w:rsidR="00F4582E" w:rsidRPr="00AE3F2A">
        <w:rPr>
          <w:rFonts w:ascii="Arial Narrow" w:hAnsi="Arial Narrow" w:cs="Book Antiqua"/>
          <w:snapToGrid w:val="0"/>
        </w:rPr>
        <w:t>y 219 metas estratégicas respectivamente</w:t>
      </w:r>
      <w:r w:rsidR="0030409C">
        <w:rPr>
          <w:rFonts w:ascii="Arial Narrow" w:hAnsi="Arial Narrow" w:cs="Book Antiqua"/>
          <w:snapToGrid w:val="0"/>
        </w:rPr>
        <w:t>,</w:t>
      </w:r>
      <w:r w:rsidR="004E3F80" w:rsidRPr="00AE3F2A">
        <w:rPr>
          <w:rFonts w:ascii="Arial Narrow" w:hAnsi="Arial Narrow" w:cs="Book Antiqua"/>
          <w:snapToGrid w:val="0"/>
        </w:rPr>
        <w:t xml:space="preserve"> contenidas en el PEI que fueron ejecutadas en </w:t>
      </w:r>
      <w:r w:rsidR="00F4582E" w:rsidRPr="00AE3F2A">
        <w:rPr>
          <w:rFonts w:ascii="Arial Narrow" w:hAnsi="Arial Narrow" w:cs="Book Antiqua"/>
          <w:snapToGrid w:val="0"/>
        </w:rPr>
        <w:t>esos años</w:t>
      </w:r>
      <w:r w:rsidR="004E3F80" w:rsidRPr="00AE3F2A">
        <w:rPr>
          <w:rFonts w:ascii="Arial Narrow" w:hAnsi="Arial Narrow" w:cs="Book Antiqua"/>
          <w:snapToGrid w:val="0"/>
        </w:rPr>
        <w:t xml:space="preserve"> mediante el cumplimiento de los objetivos y metas operativas del PAO, esto vinculado a los 5 temas estratégicos. La fecha de generación de datos del 2019 se consideró incluso los avances incorporados al 24 de enero del 2020</w:t>
      </w:r>
      <w:r w:rsidR="00F4582E" w:rsidRPr="00AE3F2A">
        <w:rPr>
          <w:rFonts w:ascii="Arial Narrow" w:hAnsi="Arial Narrow" w:cs="Book Antiqua"/>
          <w:snapToGrid w:val="0"/>
        </w:rPr>
        <w:t xml:space="preserve"> y para el año 2020 al 04 de marzo 2021</w:t>
      </w:r>
      <w:r w:rsidR="00AE3F2A" w:rsidRPr="00704B08">
        <w:rPr>
          <w:rFonts w:ascii="Arial Narrow" w:hAnsi="Arial Narrow" w:cs="Book Antiqua"/>
          <w:snapToGrid w:val="0"/>
        </w:rPr>
        <w:t xml:space="preserve">, </w:t>
      </w:r>
      <w:r w:rsidR="004E3F80" w:rsidRPr="00AE3F2A">
        <w:rPr>
          <w:rFonts w:ascii="Arial Narrow" w:hAnsi="Arial Narrow" w:cs="Book Antiqua"/>
          <w:snapToGrid w:val="0"/>
        </w:rPr>
        <w:t xml:space="preserve">esto con el fin de que los despachos tuvieran oportunidad una vez regresaran del cierre colectivo, de concluir con el registro de avances de las metas. </w:t>
      </w:r>
    </w:p>
    <w:p w14:paraId="552D8646" w14:textId="77777777" w:rsidR="00CF2478" w:rsidRDefault="00CF2478" w:rsidP="00CC279A">
      <w:pPr>
        <w:pStyle w:val="Prrafodelista"/>
        <w:rPr>
          <w:rFonts w:ascii="Arial Narrow" w:hAnsi="Arial Narrow" w:cs="Book Antiqua"/>
          <w:snapToGrid w:val="0"/>
        </w:rPr>
      </w:pPr>
    </w:p>
    <w:p w14:paraId="0E5D1FEF" w14:textId="77777777" w:rsidR="0030409C" w:rsidRPr="00AE3F2A" w:rsidRDefault="0030409C" w:rsidP="004E3F80">
      <w:pPr>
        <w:pStyle w:val="Prrafodelista"/>
        <w:spacing w:line="360" w:lineRule="auto"/>
        <w:ind w:left="720"/>
        <w:jc w:val="both"/>
        <w:rPr>
          <w:rFonts w:ascii="Arial Narrow" w:hAnsi="Arial Narrow" w:cs="Book Antiqua"/>
          <w:snapToGrid w:val="0"/>
        </w:rPr>
      </w:pPr>
    </w:p>
    <w:p w14:paraId="602E6B6E" w14:textId="6AF493B1" w:rsidR="00260A6A" w:rsidRPr="00CC279A" w:rsidRDefault="00260A6A" w:rsidP="00CC279A">
      <w:pPr>
        <w:pStyle w:val="Prrafodelista"/>
        <w:numPr>
          <w:ilvl w:val="1"/>
          <w:numId w:val="76"/>
        </w:numPr>
        <w:spacing w:line="360" w:lineRule="auto"/>
        <w:jc w:val="both"/>
        <w:rPr>
          <w:rFonts w:cs="Book Antiqua"/>
          <w:snapToGrid w:val="0"/>
        </w:rPr>
      </w:pPr>
      <w:r w:rsidRPr="00CC279A">
        <w:rPr>
          <w:rFonts w:ascii="Arial Narrow" w:hAnsi="Arial Narrow" w:cs="Book Antiqua"/>
          <w:snapToGrid w:val="0"/>
        </w:rPr>
        <w:t>El mecanismo de valoración para obtener resultados del PEI para el año 2019 y 2020 consiste en medir el nivel de progreso y cumplimiento del PEI, con base en el grado de avance anual y acumulado de las metas estratégicas, el cual se obtiene mediante una evaluación y monitoreo continuo de las diferentes acciones ejecutadas para asegurar su cumplimiento, según sea el periodo para analizar.  Por medio del Sistema PAO, se registra la evidencia de que la meta fue debidamente completada.</w:t>
      </w:r>
    </w:p>
    <w:p w14:paraId="182AFFBE" w14:textId="4C0D2AF1" w:rsidR="006E5CA9" w:rsidRPr="00AE3F2A" w:rsidRDefault="00E04260" w:rsidP="00CC279A">
      <w:pPr>
        <w:pStyle w:val="Prrafodelista"/>
        <w:numPr>
          <w:ilvl w:val="1"/>
          <w:numId w:val="76"/>
        </w:numPr>
        <w:spacing w:line="360" w:lineRule="auto"/>
        <w:jc w:val="both"/>
        <w:rPr>
          <w:rFonts w:ascii="Arial Narrow" w:hAnsi="Arial Narrow" w:cs="Book Antiqua"/>
          <w:snapToGrid w:val="0"/>
        </w:rPr>
      </w:pPr>
      <w:r>
        <w:rPr>
          <w:rFonts w:ascii="Arial Narrow" w:hAnsi="Arial Narrow" w:cs="Book Antiqua"/>
          <w:snapToGrid w:val="0"/>
        </w:rPr>
        <w:lastRenderedPageBreak/>
        <w:t xml:space="preserve"> </w:t>
      </w:r>
      <w:r w:rsidR="004E3F80" w:rsidRPr="00AE3F2A">
        <w:rPr>
          <w:rFonts w:ascii="Arial Narrow" w:hAnsi="Arial Narrow" w:cs="Book Antiqua"/>
          <w:snapToGrid w:val="0"/>
        </w:rPr>
        <w:t xml:space="preserve">Sobre los resultados generales del PEI para el </w:t>
      </w:r>
      <w:r w:rsidR="00F4582E" w:rsidRPr="00AE3F2A">
        <w:rPr>
          <w:rFonts w:ascii="Arial Narrow" w:hAnsi="Arial Narrow" w:cs="Book Antiqua"/>
          <w:snapToGrid w:val="0"/>
        </w:rPr>
        <w:t xml:space="preserve">2019 y 2020 </w:t>
      </w:r>
      <w:r w:rsidR="004E3F80" w:rsidRPr="00AE3F2A">
        <w:rPr>
          <w:rFonts w:ascii="Arial Narrow" w:hAnsi="Arial Narrow" w:cs="Book Antiqua"/>
          <w:snapToGrid w:val="0"/>
        </w:rPr>
        <w:t>se establece un nivel de cumplimiento de manera anual de las metas estratégicas del PEI, al cierre del 2019 de un 96.25%</w:t>
      </w:r>
      <w:r w:rsidR="00F4582E" w:rsidRPr="00AE3F2A">
        <w:rPr>
          <w:rFonts w:ascii="Arial Narrow" w:hAnsi="Arial Narrow" w:cs="Book Antiqua"/>
          <w:snapToGrid w:val="0"/>
        </w:rPr>
        <w:t xml:space="preserve"> y al cierre del 2020 de un 96.77%</w:t>
      </w:r>
      <w:r w:rsidR="004E3F80" w:rsidRPr="00AE3F2A">
        <w:rPr>
          <w:rFonts w:ascii="Arial Narrow" w:hAnsi="Arial Narrow" w:cs="Book Antiqua"/>
          <w:snapToGrid w:val="0"/>
        </w:rPr>
        <w:t xml:space="preserve"> Lo anterior con base en el análisis de 187 </w:t>
      </w:r>
      <w:r w:rsidR="00F4582E" w:rsidRPr="00AE3F2A">
        <w:rPr>
          <w:rFonts w:ascii="Arial Narrow" w:hAnsi="Arial Narrow" w:cs="Book Antiqua"/>
          <w:snapToGrid w:val="0"/>
        </w:rPr>
        <w:t xml:space="preserve">y 219 </w:t>
      </w:r>
      <w:r w:rsidR="004E3F80" w:rsidRPr="00AE3F2A">
        <w:rPr>
          <w:rFonts w:ascii="Arial Narrow" w:hAnsi="Arial Narrow" w:cs="Book Antiqua"/>
          <w:snapToGrid w:val="0"/>
        </w:rPr>
        <w:t>metas estratégicas atinentes a los cinco temas estratégicos para el 2019</w:t>
      </w:r>
      <w:r w:rsidR="00F4582E" w:rsidRPr="00AE3F2A">
        <w:rPr>
          <w:rFonts w:ascii="Arial Narrow" w:hAnsi="Arial Narrow" w:cs="Book Antiqua"/>
          <w:snapToGrid w:val="0"/>
        </w:rPr>
        <w:t xml:space="preserve"> y 2020 </w:t>
      </w:r>
      <w:r w:rsidR="006E5CA9" w:rsidRPr="00704B08">
        <w:rPr>
          <w:rFonts w:ascii="Arial Narrow" w:hAnsi="Arial Narrow" w:cs="Book Antiqua"/>
          <w:snapToGrid w:val="0"/>
        </w:rPr>
        <w:t>respectivamente</w:t>
      </w:r>
      <w:r w:rsidR="004E3F80" w:rsidRPr="00AE3F2A">
        <w:rPr>
          <w:rFonts w:ascii="Arial Narrow" w:hAnsi="Arial Narrow" w:cs="Book Antiqua"/>
          <w:snapToGrid w:val="0"/>
        </w:rPr>
        <w:t>.</w:t>
      </w:r>
      <w:r w:rsidR="009F1316">
        <w:rPr>
          <w:rFonts w:ascii="Arial Narrow" w:hAnsi="Arial Narrow" w:cs="Book Antiqua"/>
          <w:snapToGrid w:val="0"/>
        </w:rPr>
        <w:t xml:space="preserve"> Para el año 2020 se tienen resultados positivos a pesar de que fue un año atípico </w:t>
      </w:r>
      <w:r w:rsidR="009B7B0A">
        <w:rPr>
          <w:rFonts w:ascii="Arial Narrow" w:hAnsi="Arial Narrow" w:cs="Book Antiqua"/>
          <w:snapToGrid w:val="0"/>
        </w:rPr>
        <w:t>debido en gran parte a</w:t>
      </w:r>
      <w:r>
        <w:rPr>
          <w:rFonts w:ascii="Arial Narrow" w:hAnsi="Arial Narrow" w:cs="Book Antiqua"/>
          <w:snapToGrid w:val="0"/>
        </w:rPr>
        <w:t xml:space="preserve"> </w:t>
      </w:r>
      <w:r w:rsidR="009F1316" w:rsidRPr="00C9711A">
        <w:rPr>
          <w:rFonts w:ascii="Arial Narrow" w:hAnsi="Arial Narrow" w:cs="Book Antiqua"/>
          <w:snapToGrid w:val="0"/>
        </w:rPr>
        <w:t>la pandemia por COVID-19</w:t>
      </w:r>
      <w:r w:rsidR="008A7E94">
        <w:rPr>
          <w:rFonts w:ascii="Arial Narrow" w:hAnsi="Arial Narrow" w:cs="Book Antiqua"/>
          <w:snapToGrid w:val="0"/>
        </w:rPr>
        <w:t>, esto comparado con años anteriores previo a la pandemia</w:t>
      </w:r>
      <w:r w:rsidR="009F1316" w:rsidRPr="00C9711A">
        <w:rPr>
          <w:rFonts w:ascii="Arial Narrow" w:hAnsi="Arial Narrow" w:cs="Book Antiqua"/>
          <w:snapToGrid w:val="0"/>
        </w:rPr>
        <w:t>.</w:t>
      </w:r>
    </w:p>
    <w:p w14:paraId="16DBF0FB" w14:textId="30353199" w:rsidR="004E3F80" w:rsidRPr="00704B08" w:rsidRDefault="00E04260" w:rsidP="00CC279A">
      <w:pPr>
        <w:pStyle w:val="Prrafodelista"/>
        <w:numPr>
          <w:ilvl w:val="1"/>
          <w:numId w:val="76"/>
        </w:numPr>
        <w:spacing w:line="360" w:lineRule="auto"/>
        <w:jc w:val="both"/>
        <w:rPr>
          <w:rFonts w:ascii="Arial Narrow" w:hAnsi="Arial Narrow" w:cs="Book Antiqua"/>
          <w:snapToGrid w:val="0"/>
        </w:rPr>
      </w:pPr>
      <w:r>
        <w:rPr>
          <w:rFonts w:ascii="Arial Narrow" w:hAnsi="Arial Narrow" w:cs="Book Antiqua"/>
          <w:snapToGrid w:val="0"/>
        </w:rPr>
        <w:t xml:space="preserve"> </w:t>
      </w:r>
      <w:r w:rsidR="004E3F80" w:rsidRPr="00704B08">
        <w:rPr>
          <w:rFonts w:ascii="Arial Narrow" w:hAnsi="Arial Narrow" w:cs="Book Antiqua"/>
          <w:snapToGrid w:val="0"/>
        </w:rPr>
        <w:t xml:space="preserve">En términos generales, </w:t>
      </w:r>
      <w:r w:rsidR="00AE3F2A">
        <w:rPr>
          <w:rFonts w:ascii="Arial Narrow" w:hAnsi="Arial Narrow" w:cs="Book Antiqua"/>
          <w:snapToGrid w:val="0"/>
        </w:rPr>
        <w:t>l</w:t>
      </w:r>
      <w:r w:rsidR="00D72581" w:rsidRPr="00704B08">
        <w:rPr>
          <w:rFonts w:ascii="Arial Narrow" w:hAnsi="Arial Narrow" w:cs="Book Antiqua"/>
          <w:snapToGrid w:val="0"/>
        </w:rPr>
        <w:t xml:space="preserve">os temas estratégicos alcanzan valores de </w:t>
      </w:r>
      <w:r w:rsidR="00AE3F2A">
        <w:rPr>
          <w:rFonts w:ascii="Arial Narrow" w:hAnsi="Arial Narrow" w:cs="Book Antiqua"/>
          <w:snapToGrid w:val="0"/>
        </w:rPr>
        <w:t>cumplimiento para</w:t>
      </w:r>
      <w:r w:rsidR="00D72581" w:rsidRPr="00704B08">
        <w:rPr>
          <w:rFonts w:ascii="Arial Narrow" w:hAnsi="Arial Narrow" w:cs="Book Antiqua"/>
          <w:snapToGrid w:val="0"/>
        </w:rPr>
        <w:t xml:space="preserve"> </w:t>
      </w:r>
      <w:r w:rsidR="00AE3F2A">
        <w:rPr>
          <w:rFonts w:ascii="Arial Narrow" w:hAnsi="Arial Narrow" w:cs="Book Antiqua"/>
          <w:snapToGrid w:val="0"/>
        </w:rPr>
        <w:t>R</w:t>
      </w:r>
      <w:r w:rsidR="00AE3F2A" w:rsidRPr="00066E10">
        <w:rPr>
          <w:rFonts w:ascii="Arial Narrow" w:hAnsi="Arial Narrow" w:cs="Book Antiqua"/>
          <w:snapToGrid w:val="0"/>
        </w:rPr>
        <w:t xml:space="preserve">esolución </w:t>
      </w:r>
      <w:r w:rsidR="00AE3F2A">
        <w:rPr>
          <w:rFonts w:ascii="Arial Narrow" w:hAnsi="Arial Narrow" w:cs="Book Antiqua"/>
          <w:snapToGrid w:val="0"/>
        </w:rPr>
        <w:t>O</w:t>
      </w:r>
      <w:r w:rsidR="00AE3F2A" w:rsidRPr="00066E10">
        <w:rPr>
          <w:rFonts w:ascii="Arial Narrow" w:hAnsi="Arial Narrow" w:cs="Book Antiqua"/>
          <w:snapToGrid w:val="0"/>
        </w:rPr>
        <w:t xml:space="preserve">portuna de </w:t>
      </w:r>
      <w:r w:rsidR="00AE3F2A">
        <w:rPr>
          <w:rFonts w:ascii="Arial Narrow" w:hAnsi="Arial Narrow" w:cs="Book Antiqua"/>
          <w:snapToGrid w:val="0"/>
        </w:rPr>
        <w:t>C</w:t>
      </w:r>
      <w:r w:rsidR="00AE3F2A" w:rsidRPr="00066E10">
        <w:rPr>
          <w:rFonts w:ascii="Arial Narrow" w:hAnsi="Arial Narrow" w:cs="Book Antiqua"/>
          <w:snapToGrid w:val="0"/>
        </w:rPr>
        <w:t>onflictos</w:t>
      </w:r>
      <w:r w:rsidR="00AE3F2A">
        <w:rPr>
          <w:rFonts w:ascii="Arial Narrow" w:hAnsi="Arial Narrow" w:cs="Book Antiqua"/>
          <w:snapToGrid w:val="0"/>
        </w:rPr>
        <w:t xml:space="preserve"> </w:t>
      </w:r>
      <w:r w:rsidR="00D72581" w:rsidRPr="00704B08">
        <w:rPr>
          <w:rFonts w:ascii="Arial Narrow" w:hAnsi="Arial Narrow" w:cs="Book Antiqua"/>
          <w:snapToGrid w:val="0"/>
        </w:rPr>
        <w:t xml:space="preserve">de 94.08% y 93.28% </w:t>
      </w:r>
      <w:r w:rsidR="00AE3F2A">
        <w:rPr>
          <w:rFonts w:ascii="Arial Narrow" w:hAnsi="Arial Narrow" w:cs="Book Antiqua"/>
          <w:snapToGrid w:val="0"/>
        </w:rPr>
        <w:t xml:space="preserve"> para los años 2019 y 2020 respectivamente</w:t>
      </w:r>
      <w:r w:rsidR="00D72581" w:rsidRPr="00704B08">
        <w:rPr>
          <w:rFonts w:ascii="Arial Narrow" w:hAnsi="Arial Narrow" w:cs="Book Antiqua"/>
          <w:snapToGrid w:val="0"/>
        </w:rPr>
        <w:t xml:space="preserve"> , </w:t>
      </w:r>
      <w:r w:rsidR="00AE3F2A" w:rsidRPr="00684016">
        <w:rPr>
          <w:rFonts w:ascii="Arial Narrow" w:hAnsi="Arial Narrow" w:cs="Book Antiqua"/>
          <w:snapToGrid w:val="0"/>
        </w:rPr>
        <w:t xml:space="preserve">Optimización e </w:t>
      </w:r>
      <w:r w:rsidR="00AE3F2A">
        <w:rPr>
          <w:rFonts w:ascii="Arial Narrow" w:hAnsi="Arial Narrow" w:cs="Book Antiqua"/>
          <w:snapToGrid w:val="0"/>
        </w:rPr>
        <w:t>I</w:t>
      </w:r>
      <w:r w:rsidR="00AE3F2A" w:rsidRPr="00684016">
        <w:rPr>
          <w:rFonts w:ascii="Arial Narrow" w:hAnsi="Arial Narrow" w:cs="Book Antiqua"/>
          <w:snapToGrid w:val="0"/>
        </w:rPr>
        <w:t>nnovación del servicio jurisdiccional</w:t>
      </w:r>
      <w:r w:rsidR="00AE3F2A" w:rsidRPr="00AE3F2A">
        <w:rPr>
          <w:rFonts w:ascii="Arial Narrow" w:hAnsi="Arial Narrow" w:cs="Book Antiqua"/>
          <w:snapToGrid w:val="0"/>
        </w:rPr>
        <w:t xml:space="preserve"> </w:t>
      </w:r>
      <w:r w:rsidR="00AE3F2A">
        <w:rPr>
          <w:rFonts w:ascii="Arial Narrow" w:hAnsi="Arial Narrow" w:cs="Book Antiqua"/>
          <w:snapToGrid w:val="0"/>
        </w:rPr>
        <w:t xml:space="preserve">registró </w:t>
      </w:r>
      <w:r w:rsidR="00D72581" w:rsidRPr="00704B08">
        <w:rPr>
          <w:rFonts w:ascii="Arial Narrow" w:hAnsi="Arial Narrow" w:cs="Book Antiqua"/>
          <w:snapToGrid w:val="0"/>
        </w:rPr>
        <w:t xml:space="preserve">98.05% y 99.32 %, </w:t>
      </w:r>
      <w:r w:rsidR="00AE3F2A" w:rsidRPr="00FA64BE">
        <w:rPr>
          <w:rFonts w:ascii="Arial Narrow" w:hAnsi="Arial Narrow" w:cs="Book Antiqua"/>
          <w:snapToGrid w:val="0"/>
        </w:rPr>
        <w:t xml:space="preserve">Gestión del Personal, </w:t>
      </w:r>
      <w:r w:rsidR="00D72581" w:rsidRPr="00704B08">
        <w:rPr>
          <w:rFonts w:ascii="Arial Narrow" w:hAnsi="Arial Narrow" w:cs="Book Antiqua"/>
          <w:snapToGrid w:val="0"/>
        </w:rPr>
        <w:t>94.88% y 96.24</w:t>
      </w:r>
      <w:r w:rsidR="00AE3F2A" w:rsidRPr="00AE3F2A">
        <w:rPr>
          <w:rFonts w:ascii="Arial Narrow" w:hAnsi="Arial Narrow" w:cs="Book Antiqua"/>
          <w:snapToGrid w:val="0"/>
        </w:rPr>
        <w:t xml:space="preserve"> </w:t>
      </w:r>
      <w:r w:rsidR="00D72581" w:rsidRPr="00704B08">
        <w:rPr>
          <w:rFonts w:ascii="Arial Narrow" w:hAnsi="Arial Narrow" w:cs="Book Antiqua"/>
          <w:snapToGrid w:val="0"/>
        </w:rPr>
        <w:t>%</w:t>
      </w:r>
      <w:r w:rsidR="00AE3F2A">
        <w:rPr>
          <w:rFonts w:ascii="Arial Narrow" w:hAnsi="Arial Narrow" w:cs="Book Antiqua"/>
          <w:snapToGrid w:val="0"/>
        </w:rPr>
        <w:t xml:space="preserve">, por su parte, </w:t>
      </w:r>
      <w:r w:rsidR="00AE3F2A" w:rsidRPr="00AA2759">
        <w:rPr>
          <w:rFonts w:ascii="Arial Narrow" w:hAnsi="Arial Narrow" w:cs="Book Antiqua"/>
          <w:snapToGrid w:val="0"/>
        </w:rPr>
        <w:t>Confianza y probidad en la justicia</w:t>
      </w:r>
      <w:r w:rsidR="00AE3F2A" w:rsidRPr="00581179">
        <w:rPr>
          <w:rFonts w:ascii="Arial Narrow" w:hAnsi="Arial Narrow" w:cs="Book Antiqua"/>
          <w:snapToGrid w:val="0"/>
        </w:rPr>
        <w:t xml:space="preserve"> </w:t>
      </w:r>
      <w:r w:rsidR="00AE3F2A">
        <w:rPr>
          <w:rFonts w:ascii="Arial Narrow" w:hAnsi="Arial Narrow" w:cs="Book Antiqua"/>
          <w:snapToGrid w:val="0"/>
        </w:rPr>
        <w:t>detalla un cumplimiento de</w:t>
      </w:r>
      <w:r w:rsidR="00D72581" w:rsidRPr="00704B08">
        <w:rPr>
          <w:rFonts w:ascii="Arial Narrow" w:hAnsi="Arial Narrow" w:cs="Book Antiqua"/>
          <w:snapToGrid w:val="0"/>
        </w:rPr>
        <w:t xml:space="preserve"> 96.67% y 97.43% </w:t>
      </w:r>
      <w:r w:rsidR="00AE3F2A">
        <w:rPr>
          <w:rFonts w:ascii="Arial Narrow" w:hAnsi="Arial Narrow" w:cs="Book Antiqua"/>
          <w:snapToGrid w:val="0"/>
        </w:rPr>
        <w:t>y</w:t>
      </w:r>
      <w:r w:rsidR="00D72581" w:rsidRPr="00704B08">
        <w:rPr>
          <w:rFonts w:ascii="Arial Narrow" w:hAnsi="Arial Narrow" w:cs="Book Antiqua"/>
          <w:snapToGrid w:val="0"/>
        </w:rPr>
        <w:t xml:space="preserve"> </w:t>
      </w:r>
      <w:r w:rsidR="00AE3F2A" w:rsidRPr="00F821B5">
        <w:rPr>
          <w:rFonts w:ascii="Arial Narrow" w:hAnsi="Arial Narrow" w:cs="Book Antiqua"/>
          <w:snapToGrid w:val="0"/>
        </w:rPr>
        <w:t xml:space="preserve">Planificación Institucional </w:t>
      </w:r>
      <w:r w:rsidR="00AE3F2A">
        <w:rPr>
          <w:rFonts w:ascii="Arial Narrow" w:hAnsi="Arial Narrow" w:cs="Book Antiqua"/>
          <w:snapToGrid w:val="0"/>
        </w:rPr>
        <w:t>muestra que para el 2019 el dato registrado era de</w:t>
      </w:r>
      <w:r w:rsidR="00D72581" w:rsidRPr="00704B08">
        <w:rPr>
          <w:rFonts w:ascii="Arial Narrow" w:hAnsi="Arial Narrow" w:cs="Book Antiqua"/>
          <w:snapToGrid w:val="0"/>
        </w:rPr>
        <w:t xml:space="preserve"> 97.5% y 99.56% </w:t>
      </w:r>
      <w:r w:rsidR="00AE3F2A">
        <w:rPr>
          <w:rFonts w:ascii="Arial Narrow" w:hAnsi="Arial Narrow" w:cs="Book Antiqua"/>
          <w:snapToGrid w:val="0"/>
        </w:rPr>
        <w:t>para el</w:t>
      </w:r>
      <w:r w:rsidR="00D72581" w:rsidRPr="00704B08">
        <w:rPr>
          <w:rFonts w:ascii="Arial Narrow" w:hAnsi="Arial Narrow" w:cs="Book Antiqua"/>
          <w:snapToGrid w:val="0"/>
        </w:rPr>
        <w:t xml:space="preserve"> 2020</w:t>
      </w:r>
      <w:r w:rsidR="00D72581" w:rsidRPr="00AE3F2A">
        <w:rPr>
          <w:rFonts w:ascii="Arial Narrow" w:hAnsi="Arial Narrow" w:cs="Book Antiqua"/>
          <w:snapToGrid w:val="0"/>
        </w:rPr>
        <w:t>.</w:t>
      </w:r>
    </w:p>
    <w:p w14:paraId="5C986488" w14:textId="03BC9074" w:rsidR="006E5CA9" w:rsidRPr="009D5823" w:rsidRDefault="00E04260" w:rsidP="00CC279A">
      <w:pPr>
        <w:pStyle w:val="Prrafodelista"/>
        <w:numPr>
          <w:ilvl w:val="1"/>
          <w:numId w:val="76"/>
        </w:numPr>
        <w:spacing w:line="360" w:lineRule="auto"/>
        <w:jc w:val="both"/>
        <w:rPr>
          <w:rFonts w:ascii="Arial Narrow" w:hAnsi="Arial Narrow" w:cs="Book Antiqua"/>
          <w:snapToGrid w:val="0"/>
        </w:rPr>
      </w:pPr>
      <w:r>
        <w:rPr>
          <w:rFonts w:ascii="Arial Narrow" w:hAnsi="Arial Narrow" w:cs="Book Antiqua"/>
          <w:snapToGrid w:val="0"/>
        </w:rPr>
        <w:t xml:space="preserve"> </w:t>
      </w:r>
      <w:r w:rsidR="004E3F80" w:rsidRPr="00AE3F2A">
        <w:rPr>
          <w:rFonts w:ascii="Arial Narrow" w:hAnsi="Arial Narrow" w:cs="Book Antiqua"/>
          <w:snapToGrid w:val="0"/>
        </w:rPr>
        <w:t xml:space="preserve">Sobre el tema de Resolución Oportuna de </w:t>
      </w:r>
      <w:r w:rsidR="00AE3F2A" w:rsidRPr="00704B08">
        <w:rPr>
          <w:rFonts w:ascii="Arial Narrow" w:hAnsi="Arial Narrow" w:cs="Book Antiqua"/>
          <w:snapToGrid w:val="0"/>
        </w:rPr>
        <w:t>C</w:t>
      </w:r>
      <w:r w:rsidR="004E3F80" w:rsidRPr="00AE3F2A">
        <w:rPr>
          <w:rFonts w:ascii="Arial Narrow" w:hAnsi="Arial Narrow" w:cs="Book Antiqua"/>
          <w:snapToGrid w:val="0"/>
        </w:rPr>
        <w:t xml:space="preserve">onflictos como aspecto destacable, se menciona el abordaje integral a la criminalidad, que logró un cumplimiento de 100%.  De seguido se analiza la Celeridad Judicial, compuesta por </w:t>
      </w:r>
      <w:r w:rsidR="00AE3F2A" w:rsidRPr="00704B08">
        <w:rPr>
          <w:rFonts w:ascii="Arial Narrow" w:hAnsi="Arial Narrow" w:cs="Book Antiqua"/>
          <w:snapToGrid w:val="0"/>
        </w:rPr>
        <w:t>46</w:t>
      </w:r>
      <w:r w:rsidR="00AE3F2A" w:rsidRPr="00AE3F2A">
        <w:rPr>
          <w:rFonts w:ascii="Arial Narrow" w:hAnsi="Arial Narrow" w:cs="Book Antiqua"/>
          <w:snapToGrid w:val="0"/>
        </w:rPr>
        <w:t xml:space="preserve"> </w:t>
      </w:r>
      <w:r w:rsidR="004E3F80" w:rsidRPr="00AE3F2A">
        <w:rPr>
          <w:rFonts w:ascii="Arial Narrow" w:hAnsi="Arial Narrow" w:cs="Book Antiqua"/>
          <w:snapToGrid w:val="0"/>
        </w:rPr>
        <w:t>metas estratégicas, siendo una de las acciones estratégicas con más metas estratégicas asociadas en su cumplimiento. Esta acción de Celeridad Judicial engloba</w:t>
      </w:r>
      <w:r w:rsidR="004E3F80" w:rsidRPr="005E067A">
        <w:rPr>
          <w:rFonts w:ascii="Arial Narrow" w:hAnsi="Arial Narrow" w:cs="Book Antiqua"/>
          <w:snapToGrid w:val="0"/>
        </w:rPr>
        <w:t xml:space="preserve"> las metas vinculadas con la prontitud en resolución de casos judiciales de todas las materias y tipos de despachos, por lo que un gran bloque de estos asuntos corresponde al área jurisdiccional. De las </w:t>
      </w:r>
      <w:r w:rsidR="00AE3F2A">
        <w:rPr>
          <w:rFonts w:ascii="Arial Narrow" w:hAnsi="Arial Narrow" w:cs="Book Antiqua"/>
          <w:snapToGrid w:val="0"/>
        </w:rPr>
        <w:t>46</w:t>
      </w:r>
      <w:r w:rsidR="00AE3F2A" w:rsidRPr="005E067A">
        <w:rPr>
          <w:rFonts w:ascii="Arial Narrow" w:hAnsi="Arial Narrow" w:cs="Book Antiqua"/>
          <w:snapToGrid w:val="0"/>
        </w:rPr>
        <w:t xml:space="preserve"> </w:t>
      </w:r>
      <w:r w:rsidR="004E3F80" w:rsidRPr="005E067A">
        <w:rPr>
          <w:rFonts w:ascii="Arial Narrow" w:hAnsi="Arial Narrow" w:cs="Book Antiqua"/>
          <w:snapToGrid w:val="0"/>
        </w:rPr>
        <w:t xml:space="preserve">metas, </w:t>
      </w:r>
      <w:r w:rsidR="00AE3F2A">
        <w:rPr>
          <w:rFonts w:ascii="Arial Narrow" w:hAnsi="Arial Narrow" w:cs="Book Antiqua"/>
          <w:snapToGrid w:val="0"/>
        </w:rPr>
        <w:t>33</w:t>
      </w:r>
      <w:r w:rsidR="00AE3F2A" w:rsidRPr="005E067A">
        <w:rPr>
          <w:rFonts w:ascii="Arial Narrow" w:hAnsi="Arial Narrow" w:cs="Book Antiqua"/>
          <w:snapToGrid w:val="0"/>
        </w:rPr>
        <w:t xml:space="preserve"> </w:t>
      </w:r>
      <w:r w:rsidR="004E3F80" w:rsidRPr="005E067A">
        <w:rPr>
          <w:rFonts w:ascii="Arial Narrow" w:hAnsi="Arial Narrow" w:cs="Book Antiqua"/>
          <w:snapToGrid w:val="0"/>
        </w:rPr>
        <w:t>reportan un</w:t>
      </w:r>
      <w:r w:rsidR="00AE3F2A">
        <w:rPr>
          <w:rFonts w:ascii="Arial Narrow" w:hAnsi="Arial Narrow" w:cs="Book Antiqua"/>
          <w:snapToGrid w:val="0"/>
        </w:rPr>
        <w:t xml:space="preserve"> cumplimiento alto</w:t>
      </w:r>
      <w:r w:rsidR="004E3F80" w:rsidRPr="005E067A">
        <w:rPr>
          <w:rFonts w:ascii="Arial Narrow" w:hAnsi="Arial Narrow" w:cs="Book Antiqua"/>
          <w:snapToGrid w:val="0"/>
        </w:rPr>
        <w:t xml:space="preserve">, mientras que las restantes </w:t>
      </w:r>
      <w:r w:rsidR="00AE3F2A">
        <w:rPr>
          <w:rFonts w:ascii="Arial Narrow" w:hAnsi="Arial Narrow" w:cs="Book Antiqua"/>
          <w:snapToGrid w:val="0"/>
        </w:rPr>
        <w:t>13</w:t>
      </w:r>
      <w:r w:rsidR="004E3F80" w:rsidRPr="005E067A">
        <w:rPr>
          <w:rFonts w:ascii="Arial Narrow" w:hAnsi="Arial Narrow" w:cs="Book Antiqua"/>
          <w:snapToGrid w:val="0"/>
        </w:rPr>
        <w:t xml:space="preserve"> fueron </w:t>
      </w:r>
      <w:r w:rsidR="00AE3F2A">
        <w:rPr>
          <w:rFonts w:ascii="Arial Narrow" w:hAnsi="Arial Narrow" w:cs="Book Antiqua"/>
          <w:snapToGrid w:val="0"/>
        </w:rPr>
        <w:t>metas con un cumplimiento medio</w:t>
      </w:r>
      <w:r w:rsidR="004E3F80" w:rsidRPr="005E067A">
        <w:rPr>
          <w:rFonts w:ascii="Arial Narrow" w:hAnsi="Arial Narrow" w:cs="Book Antiqua"/>
          <w:snapToGrid w:val="0"/>
        </w:rPr>
        <w:t>, segú</w:t>
      </w:r>
      <w:r w:rsidR="00AE3F2A">
        <w:rPr>
          <w:rFonts w:ascii="Arial Narrow" w:hAnsi="Arial Narrow" w:cs="Book Antiqua"/>
          <w:snapToGrid w:val="0"/>
        </w:rPr>
        <w:t>n la fuente de SIGMA (estadísticas judiciales)</w:t>
      </w:r>
      <w:r w:rsidR="004E3F80" w:rsidRPr="005E067A">
        <w:rPr>
          <w:rFonts w:ascii="Arial Narrow" w:hAnsi="Arial Narrow" w:cs="Book Antiqua"/>
          <w:snapToGrid w:val="0"/>
        </w:rPr>
        <w:t xml:space="preserve">. La acción estratégica de Medidas Alternas detalla </w:t>
      </w:r>
      <w:r w:rsidR="00901E05">
        <w:rPr>
          <w:rFonts w:ascii="Arial Narrow" w:hAnsi="Arial Narrow" w:cs="Book Antiqua"/>
          <w:snapToGrid w:val="0"/>
        </w:rPr>
        <w:t>18</w:t>
      </w:r>
      <w:r w:rsidR="00901E05" w:rsidRPr="005E067A">
        <w:rPr>
          <w:rFonts w:ascii="Arial Narrow" w:hAnsi="Arial Narrow" w:cs="Book Antiqua"/>
          <w:snapToGrid w:val="0"/>
        </w:rPr>
        <w:t xml:space="preserve"> </w:t>
      </w:r>
      <w:r w:rsidR="004E3F80" w:rsidRPr="005E067A">
        <w:rPr>
          <w:rFonts w:ascii="Arial Narrow" w:hAnsi="Arial Narrow" w:cs="Book Antiqua"/>
          <w:snapToGrid w:val="0"/>
        </w:rPr>
        <w:t>metas estratégicas vinculadas</w:t>
      </w:r>
      <w:r w:rsidR="00901E05">
        <w:rPr>
          <w:rFonts w:ascii="Arial Narrow" w:hAnsi="Arial Narrow" w:cs="Book Antiqua"/>
          <w:snapToGrid w:val="0"/>
        </w:rPr>
        <w:t xml:space="preserve">, </w:t>
      </w:r>
      <w:r w:rsidR="004E3F80" w:rsidRPr="005E067A">
        <w:rPr>
          <w:rFonts w:ascii="Arial Narrow" w:hAnsi="Arial Narrow" w:cs="Book Antiqua"/>
          <w:snapToGrid w:val="0"/>
        </w:rPr>
        <w:t xml:space="preserve">de las cuales </w:t>
      </w:r>
      <w:r w:rsidR="00901E05">
        <w:rPr>
          <w:rFonts w:ascii="Arial Narrow" w:hAnsi="Arial Narrow" w:cs="Book Antiqua"/>
          <w:snapToGrid w:val="0"/>
        </w:rPr>
        <w:t>1</w:t>
      </w:r>
      <w:r w:rsidR="004E3F80" w:rsidRPr="005E067A">
        <w:rPr>
          <w:rFonts w:ascii="Arial Narrow" w:hAnsi="Arial Narrow" w:cs="Book Antiqua"/>
          <w:snapToGrid w:val="0"/>
        </w:rPr>
        <w:t xml:space="preserve">5 fueron </w:t>
      </w:r>
      <w:r w:rsidR="00901E05">
        <w:rPr>
          <w:rFonts w:ascii="Arial Narrow" w:hAnsi="Arial Narrow" w:cs="Book Antiqua"/>
          <w:snapToGrid w:val="0"/>
        </w:rPr>
        <w:t>reportadas con un cumplimiento alto</w:t>
      </w:r>
      <w:r w:rsidR="004E3F80" w:rsidRPr="005E067A">
        <w:rPr>
          <w:rFonts w:ascii="Arial Narrow" w:hAnsi="Arial Narrow" w:cs="Book Antiqua"/>
          <w:snapToGrid w:val="0"/>
        </w:rPr>
        <w:t>, y las restantes</w:t>
      </w:r>
      <w:r w:rsidR="00901E05">
        <w:rPr>
          <w:rFonts w:ascii="Arial Narrow" w:hAnsi="Arial Narrow" w:cs="Book Antiqua"/>
          <w:snapToGrid w:val="0"/>
        </w:rPr>
        <w:t xml:space="preserve"> 3</w:t>
      </w:r>
      <w:r w:rsidR="004E3F80" w:rsidRPr="005E067A">
        <w:rPr>
          <w:rFonts w:ascii="Arial Narrow" w:hAnsi="Arial Narrow" w:cs="Book Antiqua"/>
          <w:snapToGrid w:val="0"/>
        </w:rPr>
        <w:t xml:space="preserve"> tienen un cumplimiento </w:t>
      </w:r>
      <w:r w:rsidR="00901E05">
        <w:rPr>
          <w:rFonts w:ascii="Arial Narrow" w:hAnsi="Arial Narrow" w:cs="Book Antiqua"/>
          <w:snapToGrid w:val="0"/>
        </w:rPr>
        <w:t>medio</w:t>
      </w:r>
      <w:r w:rsidR="004E3F80" w:rsidRPr="005E067A">
        <w:rPr>
          <w:rFonts w:ascii="Arial Narrow" w:hAnsi="Arial Narrow" w:cs="Book Antiqua"/>
          <w:snapToGrid w:val="0"/>
        </w:rPr>
        <w:t xml:space="preserve">. Como parte de los resultados, se tiene el diseño de un programa de cursos sobre aplicación de medidas alternas de solución de conflictos y por parte del Centro de Conciliación, se lleva a cabo un diseño de plan de gestión para la elaboración de una política institucional integral sobre el tratamiento de los diferentes métodos alternos de resolución de conflictos, estos esfuerzos se realizan al tener claro la importancia de las medidas alternas en la resolución de conflictos. Finalmente, la acción de Justicia </w:t>
      </w:r>
      <w:r w:rsidR="004E3F80" w:rsidRPr="005E067A">
        <w:rPr>
          <w:rFonts w:ascii="Arial Narrow" w:hAnsi="Arial Narrow" w:cs="Book Antiqua"/>
          <w:snapToGrid w:val="0"/>
        </w:rPr>
        <w:lastRenderedPageBreak/>
        <w:t xml:space="preserve">Restaurativa tiene 2 metas estratégicas que responden a esfuerzos como ejecutar el proyecto Regional de Fortalecimiento de la Justicia </w:t>
      </w:r>
      <w:r w:rsidR="004E3F80" w:rsidRPr="009D5823">
        <w:rPr>
          <w:rFonts w:ascii="Arial Narrow" w:hAnsi="Arial Narrow" w:cs="Book Antiqua"/>
          <w:snapToGrid w:val="0"/>
        </w:rPr>
        <w:t>Restaurativa</w:t>
      </w:r>
      <w:r w:rsidR="00901E05">
        <w:rPr>
          <w:rFonts w:ascii="Arial Narrow" w:hAnsi="Arial Narrow" w:cs="Book Antiqua"/>
          <w:snapToGrid w:val="0"/>
        </w:rPr>
        <w:t xml:space="preserve"> y reportaron un cumplimiento alto</w:t>
      </w:r>
      <w:r w:rsidR="004E3F80" w:rsidRPr="009D5823">
        <w:rPr>
          <w:rFonts w:ascii="Arial Narrow" w:hAnsi="Arial Narrow" w:cs="Book Antiqua"/>
          <w:snapToGrid w:val="0"/>
        </w:rPr>
        <w:t xml:space="preserve">. </w:t>
      </w:r>
    </w:p>
    <w:p w14:paraId="51880E14" w14:textId="73FE6BC2" w:rsidR="006E5CA9" w:rsidRPr="00973A0F" w:rsidRDefault="00E04260" w:rsidP="00CC279A">
      <w:pPr>
        <w:pStyle w:val="Prrafodelista"/>
        <w:numPr>
          <w:ilvl w:val="1"/>
          <w:numId w:val="76"/>
        </w:numPr>
        <w:spacing w:line="360" w:lineRule="auto"/>
        <w:jc w:val="both"/>
        <w:rPr>
          <w:rFonts w:ascii="Arial Narrow" w:hAnsi="Arial Narrow" w:cs="Book Antiqua"/>
          <w:snapToGrid w:val="0"/>
        </w:rPr>
      </w:pPr>
      <w:r>
        <w:rPr>
          <w:rFonts w:ascii="Arial Narrow" w:hAnsi="Arial Narrow" w:cs="Book Antiqua"/>
          <w:snapToGrid w:val="0"/>
        </w:rPr>
        <w:t xml:space="preserve"> </w:t>
      </w:r>
      <w:r w:rsidR="006E5CA9" w:rsidRPr="00901E05">
        <w:rPr>
          <w:rFonts w:ascii="Arial Narrow" w:hAnsi="Arial Narrow" w:cs="Book Antiqua"/>
          <w:snapToGrid w:val="0"/>
        </w:rPr>
        <w:t>S</w:t>
      </w:r>
      <w:r w:rsidR="004E3F80" w:rsidRPr="00973A0F">
        <w:rPr>
          <w:rFonts w:ascii="Arial Narrow" w:hAnsi="Arial Narrow" w:cs="Book Antiqua"/>
          <w:snapToGrid w:val="0"/>
        </w:rPr>
        <w:t xml:space="preserve">obre el tema de Confianza y Probidad en la Justicia se tiene la acción de Transparencia y </w:t>
      </w:r>
      <w:r w:rsidR="00901E05" w:rsidRPr="00973A0F">
        <w:rPr>
          <w:rFonts w:ascii="Arial Narrow" w:hAnsi="Arial Narrow" w:cs="Book Antiqua"/>
          <w:snapToGrid w:val="0"/>
        </w:rPr>
        <w:t>R</w:t>
      </w:r>
      <w:r w:rsidR="004E3F80" w:rsidRPr="00973A0F">
        <w:rPr>
          <w:rFonts w:ascii="Arial Narrow" w:hAnsi="Arial Narrow" w:cs="Book Antiqua"/>
          <w:snapToGrid w:val="0"/>
        </w:rPr>
        <w:t xml:space="preserve">endición de cuentas, en esta se enlazan </w:t>
      </w:r>
      <w:r w:rsidR="00D72581" w:rsidRPr="00973A0F">
        <w:rPr>
          <w:rFonts w:ascii="Arial Narrow" w:hAnsi="Arial Narrow" w:cs="Book Antiqua"/>
          <w:snapToGrid w:val="0"/>
        </w:rPr>
        <w:t>9</w:t>
      </w:r>
      <w:r w:rsidR="004E3F80" w:rsidRPr="00973A0F">
        <w:rPr>
          <w:rFonts w:ascii="Arial Narrow" w:hAnsi="Arial Narrow" w:cs="Book Antiqua"/>
          <w:snapToGrid w:val="0"/>
        </w:rPr>
        <w:t xml:space="preserve"> metas estratégicas, las cuales tienen un cumplimiento al 100%. Esto es un aspecto positivo en el cumplimiento del PEI, se muestra el compromiso en rendir cuentas por parte de los diferentes órganos y ser transparentes en la rendición de la información. Se destacan como esfuerzos importantes, como la implementación de un servicio web que integre un centro de inteligencia de información para acceso y uso interinstitucional e institucional. Por parte del Ministerio Público, Defensa Pública y Organismo de Investigación Judicial se han llevado a cabo tareas y análisis para identificar las maneras </w:t>
      </w:r>
      <w:r w:rsidR="0030409C" w:rsidRPr="00973A0F">
        <w:rPr>
          <w:rFonts w:ascii="Arial Narrow" w:hAnsi="Arial Narrow" w:cs="Book Antiqua"/>
          <w:snapToGrid w:val="0"/>
        </w:rPr>
        <w:t>ó</w:t>
      </w:r>
      <w:r w:rsidR="004E3F80" w:rsidRPr="00973A0F">
        <w:rPr>
          <w:rFonts w:ascii="Arial Narrow" w:hAnsi="Arial Narrow" w:cs="Book Antiqua"/>
          <w:snapToGrid w:val="0"/>
        </w:rPr>
        <w:t xml:space="preserve">ptimas de rendir cuentas e informar a la ciudadanía de manera transparente sobre el quehacer judicial. De acuerdo con la otra acción estratégica, Probidad y anticorrupción se tiene un cumplimiento de 100% y la componen </w:t>
      </w:r>
      <w:r w:rsidR="00D72581" w:rsidRPr="00973A0F">
        <w:rPr>
          <w:rFonts w:ascii="Arial Narrow" w:hAnsi="Arial Narrow" w:cs="Book Antiqua"/>
          <w:snapToGrid w:val="0"/>
        </w:rPr>
        <w:t>8</w:t>
      </w:r>
      <w:r w:rsidR="004E3F80" w:rsidRPr="00973A0F">
        <w:rPr>
          <w:rFonts w:ascii="Arial Narrow" w:hAnsi="Arial Narrow" w:cs="Book Antiqua"/>
          <w:snapToGrid w:val="0"/>
        </w:rPr>
        <w:t xml:space="preserve"> metas estratégicas. Se destacan como aspectos relevantes de las acciones ejecutadas por los diferentes responsables, la rendición de un diagnóstico y diseño de un modelo de supervisión administrativa y técnica para el Ministerio Público, un seguimiento sobre la elaboración de la propuesta de la reforma legal sobre el régimen disciplinario para magistrados y magistradas y la presentación al órgano aprobador por parte del Despacho de la Presidencia.  Sobre la colaboración interna y externa, se puede concluir que se tienen </w:t>
      </w:r>
      <w:r w:rsidR="00D72581" w:rsidRPr="00973A0F">
        <w:rPr>
          <w:rFonts w:ascii="Arial Narrow" w:hAnsi="Arial Narrow" w:cs="Book Antiqua"/>
          <w:snapToGrid w:val="0"/>
        </w:rPr>
        <w:t>8</w:t>
      </w:r>
      <w:r w:rsidR="004E3F80" w:rsidRPr="00973A0F">
        <w:rPr>
          <w:rFonts w:ascii="Arial Narrow" w:hAnsi="Arial Narrow" w:cs="Book Antiqua"/>
          <w:snapToGrid w:val="0"/>
        </w:rPr>
        <w:t xml:space="preserve"> metas estratégicas asociadas, </w:t>
      </w:r>
      <w:r w:rsidR="0030409C" w:rsidRPr="00973A0F">
        <w:rPr>
          <w:rFonts w:ascii="Arial Narrow" w:hAnsi="Arial Narrow" w:cs="Book Antiqua"/>
          <w:snapToGrid w:val="0"/>
        </w:rPr>
        <w:t xml:space="preserve">7 completadas y </w:t>
      </w:r>
      <w:r w:rsidR="004E3F80" w:rsidRPr="00973A0F">
        <w:rPr>
          <w:rFonts w:ascii="Arial Narrow" w:hAnsi="Arial Narrow" w:cs="Book Antiqua"/>
          <w:snapToGrid w:val="0"/>
        </w:rPr>
        <w:t xml:space="preserve">una </w:t>
      </w:r>
      <w:r w:rsidR="00D72581" w:rsidRPr="00973A0F">
        <w:rPr>
          <w:rFonts w:ascii="Arial Narrow" w:hAnsi="Arial Narrow" w:cs="Book Antiqua"/>
          <w:snapToGrid w:val="0"/>
        </w:rPr>
        <w:t>fue completada parcialmente</w:t>
      </w:r>
      <w:r w:rsidR="004E3F80" w:rsidRPr="00973A0F">
        <w:rPr>
          <w:rFonts w:ascii="Arial Narrow" w:hAnsi="Arial Narrow" w:cs="Book Antiqua"/>
          <w:snapToGrid w:val="0"/>
        </w:rPr>
        <w:t xml:space="preserve">. Sobre la acción de Comunicación y Proyección Institucional se tienen 7 metas estratégicas asociadas, con un cumplimiento bastante alto de 100%, a excepción de la meta </w:t>
      </w:r>
      <w:r w:rsidR="004E3F80" w:rsidRPr="00CC279A">
        <w:rPr>
          <w:rFonts w:ascii="Arial Narrow" w:hAnsi="Arial Narrow" w:cs="Book Antiqua"/>
          <w:snapToGrid w:val="0"/>
        </w:rPr>
        <w:t>Que al finalizar el 2024, se haya aprobado la política de comunicación integral</w:t>
      </w:r>
      <w:r w:rsidR="004E3F80" w:rsidRPr="00973A0F">
        <w:rPr>
          <w:rFonts w:ascii="Arial Narrow" w:hAnsi="Arial Narrow" w:cs="Book Antiqua"/>
          <w:snapToGrid w:val="0"/>
        </w:rPr>
        <w:t xml:space="preserve"> la cual registra un nivel de cumplimiento de 30%</w:t>
      </w:r>
      <w:r w:rsidR="00D72581" w:rsidRPr="00973A0F">
        <w:rPr>
          <w:rFonts w:ascii="Arial Narrow" w:hAnsi="Arial Narrow" w:cs="Book Antiqua"/>
          <w:snapToGrid w:val="0"/>
        </w:rPr>
        <w:t xml:space="preserve"> (2019) y 13% (2020)</w:t>
      </w:r>
      <w:r w:rsidR="0053265A" w:rsidRPr="00CC279A">
        <w:rPr>
          <w:rFonts w:ascii="Arial Narrow" w:hAnsi="Arial Narrow" w:cs="Book Antiqua"/>
          <w:snapToGrid w:val="0"/>
        </w:rPr>
        <w:t xml:space="preserve">, debido a que el Departamento de Prensa y Comunicación formuló los requerimientos ante el órgano cooperante para el apoyo financiero y en el mes de noviembre 2019, se informó que la Embajada Americana no aprobó la propuesta por lo que el Despacho de la Presidencia solicitó a la Oficina de Cooperación Internacional que hiciera las diligencias para conseguir apoyo para el proyecto en otros organismos de cooperación. La oficina </w:t>
      </w:r>
      <w:r w:rsidR="0053265A" w:rsidRPr="00CC279A">
        <w:rPr>
          <w:rFonts w:ascii="Arial Narrow" w:hAnsi="Arial Narrow" w:cs="Book Antiqua"/>
          <w:snapToGrid w:val="0"/>
        </w:rPr>
        <w:lastRenderedPageBreak/>
        <w:t>continuó trabajando en reformular la propuesta para conseguir los fondos que se requieren para esta iniciativa de aprobación de Política de Comunicación Integral.</w:t>
      </w:r>
      <w:r w:rsidR="004E3F80" w:rsidRPr="00973A0F">
        <w:rPr>
          <w:rFonts w:ascii="Arial Narrow" w:hAnsi="Arial Narrow" w:cs="Book Antiqua"/>
          <w:snapToGrid w:val="0"/>
        </w:rPr>
        <w:t xml:space="preserve"> </w:t>
      </w:r>
    </w:p>
    <w:p w14:paraId="6FCC93DB" w14:textId="20D02C0C" w:rsidR="00160086" w:rsidRPr="00973A0F" w:rsidRDefault="00E04260" w:rsidP="00CC279A">
      <w:pPr>
        <w:pStyle w:val="Prrafodelista"/>
        <w:numPr>
          <w:ilvl w:val="1"/>
          <w:numId w:val="76"/>
        </w:numPr>
        <w:spacing w:line="360" w:lineRule="auto"/>
        <w:jc w:val="both"/>
        <w:rPr>
          <w:rFonts w:ascii="Arial Narrow" w:hAnsi="Arial Narrow" w:cs="Book Antiqua"/>
          <w:snapToGrid w:val="0"/>
        </w:rPr>
      </w:pPr>
      <w:r>
        <w:rPr>
          <w:rFonts w:ascii="Arial Narrow" w:hAnsi="Arial Narrow" w:cs="Book Antiqua"/>
          <w:snapToGrid w:val="0"/>
        </w:rPr>
        <w:t xml:space="preserve"> </w:t>
      </w:r>
      <w:r w:rsidR="004E3F80" w:rsidRPr="00973A0F">
        <w:rPr>
          <w:rFonts w:ascii="Arial Narrow" w:hAnsi="Arial Narrow" w:cs="Book Antiqua"/>
          <w:snapToGrid w:val="0"/>
        </w:rPr>
        <w:t>El tema de Optimización e innovación de los servicios judiciales integrado por la acción de Desarrollo y optimización de servicios lo integran 2</w:t>
      </w:r>
      <w:r w:rsidR="00160086" w:rsidRPr="00973A0F">
        <w:rPr>
          <w:rFonts w:ascii="Arial Narrow" w:hAnsi="Arial Narrow" w:cs="Book Antiqua"/>
          <w:snapToGrid w:val="0"/>
        </w:rPr>
        <w:t>9</w:t>
      </w:r>
      <w:r w:rsidR="004E3F80" w:rsidRPr="00973A0F">
        <w:rPr>
          <w:rFonts w:ascii="Arial Narrow" w:hAnsi="Arial Narrow" w:cs="Book Antiqua"/>
          <w:snapToGrid w:val="0"/>
        </w:rPr>
        <w:t xml:space="preserve"> metas estratégicas, de las cuales solamente </w:t>
      </w:r>
      <w:r w:rsidR="00160086" w:rsidRPr="00973A0F">
        <w:rPr>
          <w:rFonts w:ascii="Arial Narrow" w:hAnsi="Arial Narrow" w:cs="Book Antiqua"/>
          <w:snapToGrid w:val="0"/>
        </w:rPr>
        <w:t>1</w:t>
      </w:r>
      <w:r w:rsidR="004E3F80" w:rsidRPr="00973A0F">
        <w:rPr>
          <w:rFonts w:ascii="Arial Narrow" w:hAnsi="Arial Narrow" w:cs="Book Antiqua"/>
          <w:snapToGrid w:val="0"/>
        </w:rPr>
        <w:t xml:space="preserve"> qued</w:t>
      </w:r>
      <w:r w:rsidR="00160086" w:rsidRPr="00973A0F">
        <w:rPr>
          <w:rFonts w:ascii="Arial Narrow" w:hAnsi="Arial Narrow" w:cs="Book Antiqua"/>
          <w:snapToGrid w:val="0"/>
        </w:rPr>
        <w:t>ó</w:t>
      </w:r>
      <w:r w:rsidR="004E3F80" w:rsidRPr="00973A0F">
        <w:rPr>
          <w:rFonts w:ascii="Arial Narrow" w:hAnsi="Arial Narrow" w:cs="Book Antiqua"/>
          <w:snapToGrid w:val="0"/>
        </w:rPr>
        <w:t xml:space="preserve"> con un cumplimiento parcial. De la acción Servicios Tecnológicos tiene 1</w:t>
      </w:r>
      <w:r w:rsidR="00160086" w:rsidRPr="00973A0F">
        <w:rPr>
          <w:rFonts w:ascii="Arial Narrow" w:hAnsi="Arial Narrow" w:cs="Book Antiqua"/>
          <w:snapToGrid w:val="0"/>
        </w:rPr>
        <w:t>1</w:t>
      </w:r>
      <w:r w:rsidR="004E3F80" w:rsidRPr="00973A0F">
        <w:rPr>
          <w:rFonts w:ascii="Arial Narrow" w:hAnsi="Arial Narrow" w:cs="Book Antiqua"/>
          <w:snapToGrid w:val="0"/>
        </w:rPr>
        <w:t xml:space="preserve"> metas vinculadas, </w:t>
      </w:r>
      <w:r w:rsidR="00160086" w:rsidRPr="00973A0F">
        <w:rPr>
          <w:rFonts w:ascii="Arial Narrow" w:hAnsi="Arial Narrow" w:cs="Book Antiqua"/>
          <w:snapToGrid w:val="0"/>
        </w:rPr>
        <w:t>de las cuales 9</w:t>
      </w:r>
      <w:r w:rsidR="004E3F80" w:rsidRPr="00973A0F">
        <w:rPr>
          <w:rFonts w:ascii="Arial Narrow" w:hAnsi="Arial Narrow" w:cs="Book Antiqua"/>
          <w:snapToGrid w:val="0"/>
        </w:rPr>
        <w:t xml:space="preserve"> metas no lograron ser ejecutadas en su totalidad de acuerdo con el plan para el </w:t>
      </w:r>
      <w:r w:rsidR="00160086" w:rsidRPr="00973A0F">
        <w:rPr>
          <w:rFonts w:ascii="Arial Narrow" w:hAnsi="Arial Narrow" w:cs="Book Antiqua"/>
          <w:snapToGrid w:val="0"/>
        </w:rPr>
        <w:t>2019 -</w:t>
      </w:r>
      <w:r w:rsidR="004E3F80" w:rsidRPr="00973A0F">
        <w:rPr>
          <w:rFonts w:ascii="Arial Narrow" w:hAnsi="Arial Narrow" w:cs="Book Antiqua"/>
          <w:snapToGrid w:val="0"/>
        </w:rPr>
        <w:t>20</w:t>
      </w:r>
      <w:r w:rsidR="00160086" w:rsidRPr="00973A0F">
        <w:rPr>
          <w:rFonts w:ascii="Arial Narrow" w:hAnsi="Arial Narrow" w:cs="Book Antiqua"/>
          <w:snapToGrid w:val="0"/>
        </w:rPr>
        <w:t>20</w:t>
      </w:r>
      <w:r w:rsidR="004E3F80" w:rsidRPr="00973A0F">
        <w:rPr>
          <w:rFonts w:ascii="Arial Narrow" w:hAnsi="Arial Narrow" w:cs="Book Antiqua"/>
          <w:snapToGrid w:val="0"/>
        </w:rPr>
        <w:t>. Se tiene la acción de Leyes y reformas, la cual la componen 7 metas estratégicas las cuales lograron cumplir al 100%, destacándose esfuerzos de la Defensa P</w:t>
      </w:r>
      <w:r w:rsidR="0030409C" w:rsidRPr="00973A0F">
        <w:rPr>
          <w:rFonts w:ascii="Arial Narrow" w:hAnsi="Arial Narrow" w:cs="Book Antiqua"/>
          <w:snapToGrid w:val="0"/>
        </w:rPr>
        <w:t>ú</w:t>
      </w:r>
      <w:r w:rsidR="004E3F80" w:rsidRPr="00973A0F">
        <w:rPr>
          <w:rFonts w:ascii="Arial Narrow" w:hAnsi="Arial Narrow" w:cs="Book Antiqua"/>
          <w:snapToGrid w:val="0"/>
        </w:rPr>
        <w:t xml:space="preserve">blica y Organismo de Investigación Judicial en estos proyectos. Sobre la acción estratégica Modalidades alternativas de trabajo se integran </w:t>
      </w:r>
      <w:r w:rsidR="00160086" w:rsidRPr="00973A0F">
        <w:rPr>
          <w:rFonts w:ascii="Arial Narrow" w:hAnsi="Arial Narrow" w:cs="Book Antiqua"/>
          <w:snapToGrid w:val="0"/>
        </w:rPr>
        <w:t>4</w:t>
      </w:r>
      <w:r w:rsidR="004E3F80" w:rsidRPr="00973A0F">
        <w:rPr>
          <w:rFonts w:ascii="Arial Narrow" w:hAnsi="Arial Narrow" w:cs="Book Antiqua"/>
          <w:snapToGrid w:val="0"/>
        </w:rPr>
        <w:t xml:space="preserve"> metas, las cuales fueron ejecutadas en su totalidad, debido a esfuerzos como implementar modalidades de flexibilidad laboral en el Poder Judicial. Finalmente, la acción de Buenas Prácticas, integrada por 2 metas estratégicas de igual manera fue cumplida en un 100% con base en el desarrollo de acciones como el diseño de un plan de trabajo para la réplica de las buenas prácticas institucionales a través de Comisiones, Centros de Responsabilidad y otras instancias judiciales, así como el desenlace exitoso del concurso de buenas prácticas 2019 que buscaba recopilar al menos 25 nuevas buenas prácticas a nivel nacional.</w:t>
      </w:r>
      <w:r w:rsidR="00160086" w:rsidRPr="00973A0F">
        <w:rPr>
          <w:rFonts w:ascii="Arial Narrow" w:hAnsi="Arial Narrow" w:cs="Book Antiqua"/>
          <w:snapToGrid w:val="0"/>
        </w:rPr>
        <w:t xml:space="preserve"> Además, se indica para el año 2020 las réplicas de Buenas Prácticas, que se han aplicado en informes del Subproceso de Evaluación y Organización Institucional de la Dirección de Planificación.</w:t>
      </w:r>
    </w:p>
    <w:p w14:paraId="52D6A1C3" w14:textId="3C67E63F" w:rsidR="000A7635" w:rsidRPr="00901E05" w:rsidRDefault="004E3F80" w:rsidP="00CC279A">
      <w:pPr>
        <w:pStyle w:val="Prrafodelista"/>
        <w:numPr>
          <w:ilvl w:val="1"/>
          <w:numId w:val="76"/>
        </w:numPr>
        <w:spacing w:line="360" w:lineRule="auto"/>
        <w:jc w:val="both"/>
        <w:rPr>
          <w:rFonts w:ascii="Arial Narrow" w:hAnsi="Arial Narrow" w:cs="Book Antiqua"/>
          <w:snapToGrid w:val="0"/>
        </w:rPr>
      </w:pPr>
      <w:r w:rsidRPr="00973A0F">
        <w:rPr>
          <w:rFonts w:ascii="Arial Narrow" w:hAnsi="Arial Narrow" w:cs="Book Antiqua"/>
          <w:snapToGrid w:val="0"/>
        </w:rPr>
        <w:t xml:space="preserve">El tema de Gestión del Personal lo integran 5 acciones, de la que se señala la </w:t>
      </w:r>
      <w:r w:rsidR="00901E05" w:rsidRPr="00973A0F">
        <w:rPr>
          <w:rFonts w:ascii="Arial Narrow" w:hAnsi="Arial Narrow" w:cs="Book Antiqua"/>
          <w:snapToGrid w:val="0"/>
        </w:rPr>
        <w:t>E</w:t>
      </w:r>
      <w:r w:rsidRPr="00973A0F">
        <w:rPr>
          <w:rFonts w:ascii="Arial Narrow" w:hAnsi="Arial Narrow" w:cs="Book Antiqua"/>
          <w:snapToGrid w:val="0"/>
        </w:rPr>
        <w:t xml:space="preserve">valuación del Desempeño integrada por </w:t>
      </w:r>
      <w:r w:rsidR="00901E05" w:rsidRPr="00973A0F">
        <w:rPr>
          <w:rFonts w:ascii="Arial Narrow" w:hAnsi="Arial Narrow" w:cs="Book Antiqua"/>
          <w:snapToGrid w:val="0"/>
        </w:rPr>
        <w:t>7</w:t>
      </w:r>
      <w:r w:rsidRPr="00973A0F">
        <w:rPr>
          <w:rFonts w:ascii="Arial Narrow" w:hAnsi="Arial Narrow" w:cs="Book Antiqua"/>
          <w:snapToGrid w:val="0"/>
        </w:rPr>
        <w:t xml:space="preserve"> metas estratégicas, de las </w:t>
      </w:r>
      <w:r w:rsidR="00901E05" w:rsidRPr="00973A0F">
        <w:rPr>
          <w:rFonts w:ascii="Arial Narrow" w:hAnsi="Arial Narrow" w:cs="Book Antiqua"/>
          <w:snapToGrid w:val="0"/>
        </w:rPr>
        <w:t>todas registran un cumplimiento alto.</w:t>
      </w:r>
      <w:r w:rsidRPr="00973A0F">
        <w:rPr>
          <w:rFonts w:ascii="Arial Narrow" w:hAnsi="Arial Narrow" w:cs="Book Antiqua"/>
          <w:snapToGrid w:val="0"/>
        </w:rPr>
        <w:t xml:space="preserve"> Sobre el </w:t>
      </w:r>
      <w:r w:rsidR="00901E05" w:rsidRPr="00973A0F">
        <w:rPr>
          <w:rFonts w:ascii="Arial Narrow" w:hAnsi="Arial Narrow" w:cs="Book Antiqua"/>
          <w:snapToGrid w:val="0"/>
        </w:rPr>
        <w:t>R</w:t>
      </w:r>
      <w:r w:rsidRPr="00973A0F">
        <w:rPr>
          <w:rFonts w:ascii="Arial Narrow" w:hAnsi="Arial Narrow" w:cs="Book Antiqua"/>
          <w:snapToGrid w:val="0"/>
        </w:rPr>
        <w:t xml:space="preserve">eclutamiento y </w:t>
      </w:r>
      <w:r w:rsidR="00901E05" w:rsidRPr="00973A0F">
        <w:rPr>
          <w:rFonts w:ascii="Arial Narrow" w:hAnsi="Arial Narrow" w:cs="Book Antiqua"/>
          <w:snapToGrid w:val="0"/>
        </w:rPr>
        <w:t>S</w:t>
      </w:r>
      <w:r w:rsidRPr="00973A0F">
        <w:rPr>
          <w:rFonts w:ascii="Arial Narrow" w:hAnsi="Arial Narrow" w:cs="Book Antiqua"/>
          <w:snapToGrid w:val="0"/>
        </w:rPr>
        <w:t>elección</w:t>
      </w:r>
      <w:r w:rsidRPr="00901E05">
        <w:rPr>
          <w:rFonts w:ascii="Arial Narrow" w:hAnsi="Arial Narrow" w:cs="Book Antiqua"/>
          <w:snapToGrid w:val="0"/>
        </w:rPr>
        <w:t>, como otra acción</w:t>
      </w:r>
      <w:r w:rsidRPr="005E067A">
        <w:rPr>
          <w:rFonts w:ascii="Arial Narrow" w:hAnsi="Arial Narrow" w:cs="Book Antiqua"/>
          <w:snapToGrid w:val="0"/>
        </w:rPr>
        <w:t xml:space="preserve"> estratégica, se tienen </w:t>
      </w:r>
      <w:r w:rsidR="00901E05">
        <w:rPr>
          <w:rFonts w:ascii="Arial Narrow" w:hAnsi="Arial Narrow" w:cs="Book Antiqua"/>
          <w:snapToGrid w:val="0"/>
        </w:rPr>
        <w:t>7</w:t>
      </w:r>
      <w:r w:rsidRPr="005E067A">
        <w:rPr>
          <w:rFonts w:ascii="Arial Narrow" w:hAnsi="Arial Narrow" w:cs="Book Antiqua"/>
          <w:snapToGrid w:val="0"/>
        </w:rPr>
        <w:t xml:space="preserve"> metas estratégicas de las cuales, </w:t>
      </w:r>
      <w:r w:rsidR="00901E05">
        <w:rPr>
          <w:rFonts w:ascii="Arial Narrow" w:hAnsi="Arial Narrow" w:cs="Book Antiqua"/>
          <w:snapToGrid w:val="0"/>
        </w:rPr>
        <w:t>se registra una ejecución alta de todas las metas</w:t>
      </w:r>
      <w:r w:rsidRPr="005E067A">
        <w:rPr>
          <w:rFonts w:ascii="Arial Narrow" w:hAnsi="Arial Narrow" w:cs="Book Antiqua"/>
          <w:snapToGrid w:val="0"/>
        </w:rPr>
        <w:t>. Sobre la acción</w:t>
      </w:r>
      <w:r w:rsidR="00901E05">
        <w:rPr>
          <w:rFonts w:ascii="Arial Narrow" w:hAnsi="Arial Narrow" w:cs="Book Antiqua"/>
          <w:snapToGrid w:val="0"/>
        </w:rPr>
        <w:t xml:space="preserve"> estratégica</w:t>
      </w:r>
      <w:r w:rsidRPr="005E067A">
        <w:rPr>
          <w:rFonts w:ascii="Arial Narrow" w:hAnsi="Arial Narrow" w:cs="Book Antiqua"/>
          <w:snapToGrid w:val="0"/>
        </w:rPr>
        <w:t xml:space="preserve"> de Capacitación, se tienen </w:t>
      </w:r>
      <w:r w:rsidR="00901E05">
        <w:rPr>
          <w:rFonts w:ascii="Arial Narrow" w:hAnsi="Arial Narrow" w:cs="Book Antiqua"/>
          <w:snapToGrid w:val="0"/>
        </w:rPr>
        <w:t>29</w:t>
      </w:r>
      <w:r w:rsidR="00901E05" w:rsidRPr="005E067A">
        <w:rPr>
          <w:rFonts w:ascii="Arial Narrow" w:hAnsi="Arial Narrow" w:cs="Book Antiqua"/>
          <w:snapToGrid w:val="0"/>
        </w:rPr>
        <w:t xml:space="preserve"> </w:t>
      </w:r>
      <w:r w:rsidRPr="005E067A">
        <w:rPr>
          <w:rFonts w:ascii="Arial Narrow" w:hAnsi="Arial Narrow" w:cs="Book Antiqua"/>
          <w:snapToGrid w:val="0"/>
        </w:rPr>
        <w:t>metas vinculadas, de las cuales 2</w:t>
      </w:r>
      <w:r w:rsidR="00901E05">
        <w:rPr>
          <w:rFonts w:ascii="Arial Narrow" w:hAnsi="Arial Narrow" w:cs="Book Antiqua"/>
          <w:snapToGrid w:val="0"/>
        </w:rPr>
        <w:t>3</w:t>
      </w:r>
      <w:r w:rsidRPr="005E067A">
        <w:rPr>
          <w:rFonts w:ascii="Arial Narrow" w:hAnsi="Arial Narrow" w:cs="Book Antiqua"/>
          <w:snapToGrid w:val="0"/>
        </w:rPr>
        <w:t xml:space="preserve"> lograron un cumplimiento </w:t>
      </w:r>
      <w:r w:rsidR="00901E05">
        <w:rPr>
          <w:rFonts w:ascii="Arial Narrow" w:hAnsi="Arial Narrow" w:cs="Book Antiqua"/>
          <w:snapToGrid w:val="0"/>
        </w:rPr>
        <w:t>alto</w:t>
      </w:r>
      <w:r w:rsidRPr="005E067A">
        <w:rPr>
          <w:rFonts w:ascii="Arial Narrow" w:hAnsi="Arial Narrow" w:cs="Book Antiqua"/>
          <w:snapToGrid w:val="0"/>
        </w:rPr>
        <w:t xml:space="preserve">, </w:t>
      </w:r>
      <w:r w:rsidR="00901E05">
        <w:rPr>
          <w:rFonts w:ascii="Arial Narrow" w:hAnsi="Arial Narrow" w:cs="Book Antiqua"/>
          <w:snapToGrid w:val="0"/>
        </w:rPr>
        <w:t>y</w:t>
      </w:r>
      <w:r w:rsidR="00901E05" w:rsidRPr="005E067A">
        <w:rPr>
          <w:rFonts w:ascii="Arial Narrow" w:hAnsi="Arial Narrow" w:cs="Book Antiqua"/>
          <w:snapToGrid w:val="0"/>
        </w:rPr>
        <w:t xml:space="preserve"> </w:t>
      </w:r>
      <w:r w:rsidR="00901E05">
        <w:rPr>
          <w:rFonts w:ascii="Arial Narrow" w:hAnsi="Arial Narrow" w:cs="Book Antiqua"/>
          <w:snapToGrid w:val="0"/>
        </w:rPr>
        <w:t>6</w:t>
      </w:r>
      <w:r w:rsidR="00901E05" w:rsidRPr="005E067A">
        <w:rPr>
          <w:rFonts w:ascii="Arial Narrow" w:hAnsi="Arial Narrow" w:cs="Book Antiqua"/>
          <w:snapToGrid w:val="0"/>
        </w:rPr>
        <w:t xml:space="preserve"> </w:t>
      </w:r>
      <w:r w:rsidRPr="005E067A">
        <w:rPr>
          <w:rFonts w:ascii="Arial Narrow" w:hAnsi="Arial Narrow" w:cs="Book Antiqua"/>
          <w:snapToGrid w:val="0"/>
        </w:rPr>
        <w:t>meta</w:t>
      </w:r>
      <w:r w:rsidR="00901E05">
        <w:rPr>
          <w:rFonts w:ascii="Arial Narrow" w:hAnsi="Arial Narrow" w:cs="Book Antiqua"/>
          <w:snapToGrid w:val="0"/>
        </w:rPr>
        <w:t xml:space="preserve">s registran un cumplimiento medio. </w:t>
      </w:r>
      <w:r w:rsidRPr="005E067A">
        <w:rPr>
          <w:rFonts w:ascii="Arial Narrow" w:hAnsi="Arial Narrow" w:cs="Book Antiqua"/>
          <w:snapToGrid w:val="0"/>
        </w:rPr>
        <w:t xml:space="preserve">Sobre la acción estratégica de </w:t>
      </w:r>
      <w:r w:rsidRPr="00106F8C">
        <w:rPr>
          <w:rFonts w:ascii="Arial Narrow" w:hAnsi="Arial Narrow" w:cs="Book Antiqua"/>
          <w:snapToGrid w:val="0"/>
        </w:rPr>
        <w:t xml:space="preserve">Carrera posee 4 metas vinculadas y fueron completadas en su totalidad. Finalmente, se tiene la acción de Bienestar y Salud que tiene </w:t>
      </w:r>
      <w:r w:rsidR="00901E05">
        <w:rPr>
          <w:rFonts w:ascii="Arial Narrow" w:hAnsi="Arial Narrow" w:cs="Book Antiqua"/>
          <w:snapToGrid w:val="0"/>
        </w:rPr>
        <w:t>4</w:t>
      </w:r>
      <w:r w:rsidRPr="00106F8C">
        <w:rPr>
          <w:rFonts w:ascii="Arial Narrow" w:hAnsi="Arial Narrow" w:cs="Book Antiqua"/>
          <w:snapToGrid w:val="0"/>
        </w:rPr>
        <w:t xml:space="preserve"> metas vinculadas con un cumplimiento </w:t>
      </w:r>
      <w:r w:rsidRPr="00901E05">
        <w:rPr>
          <w:rFonts w:ascii="Arial Narrow" w:hAnsi="Arial Narrow" w:cs="Book Antiqua"/>
          <w:snapToGrid w:val="0"/>
        </w:rPr>
        <w:t xml:space="preserve">óptimo de 100%. </w:t>
      </w:r>
    </w:p>
    <w:p w14:paraId="52FE0F1D" w14:textId="05CBF131" w:rsidR="00901E05" w:rsidRPr="00973A0F" w:rsidRDefault="004E3F80" w:rsidP="00CC279A">
      <w:pPr>
        <w:pStyle w:val="Prrafodelista"/>
        <w:numPr>
          <w:ilvl w:val="1"/>
          <w:numId w:val="76"/>
        </w:numPr>
        <w:spacing w:line="360" w:lineRule="auto"/>
        <w:jc w:val="both"/>
        <w:rPr>
          <w:rFonts w:ascii="Arial Narrow" w:hAnsi="Arial Narrow" w:cs="Book Antiqua"/>
          <w:snapToGrid w:val="0"/>
        </w:rPr>
      </w:pPr>
      <w:r w:rsidRPr="00973A0F">
        <w:rPr>
          <w:rFonts w:ascii="Arial Narrow" w:hAnsi="Arial Narrow" w:cs="Book Antiqua"/>
          <w:snapToGrid w:val="0"/>
        </w:rPr>
        <w:lastRenderedPageBreak/>
        <w:t xml:space="preserve">Sobre el tema de Planificación Institucional posee 3 acciones estratégicas, de las cuales se señala la Gestión </w:t>
      </w:r>
      <w:r w:rsidR="00901E05" w:rsidRPr="00973A0F">
        <w:rPr>
          <w:rFonts w:ascii="Arial Narrow" w:hAnsi="Arial Narrow" w:cs="Book Antiqua"/>
          <w:snapToGrid w:val="0"/>
        </w:rPr>
        <w:t>E</w:t>
      </w:r>
      <w:r w:rsidRPr="00973A0F">
        <w:rPr>
          <w:rFonts w:ascii="Arial Narrow" w:hAnsi="Arial Narrow" w:cs="Book Antiqua"/>
          <w:snapToGrid w:val="0"/>
        </w:rPr>
        <w:t xml:space="preserve">stratégica </w:t>
      </w:r>
      <w:r w:rsidR="00901E05" w:rsidRPr="00973A0F">
        <w:rPr>
          <w:rFonts w:ascii="Arial Narrow" w:hAnsi="Arial Narrow" w:cs="Book Antiqua"/>
          <w:snapToGrid w:val="0"/>
        </w:rPr>
        <w:t>I</w:t>
      </w:r>
      <w:r w:rsidRPr="00973A0F">
        <w:rPr>
          <w:rFonts w:ascii="Arial Narrow" w:hAnsi="Arial Narrow" w:cs="Book Antiqua"/>
          <w:snapToGrid w:val="0"/>
        </w:rPr>
        <w:t xml:space="preserve">nstitucional dispone de </w:t>
      </w:r>
      <w:r w:rsidR="00160086" w:rsidRPr="00973A0F">
        <w:rPr>
          <w:rFonts w:ascii="Arial Narrow" w:hAnsi="Arial Narrow" w:cs="Book Antiqua"/>
          <w:snapToGrid w:val="0"/>
        </w:rPr>
        <w:t xml:space="preserve">7 </w:t>
      </w:r>
      <w:r w:rsidRPr="00973A0F">
        <w:rPr>
          <w:rFonts w:ascii="Arial Narrow" w:hAnsi="Arial Narrow" w:cs="Book Antiqua"/>
          <w:snapToGrid w:val="0"/>
        </w:rPr>
        <w:t xml:space="preserve">metas relacionadas y se observa que </w:t>
      </w:r>
      <w:r w:rsidR="00160086" w:rsidRPr="00973A0F">
        <w:rPr>
          <w:rFonts w:ascii="Arial Narrow" w:hAnsi="Arial Narrow" w:cs="Book Antiqua"/>
          <w:snapToGrid w:val="0"/>
        </w:rPr>
        <w:t>una</w:t>
      </w:r>
      <w:r w:rsidRPr="00973A0F">
        <w:rPr>
          <w:rFonts w:ascii="Arial Narrow" w:hAnsi="Arial Narrow" w:cs="Book Antiqua"/>
          <w:snapToGrid w:val="0"/>
        </w:rPr>
        <w:t xml:space="preserve"> meta estratégica fue completada parcialmente.  Por su parte, las dos acciones restantes que son Gestión de Políticas Institucionales y de Proyectos Estratégicos, se encuentran completadas al 100% debido a los Modelos ejecutados y aprobados por Corte Plena.</w:t>
      </w:r>
    </w:p>
    <w:p w14:paraId="57D8EED6" w14:textId="3EA5CEA2" w:rsidR="00B06079" w:rsidRPr="00973A0F" w:rsidRDefault="004E3F80" w:rsidP="00CC279A">
      <w:pPr>
        <w:pStyle w:val="Prrafodelista"/>
        <w:numPr>
          <w:ilvl w:val="1"/>
          <w:numId w:val="76"/>
        </w:numPr>
        <w:spacing w:line="360" w:lineRule="auto"/>
        <w:jc w:val="both"/>
        <w:rPr>
          <w:rFonts w:ascii="Arial Narrow" w:hAnsi="Arial Narrow" w:cs="Book Antiqua"/>
          <w:snapToGrid w:val="0"/>
        </w:rPr>
      </w:pPr>
      <w:r w:rsidRPr="00973A0F">
        <w:rPr>
          <w:rFonts w:ascii="Arial Narrow" w:hAnsi="Arial Narrow" w:cs="Book Antiqua"/>
          <w:snapToGrid w:val="0"/>
        </w:rPr>
        <w:t xml:space="preserve">El análisis de riesgos estratégicos será incorporado en las evaluaciones posteriores del Plan Estratégico Institucional, debido a los esfuerzos realizados para integrar los sistemas SEVRI y PAI en conjunto con el PAO y el Sistema del PEI. Adicionalmente, todas las oficinas del país, que tienen PAO, deberán contar con ambos sistemas implementados (SEVRI/PAI) por lo tanto, el proyecto </w:t>
      </w:r>
      <w:r w:rsidR="0030409C" w:rsidRPr="00973A0F">
        <w:rPr>
          <w:rFonts w:ascii="Arial Narrow" w:hAnsi="Arial Narrow" w:cs="Book Antiqua"/>
          <w:snapToGrid w:val="0"/>
        </w:rPr>
        <w:t xml:space="preserve">está </w:t>
      </w:r>
      <w:r w:rsidR="00901E05" w:rsidRPr="00973A0F">
        <w:rPr>
          <w:rFonts w:ascii="Arial Narrow" w:hAnsi="Arial Narrow" w:cs="Book Antiqua"/>
          <w:snapToGrid w:val="0"/>
        </w:rPr>
        <w:t>en marcha</w:t>
      </w:r>
      <w:r w:rsidRPr="00973A0F">
        <w:rPr>
          <w:rFonts w:ascii="Arial Narrow" w:hAnsi="Arial Narrow" w:cs="Book Antiqua"/>
          <w:snapToGrid w:val="0"/>
        </w:rPr>
        <w:t xml:space="preserve"> y se espera </w:t>
      </w:r>
      <w:r w:rsidR="00901E05" w:rsidRPr="00973A0F">
        <w:rPr>
          <w:rFonts w:ascii="Arial Narrow" w:hAnsi="Arial Narrow" w:cs="Book Antiqua"/>
          <w:snapToGrid w:val="0"/>
        </w:rPr>
        <w:t>que,</w:t>
      </w:r>
      <w:r w:rsidRPr="00973A0F">
        <w:rPr>
          <w:rFonts w:ascii="Arial Narrow" w:hAnsi="Arial Narrow" w:cs="Book Antiqua"/>
          <w:snapToGrid w:val="0"/>
        </w:rPr>
        <w:t xml:space="preserve"> para </w:t>
      </w:r>
      <w:r w:rsidR="00901E05" w:rsidRPr="00973A0F">
        <w:rPr>
          <w:rFonts w:ascii="Arial Narrow" w:hAnsi="Arial Narrow" w:cs="Book Antiqua"/>
          <w:snapToGrid w:val="0"/>
        </w:rPr>
        <w:t xml:space="preserve">años posteriores, </w:t>
      </w:r>
      <w:r w:rsidRPr="00973A0F">
        <w:rPr>
          <w:rFonts w:ascii="Arial Narrow" w:hAnsi="Arial Narrow" w:cs="Book Antiqua"/>
          <w:snapToGrid w:val="0"/>
        </w:rPr>
        <w:t>se puedan tener identificados los riesgos estratégicos con base en un sistema informático</w:t>
      </w:r>
      <w:r w:rsidR="00901E05" w:rsidRPr="00973A0F">
        <w:rPr>
          <w:rFonts w:ascii="Arial Narrow" w:hAnsi="Arial Narrow" w:cs="Book Antiqua"/>
          <w:snapToGrid w:val="0"/>
        </w:rPr>
        <w:t xml:space="preserve"> y debidamente enlazados a los riesgos operativos</w:t>
      </w:r>
      <w:r w:rsidR="00B06079" w:rsidRPr="00973A0F">
        <w:rPr>
          <w:rFonts w:ascii="Arial Narrow" w:hAnsi="Arial Narrow" w:cs="Book Antiqua"/>
          <w:snapToGrid w:val="0"/>
        </w:rPr>
        <w:t>.</w:t>
      </w:r>
    </w:p>
    <w:p w14:paraId="00756FFD" w14:textId="2A29B2FF" w:rsidR="00B06079" w:rsidRPr="00973A0F" w:rsidRDefault="00B06079" w:rsidP="00CC279A">
      <w:pPr>
        <w:pStyle w:val="Prrafodelista"/>
        <w:numPr>
          <w:ilvl w:val="1"/>
          <w:numId w:val="76"/>
        </w:numPr>
        <w:spacing w:line="360" w:lineRule="auto"/>
        <w:jc w:val="both"/>
        <w:rPr>
          <w:rFonts w:ascii="Arial Narrow" w:hAnsi="Arial Narrow" w:cs="Book Antiqua"/>
          <w:snapToGrid w:val="0"/>
        </w:rPr>
      </w:pPr>
      <w:r w:rsidRPr="00973A0F">
        <w:rPr>
          <w:rFonts w:ascii="Arial Narrow" w:hAnsi="Arial Narrow" w:cs="Book Antiqua"/>
          <w:snapToGrid w:val="0"/>
        </w:rPr>
        <w:t>Con respecto a los desafíos que se detectan para las metas estratégicas con cumplimiento medio o bajo, se detallan para cada tema y acción estratégica su respectiva meta y responsable para determinar y mapear con mayor claridad los retos y desafíos que tienen por delante con el fin de cumplir la meta al finalizar el periodo del 2024. El tema de Resolución Oportuna de Conflictos tiene 12 metas estratégicas, con sus desafíos y responsables. El tema de Confianza y probidad tiene 3 metas, el tema de Optimización e Innovación de los servicios judiciales tiene 3 metas con sus respectivos desafíos, Gestión del Personal tiene 6 metas   y finalmente, Planificación Institucional tiene 1 meta con desafíos para ser analizada.</w:t>
      </w:r>
    </w:p>
    <w:p w14:paraId="6142B874" w14:textId="41183046" w:rsidR="00B06079" w:rsidRPr="00973A0F" w:rsidRDefault="00B06079" w:rsidP="00CC279A">
      <w:pPr>
        <w:pStyle w:val="Prrafodelista"/>
        <w:numPr>
          <w:ilvl w:val="1"/>
          <w:numId w:val="76"/>
        </w:numPr>
        <w:spacing w:line="360" w:lineRule="auto"/>
        <w:jc w:val="both"/>
        <w:rPr>
          <w:rFonts w:ascii="Arial Narrow" w:hAnsi="Arial Narrow" w:cs="Book Antiqua"/>
          <w:snapToGrid w:val="0"/>
        </w:rPr>
      </w:pPr>
      <w:r w:rsidRPr="00CC279A">
        <w:rPr>
          <w:rFonts w:ascii="Arial Narrow" w:hAnsi="Arial Narrow" w:cs="Book Antiqua"/>
          <w:snapToGrid w:val="0"/>
        </w:rPr>
        <w:t xml:space="preserve">De acuerdo con los resultados del PEI por instancia responsable, se tiene que de las 187 metas estratégicas del 2019 se distribuyeron entre 27 responsables estratégicos, 24 tienen un cumplimiento alto de sus metas estratégicas en un 90%-100%, eso equivale a un 89% de la totalidad de oficinas responsables, esto evidencia esfuerzos importantes para alcanzar las metas estratégicas operativizadas al PAO del primer año del PEI 2019.  Hay un bloque de 3 responsables estratégicos que tienen un cumplimiento medio de inferior a 89,9% a 50%, esto equivale a 11% de oficinas que realizaron una ejecución de metas estratégicas parcial, es </w:t>
      </w:r>
      <w:r w:rsidRPr="00CC279A">
        <w:rPr>
          <w:rFonts w:ascii="Arial Narrow" w:hAnsi="Arial Narrow" w:cs="Book Antiqua"/>
          <w:snapToGrid w:val="0"/>
        </w:rPr>
        <w:lastRenderedPageBreak/>
        <w:t xml:space="preserve">importante tener presente estas metas estratégicas para darles una prioridad especial y una atención de relevancia en la ejecución del PEI para el 2021-2024. </w:t>
      </w:r>
    </w:p>
    <w:p w14:paraId="66C72A4B" w14:textId="154DCE19" w:rsidR="00B06079" w:rsidRPr="00CC279A" w:rsidRDefault="00B06079" w:rsidP="00CC279A">
      <w:pPr>
        <w:pStyle w:val="Prrafodelista"/>
        <w:numPr>
          <w:ilvl w:val="1"/>
          <w:numId w:val="76"/>
        </w:numPr>
        <w:spacing w:line="360" w:lineRule="auto"/>
        <w:jc w:val="both"/>
        <w:rPr>
          <w:rFonts w:ascii="Arial Narrow" w:hAnsi="Arial Narrow" w:cs="Book Antiqua"/>
          <w:snapToGrid w:val="0"/>
        </w:rPr>
      </w:pPr>
      <w:r w:rsidRPr="00CC279A">
        <w:rPr>
          <w:rFonts w:ascii="Arial Narrow" w:hAnsi="Arial Narrow" w:cs="Book Antiqua"/>
          <w:snapToGrid w:val="0"/>
        </w:rPr>
        <w:t>Se comunicó de manera masiva, mediante correo electrónico institucional a las oficinas y despachos judiciales el producto de Boletines PEI oficiales que reportaban el estado del cumplimiento estratégico (semestral y anual 2019 y de resultados) y para el 2020 se rindieron 6 boletines como recordatorio del registro oportuno de la información, y que se tuviera claridad de los compromisos estratégicos adquiridos para evitar incumplimientos posteriores.</w:t>
      </w:r>
    </w:p>
    <w:p w14:paraId="2AC6E5F3" w14:textId="77777777" w:rsidR="00266097" w:rsidRDefault="00266097">
      <w:pPr>
        <w:pStyle w:val="Prrafodelista"/>
        <w:spacing w:line="360" w:lineRule="auto"/>
        <w:ind w:left="1099"/>
        <w:jc w:val="both"/>
        <w:rPr>
          <w:rFonts w:ascii="Arial Narrow" w:hAnsi="Arial Narrow" w:cs="Book Antiqua"/>
          <w:snapToGrid w:val="0"/>
        </w:rPr>
      </w:pPr>
    </w:p>
    <w:p w14:paraId="08D1B5E5" w14:textId="6F523C60" w:rsidR="00EB773B" w:rsidRPr="00973A0F" w:rsidRDefault="000E3BF1" w:rsidP="00C9711A">
      <w:pPr>
        <w:pStyle w:val="Prrafodelista"/>
        <w:spacing w:line="360" w:lineRule="auto"/>
        <w:ind w:left="1099"/>
        <w:jc w:val="both"/>
        <w:rPr>
          <w:rFonts w:ascii="Arial Narrow" w:hAnsi="Arial Narrow" w:cs="Book Antiqua"/>
          <w:snapToGrid w:val="0"/>
        </w:rPr>
      </w:pPr>
      <w:r w:rsidRPr="00973A0F">
        <w:rPr>
          <w:rFonts w:ascii="Arial Narrow" w:hAnsi="Arial Narrow" w:cs="Book Antiqua"/>
          <w:snapToGrid w:val="0"/>
        </w:rPr>
        <w:t xml:space="preserve">Sobre el impacto del COVID-19, se evidencia en el apartado </w:t>
      </w:r>
      <w:r w:rsidR="0038143C" w:rsidRPr="00973A0F">
        <w:rPr>
          <w:rFonts w:ascii="Arial Narrow" w:hAnsi="Arial Narrow" w:cs="Book Antiqua"/>
          <w:snapToGrid w:val="0"/>
        </w:rPr>
        <w:t xml:space="preserve">9 </w:t>
      </w:r>
      <w:r w:rsidRPr="00973A0F">
        <w:rPr>
          <w:rFonts w:ascii="Arial Narrow" w:hAnsi="Arial Narrow" w:cs="Book Antiqua"/>
          <w:snapToGrid w:val="0"/>
        </w:rPr>
        <w:t xml:space="preserve">que </w:t>
      </w:r>
      <w:r w:rsidRPr="00CC279A">
        <w:rPr>
          <w:rFonts w:ascii="Arial Narrow" w:hAnsi="Arial Narrow" w:cs="Book Antiqua"/>
          <w:snapToGrid w:val="0"/>
        </w:rPr>
        <w:t>el Poder Judicial ha diseñado estrategias y tomado acuerdos de su jerarquía para que la afectación de servicios por la pandemia mundial COVID- 19 sean mínimos, dentro de los que se destaca la definición de catálogos de servicios para atender en cada jurisdicción según el tipo de alerta sanitaria que se tenga en cada zona geográfica, protocolos para el desarrollo de audiencias o videoconferencias, coordinaciones para habilitar espacios físicos que permitan mantener el distanciamiento recomendado por el Ministerio de Salud, estrategias de divulgación de los servicios, sin embargo la crisis sanitaria ha repercutido en las metas relacionadas a capacitaciones, casos terminados en las jurisdicciones que deben efectuar una audiencia o juicio para poder finalizar un caso, coordinaciones con entes externos al Poder Judicial y de manera transversal ha tenido afectación por las medidas sanitarias que se han impuesto en diferentes despachos judiciales y oficinas administrativas, lo cual provoca incapacidades y disminución en la prestación de servicios</w:t>
      </w:r>
      <w:r w:rsidR="00EB773B">
        <w:rPr>
          <w:rFonts w:ascii="Arial Narrow" w:hAnsi="Arial Narrow" w:cs="Book Antiqua"/>
          <w:snapToGrid w:val="0"/>
        </w:rPr>
        <w:t>.</w:t>
      </w:r>
    </w:p>
    <w:p w14:paraId="42E102D9" w14:textId="4D372A34" w:rsidR="00EB773B" w:rsidRDefault="00EB773B" w:rsidP="00EB773B">
      <w:pPr>
        <w:pStyle w:val="Prrafodelista"/>
        <w:spacing w:line="360" w:lineRule="auto"/>
        <w:ind w:left="1099"/>
        <w:jc w:val="both"/>
        <w:rPr>
          <w:rFonts w:ascii="Arial Narrow" w:hAnsi="Arial Narrow" w:cs="Book Antiqua"/>
          <w:snapToGrid w:val="0"/>
        </w:rPr>
      </w:pPr>
    </w:p>
    <w:p w14:paraId="585AF1E5" w14:textId="33FEB256" w:rsidR="00EB773B" w:rsidRDefault="00EB773B" w:rsidP="00EB773B">
      <w:pPr>
        <w:pStyle w:val="Prrafodelista"/>
        <w:spacing w:line="360" w:lineRule="auto"/>
        <w:ind w:left="1099"/>
        <w:jc w:val="both"/>
        <w:rPr>
          <w:rFonts w:ascii="Arial Narrow" w:hAnsi="Arial Narrow" w:cs="Book Antiqua"/>
          <w:snapToGrid w:val="0"/>
        </w:rPr>
      </w:pPr>
    </w:p>
    <w:p w14:paraId="4D0C6668" w14:textId="6FC18376" w:rsidR="00EB773B" w:rsidRDefault="00EB773B" w:rsidP="00EB773B">
      <w:pPr>
        <w:pStyle w:val="Prrafodelista"/>
        <w:spacing w:line="360" w:lineRule="auto"/>
        <w:ind w:left="1099"/>
        <w:jc w:val="both"/>
        <w:rPr>
          <w:rFonts w:ascii="Arial Narrow" w:hAnsi="Arial Narrow" w:cs="Book Antiqua"/>
          <w:snapToGrid w:val="0"/>
        </w:rPr>
      </w:pPr>
    </w:p>
    <w:p w14:paraId="6DDD4458" w14:textId="77777777" w:rsidR="00EB773B" w:rsidRPr="00C9711A" w:rsidRDefault="00EB773B" w:rsidP="00C9711A">
      <w:pPr>
        <w:pStyle w:val="Prrafodelista"/>
        <w:spacing w:line="360" w:lineRule="auto"/>
        <w:ind w:left="1099"/>
        <w:jc w:val="both"/>
        <w:rPr>
          <w:rFonts w:ascii="Arial Narrow" w:hAnsi="Arial Narrow" w:cs="Book Antiqua"/>
          <w:snapToGrid w:val="0"/>
        </w:rPr>
      </w:pPr>
    </w:p>
    <w:p w14:paraId="5B8F12A5" w14:textId="77777777" w:rsidR="009C4D33" w:rsidRDefault="009C4D33" w:rsidP="00EB773B">
      <w:pPr>
        <w:pStyle w:val="Prrafodelista"/>
        <w:spacing w:line="360" w:lineRule="auto"/>
        <w:ind w:left="1099"/>
        <w:jc w:val="both"/>
        <w:rPr>
          <w:snapToGrid w:val="0"/>
        </w:rPr>
        <w:sectPr w:rsidR="009C4D33" w:rsidSect="00EA4FFC">
          <w:headerReference w:type="even" r:id="rId197"/>
          <w:headerReference w:type="default" r:id="rId198"/>
          <w:footerReference w:type="even" r:id="rId199"/>
          <w:footerReference w:type="default" r:id="rId200"/>
          <w:headerReference w:type="first" r:id="rId201"/>
          <w:pgSz w:w="12242" w:h="15842" w:code="1"/>
          <w:pgMar w:top="719" w:right="1469" w:bottom="719" w:left="1560" w:header="709" w:footer="709" w:gutter="0"/>
          <w:cols w:space="708"/>
          <w:docGrid w:linePitch="360"/>
        </w:sectPr>
      </w:pPr>
    </w:p>
    <w:p w14:paraId="77C4FF90" w14:textId="77777777" w:rsidR="009C4D33" w:rsidRDefault="009C4D33" w:rsidP="009C4D33">
      <w:pPr>
        <w:pStyle w:val="Prrafodelista"/>
        <w:spacing w:line="360" w:lineRule="auto"/>
        <w:ind w:left="1099"/>
        <w:jc w:val="both"/>
        <w:rPr>
          <w:rFonts w:eastAsia="Calibri"/>
        </w:rPr>
      </w:pPr>
    </w:p>
    <w:p w14:paraId="5B8D27B4" w14:textId="77777777" w:rsidR="009C4D33" w:rsidRDefault="009C4D33" w:rsidP="009C4D33">
      <w:pPr>
        <w:pStyle w:val="Ttulo2"/>
      </w:pPr>
      <w:bookmarkStart w:id="279" w:name="_Toc84919368"/>
      <w:r>
        <w:t>Observaciones remitidas por las oficinas consultadas</w:t>
      </w:r>
      <w:bookmarkEnd w:id="279"/>
      <w:r>
        <w:t xml:space="preserve"> </w:t>
      </w:r>
    </w:p>
    <w:p w14:paraId="51390FE9" w14:textId="77777777" w:rsidR="009C4D33" w:rsidRDefault="009C4D33" w:rsidP="009C4D33">
      <w:pPr>
        <w:rPr>
          <w:rFonts w:eastAsia="Calibri"/>
          <w:lang w:eastAsia="en-US"/>
        </w:rPr>
      </w:pPr>
    </w:p>
    <w:p w14:paraId="3F25849D" w14:textId="4D921CAD" w:rsidR="00AF26DA" w:rsidRPr="00763BCA" w:rsidRDefault="009C4D33">
      <w:pPr>
        <w:spacing w:line="360" w:lineRule="auto"/>
        <w:jc w:val="both"/>
        <w:rPr>
          <w:rFonts w:ascii="Arial Narrow" w:hAnsi="Arial Narrow"/>
        </w:rPr>
      </w:pPr>
      <w:r w:rsidRPr="00C9711A">
        <w:rPr>
          <w:rFonts w:ascii="Arial Narrow" w:hAnsi="Arial Narrow"/>
        </w:rPr>
        <w:t xml:space="preserve">La versión preliminar de este informe fue puesta en consulta mediante el oficio </w:t>
      </w:r>
      <w:r w:rsidR="00181AE6" w:rsidRPr="00C9711A">
        <w:rPr>
          <w:rFonts w:ascii="Arial Narrow" w:hAnsi="Arial Narrow"/>
        </w:rPr>
        <w:t>1106</w:t>
      </w:r>
      <w:r w:rsidRPr="00C9711A">
        <w:rPr>
          <w:rFonts w:ascii="Arial Narrow" w:hAnsi="Arial Narrow"/>
        </w:rPr>
        <w:t>-PLA-</w:t>
      </w:r>
      <w:r w:rsidR="00181AE6" w:rsidRPr="00C9711A">
        <w:rPr>
          <w:rFonts w:ascii="Arial Narrow" w:hAnsi="Arial Narrow"/>
        </w:rPr>
        <w:t>EV</w:t>
      </w:r>
      <w:r w:rsidRPr="00C9711A">
        <w:rPr>
          <w:rFonts w:ascii="Arial Narrow" w:hAnsi="Arial Narrow"/>
        </w:rPr>
        <w:t>-2021</w:t>
      </w:r>
      <w:r w:rsidR="00181AE6" w:rsidRPr="00181AE6">
        <w:rPr>
          <w:rFonts w:ascii="Arial Narrow" w:hAnsi="Arial Narrow" w:cs="Book Antiqua"/>
          <w:lang w:val="es-CR"/>
        </w:rPr>
        <w:t xml:space="preserve"> </w:t>
      </w:r>
      <w:r w:rsidR="00181AE6" w:rsidRPr="00020C50">
        <w:rPr>
          <w:rFonts w:ascii="Arial Narrow" w:hAnsi="Arial Narrow" w:cs="Book Antiqua"/>
          <w:lang w:val="es-CR"/>
        </w:rPr>
        <w:t>el 27 de setiembre del 2021</w:t>
      </w:r>
      <w:r w:rsidRPr="00C9711A">
        <w:rPr>
          <w:rFonts w:ascii="Arial Narrow" w:hAnsi="Arial Narrow"/>
        </w:rPr>
        <w:t xml:space="preserve">. </w:t>
      </w:r>
      <w:r w:rsidR="00181AE6" w:rsidRPr="00C9711A">
        <w:rPr>
          <w:rFonts w:ascii="Arial Narrow" w:hAnsi="Arial Narrow"/>
        </w:rPr>
        <w:t xml:space="preserve">Como respuesta se recibió correo electrónico del 30 setiembre 2021, por parte de la Administración de Puntarenas; correo electrónico del 30 de setiembre 2021, suscrito por el Licenciado Minor Arguedas Rojas, Administrador Regional de Grecia; correo electrónico del 1 de octubre 2021, suscrito por Ana Eugenia Romero Jenkins, Directora, Dirección Ejecutiva; correo electrónico del 4 de octubre 2021, suscrito por la Licenciada Margarita Sánchez Fallas, Administradora de la Secretaría Técnica de Género; </w:t>
      </w:r>
      <w:r w:rsidR="00314F5D" w:rsidRPr="005A107E">
        <w:rPr>
          <w:rFonts w:ascii="Arial Narrow" w:hAnsi="Arial Narrow"/>
        </w:rPr>
        <w:t>Correo electrónico 4 de octubre 2021, suscrito MSc. Alba Gutiérrez Villalobos jefa, Departamento de Trabajo Social y Psicología; Correo electrónico 04 de octubre 2021, suscrito por Kattia Morales Navarro, directora de la Dirección de Tecnología de Información</w:t>
      </w:r>
      <w:r w:rsidR="00314F5D">
        <w:rPr>
          <w:rFonts w:ascii="Arial Narrow" w:hAnsi="Arial Narrow"/>
        </w:rPr>
        <w:t xml:space="preserve">; </w:t>
      </w:r>
      <w:r w:rsidR="00181AE6" w:rsidRPr="00C9711A">
        <w:rPr>
          <w:rFonts w:ascii="Arial Narrow" w:hAnsi="Arial Narrow"/>
        </w:rPr>
        <w:t>correo electrónico del 05 de octubre 2021, suscrito Omar Brenes Campos, Subjefe a.i Oficina de Planes y Operaciones y Walter Espinoza Espinoza, Director General del Organismo de Investigación Judicial; correo electrónico 05 de octubre 2021,suscrito Anyi Espinoza Méndez, Secretaria de la Administración Regional de Pérez Zeledón;</w:t>
      </w:r>
      <w:r w:rsidR="00314F5D">
        <w:rPr>
          <w:rFonts w:ascii="Arial Narrow" w:hAnsi="Arial Narrow"/>
        </w:rPr>
        <w:t xml:space="preserve"> como respuesta extemporáneas se recibió</w:t>
      </w:r>
      <w:r w:rsidR="00181AE6" w:rsidRPr="00C9711A">
        <w:rPr>
          <w:rFonts w:ascii="Arial Narrow" w:hAnsi="Arial Narrow"/>
        </w:rPr>
        <w:t xml:space="preserve"> correo electrónico 06 de octubre 202, suscrito por el Magistrado Gerardo Rubén Alfaro Vargas, rector de Justicia Restaurativa</w:t>
      </w:r>
      <w:r w:rsidR="00AF26DA" w:rsidRPr="00AF26DA">
        <w:rPr>
          <w:rFonts w:ascii="Arial Narrow" w:hAnsi="Arial Narrow"/>
        </w:rPr>
        <w:t xml:space="preserve"> </w:t>
      </w:r>
      <w:r w:rsidR="00AF26DA" w:rsidRPr="00763BCA">
        <w:rPr>
          <w:rFonts w:ascii="Arial Narrow" w:hAnsi="Arial Narrow"/>
        </w:rPr>
        <w:t>correo electrónico 6 de octubre 2021</w:t>
      </w:r>
      <w:r w:rsidR="00AF26DA">
        <w:rPr>
          <w:rFonts w:ascii="Arial Narrow" w:hAnsi="Arial Narrow"/>
        </w:rPr>
        <w:t xml:space="preserve">, suscrito </w:t>
      </w:r>
      <w:r w:rsidR="00AF26DA" w:rsidRPr="00763BCA">
        <w:rPr>
          <w:rFonts w:ascii="Arial Narrow" w:hAnsi="Arial Narrow"/>
        </w:rPr>
        <w:t>Licda. Rebeca Guardia Morales, Directora a.í., Escuela Judicial</w:t>
      </w:r>
      <w:r w:rsidR="00AF26DA">
        <w:rPr>
          <w:rFonts w:ascii="Arial Narrow" w:hAnsi="Arial Narrow"/>
        </w:rPr>
        <w:t>,</w:t>
      </w:r>
      <w:r w:rsidR="00AF26DA" w:rsidRPr="00763BCA">
        <w:rPr>
          <w:rFonts w:ascii="Arial Narrow" w:hAnsi="Arial Narrow"/>
        </w:rPr>
        <w:t xml:space="preserve"> correo electrónico 6 de octubre 2021, suscrito por MSc. Juan Carlos Pérez Murillo, Director </w:t>
      </w:r>
      <w:r w:rsidR="00DB0009">
        <w:rPr>
          <w:rFonts w:ascii="Arial Narrow" w:hAnsi="Arial Narrow"/>
        </w:rPr>
        <w:t xml:space="preserve">de la </w:t>
      </w:r>
      <w:r w:rsidR="00AF26DA" w:rsidRPr="00763BCA">
        <w:rPr>
          <w:rFonts w:ascii="Arial Narrow" w:hAnsi="Arial Narrow"/>
        </w:rPr>
        <w:t>Defensa Pública; correo electrónico 6 de octubre 2021, suscrito por máster Maricruz Chacón Cubillo, Directora del Centro de Apoyo, Coordinación y Mejoramiento de la Función Jurisdiccional</w:t>
      </w:r>
      <w:r w:rsidR="00F976DF">
        <w:rPr>
          <w:rFonts w:ascii="Arial Narrow" w:hAnsi="Arial Narrow"/>
        </w:rPr>
        <w:t>;</w:t>
      </w:r>
      <w:r w:rsidR="00C02363">
        <w:rPr>
          <w:rFonts w:ascii="Arial Narrow" w:hAnsi="Arial Narrow"/>
        </w:rPr>
        <w:t xml:space="preserve"> </w:t>
      </w:r>
      <w:r w:rsidR="00F976DF">
        <w:rPr>
          <w:rFonts w:ascii="Arial Narrow" w:hAnsi="Arial Narrow"/>
        </w:rPr>
        <w:t>correo electrónico 11 de octubre 2021, suscrito por Lic. William Cerdas Zuñiga, Administrador Regional de Turrialba.</w:t>
      </w:r>
    </w:p>
    <w:p w14:paraId="17E863A5" w14:textId="1D5D4D4F" w:rsidR="00181AE6" w:rsidRPr="00C9711A" w:rsidRDefault="00181AE6" w:rsidP="00C9711A">
      <w:pPr>
        <w:widowControl w:val="0"/>
        <w:jc w:val="both"/>
        <w:rPr>
          <w:rFonts w:ascii="Arial Narrow" w:hAnsi="Arial Narrow"/>
        </w:rPr>
      </w:pPr>
    </w:p>
    <w:p w14:paraId="336F0DBB" w14:textId="77777777" w:rsidR="00181AE6" w:rsidRPr="00C9711A" w:rsidRDefault="00181AE6" w:rsidP="009C4D33">
      <w:pPr>
        <w:jc w:val="both"/>
        <w:rPr>
          <w:rFonts w:ascii="Arial Narrow" w:hAnsi="Arial Narrow"/>
        </w:rPr>
      </w:pPr>
    </w:p>
    <w:p w14:paraId="4BE33A9B" w14:textId="77777777" w:rsidR="009C4D33" w:rsidRPr="00C9711A" w:rsidRDefault="009C4D33" w:rsidP="009C4D33">
      <w:pPr>
        <w:jc w:val="both"/>
        <w:rPr>
          <w:rFonts w:ascii="Arial Narrow" w:hAnsi="Arial Narrow"/>
        </w:rPr>
      </w:pPr>
    </w:p>
    <w:p w14:paraId="674C24F2" w14:textId="77777777" w:rsidR="009C4D33" w:rsidRPr="00C9711A" w:rsidRDefault="009C4D33" w:rsidP="009C4D33">
      <w:pPr>
        <w:jc w:val="both"/>
        <w:rPr>
          <w:rFonts w:ascii="Arial Narrow" w:hAnsi="Arial Narrow"/>
        </w:rPr>
      </w:pPr>
      <w:r w:rsidRPr="00C9711A">
        <w:rPr>
          <w:rFonts w:ascii="Arial Narrow" w:hAnsi="Arial Narrow"/>
        </w:rPr>
        <w:t>Seguidamente se presentan las observaciones remitidas y el criterio de la Dirección de Planificación:</w:t>
      </w:r>
    </w:p>
    <w:p w14:paraId="6F32538B" w14:textId="2A754B8A" w:rsidR="009C4D33" w:rsidRPr="00C9711A" w:rsidRDefault="009C4D33" w:rsidP="009C4D33">
      <w:pPr>
        <w:jc w:val="both"/>
        <w:rPr>
          <w:rFonts w:ascii="Arial Narrow" w:hAnsi="Arial Narrow"/>
        </w:rPr>
      </w:pPr>
    </w:p>
    <w:p w14:paraId="70DFC146" w14:textId="530699F5" w:rsidR="001B4175" w:rsidRPr="00C9711A" w:rsidRDefault="001B4175" w:rsidP="009C4D33">
      <w:pPr>
        <w:jc w:val="both"/>
        <w:rPr>
          <w:rFonts w:ascii="Arial Narrow" w:hAnsi="Arial Narrow"/>
        </w:rPr>
      </w:pPr>
    </w:p>
    <w:p w14:paraId="3F4D2BD6" w14:textId="0E9796CC" w:rsidR="001B4175" w:rsidRPr="00C9711A" w:rsidRDefault="001B4175" w:rsidP="009C4D33">
      <w:pPr>
        <w:jc w:val="both"/>
        <w:rPr>
          <w:rFonts w:ascii="Arial Narrow" w:hAnsi="Arial Narrow"/>
        </w:rPr>
      </w:pPr>
    </w:p>
    <w:p w14:paraId="3CAF209A" w14:textId="77777777" w:rsidR="001B4175" w:rsidRDefault="001B4175" w:rsidP="009C4D33">
      <w:pPr>
        <w:jc w:val="both"/>
        <w:rPr>
          <w:rFonts w:ascii="Book Antiqua" w:hAnsi="Book Antiqua"/>
        </w:rPr>
      </w:pPr>
    </w:p>
    <w:p w14:paraId="78BBF075" w14:textId="77777777" w:rsidR="009C4D33" w:rsidRDefault="009C4D33" w:rsidP="009C4D33">
      <w:pPr>
        <w:jc w:val="both"/>
        <w:rPr>
          <w:rFonts w:ascii="Book Antiqua" w:hAnsi="Book Antiqua"/>
        </w:rPr>
      </w:pPr>
    </w:p>
    <w:tbl>
      <w:tblPr>
        <w:tblW w:w="5872" w:type="pct"/>
        <w:tblInd w:w="-714" w:type="dxa"/>
        <w:tblLayout w:type="fixed"/>
        <w:tblCellMar>
          <w:left w:w="70" w:type="dxa"/>
          <w:right w:w="70" w:type="dxa"/>
        </w:tblCellMar>
        <w:tblLook w:val="04A0" w:firstRow="1" w:lastRow="0" w:firstColumn="1" w:lastColumn="0" w:noHBand="0" w:noVBand="1"/>
      </w:tblPr>
      <w:tblGrid>
        <w:gridCol w:w="1998"/>
        <w:gridCol w:w="801"/>
        <w:gridCol w:w="3855"/>
        <w:gridCol w:w="2066"/>
        <w:gridCol w:w="1922"/>
        <w:gridCol w:w="166"/>
      </w:tblGrid>
      <w:tr w:rsidR="009C4265" w:rsidRPr="009C4265" w14:paraId="2C80519E" w14:textId="77777777" w:rsidTr="00B963AA">
        <w:trPr>
          <w:gridAfter w:val="1"/>
          <w:wAfter w:w="77" w:type="pct"/>
          <w:trHeight w:val="1040"/>
          <w:tblHeader/>
        </w:trPr>
        <w:tc>
          <w:tcPr>
            <w:tcW w:w="924" w:type="pct"/>
            <w:tcBorders>
              <w:top w:val="single" w:sz="4" w:space="0" w:color="auto"/>
              <w:left w:val="single" w:sz="4" w:space="0" w:color="auto"/>
              <w:bottom w:val="single" w:sz="4" w:space="0" w:color="auto"/>
              <w:right w:val="single" w:sz="4" w:space="0" w:color="auto"/>
            </w:tcBorders>
            <w:shd w:val="clear" w:color="000000" w:fill="1F3864"/>
            <w:vAlign w:val="center"/>
            <w:hideMark/>
          </w:tcPr>
          <w:p w14:paraId="2973A61F" w14:textId="77777777" w:rsidR="009C4265" w:rsidRPr="009C4265" w:rsidRDefault="009C4265" w:rsidP="009C4265">
            <w:pPr>
              <w:jc w:val="center"/>
              <w:rPr>
                <w:rFonts w:ascii="Arial Narrow" w:hAnsi="Arial Narrow" w:cs="Calibri"/>
                <w:b/>
                <w:bCs/>
                <w:sz w:val="22"/>
                <w:szCs w:val="22"/>
                <w:lang w:val="es-CR" w:eastAsia="es-CR"/>
              </w:rPr>
            </w:pPr>
            <w:r w:rsidRPr="009C4265">
              <w:rPr>
                <w:rFonts w:ascii="Arial Narrow" w:hAnsi="Arial Narrow" w:cs="Calibri"/>
                <w:b/>
                <w:bCs/>
                <w:sz w:val="22"/>
                <w:szCs w:val="22"/>
                <w:lang w:eastAsia="es-CR"/>
              </w:rPr>
              <w:lastRenderedPageBreak/>
              <w:t>Parte interesada que remite la observación</w:t>
            </w:r>
          </w:p>
        </w:tc>
        <w:tc>
          <w:tcPr>
            <w:tcW w:w="370" w:type="pct"/>
            <w:tcBorders>
              <w:top w:val="single" w:sz="4" w:space="0" w:color="auto"/>
              <w:left w:val="nil"/>
              <w:bottom w:val="single" w:sz="4" w:space="0" w:color="auto"/>
              <w:right w:val="single" w:sz="4" w:space="0" w:color="auto"/>
            </w:tcBorders>
            <w:shd w:val="clear" w:color="000000" w:fill="1F3864"/>
            <w:vAlign w:val="center"/>
            <w:hideMark/>
          </w:tcPr>
          <w:p w14:paraId="54B8AB88" w14:textId="77777777" w:rsidR="009C4265" w:rsidRPr="009C4265" w:rsidRDefault="009C4265" w:rsidP="009C4265">
            <w:pPr>
              <w:jc w:val="center"/>
              <w:rPr>
                <w:rFonts w:ascii="Arial Narrow" w:hAnsi="Arial Narrow" w:cs="Calibri"/>
                <w:b/>
                <w:bCs/>
                <w:sz w:val="22"/>
                <w:szCs w:val="22"/>
                <w:lang w:val="es-CR" w:eastAsia="es-CR"/>
              </w:rPr>
            </w:pPr>
            <w:r w:rsidRPr="009C4265">
              <w:rPr>
                <w:rFonts w:ascii="Arial Narrow" w:hAnsi="Arial Narrow" w:cs="Calibri"/>
                <w:b/>
                <w:bCs/>
                <w:sz w:val="22"/>
                <w:szCs w:val="22"/>
                <w:lang w:val="es-ES" w:eastAsia="es-CR"/>
              </w:rPr>
              <w:t>Página</w:t>
            </w:r>
          </w:p>
        </w:tc>
        <w:tc>
          <w:tcPr>
            <w:tcW w:w="1783" w:type="pct"/>
            <w:tcBorders>
              <w:top w:val="single" w:sz="4" w:space="0" w:color="auto"/>
              <w:left w:val="nil"/>
              <w:bottom w:val="single" w:sz="4" w:space="0" w:color="auto"/>
              <w:right w:val="single" w:sz="4" w:space="0" w:color="auto"/>
            </w:tcBorders>
            <w:shd w:val="clear" w:color="000000" w:fill="1F3864"/>
            <w:vAlign w:val="center"/>
            <w:hideMark/>
          </w:tcPr>
          <w:p w14:paraId="4B996A0E" w14:textId="77777777" w:rsidR="009C4265" w:rsidRPr="009C4265" w:rsidRDefault="009C4265" w:rsidP="009C4265">
            <w:pPr>
              <w:jc w:val="center"/>
              <w:rPr>
                <w:rFonts w:ascii="Arial Narrow" w:hAnsi="Arial Narrow" w:cs="Calibri"/>
                <w:b/>
                <w:bCs/>
                <w:sz w:val="22"/>
                <w:szCs w:val="22"/>
                <w:lang w:val="es-CR" w:eastAsia="es-CR"/>
              </w:rPr>
            </w:pPr>
            <w:r w:rsidRPr="009C4265">
              <w:rPr>
                <w:rFonts w:ascii="Arial Narrow" w:hAnsi="Arial Narrow" w:cs="Calibri"/>
                <w:b/>
                <w:bCs/>
                <w:sz w:val="22"/>
                <w:szCs w:val="22"/>
                <w:lang w:val="es-ES" w:eastAsia="es-CR"/>
              </w:rPr>
              <w:t xml:space="preserve">Párrafo </w:t>
            </w:r>
          </w:p>
        </w:tc>
        <w:tc>
          <w:tcPr>
            <w:tcW w:w="956" w:type="pct"/>
            <w:tcBorders>
              <w:top w:val="single" w:sz="4" w:space="0" w:color="auto"/>
              <w:left w:val="nil"/>
              <w:bottom w:val="single" w:sz="4" w:space="0" w:color="auto"/>
              <w:right w:val="single" w:sz="4" w:space="0" w:color="auto"/>
            </w:tcBorders>
            <w:shd w:val="clear" w:color="000000" w:fill="1F3864"/>
            <w:vAlign w:val="center"/>
            <w:hideMark/>
          </w:tcPr>
          <w:p w14:paraId="57867945" w14:textId="77777777" w:rsidR="009C4265" w:rsidRPr="009C4265" w:rsidRDefault="009C4265" w:rsidP="009C4265">
            <w:pPr>
              <w:jc w:val="center"/>
              <w:rPr>
                <w:rFonts w:ascii="Arial Narrow" w:hAnsi="Arial Narrow" w:cs="Calibri"/>
                <w:b/>
                <w:bCs/>
                <w:sz w:val="22"/>
                <w:szCs w:val="22"/>
                <w:lang w:val="es-CR" w:eastAsia="es-CR"/>
              </w:rPr>
            </w:pPr>
            <w:r w:rsidRPr="009C4265">
              <w:rPr>
                <w:rFonts w:ascii="Arial Narrow" w:hAnsi="Arial Narrow" w:cs="Calibri"/>
                <w:b/>
                <w:bCs/>
                <w:sz w:val="22"/>
                <w:szCs w:val="22"/>
                <w:lang w:val="es-ES" w:eastAsia="es-CR"/>
              </w:rPr>
              <w:t xml:space="preserve">Observación concreta  </w:t>
            </w:r>
          </w:p>
        </w:tc>
        <w:tc>
          <w:tcPr>
            <w:tcW w:w="889" w:type="pct"/>
            <w:tcBorders>
              <w:top w:val="single" w:sz="4" w:space="0" w:color="auto"/>
              <w:left w:val="nil"/>
              <w:bottom w:val="single" w:sz="4" w:space="0" w:color="auto"/>
              <w:right w:val="single" w:sz="4" w:space="0" w:color="auto"/>
            </w:tcBorders>
            <w:shd w:val="clear" w:color="000000" w:fill="1F3864"/>
            <w:vAlign w:val="center"/>
            <w:hideMark/>
          </w:tcPr>
          <w:p w14:paraId="5CE73244" w14:textId="77777777" w:rsidR="009C4265" w:rsidRPr="009C4265" w:rsidRDefault="009C4265" w:rsidP="009C4265">
            <w:pPr>
              <w:jc w:val="center"/>
              <w:rPr>
                <w:rFonts w:ascii="Arial Narrow" w:hAnsi="Arial Narrow" w:cs="Calibri"/>
                <w:b/>
                <w:bCs/>
                <w:sz w:val="22"/>
                <w:szCs w:val="22"/>
                <w:lang w:val="es-CR" w:eastAsia="es-CR"/>
              </w:rPr>
            </w:pPr>
            <w:r w:rsidRPr="009C4265">
              <w:rPr>
                <w:rFonts w:ascii="Arial Narrow" w:hAnsi="Arial Narrow" w:cs="Calibri"/>
                <w:b/>
                <w:bCs/>
                <w:sz w:val="22"/>
                <w:szCs w:val="22"/>
                <w:lang w:eastAsia="es-CR"/>
              </w:rPr>
              <w:t>Criterio de Planificación</w:t>
            </w:r>
          </w:p>
        </w:tc>
      </w:tr>
      <w:tr w:rsidR="009C4265" w:rsidRPr="009C4265" w14:paraId="4AB355E6" w14:textId="77777777" w:rsidTr="00C9711A">
        <w:trPr>
          <w:gridAfter w:val="1"/>
          <w:wAfter w:w="77" w:type="pct"/>
          <w:trHeight w:val="290"/>
        </w:trPr>
        <w:tc>
          <w:tcPr>
            <w:tcW w:w="924" w:type="pct"/>
            <w:tcBorders>
              <w:top w:val="nil"/>
              <w:left w:val="single" w:sz="4" w:space="0" w:color="auto"/>
              <w:bottom w:val="single" w:sz="4" w:space="0" w:color="auto"/>
              <w:right w:val="single" w:sz="4" w:space="0" w:color="auto"/>
            </w:tcBorders>
            <w:shd w:val="clear" w:color="auto" w:fill="auto"/>
            <w:noWrap/>
            <w:hideMark/>
          </w:tcPr>
          <w:p w14:paraId="51C7D7FD" w14:textId="12308F1D" w:rsidR="009C4265" w:rsidRPr="009C4265" w:rsidRDefault="009C4265" w:rsidP="00C9711A">
            <w:pPr>
              <w:jc w:val="both"/>
              <w:rPr>
                <w:rFonts w:ascii="Arial Narrow" w:hAnsi="Arial Narrow" w:cs="Calibri"/>
                <w:sz w:val="22"/>
                <w:szCs w:val="22"/>
                <w:lang w:val="es-CR" w:eastAsia="es-CR"/>
              </w:rPr>
            </w:pPr>
            <w:r w:rsidRPr="009C4265">
              <w:rPr>
                <w:rFonts w:ascii="Arial Narrow" w:hAnsi="Arial Narrow" w:cs="Calibri"/>
                <w:sz w:val="22"/>
                <w:szCs w:val="22"/>
                <w:lang w:val="es-CR" w:eastAsia="es-CR"/>
              </w:rPr>
              <w:t>Administración Regional de Puntarenas</w:t>
            </w:r>
          </w:p>
        </w:tc>
        <w:tc>
          <w:tcPr>
            <w:tcW w:w="370" w:type="pct"/>
            <w:tcBorders>
              <w:top w:val="nil"/>
              <w:left w:val="nil"/>
              <w:bottom w:val="single" w:sz="4" w:space="0" w:color="auto"/>
              <w:right w:val="single" w:sz="4" w:space="0" w:color="auto"/>
            </w:tcBorders>
            <w:shd w:val="clear" w:color="auto" w:fill="auto"/>
            <w:noWrap/>
            <w:hideMark/>
          </w:tcPr>
          <w:p w14:paraId="7AB5EA96" w14:textId="77777777" w:rsidR="009C4265" w:rsidRPr="009C4265" w:rsidRDefault="009C4265" w:rsidP="00C9711A">
            <w:pPr>
              <w:jc w:val="both"/>
              <w:rPr>
                <w:rFonts w:ascii="Arial Narrow" w:hAnsi="Arial Narrow" w:cs="Calibri"/>
                <w:sz w:val="22"/>
                <w:szCs w:val="22"/>
                <w:lang w:val="es-CR" w:eastAsia="es-CR"/>
              </w:rPr>
            </w:pPr>
            <w:r w:rsidRPr="009C4265">
              <w:rPr>
                <w:rFonts w:ascii="Arial Narrow" w:hAnsi="Arial Narrow" w:cs="Calibri"/>
                <w:sz w:val="22"/>
                <w:szCs w:val="22"/>
                <w:lang w:val="es-CR" w:eastAsia="es-CR"/>
              </w:rPr>
              <w:t>-</w:t>
            </w:r>
          </w:p>
        </w:tc>
        <w:tc>
          <w:tcPr>
            <w:tcW w:w="1783" w:type="pct"/>
            <w:tcBorders>
              <w:top w:val="nil"/>
              <w:left w:val="nil"/>
              <w:bottom w:val="single" w:sz="4" w:space="0" w:color="auto"/>
              <w:right w:val="single" w:sz="4" w:space="0" w:color="auto"/>
            </w:tcBorders>
            <w:shd w:val="clear" w:color="auto" w:fill="auto"/>
            <w:noWrap/>
            <w:hideMark/>
          </w:tcPr>
          <w:p w14:paraId="2FF568FD" w14:textId="77777777" w:rsidR="009C4265" w:rsidRPr="009C4265" w:rsidRDefault="009C4265" w:rsidP="00C9711A">
            <w:pPr>
              <w:jc w:val="both"/>
              <w:rPr>
                <w:rFonts w:ascii="Arial Narrow" w:hAnsi="Arial Narrow" w:cs="Calibri"/>
                <w:sz w:val="22"/>
                <w:szCs w:val="22"/>
                <w:lang w:val="es-CR" w:eastAsia="es-CR"/>
              </w:rPr>
            </w:pPr>
            <w:r w:rsidRPr="009C4265">
              <w:rPr>
                <w:rFonts w:ascii="Arial Narrow" w:hAnsi="Arial Narrow" w:cs="Calibri"/>
                <w:sz w:val="22"/>
                <w:szCs w:val="22"/>
                <w:lang w:val="es-CR" w:eastAsia="es-CR"/>
              </w:rPr>
              <w:t>-</w:t>
            </w:r>
          </w:p>
        </w:tc>
        <w:tc>
          <w:tcPr>
            <w:tcW w:w="956" w:type="pct"/>
            <w:tcBorders>
              <w:top w:val="nil"/>
              <w:left w:val="nil"/>
              <w:bottom w:val="single" w:sz="4" w:space="0" w:color="auto"/>
              <w:right w:val="single" w:sz="4" w:space="0" w:color="auto"/>
            </w:tcBorders>
            <w:shd w:val="clear" w:color="auto" w:fill="auto"/>
            <w:noWrap/>
            <w:hideMark/>
          </w:tcPr>
          <w:p w14:paraId="74C98C59" w14:textId="6BEF0C92" w:rsidR="009C4265" w:rsidRPr="009C4265" w:rsidRDefault="009C4265" w:rsidP="00C9711A">
            <w:pPr>
              <w:jc w:val="both"/>
              <w:rPr>
                <w:rFonts w:ascii="Arial Narrow" w:hAnsi="Arial Narrow" w:cs="Calibri"/>
                <w:sz w:val="22"/>
                <w:szCs w:val="22"/>
                <w:lang w:val="es-CR" w:eastAsia="es-CR"/>
              </w:rPr>
            </w:pPr>
            <w:r w:rsidRPr="009C4265">
              <w:rPr>
                <w:rFonts w:ascii="Arial Narrow" w:hAnsi="Arial Narrow" w:cs="Calibri"/>
                <w:sz w:val="22"/>
                <w:szCs w:val="22"/>
                <w:lang w:val="es-CR" w:eastAsia="es-CR"/>
              </w:rPr>
              <w:t>No existen Observaciones</w:t>
            </w:r>
          </w:p>
        </w:tc>
        <w:tc>
          <w:tcPr>
            <w:tcW w:w="889" w:type="pct"/>
            <w:tcBorders>
              <w:top w:val="nil"/>
              <w:left w:val="nil"/>
              <w:bottom w:val="single" w:sz="4" w:space="0" w:color="auto"/>
              <w:right w:val="single" w:sz="4" w:space="0" w:color="auto"/>
            </w:tcBorders>
            <w:shd w:val="clear" w:color="auto" w:fill="auto"/>
            <w:noWrap/>
            <w:hideMark/>
          </w:tcPr>
          <w:p w14:paraId="731A1562" w14:textId="77777777" w:rsidR="009C4265" w:rsidRPr="009C4265" w:rsidRDefault="009C4265" w:rsidP="00C9711A">
            <w:pPr>
              <w:jc w:val="both"/>
              <w:rPr>
                <w:rFonts w:ascii="Arial Narrow" w:hAnsi="Arial Narrow" w:cs="Calibri"/>
                <w:sz w:val="22"/>
                <w:szCs w:val="22"/>
                <w:lang w:val="es-CR" w:eastAsia="es-CR"/>
              </w:rPr>
            </w:pPr>
            <w:r w:rsidRPr="009C4265">
              <w:rPr>
                <w:rFonts w:ascii="Arial Narrow" w:hAnsi="Arial Narrow" w:cs="Calibri"/>
                <w:sz w:val="22"/>
                <w:szCs w:val="22"/>
                <w:lang w:val="es-CR" w:eastAsia="es-CR"/>
              </w:rPr>
              <w:t>N/A</w:t>
            </w:r>
          </w:p>
        </w:tc>
      </w:tr>
      <w:tr w:rsidR="009C4265" w:rsidRPr="009C4265" w14:paraId="3435E389" w14:textId="77777777" w:rsidTr="00C9711A">
        <w:trPr>
          <w:gridAfter w:val="1"/>
          <w:wAfter w:w="77" w:type="pct"/>
          <w:trHeight w:val="290"/>
        </w:trPr>
        <w:tc>
          <w:tcPr>
            <w:tcW w:w="924" w:type="pct"/>
            <w:tcBorders>
              <w:top w:val="nil"/>
              <w:left w:val="single" w:sz="4" w:space="0" w:color="auto"/>
              <w:bottom w:val="single" w:sz="4" w:space="0" w:color="auto"/>
              <w:right w:val="single" w:sz="4" w:space="0" w:color="auto"/>
            </w:tcBorders>
            <w:shd w:val="clear" w:color="auto" w:fill="auto"/>
            <w:noWrap/>
            <w:hideMark/>
          </w:tcPr>
          <w:p w14:paraId="5CF337C9" w14:textId="4CC2305A" w:rsidR="009C4265" w:rsidRPr="009C4265" w:rsidRDefault="009C4265" w:rsidP="00C9711A">
            <w:pPr>
              <w:jc w:val="both"/>
              <w:rPr>
                <w:rFonts w:ascii="Arial Narrow" w:hAnsi="Arial Narrow" w:cs="Calibri"/>
                <w:sz w:val="22"/>
                <w:szCs w:val="22"/>
                <w:lang w:val="es-CR" w:eastAsia="es-CR"/>
              </w:rPr>
            </w:pPr>
            <w:r w:rsidRPr="009C4265">
              <w:rPr>
                <w:rFonts w:ascii="Arial Narrow" w:hAnsi="Arial Narrow" w:cs="Calibri"/>
                <w:sz w:val="22"/>
                <w:szCs w:val="22"/>
                <w:lang w:val="es-CR" w:eastAsia="es-CR"/>
              </w:rPr>
              <w:t>Administración Regional de Grecia</w:t>
            </w:r>
          </w:p>
        </w:tc>
        <w:tc>
          <w:tcPr>
            <w:tcW w:w="370" w:type="pct"/>
            <w:tcBorders>
              <w:top w:val="nil"/>
              <w:left w:val="nil"/>
              <w:bottom w:val="single" w:sz="4" w:space="0" w:color="auto"/>
              <w:right w:val="single" w:sz="4" w:space="0" w:color="auto"/>
            </w:tcBorders>
            <w:shd w:val="clear" w:color="auto" w:fill="auto"/>
            <w:noWrap/>
            <w:hideMark/>
          </w:tcPr>
          <w:p w14:paraId="79B0150C" w14:textId="77777777" w:rsidR="009C4265" w:rsidRPr="009C4265" w:rsidRDefault="009C4265" w:rsidP="00C9711A">
            <w:pPr>
              <w:jc w:val="both"/>
              <w:rPr>
                <w:rFonts w:ascii="Arial Narrow" w:hAnsi="Arial Narrow" w:cs="Calibri"/>
                <w:sz w:val="22"/>
                <w:szCs w:val="22"/>
                <w:lang w:val="es-CR" w:eastAsia="es-CR"/>
              </w:rPr>
            </w:pPr>
            <w:r w:rsidRPr="009C4265">
              <w:rPr>
                <w:rFonts w:ascii="Arial Narrow" w:hAnsi="Arial Narrow" w:cs="Calibri"/>
                <w:sz w:val="22"/>
                <w:szCs w:val="22"/>
                <w:lang w:val="es-CR" w:eastAsia="es-CR"/>
              </w:rPr>
              <w:t>-</w:t>
            </w:r>
          </w:p>
        </w:tc>
        <w:tc>
          <w:tcPr>
            <w:tcW w:w="1783" w:type="pct"/>
            <w:tcBorders>
              <w:top w:val="nil"/>
              <w:left w:val="nil"/>
              <w:bottom w:val="single" w:sz="4" w:space="0" w:color="auto"/>
              <w:right w:val="single" w:sz="4" w:space="0" w:color="auto"/>
            </w:tcBorders>
            <w:shd w:val="clear" w:color="auto" w:fill="auto"/>
            <w:noWrap/>
            <w:hideMark/>
          </w:tcPr>
          <w:p w14:paraId="7324774D" w14:textId="77777777" w:rsidR="009C4265" w:rsidRPr="009C4265" w:rsidRDefault="009C4265" w:rsidP="00C9711A">
            <w:pPr>
              <w:jc w:val="both"/>
              <w:rPr>
                <w:rFonts w:ascii="Arial Narrow" w:hAnsi="Arial Narrow" w:cs="Calibri"/>
                <w:sz w:val="22"/>
                <w:szCs w:val="22"/>
                <w:lang w:val="es-CR" w:eastAsia="es-CR"/>
              </w:rPr>
            </w:pPr>
            <w:r w:rsidRPr="009C4265">
              <w:rPr>
                <w:rFonts w:ascii="Arial Narrow" w:hAnsi="Arial Narrow" w:cs="Calibri"/>
                <w:sz w:val="22"/>
                <w:szCs w:val="22"/>
                <w:lang w:val="es-CR" w:eastAsia="es-CR"/>
              </w:rPr>
              <w:t>-</w:t>
            </w:r>
          </w:p>
        </w:tc>
        <w:tc>
          <w:tcPr>
            <w:tcW w:w="956" w:type="pct"/>
            <w:tcBorders>
              <w:top w:val="nil"/>
              <w:left w:val="nil"/>
              <w:bottom w:val="single" w:sz="4" w:space="0" w:color="auto"/>
              <w:right w:val="single" w:sz="4" w:space="0" w:color="auto"/>
            </w:tcBorders>
            <w:shd w:val="clear" w:color="auto" w:fill="auto"/>
            <w:noWrap/>
            <w:hideMark/>
          </w:tcPr>
          <w:p w14:paraId="5901AE3F" w14:textId="50C5DB83" w:rsidR="009C4265" w:rsidRPr="009C4265" w:rsidRDefault="009C4265" w:rsidP="00C9711A">
            <w:pPr>
              <w:jc w:val="both"/>
              <w:rPr>
                <w:rFonts w:ascii="Arial Narrow" w:hAnsi="Arial Narrow" w:cs="Calibri"/>
                <w:sz w:val="22"/>
                <w:szCs w:val="22"/>
                <w:lang w:val="es-CR" w:eastAsia="es-CR"/>
              </w:rPr>
            </w:pPr>
            <w:r w:rsidRPr="009C4265">
              <w:rPr>
                <w:rFonts w:ascii="Arial Narrow" w:hAnsi="Arial Narrow" w:cs="Calibri"/>
                <w:sz w:val="22"/>
                <w:szCs w:val="22"/>
                <w:lang w:val="es-CR" w:eastAsia="es-CR"/>
              </w:rPr>
              <w:t>No se tienen Observaciones</w:t>
            </w:r>
          </w:p>
        </w:tc>
        <w:tc>
          <w:tcPr>
            <w:tcW w:w="889" w:type="pct"/>
            <w:tcBorders>
              <w:top w:val="nil"/>
              <w:left w:val="nil"/>
              <w:bottom w:val="single" w:sz="4" w:space="0" w:color="auto"/>
              <w:right w:val="single" w:sz="4" w:space="0" w:color="auto"/>
            </w:tcBorders>
            <w:shd w:val="clear" w:color="auto" w:fill="auto"/>
            <w:noWrap/>
            <w:hideMark/>
          </w:tcPr>
          <w:p w14:paraId="308688AB" w14:textId="77777777" w:rsidR="009C4265" w:rsidRPr="009C4265" w:rsidRDefault="009C4265" w:rsidP="00C9711A">
            <w:pPr>
              <w:jc w:val="both"/>
              <w:rPr>
                <w:rFonts w:ascii="Arial Narrow" w:hAnsi="Arial Narrow" w:cs="Calibri"/>
                <w:sz w:val="22"/>
                <w:szCs w:val="22"/>
                <w:lang w:val="es-CR" w:eastAsia="es-CR"/>
              </w:rPr>
            </w:pPr>
            <w:r w:rsidRPr="009C4265">
              <w:rPr>
                <w:rFonts w:ascii="Arial Narrow" w:hAnsi="Arial Narrow" w:cs="Calibri"/>
                <w:sz w:val="22"/>
                <w:szCs w:val="22"/>
                <w:lang w:val="es-CR" w:eastAsia="es-CR"/>
              </w:rPr>
              <w:t>N/A</w:t>
            </w:r>
          </w:p>
        </w:tc>
      </w:tr>
      <w:tr w:rsidR="009C4265" w:rsidRPr="009C4265" w14:paraId="0FB17FC8" w14:textId="77777777" w:rsidTr="00C9711A">
        <w:trPr>
          <w:gridAfter w:val="1"/>
          <w:wAfter w:w="77" w:type="pct"/>
          <w:trHeight w:val="8190"/>
        </w:trPr>
        <w:tc>
          <w:tcPr>
            <w:tcW w:w="924" w:type="pct"/>
            <w:vMerge w:val="restart"/>
            <w:tcBorders>
              <w:top w:val="nil"/>
              <w:left w:val="single" w:sz="4" w:space="0" w:color="auto"/>
              <w:bottom w:val="single" w:sz="4" w:space="0" w:color="auto"/>
              <w:right w:val="single" w:sz="4" w:space="0" w:color="auto"/>
            </w:tcBorders>
            <w:shd w:val="clear" w:color="auto" w:fill="auto"/>
            <w:hideMark/>
          </w:tcPr>
          <w:p w14:paraId="1266C954" w14:textId="5183233B" w:rsidR="009C4265" w:rsidRPr="009C4265" w:rsidRDefault="009C4265" w:rsidP="00C9711A">
            <w:pPr>
              <w:jc w:val="both"/>
              <w:rPr>
                <w:rFonts w:ascii="Arial Narrow" w:hAnsi="Arial Narrow" w:cs="Calibri"/>
                <w:sz w:val="22"/>
                <w:szCs w:val="22"/>
                <w:lang w:val="es-CR" w:eastAsia="es-CR"/>
              </w:rPr>
            </w:pPr>
            <w:r w:rsidRPr="009C4265">
              <w:rPr>
                <w:rFonts w:ascii="Arial Narrow" w:hAnsi="Arial Narrow" w:cs="Calibri"/>
                <w:sz w:val="22"/>
                <w:szCs w:val="22"/>
                <w:lang w:val="es-CR" w:eastAsia="es-CR"/>
              </w:rPr>
              <w:t>Dirección</w:t>
            </w:r>
            <w:r w:rsidRPr="009C4265">
              <w:rPr>
                <w:rFonts w:ascii="Arial Narrow" w:hAnsi="Arial Narrow" w:cs="Calibri"/>
                <w:sz w:val="22"/>
                <w:szCs w:val="22"/>
                <w:lang w:val="es-CR" w:eastAsia="es-CR"/>
              </w:rPr>
              <w:br/>
              <w:t xml:space="preserve"> Ejecutiva</w:t>
            </w:r>
          </w:p>
        </w:tc>
        <w:tc>
          <w:tcPr>
            <w:tcW w:w="370" w:type="pct"/>
            <w:tcBorders>
              <w:top w:val="nil"/>
              <w:left w:val="nil"/>
              <w:bottom w:val="single" w:sz="4" w:space="0" w:color="auto"/>
              <w:right w:val="single" w:sz="4" w:space="0" w:color="auto"/>
            </w:tcBorders>
            <w:shd w:val="clear" w:color="auto" w:fill="auto"/>
            <w:hideMark/>
          </w:tcPr>
          <w:p w14:paraId="0C4644BB" w14:textId="77777777" w:rsidR="009C4265" w:rsidRPr="009C4265" w:rsidRDefault="009C4265" w:rsidP="00C9711A">
            <w:pPr>
              <w:jc w:val="both"/>
              <w:rPr>
                <w:rFonts w:ascii="Arial Narrow" w:hAnsi="Arial Narrow" w:cs="Calibri"/>
                <w:sz w:val="22"/>
                <w:szCs w:val="22"/>
                <w:lang w:val="es-CR" w:eastAsia="es-CR"/>
              </w:rPr>
            </w:pPr>
            <w:r w:rsidRPr="009C4265">
              <w:rPr>
                <w:rFonts w:ascii="Arial Narrow" w:hAnsi="Arial Narrow" w:cs="Calibri"/>
                <w:sz w:val="22"/>
                <w:szCs w:val="22"/>
                <w:lang w:val="es-ES" w:eastAsia="es-CR"/>
              </w:rPr>
              <w:t>303</w:t>
            </w:r>
          </w:p>
        </w:tc>
        <w:tc>
          <w:tcPr>
            <w:tcW w:w="1783" w:type="pct"/>
            <w:tcBorders>
              <w:top w:val="nil"/>
              <w:left w:val="nil"/>
              <w:bottom w:val="single" w:sz="4" w:space="0" w:color="auto"/>
              <w:right w:val="single" w:sz="4" w:space="0" w:color="auto"/>
            </w:tcBorders>
            <w:shd w:val="clear" w:color="auto" w:fill="auto"/>
            <w:hideMark/>
          </w:tcPr>
          <w:p w14:paraId="7EC769A9" w14:textId="77777777" w:rsidR="009C4265" w:rsidRPr="009C4265" w:rsidRDefault="009C4265" w:rsidP="006A146B">
            <w:pPr>
              <w:jc w:val="both"/>
              <w:rPr>
                <w:rFonts w:ascii="Arial Narrow" w:hAnsi="Arial Narrow" w:cs="Calibri"/>
                <w:sz w:val="22"/>
                <w:szCs w:val="22"/>
                <w:lang w:val="es-CR" w:eastAsia="es-CR"/>
              </w:rPr>
            </w:pPr>
            <w:r w:rsidRPr="009C4265">
              <w:rPr>
                <w:rFonts w:ascii="Arial Narrow" w:hAnsi="Arial Narrow" w:cs="Calibri"/>
                <w:sz w:val="22"/>
                <w:szCs w:val="22"/>
                <w:lang w:eastAsia="es-CR"/>
              </w:rPr>
              <w:t>Se haya desarrollado una aplicación móvil para el Servicio Nacional de Facilitadoras y Facilitadores Judiciales, que se integre con el Sistema de Gestión para la recopilación de la información de las acciones realizadas por las personas facilitadoras judiciales y sea una herramienta de autoaprendizaje.</w:t>
            </w:r>
          </w:p>
        </w:tc>
        <w:tc>
          <w:tcPr>
            <w:tcW w:w="956" w:type="pct"/>
            <w:tcBorders>
              <w:top w:val="nil"/>
              <w:left w:val="nil"/>
              <w:bottom w:val="single" w:sz="4" w:space="0" w:color="auto"/>
              <w:right w:val="single" w:sz="4" w:space="0" w:color="auto"/>
            </w:tcBorders>
            <w:shd w:val="clear" w:color="auto" w:fill="auto"/>
            <w:hideMark/>
          </w:tcPr>
          <w:p w14:paraId="432D6D48" w14:textId="77777777" w:rsidR="009C4265" w:rsidRPr="009C4265" w:rsidRDefault="009C4265" w:rsidP="00BF6E93">
            <w:pPr>
              <w:jc w:val="both"/>
              <w:rPr>
                <w:rFonts w:ascii="Arial Narrow" w:hAnsi="Arial Narrow" w:cs="Calibri"/>
                <w:sz w:val="22"/>
                <w:szCs w:val="22"/>
                <w:lang w:val="es-CR" w:eastAsia="es-CR"/>
              </w:rPr>
            </w:pPr>
            <w:r w:rsidRPr="009C4265">
              <w:rPr>
                <w:rFonts w:ascii="Arial Narrow" w:hAnsi="Arial Narrow" w:cs="Calibri"/>
                <w:sz w:val="22"/>
                <w:szCs w:val="22"/>
                <w:lang w:eastAsia="es-CR"/>
              </w:rPr>
              <w:t>Favor desvincular esta meta de la Dirección Ejecutiva. Cabe indicar que, mediante correo electrónico del 3 de julio del 2019, el MGPP. Melvin Obando Villalobos, jefe del Subproceso de Análisis y Ejecución de la Dirección Ejecutiva, solicitó colaboración a la Dirección de Planificación, para desvincular esta meta de esta Dirección, por cuanto no es nuestra responsabilidad su complimiento.</w:t>
            </w:r>
          </w:p>
        </w:tc>
        <w:tc>
          <w:tcPr>
            <w:tcW w:w="889" w:type="pct"/>
            <w:tcBorders>
              <w:top w:val="nil"/>
              <w:left w:val="nil"/>
              <w:bottom w:val="single" w:sz="4" w:space="0" w:color="auto"/>
              <w:right w:val="single" w:sz="4" w:space="0" w:color="auto"/>
            </w:tcBorders>
            <w:shd w:val="clear" w:color="auto" w:fill="auto"/>
            <w:hideMark/>
          </w:tcPr>
          <w:p w14:paraId="40C64AC8" w14:textId="77777777" w:rsidR="009C4265" w:rsidRPr="009C4265" w:rsidRDefault="009C4265" w:rsidP="00FD024B">
            <w:pPr>
              <w:jc w:val="both"/>
              <w:rPr>
                <w:rFonts w:ascii="Arial Narrow" w:hAnsi="Arial Narrow" w:cs="Calibri"/>
                <w:sz w:val="22"/>
                <w:szCs w:val="22"/>
                <w:lang w:val="es-CR" w:eastAsia="es-CR"/>
              </w:rPr>
            </w:pPr>
            <w:r w:rsidRPr="009C4265">
              <w:rPr>
                <w:rFonts w:ascii="Arial Narrow" w:hAnsi="Arial Narrow" w:cs="Calibri"/>
                <w:sz w:val="22"/>
                <w:szCs w:val="22"/>
                <w:lang w:val="es-CR" w:eastAsia="es-CR"/>
              </w:rPr>
              <w:t>Se toma de la observación.</w:t>
            </w:r>
          </w:p>
          <w:p w14:paraId="122FBC84" w14:textId="32972CC2" w:rsidR="009C4265" w:rsidRPr="009C4265" w:rsidRDefault="009C4265">
            <w:pPr>
              <w:jc w:val="both"/>
              <w:rPr>
                <w:rFonts w:ascii="Arial Narrow" w:hAnsi="Arial Narrow" w:cs="Calibri"/>
                <w:sz w:val="22"/>
                <w:szCs w:val="22"/>
                <w:lang w:val="es-CR" w:eastAsia="es-CR"/>
              </w:rPr>
            </w:pPr>
            <w:r w:rsidRPr="009C4265">
              <w:rPr>
                <w:rFonts w:ascii="Arial Narrow" w:hAnsi="Arial Narrow" w:cs="Calibri"/>
                <w:sz w:val="22"/>
                <w:szCs w:val="22"/>
                <w:lang w:val="es-CR" w:eastAsia="es-CR"/>
              </w:rPr>
              <w:br/>
              <w:t xml:space="preserve">Al respecto se le hace saber que el 05 de octubre del presente año  por medio de correo electrónico </w:t>
            </w:r>
            <w:r w:rsidR="006A146B">
              <w:rPr>
                <w:rFonts w:ascii="Arial Narrow" w:hAnsi="Arial Narrow" w:cs="Calibri"/>
                <w:sz w:val="22"/>
                <w:szCs w:val="22"/>
                <w:lang w:val="es-CR" w:eastAsia="es-CR"/>
              </w:rPr>
              <w:t>bajo el 2369-TR-EV-2021 d</w:t>
            </w:r>
            <w:r w:rsidRPr="009C4265">
              <w:rPr>
                <w:rFonts w:ascii="Arial Narrow" w:hAnsi="Arial Narrow" w:cs="Calibri"/>
                <w:sz w:val="22"/>
                <w:szCs w:val="22"/>
                <w:lang w:val="es-CR" w:eastAsia="es-CR"/>
              </w:rPr>
              <w:t xml:space="preserve">el </w:t>
            </w:r>
            <w:r w:rsidR="00373051">
              <w:rPr>
                <w:rFonts w:ascii="Arial Narrow" w:hAnsi="Arial Narrow" w:cs="Calibri"/>
                <w:sz w:val="22"/>
                <w:szCs w:val="22"/>
                <w:lang w:val="es-CR" w:eastAsia="es-CR"/>
              </w:rPr>
              <w:t>S</w:t>
            </w:r>
            <w:r w:rsidRPr="009C4265">
              <w:rPr>
                <w:rFonts w:ascii="Arial Narrow" w:hAnsi="Arial Narrow" w:cs="Calibri"/>
                <w:sz w:val="22"/>
                <w:szCs w:val="22"/>
                <w:lang w:val="es-CR" w:eastAsia="es-CR"/>
              </w:rPr>
              <w:t xml:space="preserve">ubproceso de Evaluación puso en conocimiento esta observación   al Subproceso de Planificación Estratégica de la Dirección de Planificación y al respecto  </w:t>
            </w:r>
            <w:r w:rsidR="006A146B">
              <w:rPr>
                <w:rFonts w:ascii="Arial Narrow" w:hAnsi="Arial Narrow" w:cs="Calibri"/>
                <w:sz w:val="22"/>
                <w:szCs w:val="22"/>
                <w:lang w:val="es-CR" w:eastAsia="es-CR"/>
              </w:rPr>
              <w:t xml:space="preserve">el Ing. </w:t>
            </w:r>
            <w:r w:rsidRPr="009C4265">
              <w:rPr>
                <w:rFonts w:ascii="Arial Narrow" w:hAnsi="Arial Narrow" w:cs="Calibri"/>
                <w:sz w:val="22"/>
                <w:szCs w:val="22"/>
                <w:lang w:val="es-CR" w:eastAsia="es-CR"/>
              </w:rPr>
              <w:t xml:space="preserve">Allan Pow Hing Cordero Jefe de dicho </w:t>
            </w:r>
            <w:r w:rsidR="00373051">
              <w:rPr>
                <w:rFonts w:ascii="Arial Narrow" w:hAnsi="Arial Narrow" w:cs="Calibri"/>
                <w:sz w:val="22"/>
                <w:szCs w:val="22"/>
                <w:lang w:val="es-CR" w:eastAsia="es-CR"/>
              </w:rPr>
              <w:t>S</w:t>
            </w:r>
            <w:r w:rsidRPr="009C4265">
              <w:rPr>
                <w:rFonts w:ascii="Arial Narrow" w:hAnsi="Arial Narrow" w:cs="Calibri"/>
                <w:sz w:val="22"/>
                <w:szCs w:val="22"/>
                <w:lang w:val="es-CR" w:eastAsia="es-CR"/>
              </w:rPr>
              <w:t>ubproceso el mismo 05 de octubre indica que se va a proceder a coordinar lo correspondiente para la valoración técnica de un posible cambio de responsable estratégico (alineamiento estratégico) de la meta.</w:t>
            </w:r>
          </w:p>
          <w:p w14:paraId="4C5FCFF8" w14:textId="77777777" w:rsidR="009C4265" w:rsidRPr="009C4265" w:rsidRDefault="009C4265">
            <w:pPr>
              <w:jc w:val="both"/>
              <w:rPr>
                <w:rFonts w:ascii="Arial Narrow" w:hAnsi="Arial Narrow" w:cs="Calibri"/>
                <w:sz w:val="22"/>
                <w:szCs w:val="22"/>
                <w:lang w:val="es-CR" w:eastAsia="es-CR"/>
              </w:rPr>
            </w:pPr>
          </w:p>
          <w:p w14:paraId="12BA49E5" w14:textId="77777777" w:rsidR="009C4265" w:rsidRPr="009C4265" w:rsidRDefault="009C4265">
            <w:pPr>
              <w:jc w:val="both"/>
              <w:rPr>
                <w:rFonts w:ascii="Arial Narrow" w:hAnsi="Arial Narrow" w:cs="Calibri"/>
                <w:sz w:val="22"/>
                <w:szCs w:val="22"/>
                <w:lang w:val="es-CR" w:eastAsia="es-CR"/>
              </w:rPr>
            </w:pPr>
            <w:r w:rsidRPr="009C4265">
              <w:rPr>
                <w:rFonts w:ascii="Arial Narrow" w:hAnsi="Arial Narrow" w:cs="Calibri"/>
                <w:sz w:val="22"/>
                <w:szCs w:val="22"/>
                <w:lang w:val="es-CR" w:eastAsia="es-CR"/>
              </w:rPr>
              <w:t>La observación no modifica el contenido del informe.</w:t>
            </w:r>
          </w:p>
        </w:tc>
      </w:tr>
      <w:tr w:rsidR="009C4265" w:rsidRPr="009C4265" w14:paraId="716713A8" w14:textId="77777777" w:rsidTr="00C9711A">
        <w:trPr>
          <w:gridAfter w:val="1"/>
          <w:wAfter w:w="77" w:type="pct"/>
          <w:trHeight w:val="6592"/>
        </w:trPr>
        <w:tc>
          <w:tcPr>
            <w:tcW w:w="924" w:type="pct"/>
            <w:vMerge/>
            <w:tcBorders>
              <w:top w:val="nil"/>
              <w:left w:val="single" w:sz="4" w:space="0" w:color="auto"/>
              <w:bottom w:val="single" w:sz="4" w:space="0" w:color="auto"/>
              <w:right w:val="single" w:sz="4" w:space="0" w:color="auto"/>
            </w:tcBorders>
            <w:vAlign w:val="center"/>
            <w:hideMark/>
          </w:tcPr>
          <w:p w14:paraId="277FC7DE" w14:textId="77777777" w:rsidR="009C4265" w:rsidRPr="009C4265" w:rsidRDefault="009C4265" w:rsidP="009C4265">
            <w:pPr>
              <w:rPr>
                <w:rFonts w:ascii="Arial Narrow" w:hAnsi="Arial Narrow" w:cs="Calibri"/>
                <w:sz w:val="22"/>
                <w:szCs w:val="22"/>
                <w:lang w:val="es-CR" w:eastAsia="es-CR"/>
              </w:rPr>
            </w:pPr>
          </w:p>
        </w:tc>
        <w:tc>
          <w:tcPr>
            <w:tcW w:w="370" w:type="pct"/>
            <w:tcBorders>
              <w:top w:val="nil"/>
              <w:left w:val="nil"/>
              <w:bottom w:val="single" w:sz="4" w:space="0" w:color="auto"/>
              <w:right w:val="single" w:sz="4" w:space="0" w:color="auto"/>
            </w:tcBorders>
            <w:shd w:val="clear" w:color="auto" w:fill="auto"/>
            <w:vAlign w:val="center"/>
            <w:hideMark/>
          </w:tcPr>
          <w:p w14:paraId="6C234991" w14:textId="77777777" w:rsidR="009C4265" w:rsidRPr="009C4265" w:rsidRDefault="009C4265" w:rsidP="009C4265">
            <w:pPr>
              <w:jc w:val="center"/>
              <w:rPr>
                <w:rFonts w:ascii="Arial Narrow" w:hAnsi="Arial Narrow" w:cs="Calibri"/>
                <w:sz w:val="22"/>
                <w:szCs w:val="22"/>
                <w:lang w:val="es-CR" w:eastAsia="es-CR"/>
              </w:rPr>
            </w:pPr>
            <w:r w:rsidRPr="009C4265">
              <w:rPr>
                <w:rFonts w:ascii="Arial Narrow" w:hAnsi="Arial Narrow" w:cs="Calibri"/>
                <w:sz w:val="22"/>
                <w:szCs w:val="22"/>
                <w:lang w:val="es-ES" w:eastAsia="es-CR"/>
              </w:rPr>
              <w:t>304</w:t>
            </w:r>
          </w:p>
        </w:tc>
        <w:tc>
          <w:tcPr>
            <w:tcW w:w="1783" w:type="pct"/>
            <w:tcBorders>
              <w:top w:val="nil"/>
              <w:left w:val="nil"/>
              <w:bottom w:val="single" w:sz="4" w:space="0" w:color="auto"/>
              <w:right w:val="single" w:sz="4" w:space="0" w:color="auto"/>
            </w:tcBorders>
            <w:shd w:val="clear" w:color="auto" w:fill="auto"/>
            <w:hideMark/>
          </w:tcPr>
          <w:p w14:paraId="20CA292D" w14:textId="77777777" w:rsidR="009C4265" w:rsidRPr="009C4265" w:rsidRDefault="009C4265" w:rsidP="00C9711A">
            <w:pPr>
              <w:jc w:val="both"/>
              <w:rPr>
                <w:rFonts w:ascii="Arial Narrow" w:hAnsi="Arial Narrow" w:cs="Calibri"/>
                <w:sz w:val="22"/>
                <w:szCs w:val="22"/>
                <w:lang w:val="es-CR" w:eastAsia="es-CR"/>
              </w:rPr>
            </w:pPr>
            <w:r w:rsidRPr="009C4265">
              <w:rPr>
                <w:rFonts w:ascii="Arial Narrow" w:hAnsi="Arial Narrow" w:cs="Calibri"/>
                <w:sz w:val="22"/>
                <w:szCs w:val="22"/>
                <w:lang w:eastAsia="es-CR"/>
              </w:rPr>
              <w:t>Que al finalizar el 2024, se haya implementado el plan de ejecución de construcciones definido, que considere el diseño universal y certificación básica LEED; que contemple espacios compartidos y oficinas satélite (“coworking”), acorde a las modalidades alternativas de trabajo; así como aulas acondicionadas para capacitaciones y espacio para uso de bicicletas.</w:t>
            </w:r>
          </w:p>
        </w:tc>
        <w:tc>
          <w:tcPr>
            <w:tcW w:w="956" w:type="pct"/>
            <w:tcBorders>
              <w:top w:val="nil"/>
              <w:left w:val="nil"/>
              <w:bottom w:val="single" w:sz="4" w:space="0" w:color="auto"/>
              <w:right w:val="single" w:sz="4" w:space="0" w:color="auto"/>
            </w:tcBorders>
            <w:shd w:val="clear" w:color="auto" w:fill="auto"/>
            <w:hideMark/>
          </w:tcPr>
          <w:p w14:paraId="069A739A" w14:textId="6C9CC9E4" w:rsidR="009C4265" w:rsidRPr="009C4265" w:rsidRDefault="009C4265" w:rsidP="006A146B">
            <w:pPr>
              <w:jc w:val="both"/>
              <w:rPr>
                <w:rFonts w:ascii="Arial Narrow" w:hAnsi="Arial Narrow" w:cs="Calibri"/>
                <w:sz w:val="22"/>
                <w:szCs w:val="22"/>
                <w:lang w:val="es-CR" w:eastAsia="es-CR"/>
              </w:rPr>
            </w:pPr>
            <w:r w:rsidRPr="009C4265">
              <w:rPr>
                <w:rFonts w:ascii="Arial Narrow" w:hAnsi="Arial Narrow" w:cs="Calibri"/>
                <w:sz w:val="22"/>
                <w:szCs w:val="22"/>
                <w:lang w:val="es-ES" w:eastAsia="es-CR"/>
              </w:rPr>
              <w:t xml:space="preserve">Sobre el cumplimiento de esta meta, es importante aclarar que, a través del Fideicomiso </w:t>
            </w:r>
            <w:r w:rsidR="00E806D7">
              <w:rPr>
                <w:rFonts w:ascii="Arial Narrow" w:hAnsi="Arial Narrow" w:cs="Calibri"/>
                <w:sz w:val="22"/>
                <w:szCs w:val="22"/>
                <w:lang w:val="es-ES" w:eastAsia="es-CR"/>
              </w:rPr>
              <w:t>inm</w:t>
            </w:r>
            <w:r w:rsidRPr="009C4265">
              <w:rPr>
                <w:rFonts w:ascii="Arial Narrow" w:hAnsi="Arial Narrow" w:cs="Calibri"/>
                <w:sz w:val="22"/>
                <w:szCs w:val="22"/>
                <w:lang w:val="es-ES" w:eastAsia="es-CR"/>
              </w:rPr>
              <w:t>obiliario, el Poder Judicial contempla en las construcciones todos los aspectos mencionados considerando el diseño universal y certificación básica LEED, bajo planes de ejecución. Para los proyectos constructivos que desarrolla la institución con el presupuesto ordinario por parte del Departamento de Servicios Generales, se certifican bajo la norma EDGE y se observa la ley 7600 para garantizar la accesibilidad. En cuanto a lo relacionado con aulas de capacitación y espacio para uso de bicicletas, tanto en los proyectos del fideicomiso, como los que se realizan con recursos propios, se solicitan estas áreas como parte de los requerimientos de las obras.</w:t>
            </w:r>
          </w:p>
        </w:tc>
        <w:tc>
          <w:tcPr>
            <w:tcW w:w="889" w:type="pct"/>
            <w:tcBorders>
              <w:top w:val="nil"/>
              <w:left w:val="nil"/>
              <w:bottom w:val="single" w:sz="4" w:space="0" w:color="auto"/>
              <w:right w:val="single" w:sz="4" w:space="0" w:color="auto"/>
            </w:tcBorders>
            <w:shd w:val="clear" w:color="auto" w:fill="auto"/>
            <w:hideMark/>
          </w:tcPr>
          <w:p w14:paraId="6E517CA9" w14:textId="77777777" w:rsidR="009C4265" w:rsidRPr="009C4265" w:rsidRDefault="009C4265" w:rsidP="00BF6E93">
            <w:pPr>
              <w:jc w:val="both"/>
              <w:rPr>
                <w:rFonts w:ascii="Arial Narrow" w:hAnsi="Arial Narrow" w:cs="Calibri"/>
                <w:sz w:val="22"/>
                <w:szCs w:val="22"/>
                <w:lang w:val="es-419" w:eastAsia="es-CR"/>
              </w:rPr>
            </w:pPr>
            <w:r w:rsidRPr="009C4265">
              <w:rPr>
                <w:rFonts w:ascii="Arial Narrow" w:hAnsi="Arial Narrow" w:cs="Calibri"/>
                <w:sz w:val="22"/>
                <w:szCs w:val="22"/>
                <w:lang w:val="es-419" w:eastAsia="es-CR"/>
              </w:rPr>
              <w:t>Se toma nota de la observación y se incorpora en la página 249 con el criterio de la Dirección Ejecutiva.</w:t>
            </w:r>
          </w:p>
          <w:p w14:paraId="4728558E" w14:textId="77777777" w:rsidR="009C4265" w:rsidRPr="009C4265" w:rsidRDefault="009C4265" w:rsidP="00FD024B">
            <w:pPr>
              <w:jc w:val="both"/>
              <w:rPr>
                <w:rFonts w:ascii="Arial Narrow" w:hAnsi="Arial Narrow" w:cs="Calibri"/>
                <w:sz w:val="22"/>
                <w:szCs w:val="22"/>
                <w:lang w:val="es-CR" w:eastAsia="es-CR"/>
              </w:rPr>
            </w:pPr>
            <w:r w:rsidRPr="009C4265">
              <w:rPr>
                <w:rFonts w:ascii="Arial Narrow" w:hAnsi="Arial Narrow" w:cs="Calibri"/>
                <w:sz w:val="22"/>
                <w:szCs w:val="22"/>
                <w:lang w:val="es-419" w:eastAsia="es-CR"/>
              </w:rPr>
              <w:br/>
              <w:t xml:space="preserve">La observación modifica el contenido del informe, en cuanto a que </w:t>
            </w:r>
            <w:r w:rsidRPr="008D7E15">
              <w:rPr>
                <w:rFonts w:ascii="Arial Narrow" w:hAnsi="Arial Narrow" w:cs="Calibri"/>
                <w:sz w:val="22"/>
                <w:szCs w:val="22"/>
                <w:lang w:val="es-419" w:eastAsia="es-CR"/>
              </w:rPr>
              <w:t>se adiciona el criterio de la Dirección Ejecutiva, sin embargo, no modifica el porcentaje de avance reportado.</w:t>
            </w:r>
          </w:p>
        </w:tc>
      </w:tr>
      <w:tr w:rsidR="009C4265" w:rsidRPr="009C4265" w14:paraId="13510012" w14:textId="77777777" w:rsidTr="00C9711A">
        <w:trPr>
          <w:gridAfter w:val="1"/>
          <w:wAfter w:w="77" w:type="pct"/>
          <w:trHeight w:val="290"/>
        </w:trPr>
        <w:tc>
          <w:tcPr>
            <w:tcW w:w="924" w:type="pct"/>
            <w:tcBorders>
              <w:top w:val="nil"/>
              <w:left w:val="single" w:sz="4" w:space="0" w:color="auto"/>
              <w:bottom w:val="single" w:sz="4" w:space="0" w:color="auto"/>
              <w:right w:val="single" w:sz="4" w:space="0" w:color="auto"/>
            </w:tcBorders>
            <w:shd w:val="clear" w:color="auto" w:fill="auto"/>
            <w:noWrap/>
            <w:hideMark/>
          </w:tcPr>
          <w:p w14:paraId="1A6A0387" w14:textId="77777777" w:rsidR="009C4265" w:rsidRPr="009C4265" w:rsidRDefault="009C4265" w:rsidP="00C9711A">
            <w:pPr>
              <w:jc w:val="both"/>
              <w:rPr>
                <w:rFonts w:ascii="Arial Narrow" w:hAnsi="Arial Narrow" w:cs="Calibri"/>
                <w:sz w:val="22"/>
                <w:szCs w:val="22"/>
                <w:lang w:val="es-CR" w:eastAsia="es-CR"/>
              </w:rPr>
            </w:pPr>
            <w:r w:rsidRPr="009C4265">
              <w:rPr>
                <w:rFonts w:ascii="Arial Narrow" w:hAnsi="Arial Narrow" w:cs="Calibri"/>
                <w:sz w:val="22"/>
                <w:szCs w:val="22"/>
                <w:lang w:val="es-CR" w:eastAsia="es-CR"/>
              </w:rPr>
              <w:lastRenderedPageBreak/>
              <w:t>Secretaría Técnica de Género</w:t>
            </w:r>
          </w:p>
        </w:tc>
        <w:tc>
          <w:tcPr>
            <w:tcW w:w="370" w:type="pct"/>
            <w:tcBorders>
              <w:top w:val="nil"/>
              <w:left w:val="nil"/>
              <w:bottom w:val="single" w:sz="4" w:space="0" w:color="auto"/>
              <w:right w:val="single" w:sz="4" w:space="0" w:color="auto"/>
            </w:tcBorders>
            <w:shd w:val="clear" w:color="auto" w:fill="auto"/>
            <w:noWrap/>
            <w:hideMark/>
          </w:tcPr>
          <w:p w14:paraId="7016104E" w14:textId="77777777" w:rsidR="009C4265" w:rsidRPr="009C4265" w:rsidRDefault="009C4265" w:rsidP="00C9711A">
            <w:pPr>
              <w:jc w:val="both"/>
              <w:rPr>
                <w:rFonts w:ascii="Arial Narrow" w:hAnsi="Arial Narrow" w:cs="Calibri"/>
                <w:sz w:val="22"/>
                <w:szCs w:val="22"/>
                <w:lang w:val="es-CR" w:eastAsia="es-CR"/>
              </w:rPr>
            </w:pPr>
            <w:r w:rsidRPr="009C4265">
              <w:rPr>
                <w:rFonts w:ascii="Arial Narrow" w:hAnsi="Arial Narrow" w:cs="Calibri"/>
                <w:sz w:val="22"/>
                <w:szCs w:val="22"/>
                <w:lang w:val="es-CR" w:eastAsia="es-CR"/>
              </w:rPr>
              <w:t>-</w:t>
            </w:r>
          </w:p>
        </w:tc>
        <w:tc>
          <w:tcPr>
            <w:tcW w:w="1783" w:type="pct"/>
            <w:tcBorders>
              <w:top w:val="nil"/>
              <w:left w:val="nil"/>
              <w:bottom w:val="single" w:sz="4" w:space="0" w:color="auto"/>
              <w:right w:val="single" w:sz="4" w:space="0" w:color="auto"/>
            </w:tcBorders>
            <w:shd w:val="clear" w:color="auto" w:fill="auto"/>
            <w:noWrap/>
            <w:hideMark/>
          </w:tcPr>
          <w:p w14:paraId="197C7E5E" w14:textId="77777777" w:rsidR="009C4265" w:rsidRPr="009C4265" w:rsidRDefault="009C4265" w:rsidP="00C9711A">
            <w:pPr>
              <w:jc w:val="both"/>
              <w:rPr>
                <w:rFonts w:ascii="Arial Narrow" w:hAnsi="Arial Narrow" w:cs="Calibri"/>
                <w:sz w:val="22"/>
                <w:szCs w:val="22"/>
                <w:lang w:val="es-CR" w:eastAsia="es-CR"/>
              </w:rPr>
            </w:pPr>
            <w:r w:rsidRPr="009C4265">
              <w:rPr>
                <w:rFonts w:ascii="Arial Narrow" w:hAnsi="Arial Narrow" w:cs="Calibri"/>
                <w:sz w:val="22"/>
                <w:szCs w:val="22"/>
                <w:lang w:val="es-CR" w:eastAsia="es-CR"/>
              </w:rPr>
              <w:t>-</w:t>
            </w:r>
          </w:p>
        </w:tc>
        <w:tc>
          <w:tcPr>
            <w:tcW w:w="956" w:type="pct"/>
            <w:tcBorders>
              <w:top w:val="nil"/>
              <w:left w:val="nil"/>
              <w:bottom w:val="single" w:sz="4" w:space="0" w:color="auto"/>
              <w:right w:val="single" w:sz="4" w:space="0" w:color="auto"/>
            </w:tcBorders>
            <w:shd w:val="clear" w:color="auto" w:fill="auto"/>
            <w:noWrap/>
            <w:hideMark/>
          </w:tcPr>
          <w:p w14:paraId="5808A3B4" w14:textId="77777777" w:rsidR="009C4265" w:rsidRPr="009C4265" w:rsidRDefault="009C4265" w:rsidP="00C9711A">
            <w:pPr>
              <w:jc w:val="both"/>
              <w:rPr>
                <w:rFonts w:ascii="Arial Narrow" w:hAnsi="Arial Narrow" w:cs="Calibri"/>
                <w:i/>
                <w:iCs/>
                <w:sz w:val="22"/>
                <w:szCs w:val="22"/>
                <w:lang w:val="es-CR" w:eastAsia="es-CR"/>
              </w:rPr>
            </w:pPr>
            <w:r w:rsidRPr="009C4265">
              <w:rPr>
                <w:rFonts w:ascii="Arial Narrow" w:hAnsi="Arial Narrow" w:cs="Calibri"/>
                <w:i/>
                <w:iCs/>
                <w:sz w:val="22"/>
                <w:szCs w:val="22"/>
                <w:lang w:val="es-CR" w:eastAsia="es-CR"/>
              </w:rPr>
              <w:t xml:space="preserve">no se tienen observaciones del oficio </w:t>
            </w:r>
            <w:r w:rsidRPr="009C4265">
              <w:rPr>
                <w:rFonts w:ascii="Arial Narrow" w:hAnsi="Arial Narrow" w:cs="Calibri"/>
                <w:b/>
                <w:bCs/>
                <w:i/>
                <w:iCs/>
                <w:sz w:val="22"/>
                <w:szCs w:val="22"/>
                <w:lang w:val="es-CR" w:eastAsia="es-CR"/>
              </w:rPr>
              <w:t>1106-PLA-EV-2021</w:t>
            </w:r>
          </w:p>
        </w:tc>
        <w:tc>
          <w:tcPr>
            <w:tcW w:w="889" w:type="pct"/>
            <w:tcBorders>
              <w:top w:val="nil"/>
              <w:left w:val="nil"/>
              <w:bottom w:val="single" w:sz="4" w:space="0" w:color="auto"/>
              <w:right w:val="single" w:sz="4" w:space="0" w:color="auto"/>
            </w:tcBorders>
            <w:shd w:val="clear" w:color="auto" w:fill="auto"/>
            <w:noWrap/>
            <w:hideMark/>
          </w:tcPr>
          <w:p w14:paraId="5E7D1C23" w14:textId="77777777" w:rsidR="009C4265" w:rsidRPr="009C4265" w:rsidRDefault="009C4265" w:rsidP="00C9711A">
            <w:pPr>
              <w:jc w:val="both"/>
              <w:rPr>
                <w:rFonts w:ascii="Arial Narrow" w:hAnsi="Arial Narrow" w:cs="Calibri"/>
                <w:sz w:val="22"/>
                <w:szCs w:val="22"/>
                <w:lang w:val="es-CR" w:eastAsia="es-CR"/>
              </w:rPr>
            </w:pPr>
            <w:r w:rsidRPr="009C4265">
              <w:rPr>
                <w:rFonts w:ascii="Arial Narrow" w:hAnsi="Arial Narrow" w:cs="Calibri"/>
                <w:sz w:val="22"/>
                <w:szCs w:val="22"/>
                <w:lang w:val="es-CR" w:eastAsia="es-CR"/>
              </w:rPr>
              <w:t>N/A</w:t>
            </w:r>
          </w:p>
          <w:p w14:paraId="00AD4C33" w14:textId="77777777" w:rsidR="009C4265" w:rsidRPr="009C4265" w:rsidRDefault="009C4265" w:rsidP="00C9711A">
            <w:pPr>
              <w:jc w:val="both"/>
              <w:rPr>
                <w:rFonts w:ascii="Arial Narrow" w:hAnsi="Arial Narrow" w:cs="Calibri"/>
                <w:sz w:val="22"/>
                <w:szCs w:val="22"/>
                <w:lang w:val="es-CR" w:eastAsia="es-CR"/>
              </w:rPr>
            </w:pPr>
          </w:p>
        </w:tc>
      </w:tr>
      <w:tr w:rsidR="009C4265" w:rsidRPr="009C4265" w14:paraId="46FEA864" w14:textId="77777777" w:rsidTr="00C9711A">
        <w:trPr>
          <w:gridAfter w:val="1"/>
          <w:wAfter w:w="77" w:type="pct"/>
          <w:trHeight w:val="590"/>
        </w:trPr>
        <w:tc>
          <w:tcPr>
            <w:tcW w:w="924" w:type="pct"/>
            <w:vMerge w:val="restart"/>
            <w:tcBorders>
              <w:top w:val="nil"/>
              <w:left w:val="single" w:sz="4" w:space="0" w:color="auto"/>
              <w:bottom w:val="single" w:sz="4" w:space="0" w:color="auto"/>
              <w:right w:val="single" w:sz="4" w:space="0" w:color="auto"/>
            </w:tcBorders>
            <w:shd w:val="clear" w:color="auto" w:fill="auto"/>
            <w:noWrap/>
            <w:hideMark/>
          </w:tcPr>
          <w:p w14:paraId="257C6737" w14:textId="77818343" w:rsidR="009C4265" w:rsidRPr="009C4265" w:rsidRDefault="009C4265" w:rsidP="00C9711A">
            <w:pPr>
              <w:jc w:val="both"/>
              <w:rPr>
                <w:rFonts w:ascii="Arial Narrow" w:hAnsi="Arial Narrow" w:cs="Calibri"/>
                <w:sz w:val="22"/>
                <w:szCs w:val="22"/>
                <w:lang w:val="es-CR" w:eastAsia="es-CR"/>
              </w:rPr>
            </w:pPr>
            <w:r w:rsidRPr="009C4265">
              <w:rPr>
                <w:rFonts w:ascii="Arial Narrow" w:hAnsi="Arial Narrow" w:cs="Calibri"/>
                <w:sz w:val="22"/>
                <w:szCs w:val="22"/>
                <w:lang w:val="es-CR" w:eastAsia="es-CR"/>
              </w:rPr>
              <w:t>Organismo de Investigación Judicial</w:t>
            </w:r>
          </w:p>
        </w:tc>
        <w:tc>
          <w:tcPr>
            <w:tcW w:w="370" w:type="pct"/>
            <w:tcBorders>
              <w:top w:val="nil"/>
              <w:left w:val="nil"/>
              <w:bottom w:val="single" w:sz="4" w:space="0" w:color="auto"/>
              <w:right w:val="single" w:sz="4" w:space="0" w:color="auto"/>
            </w:tcBorders>
            <w:shd w:val="clear" w:color="auto" w:fill="auto"/>
            <w:hideMark/>
          </w:tcPr>
          <w:p w14:paraId="3090828F" w14:textId="77777777" w:rsidR="009C4265" w:rsidRPr="009C4265" w:rsidRDefault="009C4265" w:rsidP="00C9711A">
            <w:pPr>
              <w:jc w:val="both"/>
              <w:rPr>
                <w:rFonts w:ascii="Arial Narrow" w:hAnsi="Arial Narrow" w:cs="Calibri"/>
                <w:sz w:val="22"/>
                <w:szCs w:val="22"/>
                <w:lang w:val="es-CR" w:eastAsia="es-CR"/>
              </w:rPr>
            </w:pPr>
            <w:r w:rsidRPr="009C4265">
              <w:rPr>
                <w:rFonts w:ascii="Arial Narrow" w:hAnsi="Arial Narrow" w:cs="Arial"/>
                <w:sz w:val="22"/>
                <w:szCs w:val="22"/>
                <w:lang w:val="es-ES" w:eastAsia="es-CR"/>
              </w:rPr>
              <w:t>4</w:t>
            </w:r>
          </w:p>
        </w:tc>
        <w:tc>
          <w:tcPr>
            <w:tcW w:w="1783" w:type="pct"/>
            <w:tcBorders>
              <w:top w:val="nil"/>
              <w:left w:val="nil"/>
              <w:bottom w:val="single" w:sz="4" w:space="0" w:color="auto"/>
              <w:right w:val="single" w:sz="4" w:space="0" w:color="auto"/>
            </w:tcBorders>
            <w:shd w:val="clear" w:color="auto" w:fill="auto"/>
            <w:hideMark/>
          </w:tcPr>
          <w:p w14:paraId="32ED746A" w14:textId="3E959AE0" w:rsidR="009C4265" w:rsidRPr="009C4265" w:rsidRDefault="009C4265" w:rsidP="00C9711A">
            <w:pPr>
              <w:jc w:val="both"/>
              <w:rPr>
                <w:rFonts w:ascii="Arial Narrow" w:hAnsi="Arial Narrow" w:cs="Calibri"/>
                <w:sz w:val="22"/>
                <w:szCs w:val="22"/>
                <w:lang w:val="es-CR" w:eastAsia="es-CR"/>
              </w:rPr>
            </w:pPr>
            <w:r w:rsidRPr="009C4265">
              <w:rPr>
                <w:rFonts w:ascii="Arial Narrow" w:eastAsia="Calibri" w:hAnsi="Arial Narrow" w:cs="Calibri"/>
                <w:sz w:val="22"/>
                <w:szCs w:val="22"/>
                <w:lang w:eastAsia="es-CR"/>
              </w:rPr>
              <w:t>1 (PEI) 2019-2014</w:t>
            </w:r>
          </w:p>
        </w:tc>
        <w:tc>
          <w:tcPr>
            <w:tcW w:w="956" w:type="pct"/>
            <w:tcBorders>
              <w:top w:val="nil"/>
              <w:left w:val="nil"/>
              <w:bottom w:val="single" w:sz="4" w:space="0" w:color="auto"/>
              <w:right w:val="single" w:sz="4" w:space="0" w:color="auto"/>
            </w:tcBorders>
            <w:shd w:val="clear" w:color="auto" w:fill="auto"/>
            <w:hideMark/>
          </w:tcPr>
          <w:p w14:paraId="5A97DB23" w14:textId="77777777" w:rsidR="009C4265" w:rsidRPr="009C4265" w:rsidRDefault="009C4265" w:rsidP="00C9711A">
            <w:pPr>
              <w:jc w:val="both"/>
              <w:rPr>
                <w:rFonts w:ascii="Arial Narrow" w:hAnsi="Arial Narrow" w:cs="Calibri"/>
                <w:sz w:val="22"/>
                <w:szCs w:val="22"/>
                <w:lang w:val="es-CR" w:eastAsia="es-CR"/>
              </w:rPr>
            </w:pPr>
            <w:r w:rsidRPr="009C4265">
              <w:rPr>
                <w:rFonts w:ascii="Arial Narrow" w:hAnsi="Arial Narrow" w:cs="Calibri"/>
                <w:sz w:val="22"/>
                <w:szCs w:val="22"/>
                <w:lang w:val="es-ES" w:eastAsia="es-CR"/>
              </w:rPr>
              <w:t>Error en años PEI</w:t>
            </w:r>
          </w:p>
        </w:tc>
        <w:tc>
          <w:tcPr>
            <w:tcW w:w="889" w:type="pct"/>
            <w:tcBorders>
              <w:top w:val="nil"/>
              <w:left w:val="nil"/>
              <w:bottom w:val="single" w:sz="4" w:space="0" w:color="auto"/>
              <w:right w:val="single" w:sz="4" w:space="0" w:color="auto"/>
            </w:tcBorders>
            <w:shd w:val="clear" w:color="auto" w:fill="auto"/>
            <w:hideMark/>
          </w:tcPr>
          <w:p w14:paraId="0EBEC0FF" w14:textId="77777777" w:rsidR="009C4265" w:rsidRPr="009C4265" w:rsidRDefault="009C4265" w:rsidP="006A146B">
            <w:pPr>
              <w:jc w:val="both"/>
              <w:rPr>
                <w:rFonts w:ascii="Arial Narrow" w:hAnsi="Arial Narrow" w:cs="Calibri"/>
                <w:sz w:val="22"/>
                <w:szCs w:val="22"/>
                <w:lang w:val="es-CR" w:eastAsia="es-CR"/>
              </w:rPr>
            </w:pPr>
            <w:r w:rsidRPr="009C4265">
              <w:rPr>
                <w:rFonts w:ascii="Arial Narrow" w:hAnsi="Arial Narrow" w:cs="Calibri"/>
                <w:sz w:val="22"/>
                <w:szCs w:val="22"/>
                <w:lang w:val="es-CR" w:eastAsia="es-CR"/>
              </w:rPr>
              <w:t>Se toma nota de la observación y se procede con la modificación del año</w:t>
            </w:r>
          </w:p>
        </w:tc>
      </w:tr>
      <w:tr w:rsidR="009C4265" w:rsidRPr="009C4265" w14:paraId="386D6B6D" w14:textId="77777777" w:rsidTr="00C9711A">
        <w:trPr>
          <w:gridAfter w:val="1"/>
          <w:wAfter w:w="77" w:type="pct"/>
          <w:trHeight w:val="6240"/>
        </w:trPr>
        <w:tc>
          <w:tcPr>
            <w:tcW w:w="924" w:type="pct"/>
            <w:vMerge/>
            <w:tcBorders>
              <w:top w:val="nil"/>
              <w:left w:val="single" w:sz="4" w:space="0" w:color="auto"/>
              <w:bottom w:val="single" w:sz="4" w:space="0" w:color="auto"/>
              <w:right w:val="single" w:sz="4" w:space="0" w:color="auto"/>
            </w:tcBorders>
            <w:vAlign w:val="center"/>
            <w:hideMark/>
          </w:tcPr>
          <w:p w14:paraId="328ECF2F" w14:textId="77777777" w:rsidR="009C4265" w:rsidRPr="009C4265" w:rsidRDefault="009C4265" w:rsidP="009C4265">
            <w:pPr>
              <w:rPr>
                <w:rFonts w:ascii="Arial Narrow" w:hAnsi="Arial Narrow" w:cs="Calibri"/>
                <w:sz w:val="22"/>
                <w:szCs w:val="22"/>
                <w:lang w:val="es-CR" w:eastAsia="es-CR"/>
              </w:rPr>
            </w:pPr>
          </w:p>
        </w:tc>
        <w:tc>
          <w:tcPr>
            <w:tcW w:w="370" w:type="pct"/>
            <w:tcBorders>
              <w:top w:val="nil"/>
              <w:left w:val="nil"/>
              <w:bottom w:val="single" w:sz="4" w:space="0" w:color="auto"/>
              <w:right w:val="single" w:sz="4" w:space="0" w:color="auto"/>
            </w:tcBorders>
            <w:shd w:val="clear" w:color="auto" w:fill="auto"/>
            <w:vAlign w:val="center"/>
            <w:hideMark/>
          </w:tcPr>
          <w:p w14:paraId="2BAF0329" w14:textId="77777777" w:rsidR="009C4265" w:rsidRPr="009C4265" w:rsidRDefault="009C4265" w:rsidP="009C4265">
            <w:pPr>
              <w:jc w:val="center"/>
              <w:rPr>
                <w:rFonts w:ascii="Arial Narrow" w:hAnsi="Arial Narrow" w:cs="Calibri"/>
                <w:sz w:val="22"/>
                <w:szCs w:val="22"/>
                <w:lang w:val="es-CR" w:eastAsia="es-CR"/>
              </w:rPr>
            </w:pPr>
            <w:r w:rsidRPr="009C4265">
              <w:rPr>
                <w:rFonts w:ascii="Arial Narrow" w:hAnsi="Arial Narrow" w:cs="Arial"/>
                <w:sz w:val="22"/>
                <w:szCs w:val="22"/>
                <w:lang w:val="es-ES" w:eastAsia="es-CR"/>
              </w:rPr>
              <w:t>103</w:t>
            </w:r>
          </w:p>
        </w:tc>
        <w:tc>
          <w:tcPr>
            <w:tcW w:w="1783" w:type="pct"/>
            <w:tcBorders>
              <w:top w:val="nil"/>
              <w:left w:val="nil"/>
              <w:bottom w:val="single" w:sz="4" w:space="0" w:color="auto"/>
              <w:right w:val="single" w:sz="4" w:space="0" w:color="auto"/>
            </w:tcBorders>
            <w:shd w:val="clear" w:color="auto" w:fill="auto"/>
            <w:noWrap/>
            <w:hideMark/>
          </w:tcPr>
          <w:p w14:paraId="74190180" w14:textId="77777777" w:rsidR="009C4265" w:rsidRPr="009C4265" w:rsidRDefault="009C4265" w:rsidP="006A146B">
            <w:pPr>
              <w:jc w:val="both"/>
              <w:rPr>
                <w:rFonts w:ascii="Arial Narrow" w:hAnsi="Arial Narrow" w:cs="Calibri"/>
                <w:sz w:val="22"/>
                <w:szCs w:val="22"/>
                <w:lang w:val="es-CR" w:eastAsia="es-CR"/>
              </w:rPr>
            </w:pPr>
            <w:r w:rsidRPr="009C4265">
              <w:rPr>
                <w:rFonts w:ascii="Arial Narrow" w:eastAsia="Calibri" w:hAnsi="Arial Narrow" w:cs="Calibri"/>
                <w:sz w:val="22"/>
                <w:szCs w:val="22"/>
                <w:lang w:eastAsia="es-CR"/>
              </w:rPr>
              <w:t>Por su parte, la meta estratégica “Que al finalizar el 2024, se haya implementado la estrategia de rendición de cuentas definida por el Organismo del Investigación Judicial” el Organismo de Investigación Judicial realiza una vez al año la rendición de cuentas en diferentes comunidades del todo el país y en la página web https://sitiooij.poder-judicial.go.cr/index.php/apertura/transparencia/rendicion-de-cuentas) del Organismo se encuentran las actas de cada actividad. Los mecanismos utilizados en cada actividad son conforme los establecidos en la circular 06-DG-2016. Las actividades dirigidas a la rendición de cuentas en las comunidades, son realizadas a lo largo de todo el país en las que se brinda información relacionada con Incidencia Criminal, acciones para combate de los diferentes delitos que más afectan las zonas, casos relevantes atendidos durante el año y otros temas de interés para las comunidades. Como resultado de lo anterior es que se reporta el cumplimiento total de la meta estratégica para los años 2019 y 2020.</w:t>
            </w:r>
          </w:p>
        </w:tc>
        <w:tc>
          <w:tcPr>
            <w:tcW w:w="956" w:type="pct"/>
            <w:tcBorders>
              <w:top w:val="nil"/>
              <w:left w:val="nil"/>
              <w:bottom w:val="single" w:sz="4" w:space="0" w:color="auto"/>
              <w:right w:val="single" w:sz="4" w:space="0" w:color="auto"/>
            </w:tcBorders>
            <w:shd w:val="clear" w:color="auto" w:fill="auto"/>
            <w:hideMark/>
          </w:tcPr>
          <w:p w14:paraId="7E5B81E2" w14:textId="0C634ED5" w:rsidR="009C4265" w:rsidRPr="009C4265" w:rsidRDefault="009C4265" w:rsidP="00BF6E93">
            <w:pPr>
              <w:jc w:val="both"/>
              <w:rPr>
                <w:rFonts w:ascii="Arial Narrow" w:hAnsi="Arial Narrow" w:cs="Calibri"/>
                <w:sz w:val="22"/>
                <w:szCs w:val="22"/>
                <w:lang w:val="es-CR" w:eastAsia="es-CR"/>
              </w:rPr>
            </w:pPr>
            <w:r w:rsidRPr="009C4265">
              <w:rPr>
                <w:rFonts w:ascii="Arial Narrow" w:hAnsi="Arial Narrow" w:cs="Calibri"/>
                <w:sz w:val="22"/>
                <w:szCs w:val="22"/>
                <w:lang w:val="es-CR" w:eastAsia="es-CR"/>
              </w:rPr>
              <w:t>Es importante revisar el tema de Rendición de Cuentas hacia la Comunidad Por situaciones de Pandemia para años 2021 y 2022. Tardes de Café y se ve reflejado en página WEB por la Pandemia. Las mismas tuvieron que cambiar la modalidad y tipología, dado la Pandemia.</w:t>
            </w:r>
          </w:p>
        </w:tc>
        <w:tc>
          <w:tcPr>
            <w:tcW w:w="889" w:type="pct"/>
            <w:tcBorders>
              <w:top w:val="nil"/>
              <w:left w:val="nil"/>
              <w:bottom w:val="single" w:sz="4" w:space="0" w:color="auto"/>
              <w:right w:val="single" w:sz="4" w:space="0" w:color="auto"/>
            </w:tcBorders>
            <w:shd w:val="clear" w:color="auto" w:fill="auto"/>
            <w:hideMark/>
          </w:tcPr>
          <w:p w14:paraId="731CF199" w14:textId="55FA319A" w:rsidR="009C4265" w:rsidRPr="009C4265" w:rsidRDefault="009C4265" w:rsidP="008E07C9">
            <w:pPr>
              <w:jc w:val="both"/>
              <w:rPr>
                <w:rFonts w:ascii="Arial Narrow" w:hAnsi="Arial Narrow" w:cs="Calibri"/>
                <w:sz w:val="22"/>
                <w:szCs w:val="22"/>
                <w:lang w:val="es-CR" w:eastAsia="es-CR"/>
              </w:rPr>
            </w:pPr>
            <w:r w:rsidRPr="009C4265">
              <w:rPr>
                <w:rFonts w:ascii="Arial Narrow" w:hAnsi="Arial Narrow" w:cs="Calibri"/>
                <w:sz w:val="22"/>
                <w:szCs w:val="22"/>
                <w:lang w:val="es-CR" w:eastAsia="es-CR"/>
              </w:rPr>
              <w:t>Se toma nota de la observación</w:t>
            </w:r>
            <w:r w:rsidR="00AC2236">
              <w:rPr>
                <w:rFonts w:ascii="Arial Narrow" w:hAnsi="Arial Narrow" w:cs="Calibri"/>
                <w:sz w:val="22"/>
                <w:szCs w:val="22"/>
                <w:lang w:val="es-CR" w:eastAsia="es-CR"/>
              </w:rPr>
              <w:t>,</w:t>
            </w:r>
            <w:r w:rsidRPr="009C4265">
              <w:rPr>
                <w:rFonts w:ascii="Arial Narrow" w:hAnsi="Arial Narrow" w:cs="Calibri"/>
                <w:sz w:val="22"/>
                <w:szCs w:val="22"/>
                <w:lang w:val="es-CR" w:eastAsia="es-CR"/>
              </w:rPr>
              <w:t xml:space="preserve"> </w:t>
            </w:r>
            <w:r w:rsidR="00373051">
              <w:rPr>
                <w:rFonts w:ascii="Arial Narrow" w:hAnsi="Arial Narrow" w:cs="Calibri"/>
                <w:sz w:val="22"/>
                <w:szCs w:val="22"/>
                <w:lang w:val="es-CR" w:eastAsia="es-CR"/>
              </w:rPr>
              <w:t xml:space="preserve">no </w:t>
            </w:r>
            <w:r w:rsidRPr="009C4265">
              <w:rPr>
                <w:rFonts w:ascii="Arial Narrow" w:hAnsi="Arial Narrow" w:cs="Calibri"/>
                <w:sz w:val="22"/>
                <w:szCs w:val="22"/>
                <w:lang w:val="es-CR" w:eastAsia="es-CR"/>
              </w:rPr>
              <w:t xml:space="preserve">modifica el contenido del informe, </w:t>
            </w:r>
            <w:r w:rsidR="00373051">
              <w:rPr>
                <w:rFonts w:ascii="Arial Narrow" w:hAnsi="Arial Narrow" w:cs="Calibri"/>
                <w:sz w:val="22"/>
                <w:szCs w:val="22"/>
                <w:lang w:val="es-CR" w:eastAsia="es-CR"/>
              </w:rPr>
              <w:t>sin embargo, será tomado en cuenta para los informes posteriores debido a que son esfuerzos realizados en el 2021 y los que se planean realizar a futuro a partir del 2022.</w:t>
            </w:r>
          </w:p>
        </w:tc>
      </w:tr>
      <w:tr w:rsidR="009C4265" w:rsidRPr="009C4265" w14:paraId="0A5BA153" w14:textId="77777777" w:rsidTr="00C9711A">
        <w:trPr>
          <w:gridAfter w:val="1"/>
          <w:wAfter w:w="77" w:type="pct"/>
          <w:trHeight w:val="7660"/>
        </w:trPr>
        <w:tc>
          <w:tcPr>
            <w:tcW w:w="924" w:type="pct"/>
            <w:vMerge/>
            <w:tcBorders>
              <w:top w:val="nil"/>
              <w:left w:val="single" w:sz="4" w:space="0" w:color="auto"/>
              <w:bottom w:val="single" w:sz="4" w:space="0" w:color="auto"/>
              <w:right w:val="single" w:sz="4" w:space="0" w:color="auto"/>
            </w:tcBorders>
            <w:vAlign w:val="center"/>
            <w:hideMark/>
          </w:tcPr>
          <w:p w14:paraId="58BEFD5A" w14:textId="77777777" w:rsidR="009C4265" w:rsidRPr="009C4265" w:rsidRDefault="009C4265" w:rsidP="009C4265">
            <w:pPr>
              <w:rPr>
                <w:rFonts w:ascii="Arial Narrow" w:hAnsi="Arial Narrow" w:cs="Calibri"/>
                <w:sz w:val="22"/>
                <w:szCs w:val="22"/>
                <w:lang w:val="es-CR" w:eastAsia="es-CR"/>
              </w:rPr>
            </w:pPr>
          </w:p>
        </w:tc>
        <w:tc>
          <w:tcPr>
            <w:tcW w:w="370" w:type="pct"/>
            <w:tcBorders>
              <w:top w:val="nil"/>
              <w:left w:val="nil"/>
              <w:bottom w:val="single" w:sz="4" w:space="0" w:color="auto"/>
              <w:right w:val="single" w:sz="4" w:space="0" w:color="auto"/>
            </w:tcBorders>
            <w:shd w:val="clear" w:color="auto" w:fill="auto"/>
            <w:vAlign w:val="center"/>
            <w:hideMark/>
          </w:tcPr>
          <w:p w14:paraId="320A4DD9" w14:textId="77777777" w:rsidR="009C4265" w:rsidRPr="009C4265" w:rsidRDefault="009C4265" w:rsidP="009C4265">
            <w:pPr>
              <w:jc w:val="center"/>
              <w:rPr>
                <w:rFonts w:ascii="Arial Narrow" w:hAnsi="Arial Narrow" w:cs="Calibri"/>
                <w:sz w:val="22"/>
                <w:szCs w:val="22"/>
                <w:lang w:val="es-CR" w:eastAsia="es-CR"/>
              </w:rPr>
            </w:pPr>
            <w:r w:rsidRPr="009C4265">
              <w:rPr>
                <w:rFonts w:ascii="Arial Narrow" w:hAnsi="Arial Narrow" w:cs="Arial"/>
                <w:sz w:val="22"/>
                <w:szCs w:val="22"/>
                <w:lang w:val="es-ES" w:eastAsia="es-CR"/>
              </w:rPr>
              <w:t>198</w:t>
            </w:r>
          </w:p>
        </w:tc>
        <w:tc>
          <w:tcPr>
            <w:tcW w:w="1783" w:type="pct"/>
            <w:tcBorders>
              <w:top w:val="nil"/>
              <w:left w:val="nil"/>
              <w:bottom w:val="single" w:sz="4" w:space="0" w:color="auto"/>
              <w:right w:val="single" w:sz="4" w:space="0" w:color="auto"/>
            </w:tcBorders>
            <w:shd w:val="clear" w:color="auto" w:fill="auto"/>
            <w:hideMark/>
          </w:tcPr>
          <w:p w14:paraId="505943BD" w14:textId="77777777" w:rsidR="009C4265" w:rsidRPr="009C4265" w:rsidRDefault="009C4265" w:rsidP="00C9711A">
            <w:pPr>
              <w:jc w:val="both"/>
              <w:rPr>
                <w:rFonts w:ascii="Arial Narrow" w:hAnsi="Arial Narrow" w:cs="Calibri"/>
                <w:sz w:val="22"/>
                <w:szCs w:val="22"/>
                <w:lang w:val="es-CR" w:eastAsia="es-CR"/>
              </w:rPr>
            </w:pPr>
            <w:r w:rsidRPr="009C4265">
              <w:rPr>
                <w:rFonts w:ascii="Arial Narrow" w:eastAsia="Calibri" w:hAnsi="Arial Narrow" w:cs="Calibri"/>
                <w:sz w:val="22"/>
                <w:szCs w:val="22"/>
                <w:lang w:eastAsia="es-CR"/>
              </w:rPr>
              <w:t xml:space="preserve">La meta estratégica </w:t>
            </w:r>
            <w:r w:rsidRPr="009C4265">
              <w:rPr>
                <w:rFonts w:ascii="Arial Narrow" w:eastAsia="Calibri" w:hAnsi="Arial Narrow" w:cs="Calibri"/>
                <w:b/>
                <w:bCs/>
                <w:i/>
                <w:iCs/>
                <w:sz w:val="22"/>
                <w:szCs w:val="22"/>
                <w:lang w:eastAsia="es-CR"/>
              </w:rPr>
              <w:t>“Que al finalizar el 2024,se haya implementado el modelo de evaluación del desempeño definido en el Organismo de Investigación Judicial</w:t>
            </w:r>
            <w:r w:rsidRPr="009C4265">
              <w:rPr>
                <w:rFonts w:ascii="Arial Narrow" w:eastAsia="Calibri" w:hAnsi="Arial Narrow" w:cs="Calibri"/>
                <w:sz w:val="22"/>
                <w:szCs w:val="22"/>
                <w:lang w:eastAsia="es-CR"/>
              </w:rPr>
              <w:t>” registra un cumplimiento alto de 100% para el 2019 y para el 2020 se consigna un 90%, esto debido a que  ciertas oficinas operativas no lograron la consecución del 100% de la meta asignada, dado que según manifestaron aunque se logró la planificación quedo pendiente la evaluación propiamente, como lo menciona la Sección de Transportes que realizaron la fijación de los indicadores de todas las unidades que conforman la Sección de Transportes quedando sólo pendiente la evaluación, también se incluyen los indicadores de las jefaturas.</w:t>
            </w:r>
          </w:p>
        </w:tc>
        <w:tc>
          <w:tcPr>
            <w:tcW w:w="956" w:type="pct"/>
            <w:tcBorders>
              <w:top w:val="nil"/>
              <w:left w:val="nil"/>
              <w:bottom w:val="single" w:sz="4" w:space="0" w:color="auto"/>
              <w:right w:val="single" w:sz="4" w:space="0" w:color="auto"/>
            </w:tcBorders>
            <w:shd w:val="clear" w:color="auto" w:fill="auto"/>
            <w:hideMark/>
          </w:tcPr>
          <w:p w14:paraId="0B88958F" w14:textId="77777777" w:rsidR="009C4265" w:rsidRPr="009C4265" w:rsidRDefault="009C4265" w:rsidP="00C9711A">
            <w:pPr>
              <w:jc w:val="both"/>
              <w:rPr>
                <w:rFonts w:ascii="Arial Narrow" w:hAnsi="Arial Narrow" w:cs="Calibri"/>
                <w:sz w:val="22"/>
                <w:szCs w:val="22"/>
                <w:lang w:val="es-CR" w:eastAsia="es-CR"/>
              </w:rPr>
            </w:pPr>
            <w:r w:rsidRPr="009C4265">
              <w:rPr>
                <w:rFonts w:ascii="Arial Narrow" w:hAnsi="Arial Narrow" w:cs="Calibri"/>
                <w:sz w:val="22"/>
                <w:szCs w:val="22"/>
                <w:lang w:eastAsia="es-CR"/>
              </w:rPr>
              <w:t>La Evaluación del Desempeño no es competencia del OIJ, sino de Gestión Humana, esta métrica se solicitó eliminar, dado que no era factible continuarla por directriz de la Presidencia de la Corte y del Ministerio de Planificación, quienes solicitaron a GH del PJ que realizaran los modelos para todos los servidores Judiciales.</w:t>
            </w:r>
          </w:p>
        </w:tc>
        <w:tc>
          <w:tcPr>
            <w:tcW w:w="889" w:type="pct"/>
            <w:tcBorders>
              <w:top w:val="nil"/>
              <w:left w:val="nil"/>
              <w:bottom w:val="single" w:sz="4" w:space="0" w:color="auto"/>
              <w:right w:val="single" w:sz="4" w:space="0" w:color="auto"/>
            </w:tcBorders>
            <w:shd w:val="clear" w:color="auto" w:fill="auto"/>
            <w:hideMark/>
          </w:tcPr>
          <w:p w14:paraId="7DCF2B32" w14:textId="77777777" w:rsidR="00373051" w:rsidRDefault="009C4265" w:rsidP="00373051">
            <w:pPr>
              <w:jc w:val="both"/>
              <w:rPr>
                <w:rFonts w:ascii="Arial Narrow" w:hAnsi="Arial Narrow" w:cs="Calibri"/>
                <w:sz w:val="22"/>
                <w:szCs w:val="22"/>
                <w:lang w:val="es-419" w:eastAsia="es-CR"/>
              </w:rPr>
            </w:pPr>
            <w:r w:rsidRPr="009C4265">
              <w:rPr>
                <w:rFonts w:ascii="Arial Narrow" w:hAnsi="Arial Narrow" w:cs="Calibri"/>
                <w:sz w:val="22"/>
                <w:szCs w:val="22"/>
                <w:lang w:val="es-419" w:eastAsia="es-CR"/>
              </w:rPr>
              <w:t>Se toma nota de las observaciones.</w:t>
            </w:r>
          </w:p>
          <w:p w14:paraId="4A0A8385" w14:textId="2EA68ADA" w:rsidR="00373051" w:rsidRDefault="009C4265" w:rsidP="00373051">
            <w:pPr>
              <w:jc w:val="both"/>
              <w:rPr>
                <w:rFonts w:ascii="Arial Narrow" w:hAnsi="Arial Narrow" w:cs="Calibri"/>
                <w:sz w:val="22"/>
                <w:szCs w:val="22"/>
                <w:lang w:val="es-419" w:eastAsia="es-CR"/>
              </w:rPr>
            </w:pPr>
            <w:r>
              <w:br/>
            </w:r>
            <w:r w:rsidRPr="009C4265">
              <w:rPr>
                <w:rFonts w:ascii="Arial Narrow" w:hAnsi="Arial Narrow" w:cs="Calibri"/>
                <w:sz w:val="22"/>
                <w:szCs w:val="22"/>
                <w:lang w:val="es-419" w:eastAsia="es-CR"/>
              </w:rPr>
              <w:t xml:space="preserve">Al respecto, La Dirección de Planificación </w:t>
            </w:r>
            <w:r w:rsidR="00373051">
              <w:rPr>
                <w:rFonts w:ascii="Arial Narrow" w:hAnsi="Arial Narrow" w:cs="Calibri"/>
                <w:sz w:val="22"/>
                <w:szCs w:val="22"/>
                <w:lang w:val="es-419" w:eastAsia="es-CR"/>
              </w:rPr>
              <w:t xml:space="preserve">con solicitud de don Omar Brenes procedió a realizar la modificación vía sistema informático el 8 </w:t>
            </w:r>
            <w:r w:rsidRPr="009C4265">
              <w:rPr>
                <w:rFonts w:ascii="Arial Narrow" w:hAnsi="Arial Narrow" w:cs="Calibri"/>
                <w:sz w:val="22"/>
                <w:szCs w:val="22"/>
                <w:lang w:val="es-419" w:eastAsia="es-CR"/>
              </w:rPr>
              <w:t xml:space="preserve">de octubre 2021 se </w:t>
            </w:r>
            <w:r w:rsidR="00373051">
              <w:rPr>
                <w:rFonts w:ascii="Arial Narrow" w:hAnsi="Arial Narrow" w:cs="Calibri"/>
                <w:sz w:val="22"/>
                <w:szCs w:val="22"/>
                <w:lang w:val="es-419" w:eastAsia="es-CR"/>
              </w:rPr>
              <w:t>comunica que el cambio fue debidamente realizado</w:t>
            </w:r>
            <w:r w:rsidR="73193818" w:rsidRPr="7BFF2942">
              <w:rPr>
                <w:rFonts w:ascii="Arial Narrow" w:hAnsi="Arial Narrow" w:cs="Calibri"/>
                <w:sz w:val="22"/>
                <w:szCs w:val="22"/>
                <w:lang w:val="es-419" w:eastAsia="es-CR"/>
              </w:rPr>
              <w:t xml:space="preserve"> por lo que para el año 2021 se reflejará correctamente que el responsable es la Dirección de Gestión Humana.</w:t>
            </w:r>
            <w:r w:rsidR="00373051">
              <w:rPr>
                <w:rFonts w:ascii="Arial Narrow" w:hAnsi="Arial Narrow" w:cs="Calibri"/>
                <w:sz w:val="22"/>
                <w:szCs w:val="22"/>
                <w:lang w:val="es-419" w:eastAsia="es-CR"/>
              </w:rPr>
              <w:t xml:space="preserve"> </w:t>
            </w:r>
          </w:p>
          <w:p w14:paraId="19E2FC07" w14:textId="49BB39D5" w:rsidR="009C4265" w:rsidRDefault="009C4265" w:rsidP="00BF6E93">
            <w:pPr>
              <w:jc w:val="both"/>
              <w:rPr>
                <w:rFonts w:ascii="Arial Narrow" w:hAnsi="Arial Narrow" w:cs="Calibri"/>
                <w:sz w:val="22"/>
                <w:szCs w:val="22"/>
                <w:lang w:val="es-419" w:eastAsia="es-CR"/>
              </w:rPr>
            </w:pPr>
            <w:r>
              <w:br/>
            </w:r>
          </w:p>
          <w:p w14:paraId="54F560A3" w14:textId="64893164" w:rsidR="001E1FB9" w:rsidRDefault="001E1FB9" w:rsidP="00BF6E93">
            <w:pPr>
              <w:jc w:val="both"/>
              <w:rPr>
                <w:rFonts w:ascii="Arial Narrow" w:hAnsi="Arial Narrow" w:cs="Calibri"/>
                <w:sz w:val="22"/>
                <w:szCs w:val="22"/>
                <w:lang w:val="es-419" w:eastAsia="es-CR"/>
              </w:rPr>
            </w:pPr>
          </w:p>
          <w:p w14:paraId="33EB4DF8" w14:textId="77777777" w:rsidR="009C4265" w:rsidRPr="009C4265" w:rsidRDefault="009C4265" w:rsidP="00FD024B">
            <w:pPr>
              <w:jc w:val="both"/>
              <w:rPr>
                <w:rFonts w:ascii="Arial Narrow" w:hAnsi="Arial Narrow" w:cs="Calibri"/>
                <w:sz w:val="22"/>
                <w:szCs w:val="22"/>
                <w:lang w:val="es-419" w:eastAsia="es-CR"/>
              </w:rPr>
            </w:pPr>
          </w:p>
          <w:p w14:paraId="651AEA20" w14:textId="77777777" w:rsidR="009C4265" w:rsidRPr="009C4265" w:rsidRDefault="009C4265">
            <w:pPr>
              <w:jc w:val="both"/>
              <w:rPr>
                <w:rFonts w:ascii="Arial Narrow" w:hAnsi="Arial Narrow" w:cs="Calibri"/>
                <w:sz w:val="22"/>
                <w:szCs w:val="22"/>
                <w:lang w:val="es-419" w:eastAsia="es-CR"/>
              </w:rPr>
            </w:pPr>
          </w:p>
          <w:p w14:paraId="5494AEF5" w14:textId="77777777" w:rsidR="009C4265" w:rsidRPr="009C4265" w:rsidRDefault="009C4265">
            <w:pPr>
              <w:jc w:val="both"/>
              <w:rPr>
                <w:rFonts w:ascii="Arial Narrow" w:hAnsi="Arial Narrow" w:cs="Calibri"/>
                <w:sz w:val="22"/>
                <w:szCs w:val="22"/>
                <w:lang w:val="es-419" w:eastAsia="es-CR"/>
              </w:rPr>
            </w:pPr>
          </w:p>
          <w:p w14:paraId="6708C4F8" w14:textId="77777777" w:rsidR="009C4265" w:rsidRPr="009C4265" w:rsidRDefault="009C4265">
            <w:pPr>
              <w:jc w:val="both"/>
              <w:rPr>
                <w:rFonts w:ascii="Arial Narrow" w:hAnsi="Arial Narrow" w:cs="Calibri"/>
                <w:sz w:val="22"/>
                <w:szCs w:val="22"/>
                <w:lang w:val="es-419" w:eastAsia="es-CR"/>
              </w:rPr>
            </w:pPr>
          </w:p>
          <w:p w14:paraId="5679415F" w14:textId="77777777" w:rsidR="009C4265" w:rsidRPr="009C4265" w:rsidRDefault="009C4265">
            <w:pPr>
              <w:jc w:val="both"/>
              <w:rPr>
                <w:rFonts w:ascii="Arial Narrow" w:hAnsi="Arial Narrow" w:cs="Calibri"/>
                <w:sz w:val="22"/>
                <w:szCs w:val="22"/>
                <w:lang w:val="es-419" w:eastAsia="es-CR"/>
              </w:rPr>
            </w:pPr>
          </w:p>
          <w:p w14:paraId="04CDCD34" w14:textId="77777777" w:rsidR="009C4265" w:rsidRPr="009C4265" w:rsidRDefault="009C4265">
            <w:pPr>
              <w:jc w:val="both"/>
              <w:rPr>
                <w:rFonts w:ascii="Arial Narrow" w:hAnsi="Arial Narrow" w:cs="Calibri"/>
                <w:sz w:val="22"/>
                <w:szCs w:val="22"/>
                <w:lang w:val="es-419" w:eastAsia="es-CR"/>
              </w:rPr>
            </w:pPr>
          </w:p>
          <w:p w14:paraId="664608BF" w14:textId="77777777" w:rsidR="009C4265" w:rsidRPr="009C4265" w:rsidRDefault="009C4265">
            <w:pPr>
              <w:jc w:val="both"/>
              <w:rPr>
                <w:rFonts w:ascii="Arial Narrow" w:hAnsi="Arial Narrow" w:cs="Calibri"/>
                <w:sz w:val="22"/>
                <w:szCs w:val="22"/>
                <w:lang w:val="es-419" w:eastAsia="es-CR"/>
              </w:rPr>
            </w:pPr>
          </w:p>
          <w:p w14:paraId="27CA84D2" w14:textId="77777777" w:rsidR="009C4265" w:rsidRPr="009C4265" w:rsidRDefault="009C4265">
            <w:pPr>
              <w:jc w:val="both"/>
              <w:rPr>
                <w:rFonts w:ascii="Arial Narrow" w:hAnsi="Arial Narrow" w:cs="Calibri"/>
                <w:sz w:val="22"/>
                <w:szCs w:val="22"/>
                <w:lang w:val="es-419" w:eastAsia="es-CR"/>
              </w:rPr>
            </w:pPr>
          </w:p>
          <w:p w14:paraId="1F562251" w14:textId="77777777" w:rsidR="009C4265" w:rsidRPr="009C4265" w:rsidRDefault="009C4265">
            <w:pPr>
              <w:jc w:val="both"/>
              <w:rPr>
                <w:rFonts w:ascii="Arial Narrow" w:hAnsi="Arial Narrow" w:cs="Calibri"/>
                <w:sz w:val="22"/>
                <w:szCs w:val="22"/>
                <w:lang w:val="es-419" w:eastAsia="es-CR"/>
              </w:rPr>
            </w:pPr>
          </w:p>
          <w:p w14:paraId="466F2F7A" w14:textId="77777777" w:rsidR="009C4265" w:rsidRPr="009C4265" w:rsidRDefault="009C4265">
            <w:pPr>
              <w:jc w:val="both"/>
              <w:rPr>
                <w:rFonts w:ascii="Arial Narrow" w:hAnsi="Arial Narrow" w:cs="Calibri"/>
                <w:sz w:val="22"/>
                <w:szCs w:val="22"/>
                <w:lang w:val="es-419" w:eastAsia="es-CR"/>
              </w:rPr>
            </w:pPr>
          </w:p>
          <w:p w14:paraId="327D420C" w14:textId="77777777" w:rsidR="009C4265" w:rsidRPr="009C4265" w:rsidRDefault="009C4265">
            <w:pPr>
              <w:jc w:val="both"/>
              <w:rPr>
                <w:rFonts w:ascii="Arial Narrow" w:hAnsi="Arial Narrow" w:cs="Calibri"/>
                <w:sz w:val="22"/>
                <w:szCs w:val="22"/>
                <w:lang w:val="es-CR" w:eastAsia="es-CR"/>
              </w:rPr>
            </w:pPr>
          </w:p>
        </w:tc>
      </w:tr>
      <w:tr w:rsidR="009C4265" w:rsidRPr="009C4265" w14:paraId="35A55F8B" w14:textId="77777777" w:rsidTr="00C9711A">
        <w:trPr>
          <w:gridAfter w:val="1"/>
          <w:wAfter w:w="77" w:type="pct"/>
          <w:trHeight w:val="4730"/>
        </w:trPr>
        <w:tc>
          <w:tcPr>
            <w:tcW w:w="924" w:type="pct"/>
            <w:vMerge/>
            <w:tcBorders>
              <w:top w:val="nil"/>
              <w:left w:val="single" w:sz="4" w:space="0" w:color="auto"/>
              <w:bottom w:val="single" w:sz="4" w:space="0" w:color="auto"/>
              <w:right w:val="single" w:sz="4" w:space="0" w:color="auto"/>
            </w:tcBorders>
            <w:vAlign w:val="center"/>
            <w:hideMark/>
          </w:tcPr>
          <w:p w14:paraId="7848B442" w14:textId="77777777" w:rsidR="009C4265" w:rsidRPr="009C4265" w:rsidRDefault="009C4265" w:rsidP="009C4265">
            <w:pPr>
              <w:rPr>
                <w:rFonts w:ascii="Arial Narrow" w:hAnsi="Arial Narrow" w:cs="Calibri"/>
                <w:sz w:val="22"/>
                <w:szCs w:val="22"/>
                <w:lang w:val="es-CR" w:eastAsia="es-CR"/>
              </w:rPr>
            </w:pPr>
          </w:p>
        </w:tc>
        <w:tc>
          <w:tcPr>
            <w:tcW w:w="370" w:type="pct"/>
            <w:tcBorders>
              <w:top w:val="nil"/>
              <w:left w:val="nil"/>
              <w:bottom w:val="single" w:sz="4" w:space="0" w:color="auto"/>
              <w:right w:val="single" w:sz="4" w:space="0" w:color="auto"/>
            </w:tcBorders>
            <w:shd w:val="clear" w:color="auto" w:fill="auto"/>
            <w:vAlign w:val="center"/>
            <w:hideMark/>
          </w:tcPr>
          <w:p w14:paraId="18383048" w14:textId="77777777" w:rsidR="009C4265" w:rsidRPr="009C4265" w:rsidRDefault="009C4265" w:rsidP="009C4265">
            <w:pPr>
              <w:jc w:val="center"/>
              <w:rPr>
                <w:rFonts w:ascii="Arial Narrow" w:hAnsi="Arial Narrow" w:cs="Calibri"/>
                <w:sz w:val="22"/>
                <w:szCs w:val="22"/>
                <w:lang w:val="es-CR" w:eastAsia="es-CR"/>
              </w:rPr>
            </w:pPr>
            <w:r w:rsidRPr="009C4265">
              <w:rPr>
                <w:rFonts w:ascii="Arial Narrow" w:hAnsi="Arial Narrow" w:cs="Arial"/>
                <w:sz w:val="22"/>
                <w:szCs w:val="22"/>
                <w:lang w:val="es-ES" w:eastAsia="es-CR"/>
              </w:rPr>
              <w:t>215</w:t>
            </w:r>
          </w:p>
        </w:tc>
        <w:tc>
          <w:tcPr>
            <w:tcW w:w="1783" w:type="pct"/>
            <w:tcBorders>
              <w:top w:val="nil"/>
              <w:left w:val="nil"/>
              <w:bottom w:val="single" w:sz="4" w:space="0" w:color="auto"/>
              <w:right w:val="single" w:sz="4" w:space="0" w:color="auto"/>
            </w:tcBorders>
            <w:shd w:val="clear" w:color="auto" w:fill="auto"/>
            <w:hideMark/>
          </w:tcPr>
          <w:p w14:paraId="3EA0E7A3" w14:textId="77777777" w:rsidR="009C4265" w:rsidRPr="00C9711A" w:rsidRDefault="009C4265" w:rsidP="006A146B">
            <w:pPr>
              <w:jc w:val="both"/>
              <w:rPr>
                <w:rFonts w:ascii="Arial Narrow" w:hAnsi="Arial Narrow" w:cs="Calibri"/>
                <w:sz w:val="22"/>
                <w:szCs w:val="22"/>
                <w:lang w:val="es-CR" w:eastAsia="es-CR"/>
              </w:rPr>
            </w:pPr>
            <w:r w:rsidRPr="00C9711A">
              <w:rPr>
                <w:rFonts w:ascii="Arial Narrow" w:eastAsia="Calibri" w:hAnsi="Arial Narrow" w:cs="Calibri"/>
                <w:sz w:val="22"/>
                <w:szCs w:val="22"/>
                <w:lang w:eastAsia="es-CR"/>
              </w:rPr>
              <w:t>Por otra parte, la meta estratégica “</w:t>
            </w:r>
            <w:r w:rsidRPr="00C9711A">
              <w:rPr>
                <w:rFonts w:ascii="Arial Narrow" w:eastAsia="Calibri" w:hAnsi="Arial Narrow" w:cs="Calibri"/>
                <w:b/>
                <w:bCs/>
                <w:i/>
                <w:iCs/>
                <w:sz w:val="22"/>
                <w:szCs w:val="22"/>
                <w:lang w:eastAsia="es-CR"/>
              </w:rPr>
              <w:t>Que al finalizar el 2024 se haya incorporado de manera integral los valores y ejes transversales institucionales, en al menos 10 actividades de capacitación de la Unidad de Capacitación del Organismo de Investigación Judicial”</w:t>
            </w:r>
            <w:r w:rsidRPr="00C9711A">
              <w:rPr>
                <w:rFonts w:ascii="Arial Narrow" w:eastAsia="Calibri" w:hAnsi="Arial Narrow" w:cs="Calibri"/>
                <w:sz w:val="22"/>
                <w:szCs w:val="22"/>
                <w:lang w:eastAsia="es-CR"/>
              </w:rPr>
              <w:t xml:space="preserve"> la cual de acuerdo con la revisión efectuada se logró determinar que para el 2019 no tenía meta operativa vinculada por lo que no se le registra cumplimiento para ese año. Para el 2020 registra un cumplimiento medio del 66% donde se indican los resultados obtenidos por parte de la Unidad de Adiestramiento del OIJ quienes indican que para el 2020, se realizaron la inclusión de los ejes transversales institucionales en todas las actividades de capacitación tanto presencial como de manera virtual, sin embargo, no se registró ningún avance para la meta operativa: </w:t>
            </w:r>
            <w:r w:rsidRPr="00C9711A">
              <w:rPr>
                <w:rFonts w:ascii="Arial Narrow" w:eastAsia="Calibri" w:hAnsi="Arial Narrow" w:cs="Calibri"/>
                <w:i/>
                <w:iCs/>
                <w:sz w:val="22"/>
                <w:szCs w:val="22"/>
                <w:lang w:eastAsia="es-CR"/>
              </w:rPr>
              <w:t>Que al 31 de diciembre de 2020 se hayan ejecutado dos actividades de capacitación que integren los valores y ejes transversales, de acuerdo con las medidas sanitarias que se vayan tomando en lo que resta de año</w:t>
            </w:r>
            <w:r w:rsidRPr="00C9711A">
              <w:rPr>
                <w:rFonts w:ascii="Arial Narrow" w:eastAsia="Calibri" w:hAnsi="Arial Narrow" w:cs="Calibri"/>
                <w:sz w:val="22"/>
                <w:szCs w:val="22"/>
                <w:lang w:eastAsia="es-CR"/>
              </w:rPr>
              <w:t>. Esta meta quedó con un valor de 0% de cumplimiento, esto afecto el cumplimiento general de la meta.</w:t>
            </w:r>
          </w:p>
        </w:tc>
        <w:tc>
          <w:tcPr>
            <w:tcW w:w="956" w:type="pct"/>
            <w:tcBorders>
              <w:top w:val="nil"/>
              <w:left w:val="nil"/>
              <w:bottom w:val="single" w:sz="4" w:space="0" w:color="auto"/>
              <w:right w:val="single" w:sz="4" w:space="0" w:color="auto"/>
            </w:tcBorders>
            <w:shd w:val="clear" w:color="auto" w:fill="auto"/>
            <w:hideMark/>
          </w:tcPr>
          <w:p w14:paraId="3DE33BDF" w14:textId="58E29C02" w:rsidR="009C4265" w:rsidRPr="00C9711A" w:rsidRDefault="009C4265" w:rsidP="00C9711A">
            <w:pPr>
              <w:jc w:val="both"/>
              <w:rPr>
                <w:rFonts w:ascii="Arial Narrow" w:hAnsi="Arial Narrow" w:cs="Calibri"/>
                <w:sz w:val="22"/>
                <w:szCs w:val="22"/>
                <w:lang w:val="es-CR" w:eastAsia="es-CR"/>
              </w:rPr>
            </w:pPr>
            <w:r w:rsidRPr="00C9711A">
              <w:rPr>
                <w:rFonts w:ascii="Arial Narrow" w:hAnsi="Arial Narrow" w:cs="Calibri"/>
                <w:sz w:val="22"/>
                <w:szCs w:val="22"/>
                <w:lang w:val="es-ES" w:eastAsia="es-CR"/>
              </w:rPr>
              <w:t>La Unidad de Capacitación se encuentra adscrita a la Escuela Judicial y no al OIJ, por lo que la meta estratégica no puede ser asignada al OIJ</w:t>
            </w:r>
            <w:r w:rsidR="008D7E15">
              <w:rPr>
                <w:rFonts w:ascii="Arial Narrow" w:hAnsi="Arial Narrow" w:cs="Calibri"/>
                <w:sz w:val="22"/>
                <w:szCs w:val="22"/>
                <w:lang w:val="es-ES" w:eastAsia="es-CR"/>
              </w:rPr>
              <w:t>.</w:t>
            </w:r>
          </w:p>
        </w:tc>
        <w:tc>
          <w:tcPr>
            <w:tcW w:w="889" w:type="pct"/>
            <w:tcBorders>
              <w:top w:val="nil"/>
              <w:left w:val="nil"/>
              <w:bottom w:val="single" w:sz="4" w:space="0" w:color="auto"/>
              <w:right w:val="single" w:sz="4" w:space="0" w:color="auto"/>
            </w:tcBorders>
            <w:shd w:val="clear" w:color="auto" w:fill="auto"/>
            <w:hideMark/>
          </w:tcPr>
          <w:p w14:paraId="4D1764D6" w14:textId="77777777" w:rsidR="009C4265" w:rsidRDefault="009C4265" w:rsidP="00373051">
            <w:pPr>
              <w:jc w:val="both"/>
              <w:rPr>
                <w:rFonts w:ascii="Arial Narrow" w:hAnsi="Arial Narrow" w:cs="Calibri"/>
                <w:sz w:val="22"/>
                <w:szCs w:val="22"/>
                <w:lang w:val="es-CR" w:eastAsia="es-CR"/>
              </w:rPr>
            </w:pPr>
          </w:p>
          <w:p w14:paraId="39D5595A" w14:textId="7E52283A" w:rsidR="00833BF7" w:rsidRPr="009C4265" w:rsidRDefault="004A08CF" w:rsidP="00833BF7">
            <w:pPr>
              <w:jc w:val="both"/>
              <w:rPr>
                <w:rFonts w:ascii="Arial Narrow" w:hAnsi="Arial Narrow" w:cs="Calibri"/>
                <w:sz w:val="22"/>
                <w:szCs w:val="22"/>
                <w:lang w:val="es-419" w:eastAsia="es-CR"/>
              </w:rPr>
            </w:pPr>
            <w:r>
              <w:rPr>
                <w:rFonts w:ascii="Arial Narrow" w:hAnsi="Arial Narrow" w:cs="Calibri"/>
                <w:sz w:val="22"/>
                <w:szCs w:val="22"/>
                <w:lang w:val="es-419" w:eastAsia="es-CR"/>
              </w:rPr>
              <w:t>Se efectuó el ajuste en el informe</w:t>
            </w:r>
            <w:r w:rsidR="00833BF7" w:rsidRPr="009C4265">
              <w:rPr>
                <w:rFonts w:ascii="Arial Narrow" w:hAnsi="Arial Narrow" w:cs="Calibri"/>
                <w:sz w:val="22"/>
                <w:szCs w:val="22"/>
                <w:lang w:val="es-419" w:eastAsia="es-CR"/>
              </w:rPr>
              <w:t>.</w:t>
            </w:r>
          </w:p>
          <w:p w14:paraId="517CA3D1" w14:textId="2BA09D3B" w:rsidR="00373051" w:rsidRPr="006A146B" w:rsidRDefault="00373051" w:rsidP="00C9711A">
            <w:pPr>
              <w:jc w:val="both"/>
              <w:rPr>
                <w:rFonts w:ascii="Arial Narrow" w:hAnsi="Arial Narrow" w:cs="Calibri"/>
                <w:sz w:val="22"/>
                <w:szCs w:val="22"/>
                <w:lang w:val="es-CR" w:eastAsia="es-CR"/>
              </w:rPr>
            </w:pPr>
          </w:p>
        </w:tc>
      </w:tr>
      <w:tr w:rsidR="009C4265" w:rsidRPr="009C4265" w14:paraId="1F331247" w14:textId="77777777" w:rsidTr="00C9711A">
        <w:trPr>
          <w:gridAfter w:val="1"/>
          <w:wAfter w:w="77" w:type="pct"/>
          <w:trHeight w:val="5570"/>
        </w:trPr>
        <w:tc>
          <w:tcPr>
            <w:tcW w:w="924" w:type="pct"/>
            <w:vMerge/>
            <w:tcBorders>
              <w:top w:val="nil"/>
              <w:left w:val="single" w:sz="4" w:space="0" w:color="auto"/>
              <w:bottom w:val="single" w:sz="4" w:space="0" w:color="auto"/>
              <w:right w:val="single" w:sz="4" w:space="0" w:color="auto"/>
            </w:tcBorders>
            <w:vAlign w:val="center"/>
            <w:hideMark/>
          </w:tcPr>
          <w:p w14:paraId="244F3070" w14:textId="77777777" w:rsidR="009C4265" w:rsidRPr="009C4265" w:rsidRDefault="009C4265" w:rsidP="009C4265">
            <w:pPr>
              <w:rPr>
                <w:rFonts w:ascii="Arial Narrow" w:hAnsi="Arial Narrow" w:cs="Calibri"/>
                <w:sz w:val="22"/>
                <w:szCs w:val="22"/>
                <w:lang w:val="es-CR" w:eastAsia="es-CR"/>
              </w:rPr>
            </w:pPr>
          </w:p>
        </w:tc>
        <w:tc>
          <w:tcPr>
            <w:tcW w:w="370" w:type="pct"/>
            <w:tcBorders>
              <w:top w:val="nil"/>
              <w:left w:val="nil"/>
              <w:bottom w:val="single" w:sz="4" w:space="0" w:color="auto"/>
              <w:right w:val="single" w:sz="4" w:space="0" w:color="auto"/>
            </w:tcBorders>
            <w:shd w:val="clear" w:color="auto" w:fill="auto"/>
            <w:vAlign w:val="center"/>
            <w:hideMark/>
          </w:tcPr>
          <w:p w14:paraId="0D020378" w14:textId="77777777" w:rsidR="009C4265" w:rsidRPr="009C4265" w:rsidRDefault="009C4265" w:rsidP="009C4265">
            <w:pPr>
              <w:jc w:val="center"/>
              <w:rPr>
                <w:rFonts w:ascii="Arial Narrow" w:hAnsi="Arial Narrow" w:cs="Calibri"/>
                <w:sz w:val="22"/>
                <w:szCs w:val="22"/>
                <w:lang w:val="es-CR" w:eastAsia="es-CR"/>
              </w:rPr>
            </w:pPr>
            <w:r w:rsidRPr="009C4265">
              <w:rPr>
                <w:rFonts w:ascii="Arial Narrow" w:hAnsi="Arial Narrow" w:cs="Arial"/>
                <w:sz w:val="22"/>
                <w:szCs w:val="22"/>
                <w:lang w:val="es-ES" w:eastAsia="es-CR"/>
              </w:rPr>
              <w:t>221</w:t>
            </w:r>
          </w:p>
        </w:tc>
        <w:tc>
          <w:tcPr>
            <w:tcW w:w="1783" w:type="pct"/>
            <w:tcBorders>
              <w:top w:val="nil"/>
              <w:left w:val="nil"/>
              <w:bottom w:val="single" w:sz="4" w:space="0" w:color="auto"/>
              <w:right w:val="single" w:sz="4" w:space="0" w:color="auto"/>
            </w:tcBorders>
            <w:shd w:val="clear" w:color="auto" w:fill="auto"/>
            <w:hideMark/>
          </w:tcPr>
          <w:p w14:paraId="214BD0B6" w14:textId="77777777" w:rsidR="009C4265" w:rsidRPr="009C4265" w:rsidRDefault="009C4265" w:rsidP="00C9711A">
            <w:pPr>
              <w:jc w:val="both"/>
              <w:rPr>
                <w:rFonts w:ascii="Arial Narrow" w:hAnsi="Arial Narrow" w:cs="Calibri"/>
                <w:sz w:val="22"/>
                <w:szCs w:val="22"/>
                <w:lang w:val="es-CR" w:eastAsia="es-CR"/>
              </w:rPr>
            </w:pPr>
            <w:r w:rsidRPr="009C4265">
              <w:rPr>
                <w:rFonts w:ascii="Arial Narrow" w:eastAsia="Calibri" w:hAnsi="Arial Narrow" w:cs="Calibri"/>
                <w:sz w:val="22"/>
                <w:szCs w:val="22"/>
                <w:lang w:eastAsia="es-CR"/>
              </w:rPr>
              <w:t>Por otra parte, la meta estratégica “</w:t>
            </w:r>
            <w:r w:rsidRPr="009C4265">
              <w:rPr>
                <w:rFonts w:ascii="Arial Narrow" w:eastAsia="Calibri" w:hAnsi="Arial Narrow" w:cs="Calibri"/>
                <w:b/>
                <w:bCs/>
                <w:i/>
                <w:iCs/>
                <w:sz w:val="22"/>
                <w:szCs w:val="22"/>
                <w:lang w:eastAsia="es-CR"/>
              </w:rPr>
              <w:t>Que al finalizar el 2024, se hayan diseñado e implementado, al menos  5 actividades de capacitación anuales por parte de la Unidad de Capacitación del Organismo de Investigación Judicial, acorde a  los perfiles competenciales de la población meta que se desea capacitar, con el fin de alcanzar  el desempeño deseado en la función”</w:t>
            </w:r>
            <w:r w:rsidRPr="009C4265">
              <w:rPr>
                <w:rFonts w:ascii="Arial Narrow" w:eastAsia="Calibri" w:hAnsi="Arial Narrow" w:cs="Calibri"/>
                <w:sz w:val="22"/>
                <w:szCs w:val="22"/>
                <w:lang w:eastAsia="es-CR"/>
              </w:rPr>
              <w:t xml:space="preserve"> la cual de acuerdo con la revisión efectuada se logró determinar que para el 2019 tiene un cumplimiento alto del 100% y para el 2020, se registra un 60% de cumplimiento. Se destaca que la Unidad de Adiestramiento manifiesta que para el 2019 se trabajaron en la confección de los diferentes mapas funcionales, se trabajaba con el personal gestor de la Unidad de Capacitación en el diseño y formulación de los mapas funcionales para los diseños académicos que ahora se deben acompañar de su respectivo mapa funcional y para ese año se logró el mapa de Defensa Personal para cárceles, manipulación segura de arma de fuego en Biología forense, Operaciones en zonas rurales y ambiente acuático, traslado de detenidos de alto riesgo, actualización de defensa y acondicionamiento físico. Para el 2020, las actividades académicas se ejecutarán con base en el mapa funcional que emite Gestión Humana con el Programa de Formación Básica en Investigación Criminal.</w:t>
            </w:r>
          </w:p>
        </w:tc>
        <w:tc>
          <w:tcPr>
            <w:tcW w:w="956" w:type="pct"/>
            <w:tcBorders>
              <w:top w:val="nil"/>
              <w:left w:val="nil"/>
              <w:bottom w:val="single" w:sz="4" w:space="0" w:color="auto"/>
              <w:right w:val="single" w:sz="4" w:space="0" w:color="auto"/>
            </w:tcBorders>
            <w:shd w:val="clear" w:color="auto" w:fill="auto"/>
            <w:hideMark/>
          </w:tcPr>
          <w:p w14:paraId="74929FD8" w14:textId="275010C7" w:rsidR="00C02363" w:rsidRPr="009C4265" w:rsidRDefault="00C02363" w:rsidP="00C9711A">
            <w:pPr>
              <w:jc w:val="both"/>
              <w:rPr>
                <w:rFonts w:ascii="Arial Narrow" w:hAnsi="Arial Narrow" w:cs="Calibri"/>
                <w:sz w:val="22"/>
                <w:szCs w:val="22"/>
                <w:lang w:val="es-CR" w:eastAsia="es-CR"/>
              </w:rPr>
            </w:pPr>
            <w:r w:rsidRPr="00624C11">
              <w:rPr>
                <w:rFonts w:ascii="Arial Narrow" w:hAnsi="Arial Narrow" w:cs="Calibri"/>
                <w:sz w:val="22"/>
                <w:szCs w:val="22"/>
                <w:lang w:val="es-ES" w:eastAsia="es-CR"/>
              </w:rPr>
              <w:t>La Unidad de Capacitación se encuentra adscrita a la Escuela Judicial y no al OIJ, por lo que la meta estratégica no puede ser asignada al OIJ</w:t>
            </w:r>
            <w:r>
              <w:rPr>
                <w:rFonts w:ascii="Arial Narrow" w:hAnsi="Arial Narrow" w:cs="Calibri"/>
                <w:sz w:val="22"/>
                <w:szCs w:val="22"/>
                <w:lang w:val="es-ES" w:eastAsia="es-CR"/>
              </w:rPr>
              <w:t>.</w:t>
            </w:r>
          </w:p>
        </w:tc>
        <w:tc>
          <w:tcPr>
            <w:tcW w:w="889" w:type="pct"/>
            <w:tcBorders>
              <w:top w:val="nil"/>
              <w:left w:val="nil"/>
              <w:bottom w:val="single" w:sz="4" w:space="0" w:color="auto"/>
              <w:right w:val="single" w:sz="4" w:space="0" w:color="auto"/>
            </w:tcBorders>
            <w:shd w:val="clear" w:color="auto" w:fill="auto"/>
            <w:hideMark/>
          </w:tcPr>
          <w:p w14:paraId="4A775BA1" w14:textId="77777777" w:rsidR="00BF39C9" w:rsidRPr="009C4265" w:rsidRDefault="00BF39C9" w:rsidP="00BF39C9">
            <w:pPr>
              <w:jc w:val="both"/>
              <w:rPr>
                <w:rFonts w:ascii="Arial Narrow" w:hAnsi="Arial Narrow" w:cs="Calibri"/>
                <w:sz w:val="22"/>
                <w:szCs w:val="22"/>
                <w:lang w:val="es-419" w:eastAsia="es-CR"/>
              </w:rPr>
            </w:pPr>
            <w:r>
              <w:rPr>
                <w:rFonts w:ascii="Arial Narrow" w:hAnsi="Arial Narrow" w:cs="Calibri"/>
                <w:sz w:val="22"/>
                <w:szCs w:val="22"/>
                <w:lang w:val="es-419" w:eastAsia="es-CR"/>
              </w:rPr>
              <w:t>Se efectuó el ajuste en el informe</w:t>
            </w:r>
            <w:r w:rsidRPr="009C4265">
              <w:rPr>
                <w:rFonts w:ascii="Arial Narrow" w:hAnsi="Arial Narrow" w:cs="Calibri"/>
                <w:sz w:val="22"/>
                <w:szCs w:val="22"/>
                <w:lang w:val="es-419" w:eastAsia="es-CR"/>
              </w:rPr>
              <w:t>.</w:t>
            </w:r>
          </w:p>
          <w:p w14:paraId="745C97A9" w14:textId="71E6684D" w:rsidR="00AC2236" w:rsidRPr="009C4265" w:rsidRDefault="00AC2236" w:rsidP="00C9711A">
            <w:pPr>
              <w:jc w:val="both"/>
              <w:rPr>
                <w:rFonts w:ascii="Arial Narrow" w:hAnsi="Arial Narrow" w:cs="Calibri"/>
                <w:sz w:val="22"/>
                <w:szCs w:val="22"/>
                <w:lang w:val="es-CR" w:eastAsia="es-CR"/>
              </w:rPr>
            </w:pPr>
          </w:p>
        </w:tc>
      </w:tr>
      <w:tr w:rsidR="009C4265" w:rsidRPr="009C4265" w14:paraId="2E100808" w14:textId="77777777" w:rsidTr="00C9711A">
        <w:trPr>
          <w:gridAfter w:val="1"/>
          <w:wAfter w:w="77" w:type="pct"/>
          <w:trHeight w:val="670"/>
        </w:trPr>
        <w:tc>
          <w:tcPr>
            <w:tcW w:w="924" w:type="pct"/>
            <w:vMerge/>
            <w:tcBorders>
              <w:top w:val="nil"/>
              <w:left w:val="single" w:sz="4" w:space="0" w:color="auto"/>
              <w:bottom w:val="single" w:sz="4" w:space="0" w:color="auto"/>
              <w:right w:val="single" w:sz="4" w:space="0" w:color="auto"/>
            </w:tcBorders>
            <w:vAlign w:val="center"/>
            <w:hideMark/>
          </w:tcPr>
          <w:p w14:paraId="0550E638" w14:textId="77777777" w:rsidR="009C4265" w:rsidRPr="009C4265" w:rsidRDefault="009C4265" w:rsidP="009C4265">
            <w:pPr>
              <w:rPr>
                <w:rFonts w:ascii="Arial Narrow" w:hAnsi="Arial Narrow" w:cs="Calibri"/>
                <w:sz w:val="22"/>
                <w:szCs w:val="22"/>
                <w:lang w:val="es-CR" w:eastAsia="es-CR"/>
              </w:rPr>
            </w:pPr>
          </w:p>
        </w:tc>
        <w:tc>
          <w:tcPr>
            <w:tcW w:w="370" w:type="pct"/>
            <w:tcBorders>
              <w:top w:val="nil"/>
              <w:left w:val="nil"/>
              <w:bottom w:val="single" w:sz="4" w:space="0" w:color="auto"/>
              <w:right w:val="single" w:sz="4" w:space="0" w:color="auto"/>
            </w:tcBorders>
            <w:shd w:val="clear" w:color="auto" w:fill="auto"/>
            <w:vAlign w:val="center"/>
            <w:hideMark/>
          </w:tcPr>
          <w:p w14:paraId="0B9C9D35" w14:textId="77777777" w:rsidR="009C4265" w:rsidRPr="009C4265" w:rsidRDefault="009C4265" w:rsidP="009C4265">
            <w:pPr>
              <w:jc w:val="center"/>
              <w:rPr>
                <w:rFonts w:ascii="Arial Narrow" w:hAnsi="Arial Narrow" w:cs="Calibri"/>
                <w:sz w:val="22"/>
                <w:szCs w:val="22"/>
                <w:lang w:val="es-CR" w:eastAsia="es-CR"/>
              </w:rPr>
            </w:pPr>
            <w:r w:rsidRPr="009C4265">
              <w:rPr>
                <w:rFonts w:ascii="Arial Narrow" w:hAnsi="Arial Narrow" w:cs="Arial"/>
                <w:sz w:val="22"/>
                <w:szCs w:val="22"/>
                <w:lang w:val="es-ES" w:eastAsia="es-CR"/>
              </w:rPr>
              <w:t>267</w:t>
            </w:r>
          </w:p>
        </w:tc>
        <w:tc>
          <w:tcPr>
            <w:tcW w:w="1783" w:type="pct"/>
            <w:tcBorders>
              <w:top w:val="nil"/>
              <w:left w:val="nil"/>
              <w:bottom w:val="single" w:sz="4" w:space="0" w:color="auto"/>
              <w:right w:val="single" w:sz="4" w:space="0" w:color="auto"/>
            </w:tcBorders>
            <w:shd w:val="clear" w:color="auto" w:fill="auto"/>
            <w:hideMark/>
          </w:tcPr>
          <w:p w14:paraId="624B3754" w14:textId="3931CE32" w:rsidR="009C4265" w:rsidRPr="009C4265" w:rsidRDefault="006A146B" w:rsidP="00C9711A">
            <w:pPr>
              <w:keepNext/>
              <w:widowControl w:val="0"/>
              <w:autoSpaceDN w:val="0"/>
              <w:adjustRightInd w:val="0"/>
              <w:jc w:val="both"/>
              <w:outlineLvl w:val="1"/>
              <w:rPr>
                <w:rFonts w:ascii="Arial Narrow" w:hAnsi="Arial Narrow" w:cs="Calibri"/>
                <w:b/>
                <w:bCs/>
                <w:sz w:val="22"/>
                <w:szCs w:val="22"/>
                <w:lang w:val="es-ES" w:eastAsia="es-CR"/>
              </w:rPr>
            </w:pPr>
            <w:r>
              <w:rPr>
                <w:rFonts w:ascii="Arial Narrow" w:hAnsi="Arial Narrow" w:cs="Calibri"/>
                <w:b/>
                <w:bCs/>
                <w:sz w:val="22"/>
                <w:szCs w:val="22"/>
                <w:lang w:val="es-ES" w:eastAsia="es-CR"/>
              </w:rPr>
              <w:t>7-</w:t>
            </w:r>
            <w:r w:rsidR="009C4265" w:rsidRPr="009C4265">
              <w:rPr>
                <w:rFonts w:ascii="Arial Narrow" w:hAnsi="Arial Narrow" w:cs="Calibri"/>
                <w:b/>
                <w:bCs/>
                <w:sz w:val="22"/>
                <w:szCs w:val="22"/>
                <w:lang w:val="es-ES" w:eastAsia="es-CR"/>
              </w:rPr>
              <w:t>Resultados del PEI por responsables estratégicos</w:t>
            </w:r>
          </w:p>
          <w:p w14:paraId="7A968161" w14:textId="77777777" w:rsidR="009C4265" w:rsidRPr="009C4265" w:rsidRDefault="009C4265" w:rsidP="00C9711A">
            <w:pPr>
              <w:jc w:val="both"/>
              <w:rPr>
                <w:rFonts w:ascii="Arial Narrow" w:hAnsi="Arial Narrow" w:cs="Calibri"/>
                <w:sz w:val="22"/>
                <w:szCs w:val="22"/>
                <w:lang w:val="es-ES" w:eastAsia="es-CR"/>
              </w:rPr>
            </w:pPr>
          </w:p>
          <w:p w14:paraId="7AEE6DB5" w14:textId="77777777" w:rsidR="009C4265" w:rsidRPr="009C4265" w:rsidRDefault="009C4265" w:rsidP="00C9711A">
            <w:pPr>
              <w:jc w:val="both"/>
              <w:rPr>
                <w:rFonts w:ascii="Arial Narrow" w:hAnsi="Arial Narrow" w:cs="Calibri"/>
                <w:sz w:val="22"/>
                <w:szCs w:val="22"/>
                <w:lang w:val="es-ES" w:eastAsia="es-CR"/>
              </w:rPr>
            </w:pPr>
            <w:r w:rsidRPr="009C4265">
              <w:rPr>
                <w:rFonts w:ascii="Arial Narrow" w:hAnsi="Arial Narrow" w:cs="Calibri"/>
                <w:sz w:val="22"/>
                <w:szCs w:val="22"/>
                <w:lang w:val="es-ES" w:eastAsia="es-CR"/>
              </w:rPr>
              <w:t>En la siguiente tabla se muestran las 187 metas estratégicas detalladas por porcentaje de cumplimiento para el año 2019, de acuerdo con el responsable estratégico asignado.</w:t>
            </w:r>
          </w:p>
          <w:p w14:paraId="27F3A22E" w14:textId="77777777" w:rsidR="009C4265" w:rsidRPr="009C4265" w:rsidRDefault="009C4265" w:rsidP="00C9711A">
            <w:pPr>
              <w:jc w:val="both"/>
              <w:rPr>
                <w:rFonts w:ascii="Arial Narrow" w:hAnsi="Arial Narrow"/>
                <w:noProof/>
                <w:sz w:val="22"/>
                <w:szCs w:val="22"/>
              </w:rPr>
            </w:pPr>
          </w:p>
          <w:p w14:paraId="48A18811" w14:textId="47C13E9D" w:rsidR="009C4265" w:rsidRPr="009C4265" w:rsidRDefault="009C4265" w:rsidP="00C9711A">
            <w:pPr>
              <w:jc w:val="both"/>
              <w:rPr>
                <w:rFonts w:ascii="Arial Narrow" w:hAnsi="Arial Narrow" w:cs="Calibri"/>
                <w:b/>
                <w:bCs/>
                <w:sz w:val="22"/>
                <w:szCs w:val="22"/>
                <w:lang w:eastAsia="es-CR"/>
              </w:rPr>
            </w:pPr>
            <w:r w:rsidRPr="009C4265">
              <w:rPr>
                <w:rFonts w:ascii="Arial Narrow" w:hAnsi="Arial Narrow"/>
                <w:noProof/>
                <w:sz w:val="22"/>
                <w:szCs w:val="22"/>
                <w:lang w:val="es-CR" w:eastAsia="es-CR"/>
              </w:rPr>
              <w:lastRenderedPageBreak/>
              <w:drawing>
                <wp:inline distT="0" distB="0" distL="0" distR="0" wp14:anchorId="0D213561" wp14:editId="4E09940B">
                  <wp:extent cx="2038350" cy="2421870"/>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stretch>
                            <a:fillRect/>
                          </a:stretch>
                        </pic:blipFill>
                        <pic:spPr>
                          <a:xfrm>
                            <a:off x="0" y="0"/>
                            <a:ext cx="2040163" cy="2424025"/>
                          </a:xfrm>
                          <a:prstGeom prst="rect">
                            <a:avLst/>
                          </a:prstGeom>
                        </pic:spPr>
                      </pic:pic>
                    </a:graphicData>
                  </a:graphic>
                </wp:inline>
              </w:drawing>
            </w:r>
          </w:p>
          <w:p w14:paraId="77EDC758" w14:textId="77777777" w:rsidR="009C4265" w:rsidRPr="009C4265" w:rsidRDefault="009C4265" w:rsidP="00C9711A">
            <w:pPr>
              <w:jc w:val="both"/>
              <w:rPr>
                <w:rFonts w:ascii="Arial Narrow" w:hAnsi="Arial Narrow" w:cs="Calibri"/>
                <w:b/>
                <w:bCs/>
                <w:sz w:val="22"/>
                <w:szCs w:val="22"/>
                <w:lang w:eastAsia="es-CR"/>
              </w:rPr>
            </w:pPr>
          </w:p>
          <w:p w14:paraId="78056CA2" w14:textId="77777777" w:rsidR="009C4265" w:rsidRPr="009C4265" w:rsidRDefault="009C4265" w:rsidP="00C9711A">
            <w:pPr>
              <w:jc w:val="both"/>
              <w:rPr>
                <w:rFonts w:ascii="Arial Narrow" w:hAnsi="Arial Narrow" w:cs="Calibri"/>
                <w:b/>
                <w:bCs/>
                <w:sz w:val="22"/>
                <w:szCs w:val="22"/>
                <w:lang w:val="es-CR" w:eastAsia="es-CR"/>
              </w:rPr>
            </w:pPr>
          </w:p>
        </w:tc>
        <w:tc>
          <w:tcPr>
            <w:tcW w:w="956" w:type="pct"/>
            <w:tcBorders>
              <w:top w:val="nil"/>
              <w:left w:val="nil"/>
              <w:bottom w:val="single" w:sz="4" w:space="0" w:color="auto"/>
              <w:right w:val="single" w:sz="4" w:space="0" w:color="auto"/>
            </w:tcBorders>
            <w:shd w:val="clear" w:color="auto" w:fill="auto"/>
            <w:hideMark/>
          </w:tcPr>
          <w:p w14:paraId="032571D3" w14:textId="77777777" w:rsidR="009C4265" w:rsidRPr="009C4265" w:rsidRDefault="009C4265" w:rsidP="00C9711A">
            <w:pPr>
              <w:jc w:val="both"/>
              <w:rPr>
                <w:rFonts w:ascii="Arial Narrow" w:hAnsi="Arial Narrow" w:cs="Calibri"/>
                <w:sz w:val="22"/>
                <w:szCs w:val="22"/>
                <w:lang w:val="es-CR" w:eastAsia="es-CR"/>
              </w:rPr>
            </w:pPr>
            <w:r w:rsidRPr="009C4265">
              <w:rPr>
                <w:rFonts w:ascii="Arial Narrow" w:hAnsi="Arial Narrow" w:cs="Calibri"/>
                <w:sz w:val="22"/>
                <w:szCs w:val="22"/>
                <w:lang w:val="es-ES" w:eastAsia="es-CR"/>
              </w:rPr>
              <w:lastRenderedPageBreak/>
              <w:t>En la tabla de resultados no se incluyó al OIJ, lo cual evidencia una inconsistencia en los resultados</w:t>
            </w:r>
          </w:p>
        </w:tc>
        <w:tc>
          <w:tcPr>
            <w:tcW w:w="889" w:type="pct"/>
            <w:tcBorders>
              <w:top w:val="nil"/>
              <w:left w:val="nil"/>
              <w:bottom w:val="single" w:sz="4" w:space="0" w:color="auto"/>
              <w:right w:val="single" w:sz="4" w:space="0" w:color="auto"/>
            </w:tcBorders>
            <w:shd w:val="clear" w:color="auto" w:fill="auto"/>
            <w:hideMark/>
          </w:tcPr>
          <w:p w14:paraId="4E8C5F94" w14:textId="1F8AED7E" w:rsidR="009C4265" w:rsidRPr="009C4265" w:rsidRDefault="009C4265" w:rsidP="006A146B">
            <w:pPr>
              <w:jc w:val="both"/>
              <w:rPr>
                <w:rFonts w:ascii="Arial Narrow" w:hAnsi="Arial Narrow" w:cs="Calibri"/>
                <w:sz w:val="22"/>
                <w:szCs w:val="22"/>
                <w:lang w:val="es-419" w:eastAsia="es-CR"/>
              </w:rPr>
            </w:pPr>
            <w:r w:rsidRPr="009C4265">
              <w:rPr>
                <w:rFonts w:ascii="Arial Narrow" w:hAnsi="Arial Narrow" w:cs="Calibri"/>
                <w:sz w:val="22"/>
                <w:szCs w:val="22"/>
                <w:lang w:val="es-419" w:eastAsia="es-CR"/>
              </w:rPr>
              <w:t>Se toma nota de la observación.</w:t>
            </w:r>
          </w:p>
          <w:p w14:paraId="7A3B85E2" w14:textId="77777777" w:rsidR="009C4265" w:rsidRPr="009C4265" w:rsidRDefault="009C4265" w:rsidP="00BF6E93">
            <w:pPr>
              <w:jc w:val="both"/>
              <w:rPr>
                <w:rFonts w:ascii="Arial Narrow" w:hAnsi="Arial Narrow" w:cs="Calibri"/>
                <w:sz w:val="22"/>
                <w:szCs w:val="22"/>
                <w:lang w:val="es-419" w:eastAsia="es-CR"/>
              </w:rPr>
            </w:pPr>
          </w:p>
          <w:p w14:paraId="588C2D21" w14:textId="77777777" w:rsidR="009C4265" w:rsidRPr="009C4265" w:rsidRDefault="009C4265" w:rsidP="00FD024B">
            <w:pPr>
              <w:jc w:val="both"/>
              <w:rPr>
                <w:rFonts w:ascii="Arial Narrow" w:hAnsi="Arial Narrow" w:cs="Calibri"/>
                <w:sz w:val="22"/>
                <w:szCs w:val="22"/>
                <w:lang w:val="es-419" w:eastAsia="es-CR"/>
              </w:rPr>
            </w:pPr>
            <w:r w:rsidRPr="009C4265">
              <w:rPr>
                <w:rFonts w:ascii="Arial Narrow" w:hAnsi="Arial Narrow" w:cs="Calibri"/>
                <w:sz w:val="22"/>
                <w:szCs w:val="22"/>
                <w:lang w:val="es-419" w:eastAsia="es-CR"/>
              </w:rPr>
              <w:t>Al respecto se le hace saber que la instancia responsable número 16 llamada "Dirección General" es la que refleja los resultados correspondientes al OIJ.</w:t>
            </w:r>
          </w:p>
          <w:p w14:paraId="14AC38E9" w14:textId="07AE16F1" w:rsidR="009C4265" w:rsidRPr="009C4265" w:rsidRDefault="009C4265">
            <w:pPr>
              <w:jc w:val="both"/>
              <w:rPr>
                <w:rFonts w:ascii="Arial Narrow" w:hAnsi="Arial Narrow" w:cs="Calibri"/>
                <w:sz w:val="22"/>
                <w:szCs w:val="22"/>
                <w:lang w:val="es-CR" w:eastAsia="es-CR"/>
              </w:rPr>
            </w:pPr>
            <w:r w:rsidRPr="009C4265">
              <w:rPr>
                <w:rFonts w:ascii="Arial Narrow" w:hAnsi="Arial Narrow" w:cs="Calibri"/>
                <w:sz w:val="22"/>
                <w:szCs w:val="22"/>
                <w:lang w:val="es-419" w:eastAsia="es-CR"/>
              </w:rPr>
              <w:lastRenderedPageBreak/>
              <w:br/>
            </w:r>
            <w:r w:rsidR="00F44635">
              <w:rPr>
                <w:rFonts w:ascii="Arial Narrow" w:hAnsi="Arial Narrow" w:cs="Calibri"/>
                <w:sz w:val="22"/>
                <w:szCs w:val="22"/>
                <w:lang w:val="es-419" w:eastAsia="es-CR"/>
              </w:rPr>
              <w:t>Se agregar Dirección General del OIJ.</w:t>
            </w:r>
          </w:p>
        </w:tc>
      </w:tr>
      <w:tr w:rsidR="009C4265" w:rsidRPr="009C4265" w14:paraId="6FA159FC" w14:textId="77777777" w:rsidTr="00B963AA">
        <w:trPr>
          <w:gridAfter w:val="1"/>
          <w:wAfter w:w="77" w:type="pct"/>
          <w:trHeight w:val="520"/>
        </w:trPr>
        <w:tc>
          <w:tcPr>
            <w:tcW w:w="924" w:type="pct"/>
            <w:vMerge/>
            <w:tcBorders>
              <w:top w:val="nil"/>
              <w:left w:val="single" w:sz="4" w:space="0" w:color="auto"/>
              <w:bottom w:val="single" w:sz="4" w:space="0" w:color="auto"/>
              <w:right w:val="single" w:sz="4" w:space="0" w:color="auto"/>
            </w:tcBorders>
            <w:vAlign w:val="center"/>
            <w:hideMark/>
          </w:tcPr>
          <w:p w14:paraId="3810D607" w14:textId="77777777" w:rsidR="009C4265" w:rsidRPr="009C4265" w:rsidRDefault="009C4265" w:rsidP="009C4265">
            <w:pPr>
              <w:rPr>
                <w:rFonts w:ascii="Arial Narrow" w:hAnsi="Arial Narrow" w:cs="Calibri"/>
                <w:sz w:val="22"/>
                <w:szCs w:val="22"/>
                <w:lang w:val="es-CR" w:eastAsia="es-CR"/>
              </w:rPr>
            </w:pPr>
          </w:p>
        </w:tc>
        <w:tc>
          <w:tcPr>
            <w:tcW w:w="370" w:type="pct"/>
            <w:tcBorders>
              <w:top w:val="nil"/>
              <w:left w:val="nil"/>
              <w:bottom w:val="single" w:sz="4" w:space="0" w:color="auto"/>
              <w:right w:val="single" w:sz="4" w:space="0" w:color="auto"/>
            </w:tcBorders>
            <w:shd w:val="clear" w:color="auto" w:fill="auto"/>
            <w:vAlign w:val="center"/>
            <w:hideMark/>
          </w:tcPr>
          <w:p w14:paraId="78EF8A14" w14:textId="77777777" w:rsidR="009C4265" w:rsidRPr="009C4265" w:rsidRDefault="009C4265" w:rsidP="009C4265">
            <w:pPr>
              <w:jc w:val="center"/>
              <w:rPr>
                <w:rFonts w:ascii="Arial Narrow" w:hAnsi="Arial Narrow" w:cs="Calibri"/>
                <w:sz w:val="22"/>
                <w:szCs w:val="22"/>
                <w:lang w:val="es-CR" w:eastAsia="es-CR"/>
              </w:rPr>
            </w:pPr>
            <w:r w:rsidRPr="009C4265">
              <w:rPr>
                <w:rFonts w:ascii="Arial Narrow" w:hAnsi="Arial Narrow" w:cs="Arial"/>
                <w:sz w:val="22"/>
                <w:szCs w:val="22"/>
                <w:lang w:val="es-ES" w:eastAsia="es-CR"/>
              </w:rPr>
              <w:t>271</w:t>
            </w:r>
          </w:p>
        </w:tc>
        <w:tc>
          <w:tcPr>
            <w:tcW w:w="1783" w:type="pct"/>
            <w:tcBorders>
              <w:top w:val="nil"/>
              <w:left w:val="nil"/>
              <w:bottom w:val="single" w:sz="4" w:space="0" w:color="auto"/>
              <w:right w:val="single" w:sz="4" w:space="0" w:color="auto"/>
            </w:tcBorders>
            <w:shd w:val="clear" w:color="auto" w:fill="auto"/>
            <w:vAlign w:val="center"/>
            <w:hideMark/>
          </w:tcPr>
          <w:p w14:paraId="7A6EEA36" w14:textId="77777777" w:rsidR="009C4265" w:rsidRPr="009C4265" w:rsidRDefault="009C4265" w:rsidP="009C4265">
            <w:pPr>
              <w:rPr>
                <w:rFonts w:ascii="Arial Narrow" w:eastAsia="Calibri" w:hAnsi="Arial Narrow" w:cs="Calibri"/>
                <w:b/>
                <w:bCs/>
                <w:sz w:val="22"/>
                <w:szCs w:val="22"/>
                <w:lang w:eastAsia="en-US"/>
              </w:rPr>
            </w:pPr>
          </w:p>
          <w:p w14:paraId="0C1C1015" w14:textId="03A3351B" w:rsidR="009C4265" w:rsidRPr="009C4265" w:rsidRDefault="009C4265" w:rsidP="009C4265">
            <w:pPr>
              <w:rPr>
                <w:rFonts w:ascii="Arial Narrow" w:hAnsi="Arial Narrow" w:cs="Calibri"/>
                <w:b/>
                <w:bCs/>
                <w:sz w:val="22"/>
                <w:szCs w:val="22"/>
                <w:lang w:val="es-CR" w:eastAsia="es-CR"/>
              </w:rPr>
            </w:pPr>
            <w:r w:rsidRPr="009C4265">
              <w:rPr>
                <w:rFonts w:ascii="Arial Narrow" w:hAnsi="Arial Narrow"/>
                <w:noProof/>
                <w:sz w:val="22"/>
                <w:szCs w:val="22"/>
                <w:lang w:val="es-CR" w:eastAsia="es-CR"/>
              </w:rPr>
              <w:drawing>
                <wp:inline distT="0" distB="0" distL="0" distR="0" wp14:anchorId="6081409D" wp14:editId="59989FF9">
                  <wp:extent cx="2181881" cy="2743200"/>
                  <wp:effectExtent l="0" t="0" r="889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a:stretch>
                            <a:fillRect/>
                          </a:stretch>
                        </pic:blipFill>
                        <pic:spPr>
                          <a:xfrm>
                            <a:off x="0" y="0"/>
                            <a:ext cx="2184991" cy="2747110"/>
                          </a:xfrm>
                          <a:prstGeom prst="rect">
                            <a:avLst/>
                          </a:prstGeom>
                        </pic:spPr>
                      </pic:pic>
                    </a:graphicData>
                  </a:graphic>
                </wp:inline>
              </w:drawing>
            </w:r>
          </w:p>
        </w:tc>
        <w:tc>
          <w:tcPr>
            <w:tcW w:w="956" w:type="pct"/>
            <w:tcBorders>
              <w:top w:val="nil"/>
              <w:left w:val="nil"/>
              <w:bottom w:val="single" w:sz="4" w:space="0" w:color="auto"/>
              <w:right w:val="single" w:sz="4" w:space="0" w:color="auto"/>
            </w:tcBorders>
            <w:shd w:val="clear" w:color="auto" w:fill="auto"/>
            <w:vAlign w:val="center"/>
            <w:hideMark/>
          </w:tcPr>
          <w:p w14:paraId="2BA1AFDA" w14:textId="77777777" w:rsidR="009C4265" w:rsidRPr="009C4265" w:rsidRDefault="009C4265" w:rsidP="009C4265">
            <w:pPr>
              <w:jc w:val="both"/>
              <w:rPr>
                <w:rFonts w:ascii="Arial Narrow" w:hAnsi="Arial Narrow" w:cs="Calibri"/>
                <w:sz w:val="22"/>
                <w:szCs w:val="22"/>
                <w:lang w:val="es-CR" w:eastAsia="es-CR"/>
              </w:rPr>
            </w:pPr>
            <w:r w:rsidRPr="009C4265">
              <w:rPr>
                <w:rFonts w:ascii="Arial Narrow" w:hAnsi="Arial Narrow" w:cs="Calibri"/>
                <w:sz w:val="22"/>
                <w:szCs w:val="22"/>
                <w:lang w:val="es-ES" w:eastAsia="es-CR"/>
              </w:rPr>
              <w:t>Igualmente, que, en la tabla anterior, no se incluyeron los resultados del Organismo de Investigación Judicial.</w:t>
            </w:r>
          </w:p>
        </w:tc>
        <w:tc>
          <w:tcPr>
            <w:tcW w:w="889" w:type="pct"/>
            <w:tcBorders>
              <w:top w:val="nil"/>
              <w:left w:val="nil"/>
              <w:bottom w:val="single" w:sz="4" w:space="0" w:color="auto"/>
              <w:right w:val="single" w:sz="4" w:space="0" w:color="auto"/>
            </w:tcBorders>
            <w:shd w:val="clear" w:color="auto" w:fill="auto"/>
            <w:vAlign w:val="center"/>
            <w:hideMark/>
          </w:tcPr>
          <w:p w14:paraId="27C94679" w14:textId="3CC8B4B6" w:rsidR="009C4265" w:rsidRPr="009C4265" w:rsidRDefault="00F44635" w:rsidP="009C4265">
            <w:pPr>
              <w:rPr>
                <w:rFonts w:ascii="Arial Narrow" w:hAnsi="Arial Narrow" w:cs="Calibri"/>
                <w:sz w:val="22"/>
                <w:szCs w:val="22"/>
                <w:lang w:val="es-CR" w:eastAsia="es-CR"/>
              </w:rPr>
            </w:pPr>
            <w:r>
              <w:rPr>
                <w:rFonts w:ascii="Arial Narrow" w:hAnsi="Arial Narrow" w:cs="Calibri"/>
                <w:sz w:val="22"/>
                <w:szCs w:val="22"/>
                <w:lang w:val="es-419" w:eastAsia="es-CR"/>
              </w:rPr>
              <w:t>Se agregar Dirección General del OIJ.</w:t>
            </w:r>
          </w:p>
        </w:tc>
      </w:tr>
      <w:tr w:rsidR="009C4265" w:rsidRPr="009C4265" w14:paraId="540E93F2" w14:textId="77777777" w:rsidTr="00C9711A">
        <w:trPr>
          <w:gridAfter w:val="1"/>
          <w:wAfter w:w="77" w:type="pct"/>
          <w:trHeight w:val="310"/>
        </w:trPr>
        <w:tc>
          <w:tcPr>
            <w:tcW w:w="924" w:type="pct"/>
            <w:tcBorders>
              <w:top w:val="nil"/>
              <w:left w:val="single" w:sz="4" w:space="0" w:color="auto"/>
              <w:bottom w:val="single" w:sz="4" w:space="0" w:color="auto"/>
              <w:right w:val="single" w:sz="4" w:space="0" w:color="auto"/>
            </w:tcBorders>
            <w:shd w:val="clear" w:color="auto" w:fill="auto"/>
            <w:hideMark/>
          </w:tcPr>
          <w:p w14:paraId="1C060412" w14:textId="77777777" w:rsidR="009C4265" w:rsidRPr="009C4265" w:rsidRDefault="009C4265" w:rsidP="00C9711A">
            <w:pPr>
              <w:jc w:val="both"/>
              <w:rPr>
                <w:rFonts w:ascii="Arial Narrow" w:hAnsi="Arial Narrow" w:cs="Calibri"/>
                <w:sz w:val="22"/>
                <w:szCs w:val="22"/>
                <w:lang w:val="es-CR" w:eastAsia="es-CR"/>
              </w:rPr>
            </w:pPr>
            <w:r w:rsidRPr="009C4265">
              <w:rPr>
                <w:rFonts w:ascii="Arial Narrow" w:hAnsi="Arial Narrow" w:cs="Calibri"/>
                <w:sz w:val="22"/>
                <w:szCs w:val="22"/>
                <w:lang w:val="es-CR" w:eastAsia="es-CR"/>
              </w:rPr>
              <w:t>Administración Regional de Pérez Zeledón</w:t>
            </w:r>
          </w:p>
        </w:tc>
        <w:tc>
          <w:tcPr>
            <w:tcW w:w="370" w:type="pct"/>
            <w:tcBorders>
              <w:top w:val="nil"/>
              <w:left w:val="nil"/>
              <w:bottom w:val="single" w:sz="4" w:space="0" w:color="auto"/>
              <w:right w:val="single" w:sz="4" w:space="0" w:color="auto"/>
            </w:tcBorders>
            <w:shd w:val="clear" w:color="auto" w:fill="auto"/>
            <w:noWrap/>
            <w:hideMark/>
          </w:tcPr>
          <w:p w14:paraId="2DD6F331" w14:textId="77777777" w:rsidR="009C4265" w:rsidRPr="009C4265" w:rsidRDefault="009C4265" w:rsidP="00C9711A">
            <w:pPr>
              <w:jc w:val="both"/>
              <w:rPr>
                <w:rFonts w:ascii="Arial Narrow" w:hAnsi="Arial Narrow" w:cs="Calibri"/>
                <w:sz w:val="22"/>
                <w:szCs w:val="22"/>
                <w:lang w:val="es-CR" w:eastAsia="es-CR"/>
              </w:rPr>
            </w:pPr>
            <w:r w:rsidRPr="009C4265">
              <w:rPr>
                <w:rFonts w:ascii="Arial Narrow" w:hAnsi="Arial Narrow" w:cs="Calibri"/>
                <w:sz w:val="22"/>
                <w:szCs w:val="22"/>
                <w:lang w:val="es-CR" w:eastAsia="es-CR"/>
              </w:rPr>
              <w:t>-</w:t>
            </w:r>
          </w:p>
        </w:tc>
        <w:tc>
          <w:tcPr>
            <w:tcW w:w="1783" w:type="pct"/>
            <w:tcBorders>
              <w:top w:val="nil"/>
              <w:left w:val="nil"/>
              <w:bottom w:val="single" w:sz="4" w:space="0" w:color="auto"/>
              <w:right w:val="single" w:sz="4" w:space="0" w:color="auto"/>
            </w:tcBorders>
            <w:shd w:val="clear" w:color="auto" w:fill="auto"/>
            <w:hideMark/>
          </w:tcPr>
          <w:p w14:paraId="2A3C71AC" w14:textId="77777777" w:rsidR="009C4265" w:rsidRPr="009C4265" w:rsidRDefault="009C4265" w:rsidP="00C9711A">
            <w:pPr>
              <w:jc w:val="both"/>
              <w:rPr>
                <w:rFonts w:ascii="Arial Narrow" w:hAnsi="Arial Narrow" w:cs="Calibri"/>
                <w:sz w:val="22"/>
                <w:szCs w:val="22"/>
                <w:lang w:val="es-CR" w:eastAsia="es-CR"/>
              </w:rPr>
            </w:pPr>
            <w:r w:rsidRPr="009C4265">
              <w:rPr>
                <w:rFonts w:ascii="Arial Narrow" w:hAnsi="Arial Narrow" w:cs="Calibri"/>
                <w:sz w:val="22"/>
                <w:szCs w:val="22"/>
                <w:lang w:val="es-CR" w:eastAsia="es-CR"/>
              </w:rPr>
              <w:t>-</w:t>
            </w:r>
          </w:p>
        </w:tc>
        <w:tc>
          <w:tcPr>
            <w:tcW w:w="956" w:type="pct"/>
            <w:tcBorders>
              <w:top w:val="nil"/>
              <w:left w:val="nil"/>
              <w:bottom w:val="single" w:sz="4" w:space="0" w:color="auto"/>
              <w:right w:val="single" w:sz="4" w:space="0" w:color="auto"/>
            </w:tcBorders>
            <w:shd w:val="clear" w:color="auto" w:fill="auto"/>
            <w:noWrap/>
            <w:hideMark/>
          </w:tcPr>
          <w:p w14:paraId="6BE1A946" w14:textId="77777777" w:rsidR="009C4265" w:rsidRPr="009C4265" w:rsidRDefault="009C4265" w:rsidP="006A146B">
            <w:pPr>
              <w:jc w:val="both"/>
              <w:rPr>
                <w:rFonts w:ascii="Arial Narrow" w:hAnsi="Arial Narrow" w:cs="Calibri"/>
                <w:sz w:val="22"/>
                <w:szCs w:val="22"/>
                <w:lang w:val="es-CR" w:eastAsia="es-CR"/>
              </w:rPr>
            </w:pPr>
            <w:r w:rsidRPr="009C4265">
              <w:rPr>
                <w:rFonts w:ascii="Arial Narrow" w:hAnsi="Arial Narrow" w:cs="Calibri"/>
                <w:sz w:val="22"/>
                <w:szCs w:val="22"/>
                <w:lang w:val="es-CR" w:eastAsia="es-CR"/>
              </w:rPr>
              <w:t>no se tiene observaciones.</w:t>
            </w:r>
          </w:p>
        </w:tc>
        <w:tc>
          <w:tcPr>
            <w:tcW w:w="889" w:type="pct"/>
            <w:tcBorders>
              <w:top w:val="nil"/>
              <w:left w:val="nil"/>
              <w:bottom w:val="single" w:sz="4" w:space="0" w:color="auto"/>
              <w:right w:val="single" w:sz="4" w:space="0" w:color="auto"/>
            </w:tcBorders>
            <w:shd w:val="clear" w:color="auto" w:fill="auto"/>
            <w:noWrap/>
            <w:hideMark/>
          </w:tcPr>
          <w:p w14:paraId="4B27E1CF" w14:textId="77777777" w:rsidR="009C4265" w:rsidRPr="009C4265" w:rsidRDefault="009C4265" w:rsidP="00C9711A">
            <w:pPr>
              <w:jc w:val="both"/>
              <w:rPr>
                <w:rFonts w:ascii="Arial Narrow" w:hAnsi="Arial Narrow" w:cs="Calibri"/>
                <w:sz w:val="22"/>
                <w:szCs w:val="22"/>
                <w:lang w:val="es-CR" w:eastAsia="es-CR"/>
              </w:rPr>
            </w:pPr>
            <w:r w:rsidRPr="009C4265">
              <w:rPr>
                <w:rFonts w:ascii="Arial Narrow" w:hAnsi="Arial Narrow" w:cs="Calibri"/>
                <w:sz w:val="22"/>
                <w:szCs w:val="22"/>
                <w:lang w:val="es-CR" w:eastAsia="es-CR"/>
              </w:rPr>
              <w:t>N/A</w:t>
            </w:r>
          </w:p>
        </w:tc>
      </w:tr>
      <w:tr w:rsidR="009C4265" w:rsidRPr="00BF6E93" w14:paraId="06A500F9" w14:textId="77777777" w:rsidTr="00C9711A">
        <w:trPr>
          <w:gridAfter w:val="1"/>
          <w:wAfter w:w="77" w:type="pct"/>
          <w:trHeight w:val="497"/>
        </w:trPr>
        <w:tc>
          <w:tcPr>
            <w:tcW w:w="924" w:type="pct"/>
            <w:vMerge w:val="restart"/>
            <w:tcBorders>
              <w:top w:val="nil"/>
              <w:left w:val="single" w:sz="4" w:space="0" w:color="auto"/>
              <w:bottom w:val="single" w:sz="4" w:space="0" w:color="auto"/>
              <w:right w:val="single" w:sz="4" w:space="0" w:color="auto"/>
            </w:tcBorders>
            <w:shd w:val="clear" w:color="auto" w:fill="auto"/>
            <w:noWrap/>
            <w:hideMark/>
          </w:tcPr>
          <w:p w14:paraId="4E4E8B45" w14:textId="77777777" w:rsidR="009C4265" w:rsidRPr="009C4265" w:rsidRDefault="009C4265" w:rsidP="00C9711A">
            <w:pPr>
              <w:jc w:val="both"/>
              <w:rPr>
                <w:rFonts w:ascii="Arial Narrow" w:hAnsi="Arial Narrow" w:cs="Calibri"/>
                <w:sz w:val="22"/>
                <w:szCs w:val="22"/>
                <w:lang w:val="es-CR" w:eastAsia="es-CR"/>
              </w:rPr>
            </w:pPr>
            <w:r w:rsidRPr="009C4265">
              <w:rPr>
                <w:rFonts w:ascii="Arial Narrow" w:hAnsi="Arial Narrow" w:cs="Calibri"/>
                <w:sz w:val="22"/>
                <w:szCs w:val="22"/>
                <w:lang w:val="es-CR" w:eastAsia="es-CR"/>
              </w:rPr>
              <w:t>Departamento de Trabajo Social y Psicología</w:t>
            </w:r>
          </w:p>
        </w:tc>
        <w:tc>
          <w:tcPr>
            <w:tcW w:w="370" w:type="pct"/>
            <w:tcBorders>
              <w:top w:val="nil"/>
              <w:left w:val="nil"/>
              <w:bottom w:val="single" w:sz="4" w:space="0" w:color="auto"/>
              <w:right w:val="single" w:sz="4" w:space="0" w:color="auto"/>
            </w:tcBorders>
            <w:shd w:val="clear" w:color="auto" w:fill="auto"/>
            <w:hideMark/>
          </w:tcPr>
          <w:p w14:paraId="3641C689" w14:textId="77777777" w:rsidR="009C4265" w:rsidRPr="009C4265" w:rsidRDefault="009C4265" w:rsidP="00C9711A">
            <w:pPr>
              <w:jc w:val="both"/>
              <w:rPr>
                <w:rFonts w:ascii="Arial Narrow" w:hAnsi="Arial Narrow" w:cs="Calibri"/>
                <w:sz w:val="22"/>
                <w:szCs w:val="22"/>
                <w:lang w:val="es-CR" w:eastAsia="es-CR"/>
              </w:rPr>
            </w:pPr>
            <w:r w:rsidRPr="009C4265">
              <w:rPr>
                <w:rFonts w:ascii="Arial Narrow" w:hAnsi="Arial Narrow" w:cs="Calibri"/>
                <w:bCs/>
                <w:sz w:val="22"/>
                <w:szCs w:val="22"/>
                <w:lang w:val="es-ES" w:eastAsia="es-CR"/>
              </w:rPr>
              <w:t>70 y 71</w:t>
            </w:r>
          </w:p>
        </w:tc>
        <w:tc>
          <w:tcPr>
            <w:tcW w:w="1783" w:type="pct"/>
            <w:tcBorders>
              <w:top w:val="nil"/>
              <w:left w:val="nil"/>
              <w:bottom w:val="single" w:sz="4" w:space="0" w:color="auto"/>
              <w:right w:val="single" w:sz="4" w:space="0" w:color="auto"/>
            </w:tcBorders>
            <w:shd w:val="clear" w:color="auto" w:fill="auto"/>
            <w:noWrap/>
            <w:hideMark/>
          </w:tcPr>
          <w:p w14:paraId="146A41E6" w14:textId="77777777" w:rsidR="009C4265" w:rsidRPr="009C4265" w:rsidRDefault="009C4265" w:rsidP="00C9711A">
            <w:pPr>
              <w:jc w:val="both"/>
              <w:rPr>
                <w:rFonts w:ascii="Arial Narrow" w:hAnsi="Arial Narrow" w:cs="Calibri"/>
                <w:sz w:val="22"/>
                <w:szCs w:val="22"/>
                <w:lang w:val="es-ES" w:eastAsia="es-CR"/>
              </w:rPr>
            </w:pPr>
            <w:r w:rsidRPr="009C4265">
              <w:rPr>
                <w:rFonts w:ascii="Arial Narrow" w:hAnsi="Arial Narrow" w:cs="Calibri"/>
                <w:sz w:val="22"/>
                <w:szCs w:val="22"/>
                <w:lang w:val="es-ES" w:eastAsia="es-CR"/>
              </w:rPr>
              <w:t>Último y primero respectivamente</w:t>
            </w:r>
          </w:p>
          <w:p w14:paraId="4B6EDD03" w14:textId="77777777" w:rsidR="009C4265" w:rsidRPr="009C4265" w:rsidRDefault="009C4265" w:rsidP="00C9711A">
            <w:pPr>
              <w:jc w:val="both"/>
              <w:rPr>
                <w:rFonts w:ascii="Arial Narrow" w:hAnsi="Arial Narrow" w:cs="Calibri"/>
                <w:sz w:val="22"/>
                <w:szCs w:val="22"/>
                <w:lang w:val="es-ES" w:eastAsia="es-CR"/>
              </w:rPr>
            </w:pPr>
          </w:p>
          <w:p w14:paraId="7721885D" w14:textId="77777777" w:rsidR="009C4265" w:rsidRPr="009C4265" w:rsidRDefault="009C4265" w:rsidP="00C9711A">
            <w:pPr>
              <w:jc w:val="both"/>
              <w:rPr>
                <w:rFonts w:ascii="Arial Narrow" w:hAnsi="Arial Narrow" w:cs="Calibri"/>
                <w:sz w:val="22"/>
                <w:szCs w:val="22"/>
                <w:lang w:val="es-ES" w:eastAsia="es-CR"/>
              </w:rPr>
            </w:pPr>
          </w:p>
          <w:p w14:paraId="5C79548A" w14:textId="77777777" w:rsidR="009C4265" w:rsidRPr="009C4265" w:rsidRDefault="009C4265" w:rsidP="00C9711A">
            <w:pPr>
              <w:jc w:val="both"/>
              <w:rPr>
                <w:rFonts w:ascii="Arial Narrow" w:hAnsi="Arial Narrow" w:cs="Calibri"/>
                <w:sz w:val="22"/>
                <w:szCs w:val="22"/>
                <w:lang w:val="es-ES" w:eastAsia="es-CR"/>
              </w:rPr>
            </w:pPr>
          </w:p>
          <w:p w14:paraId="35AD1C9B" w14:textId="77777777" w:rsidR="009C4265" w:rsidRPr="009C4265" w:rsidRDefault="009C4265" w:rsidP="00C9711A">
            <w:pPr>
              <w:jc w:val="both"/>
              <w:rPr>
                <w:rFonts w:ascii="Arial Narrow" w:hAnsi="Arial Narrow" w:cs="Calibri"/>
                <w:sz w:val="22"/>
                <w:szCs w:val="22"/>
                <w:lang w:val="es-ES" w:eastAsia="es-CR"/>
              </w:rPr>
            </w:pPr>
          </w:p>
          <w:p w14:paraId="4D2F446B" w14:textId="77777777" w:rsidR="009C4265" w:rsidRPr="009C4265" w:rsidRDefault="009C4265" w:rsidP="00C9711A">
            <w:pPr>
              <w:jc w:val="both"/>
              <w:rPr>
                <w:rFonts w:ascii="Arial Narrow" w:hAnsi="Arial Narrow" w:cs="Calibri"/>
                <w:sz w:val="22"/>
                <w:szCs w:val="22"/>
                <w:lang w:val="es-ES" w:eastAsia="es-CR"/>
              </w:rPr>
            </w:pPr>
          </w:p>
          <w:p w14:paraId="29609C1B" w14:textId="77777777" w:rsidR="009C4265" w:rsidRPr="009C4265" w:rsidRDefault="009C4265" w:rsidP="00C9711A">
            <w:pPr>
              <w:jc w:val="both"/>
              <w:rPr>
                <w:rFonts w:ascii="Arial Narrow" w:hAnsi="Arial Narrow" w:cs="Calibri"/>
                <w:sz w:val="22"/>
                <w:szCs w:val="22"/>
                <w:lang w:val="es-ES" w:eastAsia="es-CR"/>
              </w:rPr>
            </w:pPr>
          </w:p>
          <w:p w14:paraId="7A518C79" w14:textId="77777777" w:rsidR="009C4265" w:rsidRPr="009C4265" w:rsidRDefault="009C4265" w:rsidP="00C9711A">
            <w:pPr>
              <w:jc w:val="both"/>
              <w:rPr>
                <w:rFonts w:ascii="Arial Narrow" w:hAnsi="Arial Narrow" w:cs="Calibri"/>
                <w:sz w:val="22"/>
                <w:szCs w:val="22"/>
                <w:lang w:val="es-ES" w:eastAsia="es-CR"/>
              </w:rPr>
            </w:pPr>
          </w:p>
          <w:p w14:paraId="258707E7" w14:textId="77777777" w:rsidR="009C4265" w:rsidRPr="009C4265" w:rsidRDefault="009C4265" w:rsidP="00C9711A">
            <w:pPr>
              <w:jc w:val="both"/>
              <w:rPr>
                <w:rFonts w:ascii="Arial Narrow" w:hAnsi="Arial Narrow" w:cs="Calibri"/>
                <w:sz w:val="22"/>
                <w:szCs w:val="22"/>
                <w:lang w:val="es-ES" w:eastAsia="es-CR"/>
              </w:rPr>
            </w:pPr>
          </w:p>
          <w:p w14:paraId="4846EBD4" w14:textId="77777777" w:rsidR="009C4265" w:rsidRPr="009C4265" w:rsidRDefault="009C4265" w:rsidP="00C9711A">
            <w:pPr>
              <w:jc w:val="both"/>
              <w:rPr>
                <w:rFonts w:ascii="Arial Narrow" w:hAnsi="Arial Narrow" w:cs="Calibri"/>
                <w:sz w:val="22"/>
                <w:szCs w:val="22"/>
                <w:lang w:val="es-ES" w:eastAsia="es-CR"/>
              </w:rPr>
            </w:pPr>
          </w:p>
          <w:p w14:paraId="63D205B8" w14:textId="77777777" w:rsidR="009C4265" w:rsidRPr="009C4265" w:rsidRDefault="009C4265" w:rsidP="00C9711A">
            <w:pPr>
              <w:jc w:val="both"/>
              <w:rPr>
                <w:rFonts w:ascii="Arial Narrow" w:hAnsi="Arial Narrow" w:cs="Calibri"/>
                <w:sz w:val="22"/>
                <w:szCs w:val="22"/>
                <w:lang w:val="es-ES" w:eastAsia="es-CR"/>
              </w:rPr>
            </w:pPr>
          </w:p>
          <w:p w14:paraId="0B325EA8" w14:textId="77777777" w:rsidR="009C4265" w:rsidRPr="009C4265" w:rsidRDefault="009C4265" w:rsidP="00C9711A">
            <w:pPr>
              <w:jc w:val="both"/>
              <w:rPr>
                <w:rFonts w:ascii="Arial Narrow" w:hAnsi="Arial Narrow" w:cs="Calibri"/>
                <w:sz w:val="22"/>
                <w:szCs w:val="22"/>
                <w:lang w:val="es-ES" w:eastAsia="es-CR"/>
              </w:rPr>
            </w:pPr>
          </w:p>
          <w:p w14:paraId="2665FB58" w14:textId="77777777" w:rsidR="009C4265" w:rsidRPr="009C4265" w:rsidRDefault="009C4265" w:rsidP="00C9711A">
            <w:pPr>
              <w:jc w:val="both"/>
              <w:rPr>
                <w:rFonts w:ascii="Arial Narrow" w:hAnsi="Arial Narrow" w:cs="Calibri"/>
                <w:sz w:val="22"/>
                <w:szCs w:val="22"/>
                <w:lang w:val="es-ES" w:eastAsia="es-CR"/>
              </w:rPr>
            </w:pPr>
          </w:p>
          <w:p w14:paraId="31682E2B" w14:textId="77777777" w:rsidR="009C4265" w:rsidRPr="009C4265" w:rsidRDefault="009C4265" w:rsidP="00C9711A">
            <w:pPr>
              <w:jc w:val="both"/>
              <w:rPr>
                <w:rFonts w:ascii="Arial Narrow" w:hAnsi="Arial Narrow" w:cs="Calibri"/>
                <w:sz w:val="22"/>
                <w:szCs w:val="22"/>
                <w:lang w:val="es-ES" w:eastAsia="es-CR"/>
              </w:rPr>
            </w:pPr>
          </w:p>
          <w:p w14:paraId="04C0013D" w14:textId="77777777" w:rsidR="009C4265" w:rsidRPr="009C4265" w:rsidRDefault="009C4265" w:rsidP="00C9711A">
            <w:pPr>
              <w:jc w:val="both"/>
              <w:rPr>
                <w:rFonts w:ascii="Arial Narrow" w:hAnsi="Arial Narrow" w:cs="Calibri"/>
                <w:sz w:val="22"/>
                <w:szCs w:val="22"/>
                <w:lang w:val="es-ES" w:eastAsia="es-CR"/>
              </w:rPr>
            </w:pPr>
          </w:p>
          <w:p w14:paraId="54FC3DED" w14:textId="77777777" w:rsidR="009C4265" w:rsidRPr="009C4265" w:rsidRDefault="009C4265" w:rsidP="00C9711A">
            <w:pPr>
              <w:jc w:val="both"/>
              <w:rPr>
                <w:rFonts w:ascii="Arial Narrow" w:hAnsi="Arial Narrow" w:cs="Calibri"/>
                <w:sz w:val="22"/>
                <w:szCs w:val="22"/>
                <w:lang w:val="es-ES" w:eastAsia="es-CR"/>
              </w:rPr>
            </w:pPr>
          </w:p>
          <w:p w14:paraId="6BE092D9" w14:textId="77777777" w:rsidR="009C4265" w:rsidRPr="009C4265" w:rsidRDefault="009C4265" w:rsidP="00C9711A">
            <w:pPr>
              <w:jc w:val="both"/>
              <w:rPr>
                <w:rFonts w:ascii="Arial Narrow" w:hAnsi="Arial Narrow" w:cs="Calibri"/>
                <w:sz w:val="22"/>
                <w:szCs w:val="22"/>
                <w:lang w:val="es-ES" w:eastAsia="es-CR"/>
              </w:rPr>
            </w:pPr>
          </w:p>
          <w:p w14:paraId="216E824C" w14:textId="77777777" w:rsidR="009C4265" w:rsidRPr="009C4265" w:rsidRDefault="009C4265" w:rsidP="00C9711A">
            <w:pPr>
              <w:jc w:val="both"/>
              <w:rPr>
                <w:rFonts w:ascii="Arial Narrow" w:hAnsi="Arial Narrow" w:cs="Calibri"/>
                <w:sz w:val="22"/>
                <w:szCs w:val="22"/>
                <w:lang w:val="es-ES" w:eastAsia="es-CR"/>
              </w:rPr>
            </w:pPr>
          </w:p>
          <w:p w14:paraId="27897401" w14:textId="77777777" w:rsidR="009C4265" w:rsidRPr="009C4265" w:rsidRDefault="009C4265" w:rsidP="00C9711A">
            <w:pPr>
              <w:jc w:val="both"/>
              <w:rPr>
                <w:rFonts w:ascii="Arial Narrow" w:hAnsi="Arial Narrow" w:cs="Calibri"/>
                <w:sz w:val="22"/>
                <w:szCs w:val="22"/>
                <w:lang w:val="es-CR" w:eastAsia="es-CR"/>
              </w:rPr>
            </w:pPr>
          </w:p>
        </w:tc>
        <w:tc>
          <w:tcPr>
            <w:tcW w:w="956" w:type="pct"/>
            <w:tcBorders>
              <w:top w:val="nil"/>
              <w:left w:val="nil"/>
              <w:bottom w:val="single" w:sz="4" w:space="0" w:color="auto"/>
              <w:right w:val="single" w:sz="4" w:space="0" w:color="auto"/>
            </w:tcBorders>
            <w:shd w:val="clear" w:color="auto" w:fill="auto"/>
            <w:hideMark/>
          </w:tcPr>
          <w:p w14:paraId="5F340E66" w14:textId="77777777" w:rsidR="009C4265" w:rsidRPr="009C4265" w:rsidRDefault="009C4265" w:rsidP="006A146B">
            <w:pPr>
              <w:jc w:val="both"/>
              <w:rPr>
                <w:rFonts w:ascii="Arial Narrow" w:hAnsi="Arial Narrow" w:cs="Calibri"/>
                <w:sz w:val="22"/>
                <w:szCs w:val="22"/>
                <w:u w:val="single"/>
                <w:lang w:eastAsia="es-CR"/>
              </w:rPr>
            </w:pPr>
            <w:r w:rsidRPr="009C4265">
              <w:rPr>
                <w:rFonts w:ascii="Arial Narrow" w:hAnsi="Arial Narrow" w:cs="Calibri"/>
                <w:bCs/>
                <w:sz w:val="22"/>
                <w:szCs w:val="22"/>
                <w:lang w:eastAsia="es-CR"/>
              </w:rPr>
              <w:lastRenderedPageBreak/>
              <w:t xml:space="preserve">Se indica que respecto a la meta estratégica de que se haya incrementado la cantidad de informes </w:t>
            </w:r>
            <w:r w:rsidRPr="009C4265">
              <w:rPr>
                <w:rFonts w:ascii="Arial Narrow" w:hAnsi="Arial Narrow" w:cs="Calibri"/>
                <w:bCs/>
                <w:sz w:val="22"/>
                <w:szCs w:val="22"/>
                <w:lang w:eastAsia="es-CR"/>
              </w:rPr>
              <w:lastRenderedPageBreak/>
              <w:t xml:space="preserve">periciales rendidos por año por parte de las oficinas del Departamento de Trabajo Social y Psicología, </w:t>
            </w:r>
            <w:r w:rsidRPr="009C4265">
              <w:rPr>
                <w:rFonts w:ascii="Arial Narrow" w:hAnsi="Arial Narrow" w:cs="Calibri"/>
                <w:sz w:val="22"/>
                <w:szCs w:val="22"/>
                <w:u w:val="single"/>
                <w:lang w:eastAsia="es-CR"/>
              </w:rPr>
              <w:t>en el 2019 se cumplió con el 83% de la meta y en el 2020 el 94%.</w:t>
            </w:r>
            <w:r w:rsidRPr="009C4265">
              <w:rPr>
                <w:rFonts w:ascii="Arial Narrow" w:hAnsi="Arial Narrow" w:cs="Calibri"/>
                <w:sz w:val="22"/>
                <w:szCs w:val="22"/>
                <w:lang w:eastAsia="es-CR"/>
              </w:rPr>
              <w:t xml:space="preserve">  </w:t>
            </w:r>
            <w:bookmarkStart w:id="280" w:name="_Hlk84513953"/>
            <w:r w:rsidRPr="009C4265">
              <w:rPr>
                <w:rFonts w:ascii="Arial Narrow" w:hAnsi="Arial Narrow" w:cs="Calibri"/>
                <w:sz w:val="22"/>
                <w:szCs w:val="22"/>
                <w:lang w:eastAsia="es-CR"/>
              </w:rPr>
              <w:t xml:space="preserve">A la vez se señala en el mismo párrafo que al corroborar estos datos contra los suministrados por parte de la oficina Central del Departamento de Trabajo Social y Psicología, los números aportados reflejan que para los años 2019 y 2020 </w:t>
            </w:r>
            <w:r w:rsidRPr="009C4265">
              <w:rPr>
                <w:rFonts w:ascii="Arial Narrow" w:hAnsi="Arial Narrow" w:cs="Calibri"/>
                <w:sz w:val="22"/>
                <w:szCs w:val="22"/>
                <w:u w:val="single"/>
                <w:lang w:eastAsia="es-CR"/>
              </w:rPr>
              <w:t>las metas anuales fueron superadas logrando un 100%.</w:t>
            </w:r>
          </w:p>
          <w:bookmarkEnd w:id="280"/>
          <w:p w14:paraId="6B193632" w14:textId="77777777" w:rsidR="009C4265" w:rsidRPr="009C4265" w:rsidRDefault="009C4265" w:rsidP="006A146B">
            <w:pPr>
              <w:jc w:val="both"/>
              <w:rPr>
                <w:rFonts w:ascii="Arial Narrow" w:hAnsi="Arial Narrow" w:cs="Calibri"/>
                <w:sz w:val="22"/>
                <w:szCs w:val="22"/>
                <w:u w:val="single"/>
                <w:lang w:eastAsia="es-CR"/>
              </w:rPr>
            </w:pPr>
          </w:p>
          <w:p w14:paraId="4140FF85" w14:textId="77777777" w:rsidR="009C4265" w:rsidRPr="009C4265" w:rsidRDefault="009C4265" w:rsidP="00BF6E93">
            <w:pPr>
              <w:jc w:val="both"/>
              <w:rPr>
                <w:rFonts w:ascii="Arial Narrow" w:hAnsi="Arial Narrow" w:cs="Calibri"/>
                <w:sz w:val="22"/>
                <w:szCs w:val="22"/>
                <w:lang w:val="es-CR" w:eastAsia="es-CR"/>
              </w:rPr>
            </w:pPr>
            <w:r w:rsidRPr="009C4265">
              <w:rPr>
                <w:rFonts w:ascii="Arial Narrow" w:hAnsi="Arial Narrow" w:cs="Calibri"/>
                <w:sz w:val="22"/>
                <w:szCs w:val="22"/>
                <w:lang w:val="es-CR" w:eastAsia="es-CR"/>
              </w:rPr>
              <w:t xml:space="preserve">Sin embargo, en el análisis que se continúa haciendo en el resto del informe se refiere al cumplimiento del 83% y 94%, para el 2019 y 2020 respectivamente, no así al logro del 100% de la meta, por lo que se solicita valorar si procede corregir el cumplimiento de esta, acorde con los números reportados por el Departamento de Trabajo Social y Psicología, o bien si se debe mantener lo reportado por el sistema </w:t>
            </w:r>
            <w:r w:rsidRPr="009C4265">
              <w:rPr>
                <w:rFonts w:ascii="Arial Narrow" w:hAnsi="Arial Narrow" w:cs="Calibri"/>
                <w:sz w:val="22"/>
                <w:szCs w:val="22"/>
                <w:lang w:val="es-CR" w:eastAsia="es-CR"/>
              </w:rPr>
              <w:lastRenderedPageBreak/>
              <w:t>PEI, al menos se haga la aclaración de que según los datos con que cuenta este Departamento si se logró la meta.</w:t>
            </w:r>
          </w:p>
        </w:tc>
        <w:tc>
          <w:tcPr>
            <w:tcW w:w="889" w:type="pct"/>
            <w:tcBorders>
              <w:top w:val="nil"/>
              <w:left w:val="nil"/>
              <w:bottom w:val="single" w:sz="4" w:space="0" w:color="auto"/>
              <w:right w:val="single" w:sz="4" w:space="0" w:color="auto"/>
            </w:tcBorders>
            <w:shd w:val="clear" w:color="auto" w:fill="auto"/>
            <w:noWrap/>
            <w:hideMark/>
          </w:tcPr>
          <w:p w14:paraId="759765C2" w14:textId="51CBBF5A" w:rsidR="009C4265" w:rsidRPr="009C4265" w:rsidRDefault="009C4265" w:rsidP="00FD024B">
            <w:pPr>
              <w:jc w:val="both"/>
              <w:rPr>
                <w:rFonts w:ascii="Arial Narrow" w:hAnsi="Arial Narrow" w:cs="Calibri"/>
                <w:sz w:val="22"/>
                <w:szCs w:val="22"/>
                <w:lang w:val="es-CR" w:eastAsia="es-CR"/>
              </w:rPr>
            </w:pPr>
            <w:r w:rsidRPr="009C4265">
              <w:rPr>
                <w:rFonts w:ascii="Arial Narrow" w:hAnsi="Arial Narrow" w:cs="Calibri"/>
                <w:sz w:val="22"/>
                <w:szCs w:val="22"/>
                <w:lang w:val="es-CR" w:eastAsia="es-CR"/>
              </w:rPr>
              <w:lastRenderedPageBreak/>
              <w:t xml:space="preserve">Se toma nota de la observación y se incorpora en el criterio del Departamento de </w:t>
            </w:r>
            <w:r w:rsidRPr="009C4265">
              <w:rPr>
                <w:rFonts w:ascii="Arial Narrow" w:hAnsi="Arial Narrow" w:cs="Calibri"/>
                <w:sz w:val="22"/>
                <w:szCs w:val="22"/>
                <w:lang w:val="es-CR" w:eastAsia="es-CR"/>
              </w:rPr>
              <w:lastRenderedPageBreak/>
              <w:t>Trabajo Social y Psicología.</w:t>
            </w:r>
          </w:p>
          <w:p w14:paraId="4C27B884" w14:textId="662F0DF6" w:rsidR="009C4265" w:rsidRPr="009C4265" w:rsidRDefault="009C4265" w:rsidP="00C9711A">
            <w:pPr>
              <w:jc w:val="both"/>
              <w:rPr>
                <w:rFonts w:ascii="Arial Narrow" w:hAnsi="Arial Narrow" w:cs="Calibri"/>
                <w:sz w:val="22"/>
                <w:szCs w:val="22"/>
                <w:lang w:val="es-CR" w:eastAsia="es-CR"/>
              </w:rPr>
            </w:pPr>
            <w:r w:rsidRPr="009C4265">
              <w:rPr>
                <w:rFonts w:ascii="Arial Narrow" w:hAnsi="Arial Narrow" w:cs="Calibri"/>
                <w:sz w:val="22"/>
                <w:szCs w:val="22"/>
                <w:lang w:val="es-CR" w:eastAsia="es-CR"/>
              </w:rPr>
              <w:br/>
              <w:t>La observación modifica el contenido del informe, en cuanto a que se adiciona el criterio</w:t>
            </w:r>
            <w:r w:rsidR="00BF6E93">
              <w:rPr>
                <w:rFonts w:ascii="Arial Narrow" w:hAnsi="Arial Narrow" w:cs="Calibri"/>
                <w:sz w:val="22"/>
                <w:szCs w:val="22"/>
                <w:lang w:val="es-CR" w:eastAsia="es-CR"/>
              </w:rPr>
              <w:t xml:space="preserve">: </w:t>
            </w:r>
            <w:r w:rsidRPr="009C4265">
              <w:rPr>
                <w:rFonts w:ascii="Arial Narrow" w:hAnsi="Arial Narrow" w:cs="Calibri"/>
                <w:sz w:val="22"/>
                <w:szCs w:val="22"/>
                <w:lang w:val="es-CR" w:eastAsia="es-CR"/>
              </w:rPr>
              <w:t xml:space="preserve"> </w:t>
            </w:r>
            <w:r w:rsidR="00BF6E93" w:rsidRPr="00C9711A">
              <w:rPr>
                <w:rFonts w:ascii="Arial Narrow" w:hAnsi="Arial Narrow" w:cs="Calibri"/>
                <w:sz w:val="22"/>
                <w:szCs w:val="22"/>
                <w:lang w:val="es-CR" w:eastAsia="es-CR"/>
              </w:rPr>
              <w:t>Es importante mencionar que por parte de la oficina Central del Departamento de Trabajo Social y Psicología, los números aportados para los años 2019 y 2020 en las metas anuales fueron superadas logrando un 100%.  Si bien es cierto, las metas fueron superadas con base en los informes periciales rendidos, los porcentajes de cumplimiento reportados fueron de 83% y 94% para 2019 y 2020 respectivamente, lo que refleja una necesidad por parte de las oficinas de Trabajo Social y Psicología de mantener actualizados los avances y cumplimientos en el Sistema PAO.</w:t>
            </w:r>
          </w:p>
          <w:p w14:paraId="2ADE6F4E" w14:textId="77777777" w:rsidR="009C4265" w:rsidRPr="009C4265" w:rsidRDefault="009C4265" w:rsidP="00C9711A">
            <w:pPr>
              <w:jc w:val="both"/>
              <w:rPr>
                <w:rFonts w:ascii="Arial Narrow" w:hAnsi="Arial Narrow" w:cs="Calibri"/>
                <w:sz w:val="22"/>
                <w:szCs w:val="22"/>
                <w:lang w:val="es-CR" w:eastAsia="es-CR"/>
              </w:rPr>
            </w:pPr>
          </w:p>
          <w:p w14:paraId="3260C486" w14:textId="77777777" w:rsidR="009C4265" w:rsidRPr="009C4265" w:rsidRDefault="009C4265" w:rsidP="00C9711A">
            <w:pPr>
              <w:jc w:val="both"/>
              <w:rPr>
                <w:rFonts w:ascii="Arial Narrow" w:hAnsi="Arial Narrow" w:cs="Calibri"/>
                <w:sz w:val="22"/>
                <w:szCs w:val="22"/>
                <w:lang w:val="es-CR" w:eastAsia="es-CR"/>
              </w:rPr>
            </w:pPr>
          </w:p>
          <w:p w14:paraId="45602391" w14:textId="77777777" w:rsidR="009C4265" w:rsidRPr="009C4265" w:rsidRDefault="009C4265" w:rsidP="00C9711A">
            <w:pPr>
              <w:jc w:val="both"/>
              <w:rPr>
                <w:rFonts w:ascii="Arial Narrow" w:hAnsi="Arial Narrow" w:cs="Calibri"/>
                <w:sz w:val="22"/>
                <w:szCs w:val="22"/>
                <w:lang w:val="es-CR" w:eastAsia="es-CR"/>
              </w:rPr>
            </w:pPr>
          </w:p>
          <w:p w14:paraId="1441582E" w14:textId="77777777" w:rsidR="009C4265" w:rsidRPr="009C4265" w:rsidRDefault="009C4265" w:rsidP="00C9711A">
            <w:pPr>
              <w:jc w:val="both"/>
              <w:rPr>
                <w:rFonts w:ascii="Arial Narrow" w:hAnsi="Arial Narrow" w:cs="Calibri"/>
                <w:sz w:val="22"/>
                <w:szCs w:val="22"/>
                <w:lang w:val="es-CR" w:eastAsia="es-CR"/>
              </w:rPr>
            </w:pPr>
          </w:p>
          <w:p w14:paraId="29E0A2C5" w14:textId="77777777" w:rsidR="009C4265" w:rsidRPr="009C4265" w:rsidRDefault="009C4265" w:rsidP="00C9711A">
            <w:pPr>
              <w:jc w:val="both"/>
              <w:rPr>
                <w:rFonts w:ascii="Arial Narrow" w:hAnsi="Arial Narrow" w:cs="Calibri"/>
                <w:sz w:val="22"/>
                <w:szCs w:val="22"/>
                <w:lang w:val="es-CR" w:eastAsia="es-CR"/>
              </w:rPr>
            </w:pPr>
          </w:p>
          <w:p w14:paraId="29D1330A" w14:textId="77777777" w:rsidR="009C4265" w:rsidRPr="009C4265" w:rsidRDefault="009C4265" w:rsidP="00C9711A">
            <w:pPr>
              <w:jc w:val="both"/>
              <w:rPr>
                <w:rFonts w:ascii="Arial Narrow" w:hAnsi="Arial Narrow" w:cs="Calibri"/>
                <w:sz w:val="22"/>
                <w:szCs w:val="22"/>
                <w:lang w:val="es-CR" w:eastAsia="es-CR"/>
              </w:rPr>
            </w:pPr>
          </w:p>
          <w:p w14:paraId="599FC772" w14:textId="77777777" w:rsidR="009C4265" w:rsidRPr="009C4265" w:rsidRDefault="009C4265" w:rsidP="00C9711A">
            <w:pPr>
              <w:jc w:val="both"/>
              <w:rPr>
                <w:rFonts w:ascii="Arial Narrow" w:hAnsi="Arial Narrow" w:cs="Calibri"/>
                <w:sz w:val="22"/>
                <w:szCs w:val="22"/>
                <w:lang w:val="es-CR" w:eastAsia="es-CR"/>
              </w:rPr>
            </w:pPr>
          </w:p>
          <w:p w14:paraId="61B33ED2" w14:textId="77777777" w:rsidR="009C4265" w:rsidRPr="009C4265" w:rsidRDefault="009C4265" w:rsidP="00C9711A">
            <w:pPr>
              <w:jc w:val="both"/>
              <w:rPr>
                <w:rFonts w:ascii="Arial Narrow" w:hAnsi="Arial Narrow" w:cs="Calibri"/>
                <w:sz w:val="22"/>
                <w:szCs w:val="22"/>
                <w:lang w:val="es-CR" w:eastAsia="es-CR"/>
              </w:rPr>
            </w:pPr>
          </w:p>
          <w:p w14:paraId="347DF966" w14:textId="77777777" w:rsidR="009C4265" w:rsidRPr="009C4265" w:rsidRDefault="009C4265" w:rsidP="00C9711A">
            <w:pPr>
              <w:jc w:val="both"/>
              <w:rPr>
                <w:rFonts w:ascii="Arial Narrow" w:hAnsi="Arial Narrow" w:cs="Calibri"/>
                <w:sz w:val="22"/>
                <w:szCs w:val="22"/>
                <w:lang w:val="es-CR" w:eastAsia="es-CR"/>
              </w:rPr>
            </w:pPr>
          </w:p>
          <w:p w14:paraId="5FD5823D" w14:textId="77777777" w:rsidR="009C4265" w:rsidRPr="009C4265" w:rsidRDefault="009C4265" w:rsidP="00C9711A">
            <w:pPr>
              <w:jc w:val="both"/>
              <w:rPr>
                <w:rFonts w:ascii="Arial Narrow" w:hAnsi="Arial Narrow" w:cs="Calibri"/>
                <w:sz w:val="22"/>
                <w:szCs w:val="22"/>
                <w:lang w:val="es-CR" w:eastAsia="es-CR"/>
              </w:rPr>
            </w:pPr>
          </w:p>
          <w:p w14:paraId="1CF2433E" w14:textId="77777777" w:rsidR="009C4265" w:rsidRPr="009C4265" w:rsidRDefault="009C4265" w:rsidP="00C9711A">
            <w:pPr>
              <w:jc w:val="both"/>
              <w:rPr>
                <w:rFonts w:ascii="Arial Narrow" w:hAnsi="Arial Narrow" w:cs="Calibri"/>
                <w:sz w:val="22"/>
                <w:szCs w:val="22"/>
                <w:lang w:val="es-CR" w:eastAsia="es-CR"/>
              </w:rPr>
            </w:pPr>
          </w:p>
          <w:p w14:paraId="150A5647" w14:textId="77777777" w:rsidR="009C4265" w:rsidRPr="009C4265" w:rsidRDefault="009C4265" w:rsidP="00C9711A">
            <w:pPr>
              <w:jc w:val="both"/>
              <w:rPr>
                <w:rFonts w:ascii="Arial Narrow" w:hAnsi="Arial Narrow" w:cs="Calibri"/>
                <w:sz w:val="22"/>
                <w:szCs w:val="22"/>
                <w:lang w:val="es-CR" w:eastAsia="es-CR"/>
              </w:rPr>
            </w:pPr>
          </w:p>
          <w:p w14:paraId="489C9079" w14:textId="77777777" w:rsidR="009C4265" w:rsidRPr="009C4265" w:rsidRDefault="009C4265" w:rsidP="00C9711A">
            <w:pPr>
              <w:jc w:val="both"/>
              <w:rPr>
                <w:rFonts w:ascii="Arial Narrow" w:hAnsi="Arial Narrow" w:cs="Calibri"/>
                <w:sz w:val="22"/>
                <w:szCs w:val="22"/>
                <w:lang w:val="es-CR" w:eastAsia="es-CR"/>
              </w:rPr>
            </w:pPr>
          </w:p>
          <w:p w14:paraId="395F5204" w14:textId="77777777" w:rsidR="009C4265" w:rsidRPr="009C4265" w:rsidRDefault="009C4265" w:rsidP="00C9711A">
            <w:pPr>
              <w:jc w:val="both"/>
              <w:rPr>
                <w:rFonts w:ascii="Arial Narrow" w:hAnsi="Arial Narrow" w:cs="Calibri"/>
                <w:sz w:val="22"/>
                <w:szCs w:val="22"/>
                <w:lang w:val="es-CR" w:eastAsia="es-CR"/>
              </w:rPr>
            </w:pPr>
          </w:p>
          <w:p w14:paraId="18DA380D" w14:textId="77777777" w:rsidR="009C4265" w:rsidRPr="009C4265" w:rsidRDefault="009C4265" w:rsidP="00C9711A">
            <w:pPr>
              <w:jc w:val="both"/>
              <w:rPr>
                <w:rFonts w:ascii="Arial Narrow" w:hAnsi="Arial Narrow" w:cs="Calibri"/>
                <w:sz w:val="22"/>
                <w:szCs w:val="22"/>
                <w:lang w:val="es-CR" w:eastAsia="es-CR"/>
              </w:rPr>
            </w:pPr>
          </w:p>
        </w:tc>
      </w:tr>
      <w:tr w:rsidR="009C4265" w:rsidRPr="009C4265" w14:paraId="5754274C" w14:textId="77777777" w:rsidTr="00C9711A">
        <w:trPr>
          <w:gridAfter w:val="1"/>
          <w:wAfter w:w="77" w:type="pct"/>
          <w:trHeight w:val="3690"/>
        </w:trPr>
        <w:tc>
          <w:tcPr>
            <w:tcW w:w="924" w:type="pct"/>
            <w:vMerge/>
            <w:tcBorders>
              <w:top w:val="nil"/>
              <w:left w:val="single" w:sz="4" w:space="0" w:color="auto"/>
              <w:bottom w:val="single" w:sz="4" w:space="0" w:color="auto"/>
              <w:right w:val="single" w:sz="4" w:space="0" w:color="auto"/>
            </w:tcBorders>
            <w:vAlign w:val="center"/>
            <w:hideMark/>
          </w:tcPr>
          <w:p w14:paraId="0323176B" w14:textId="77777777" w:rsidR="009C4265" w:rsidRPr="009C4265" w:rsidRDefault="009C4265" w:rsidP="009C4265">
            <w:pPr>
              <w:rPr>
                <w:rFonts w:ascii="Arial Narrow" w:hAnsi="Arial Narrow" w:cs="Calibri"/>
                <w:sz w:val="22"/>
                <w:szCs w:val="22"/>
                <w:lang w:val="es-CR" w:eastAsia="es-CR"/>
              </w:rPr>
            </w:pPr>
          </w:p>
        </w:tc>
        <w:tc>
          <w:tcPr>
            <w:tcW w:w="370" w:type="pct"/>
            <w:vMerge w:val="restart"/>
            <w:tcBorders>
              <w:top w:val="nil"/>
              <w:left w:val="single" w:sz="4" w:space="0" w:color="auto"/>
              <w:bottom w:val="single" w:sz="4" w:space="0" w:color="auto"/>
              <w:right w:val="single" w:sz="4" w:space="0" w:color="auto"/>
            </w:tcBorders>
            <w:shd w:val="clear" w:color="auto" w:fill="auto"/>
            <w:vAlign w:val="center"/>
            <w:hideMark/>
          </w:tcPr>
          <w:p w14:paraId="744617DE" w14:textId="77777777" w:rsidR="009C4265" w:rsidRPr="009C4265" w:rsidRDefault="009C4265" w:rsidP="009C4265">
            <w:pPr>
              <w:jc w:val="right"/>
              <w:rPr>
                <w:rFonts w:ascii="Arial Narrow" w:hAnsi="Arial Narrow" w:cs="Calibri"/>
                <w:sz w:val="22"/>
                <w:szCs w:val="22"/>
                <w:lang w:val="es-CR" w:eastAsia="es-CR"/>
              </w:rPr>
            </w:pPr>
            <w:r w:rsidRPr="009C4265">
              <w:rPr>
                <w:rFonts w:ascii="Arial Narrow" w:hAnsi="Arial Narrow" w:cs="Calibri"/>
                <w:bCs/>
                <w:sz w:val="22"/>
                <w:szCs w:val="22"/>
                <w:lang w:val="es-ES" w:eastAsia="es-CR"/>
              </w:rPr>
              <w:t>268</w:t>
            </w:r>
          </w:p>
        </w:tc>
        <w:tc>
          <w:tcPr>
            <w:tcW w:w="1783" w:type="pct"/>
            <w:vMerge w:val="restart"/>
            <w:tcBorders>
              <w:top w:val="nil"/>
              <w:left w:val="single" w:sz="4" w:space="0" w:color="auto"/>
              <w:bottom w:val="single" w:sz="4" w:space="0" w:color="auto"/>
              <w:right w:val="single" w:sz="4" w:space="0" w:color="auto"/>
            </w:tcBorders>
            <w:shd w:val="clear" w:color="auto" w:fill="auto"/>
            <w:hideMark/>
          </w:tcPr>
          <w:p w14:paraId="400EA21A" w14:textId="4AE0D653" w:rsidR="009C4265" w:rsidRPr="009C4265" w:rsidRDefault="009C4265" w:rsidP="006A146B">
            <w:pPr>
              <w:jc w:val="both"/>
              <w:rPr>
                <w:rFonts w:ascii="Arial Narrow" w:hAnsi="Arial Narrow" w:cs="Calibri"/>
                <w:b/>
                <w:bCs/>
                <w:i/>
                <w:iCs/>
                <w:sz w:val="22"/>
                <w:szCs w:val="22"/>
                <w:lang w:val="es-CR" w:eastAsia="es-CR"/>
              </w:rPr>
            </w:pPr>
            <w:r w:rsidRPr="009C4265">
              <w:rPr>
                <w:rFonts w:ascii="Arial Narrow" w:hAnsi="Arial Narrow" w:cs="Calibri"/>
                <w:b/>
                <w:bCs/>
                <w:i/>
                <w:iCs/>
                <w:sz w:val="22"/>
                <w:szCs w:val="22"/>
                <w:lang w:eastAsia="es-CR"/>
              </w:rPr>
              <w:t>Tabla 18</w:t>
            </w:r>
            <w:r w:rsidRPr="009C4265">
              <w:rPr>
                <w:rFonts w:ascii="Arial Narrow" w:hAnsi="Arial Narrow" w:cs="Calibri"/>
                <w:i/>
                <w:iCs/>
                <w:sz w:val="22"/>
                <w:szCs w:val="22"/>
                <w:lang w:eastAsia="es-CR"/>
              </w:rPr>
              <w:t xml:space="preserve"> Cumplimiento porcentual de las metas estratégicas del 2019, </w:t>
            </w:r>
            <w:r w:rsidRPr="009C4265">
              <w:rPr>
                <w:rFonts w:ascii="Arial Narrow" w:hAnsi="Arial Narrow" w:cs="Calibri"/>
                <w:sz w:val="22"/>
                <w:szCs w:val="22"/>
                <w:lang w:eastAsia="es-CR"/>
              </w:rPr>
              <w:t>según responsable Estratégico</w:t>
            </w:r>
          </w:p>
        </w:tc>
        <w:tc>
          <w:tcPr>
            <w:tcW w:w="956" w:type="pct"/>
            <w:vMerge w:val="restart"/>
            <w:tcBorders>
              <w:top w:val="nil"/>
              <w:left w:val="single" w:sz="4" w:space="0" w:color="auto"/>
              <w:bottom w:val="single" w:sz="4" w:space="0" w:color="auto"/>
              <w:right w:val="single" w:sz="4" w:space="0" w:color="auto"/>
            </w:tcBorders>
            <w:shd w:val="clear" w:color="auto" w:fill="auto"/>
            <w:hideMark/>
          </w:tcPr>
          <w:p w14:paraId="0C6D92FE" w14:textId="77777777" w:rsidR="009C4265" w:rsidRPr="009C4265" w:rsidRDefault="009C4265" w:rsidP="00BF6E93">
            <w:pPr>
              <w:jc w:val="both"/>
              <w:rPr>
                <w:rFonts w:ascii="Arial Narrow" w:hAnsi="Arial Narrow" w:cs="Calibri"/>
                <w:sz w:val="22"/>
                <w:szCs w:val="22"/>
                <w:lang w:val="es-CR" w:eastAsia="es-CR"/>
              </w:rPr>
            </w:pPr>
            <w:r w:rsidRPr="009C4265">
              <w:rPr>
                <w:rFonts w:ascii="Arial Narrow" w:hAnsi="Arial Narrow" w:cs="Calibri"/>
                <w:bCs/>
                <w:sz w:val="22"/>
                <w:szCs w:val="22"/>
                <w:lang w:val="es-ES" w:eastAsia="es-CR"/>
              </w:rPr>
              <w:t>Valorar si procede corregir o hacer la anterior aclaración en la Tabla, respecto a los resultados del cumplimiento de la meta.</w:t>
            </w:r>
          </w:p>
        </w:tc>
        <w:tc>
          <w:tcPr>
            <w:tcW w:w="889" w:type="pct"/>
            <w:vMerge w:val="restart"/>
            <w:tcBorders>
              <w:top w:val="nil"/>
              <w:left w:val="single" w:sz="4" w:space="0" w:color="auto"/>
              <w:bottom w:val="single" w:sz="4" w:space="0" w:color="auto"/>
              <w:right w:val="single" w:sz="4" w:space="0" w:color="auto"/>
            </w:tcBorders>
            <w:shd w:val="clear" w:color="auto" w:fill="auto"/>
            <w:noWrap/>
            <w:hideMark/>
          </w:tcPr>
          <w:p w14:paraId="62ACE20E" w14:textId="77777777" w:rsidR="009C4265" w:rsidRPr="009C4265" w:rsidRDefault="009C4265" w:rsidP="00FD024B">
            <w:pPr>
              <w:jc w:val="both"/>
              <w:rPr>
                <w:rFonts w:ascii="Arial Narrow" w:hAnsi="Arial Narrow" w:cs="Calibri"/>
                <w:sz w:val="22"/>
                <w:szCs w:val="22"/>
                <w:lang w:val="es-CR" w:eastAsia="es-CR"/>
              </w:rPr>
            </w:pPr>
            <w:r w:rsidRPr="009C4265">
              <w:rPr>
                <w:rFonts w:ascii="Arial Narrow" w:hAnsi="Arial Narrow" w:cs="Calibri"/>
                <w:sz w:val="22"/>
                <w:szCs w:val="22"/>
                <w:lang w:val="es-CR" w:eastAsia="es-CR"/>
              </w:rPr>
              <w:t>Se toma nota de la observación y se incorpora en el criterio del Departamento de Trabajo Social y Psicología.</w:t>
            </w:r>
          </w:p>
          <w:p w14:paraId="1D690D61" w14:textId="2CCF8119" w:rsidR="009C4265" w:rsidRPr="009C4265" w:rsidRDefault="009C4265" w:rsidP="00C9711A">
            <w:pPr>
              <w:jc w:val="both"/>
              <w:rPr>
                <w:rFonts w:ascii="Arial Narrow" w:hAnsi="Arial Narrow" w:cs="Calibri"/>
                <w:sz w:val="22"/>
                <w:szCs w:val="22"/>
                <w:lang w:val="es-CR" w:eastAsia="es-CR"/>
              </w:rPr>
            </w:pPr>
            <w:r w:rsidRPr="009C4265">
              <w:rPr>
                <w:rFonts w:ascii="Arial Narrow" w:hAnsi="Arial Narrow" w:cs="Calibri"/>
                <w:sz w:val="22"/>
                <w:szCs w:val="22"/>
                <w:lang w:val="es-CR" w:eastAsia="es-CR"/>
              </w:rPr>
              <w:br/>
              <w:t>La observación modifica el contenido del informe, en cuanto a que se adiciona el criterio “</w:t>
            </w:r>
            <w:r w:rsidRPr="00C9711A">
              <w:rPr>
                <w:rFonts w:ascii="Arial Narrow" w:hAnsi="Arial Narrow" w:cs="Calibri"/>
                <w:i/>
                <w:iCs/>
                <w:sz w:val="22"/>
                <w:szCs w:val="22"/>
                <w:lang w:val="es-CR" w:eastAsia="es-CR"/>
              </w:rPr>
              <w:t>Es importante mencionar que por parte de la oficina Central del Departamento de Trabajo Social y Psicología, los números aportados para los años 2019 y 2020 en las metas anuales fueron superadas logrando un 100%.</w:t>
            </w:r>
            <w:r w:rsidR="006A146B">
              <w:rPr>
                <w:rFonts w:ascii="Arial Narrow" w:hAnsi="Arial Narrow" w:cs="Calibri"/>
                <w:i/>
                <w:iCs/>
                <w:sz w:val="22"/>
                <w:szCs w:val="22"/>
                <w:lang w:val="es-CR" w:eastAsia="es-CR"/>
              </w:rPr>
              <w:t>”</w:t>
            </w:r>
          </w:p>
          <w:p w14:paraId="6232F0FE" w14:textId="2E8B1987" w:rsidR="009C4265" w:rsidRPr="009C4265" w:rsidRDefault="009C4265" w:rsidP="00C9711A">
            <w:pPr>
              <w:jc w:val="both"/>
              <w:rPr>
                <w:rFonts w:ascii="Arial Narrow" w:hAnsi="Arial Narrow" w:cs="Calibri"/>
                <w:sz w:val="22"/>
                <w:szCs w:val="22"/>
                <w:lang w:val="es-CR" w:eastAsia="es-CR"/>
              </w:rPr>
            </w:pPr>
          </w:p>
        </w:tc>
      </w:tr>
      <w:tr w:rsidR="009C4265" w:rsidRPr="009C4265" w14:paraId="462C2740" w14:textId="77777777" w:rsidTr="00B963AA">
        <w:trPr>
          <w:trHeight w:val="70"/>
        </w:trPr>
        <w:tc>
          <w:tcPr>
            <w:tcW w:w="924" w:type="pct"/>
            <w:vMerge/>
            <w:tcBorders>
              <w:top w:val="nil"/>
              <w:left w:val="single" w:sz="4" w:space="0" w:color="auto"/>
              <w:bottom w:val="single" w:sz="4" w:space="0" w:color="auto"/>
              <w:right w:val="single" w:sz="4" w:space="0" w:color="auto"/>
            </w:tcBorders>
            <w:vAlign w:val="center"/>
            <w:hideMark/>
          </w:tcPr>
          <w:p w14:paraId="52748572" w14:textId="77777777" w:rsidR="009C4265" w:rsidRPr="009C4265" w:rsidRDefault="009C4265" w:rsidP="009C4265">
            <w:pPr>
              <w:rPr>
                <w:rFonts w:ascii="Arial Narrow" w:hAnsi="Arial Narrow" w:cs="Calibri"/>
                <w:sz w:val="22"/>
                <w:szCs w:val="22"/>
                <w:lang w:val="es-CR" w:eastAsia="es-CR"/>
              </w:rPr>
            </w:pPr>
          </w:p>
        </w:tc>
        <w:tc>
          <w:tcPr>
            <w:tcW w:w="370" w:type="pct"/>
            <w:vMerge/>
            <w:tcBorders>
              <w:top w:val="nil"/>
              <w:left w:val="single" w:sz="4" w:space="0" w:color="auto"/>
              <w:bottom w:val="single" w:sz="4" w:space="0" w:color="auto"/>
              <w:right w:val="single" w:sz="4" w:space="0" w:color="auto"/>
            </w:tcBorders>
            <w:vAlign w:val="center"/>
            <w:hideMark/>
          </w:tcPr>
          <w:p w14:paraId="5B304366" w14:textId="77777777" w:rsidR="009C4265" w:rsidRPr="009C4265" w:rsidRDefault="009C4265" w:rsidP="009C4265">
            <w:pPr>
              <w:rPr>
                <w:rFonts w:ascii="Arial Narrow" w:hAnsi="Arial Narrow" w:cs="Calibri"/>
                <w:sz w:val="22"/>
                <w:szCs w:val="22"/>
                <w:lang w:val="es-CR" w:eastAsia="es-CR"/>
              </w:rPr>
            </w:pPr>
          </w:p>
        </w:tc>
        <w:tc>
          <w:tcPr>
            <w:tcW w:w="1783" w:type="pct"/>
            <w:vMerge/>
            <w:tcBorders>
              <w:top w:val="nil"/>
              <w:left w:val="single" w:sz="4" w:space="0" w:color="auto"/>
              <w:bottom w:val="single" w:sz="4" w:space="0" w:color="auto"/>
              <w:right w:val="single" w:sz="4" w:space="0" w:color="auto"/>
            </w:tcBorders>
            <w:vAlign w:val="center"/>
            <w:hideMark/>
          </w:tcPr>
          <w:p w14:paraId="659689DA" w14:textId="77777777" w:rsidR="009C4265" w:rsidRPr="009C4265" w:rsidRDefault="009C4265" w:rsidP="009C4265">
            <w:pPr>
              <w:rPr>
                <w:rFonts w:ascii="Arial Narrow" w:hAnsi="Arial Narrow" w:cs="Calibri"/>
                <w:b/>
                <w:bCs/>
                <w:i/>
                <w:iCs/>
                <w:sz w:val="22"/>
                <w:szCs w:val="22"/>
                <w:lang w:val="es-CR" w:eastAsia="es-CR"/>
              </w:rPr>
            </w:pPr>
          </w:p>
        </w:tc>
        <w:tc>
          <w:tcPr>
            <w:tcW w:w="956" w:type="pct"/>
            <w:vMerge/>
            <w:tcBorders>
              <w:top w:val="nil"/>
              <w:left w:val="single" w:sz="4" w:space="0" w:color="auto"/>
              <w:bottom w:val="single" w:sz="4" w:space="0" w:color="auto"/>
              <w:right w:val="single" w:sz="4" w:space="0" w:color="auto"/>
            </w:tcBorders>
            <w:vAlign w:val="center"/>
            <w:hideMark/>
          </w:tcPr>
          <w:p w14:paraId="5B335C51" w14:textId="77777777" w:rsidR="009C4265" w:rsidRPr="009C4265" w:rsidRDefault="009C4265" w:rsidP="009C4265">
            <w:pPr>
              <w:rPr>
                <w:rFonts w:ascii="Arial Narrow" w:hAnsi="Arial Narrow" w:cs="Calibri"/>
                <w:sz w:val="22"/>
                <w:szCs w:val="22"/>
                <w:lang w:val="es-CR" w:eastAsia="es-CR"/>
              </w:rPr>
            </w:pPr>
          </w:p>
        </w:tc>
        <w:tc>
          <w:tcPr>
            <w:tcW w:w="889" w:type="pct"/>
            <w:vMerge/>
            <w:tcBorders>
              <w:top w:val="nil"/>
              <w:left w:val="single" w:sz="4" w:space="0" w:color="auto"/>
              <w:bottom w:val="single" w:sz="4" w:space="0" w:color="auto"/>
              <w:right w:val="single" w:sz="4" w:space="0" w:color="auto"/>
            </w:tcBorders>
            <w:vAlign w:val="center"/>
            <w:hideMark/>
          </w:tcPr>
          <w:p w14:paraId="5C696D62" w14:textId="77777777" w:rsidR="009C4265" w:rsidRPr="009C4265" w:rsidRDefault="009C4265" w:rsidP="009C4265">
            <w:pPr>
              <w:rPr>
                <w:rFonts w:ascii="Arial Narrow" w:hAnsi="Arial Narrow" w:cs="Calibri"/>
                <w:sz w:val="22"/>
                <w:szCs w:val="22"/>
                <w:lang w:val="es-CR" w:eastAsia="es-CR"/>
              </w:rPr>
            </w:pPr>
          </w:p>
        </w:tc>
        <w:tc>
          <w:tcPr>
            <w:tcW w:w="77" w:type="pct"/>
            <w:tcBorders>
              <w:top w:val="nil"/>
              <w:left w:val="nil"/>
              <w:bottom w:val="nil"/>
              <w:right w:val="nil"/>
            </w:tcBorders>
            <w:shd w:val="clear" w:color="auto" w:fill="auto"/>
            <w:noWrap/>
            <w:vAlign w:val="bottom"/>
            <w:hideMark/>
          </w:tcPr>
          <w:p w14:paraId="53964043" w14:textId="77777777" w:rsidR="009C4265" w:rsidRPr="009C4265" w:rsidRDefault="009C4265" w:rsidP="009C4265">
            <w:pPr>
              <w:jc w:val="center"/>
              <w:rPr>
                <w:rFonts w:ascii="Arial Narrow" w:hAnsi="Arial Narrow" w:cs="Calibri"/>
                <w:sz w:val="22"/>
                <w:szCs w:val="22"/>
                <w:lang w:val="es-CR" w:eastAsia="es-CR"/>
              </w:rPr>
            </w:pPr>
          </w:p>
        </w:tc>
      </w:tr>
      <w:tr w:rsidR="009C4265" w:rsidRPr="009C4265" w14:paraId="53D50EA1" w14:textId="77777777" w:rsidTr="00C9711A">
        <w:trPr>
          <w:trHeight w:val="2840"/>
        </w:trPr>
        <w:tc>
          <w:tcPr>
            <w:tcW w:w="924" w:type="pct"/>
            <w:vMerge/>
            <w:tcBorders>
              <w:top w:val="nil"/>
              <w:left w:val="single" w:sz="4" w:space="0" w:color="auto"/>
              <w:bottom w:val="single" w:sz="4" w:space="0" w:color="auto"/>
              <w:right w:val="single" w:sz="4" w:space="0" w:color="auto"/>
            </w:tcBorders>
            <w:vAlign w:val="center"/>
            <w:hideMark/>
          </w:tcPr>
          <w:p w14:paraId="26EAA515" w14:textId="77777777" w:rsidR="009C4265" w:rsidRPr="009C4265" w:rsidRDefault="009C4265" w:rsidP="009C4265">
            <w:pPr>
              <w:rPr>
                <w:rFonts w:ascii="Arial Narrow" w:hAnsi="Arial Narrow" w:cs="Calibri"/>
                <w:sz w:val="22"/>
                <w:szCs w:val="22"/>
                <w:lang w:val="es-CR" w:eastAsia="es-CR"/>
              </w:rPr>
            </w:pPr>
          </w:p>
        </w:tc>
        <w:tc>
          <w:tcPr>
            <w:tcW w:w="370" w:type="pct"/>
            <w:vMerge w:val="restart"/>
            <w:tcBorders>
              <w:top w:val="nil"/>
              <w:left w:val="single" w:sz="4" w:space="0" w:color="auto"/>
              <w:bottom w:val="single" w:sz="4" w:space="0" w:color="auto"/>
              <w:right w:val="single" w:sz="4" w:space="0" w:color="auto"/>
            </w:tcBorders>
            <w:shd w:val="clear" w:color="auto" w:fill="auto"/>
            <w:vAlign w:val="center"/>
            <w:hideMark/>
          </w:tcPr>
          <w:p w14:paraId="12CBE083" w14:textId="77777777" w:rsidR="009C4265" w:rsidRPr="009C4265" w:rsidRDefault="009C4265" w:rsidP="009C4265">
            <w:pPr>
              <w:jc w:val="right"/>
              <w:rPr>
                <w:rFonts w:ascii="Arial Narrow" w:hAnsi="Arial Narrow" w:cs="Calibri"/>
                <w:sz w:val="22"/>
                <w:szCs w:val="22"/>
                <w:lang w:val="es-CR" w:eastAsia="es-CR"/>
              </w:rPr>
            </w:pPr>
            <w:r w:rsidRPr="009C4265">
              <w:rPr>
                <w:rFonts w:ascii="Arial Narrow" w:hAnsi="Arial Narrow" w:cs="Calibri"/>
                <w:bCs/>
                <w:sz w:val="22"/>
                <w:szCs w:val="22"/>
                <w:lang w:val="es-ES" w:eastAsia="es-CR"/>
              </w:rPr>
              <w:t>269</w:t>
            </w:r>
          </w:p>
        </w:tc>
        <w:tc>
          <w:tcPr>
            <w:tcW w:w="1783" w:type="pct"/>
            <w:vMerge w:val="restart"/>
            <w:tcBorders>
              <w:top w:val="nil"/>
              <w:left w:val="single" w:sz="4" w:space="0" w:color="auto"/>
              <w:bottom w:val="single" w:sz="4" w:space="0" w:color="auto"/>
              <w:right w:val="single" w:sz="4" w:space="0" w:color="auto"/>
            </w:tcBorders>
            <w:shd w:val="clear" w:color="auto" w:fill="auto"/>
            <w:hideMark/>
          </w:tcPr>
          <w:p w14:paraId="3270B8D0" w14:textId="77777777" w:rsidR="009C4265" w:rsidRPr="009C4265" w:rsidRDefault="009C4265" w:rsidP="006A146B">
            <w:pPr>
              <w:jc w:val="both"/>
              <w:rPr>
                <w:rFonts w:ascii="Arial Narrow" w:hAnsi="Arial Narrow" w:cs="Calibri"/>
                <w:b/>
                <w:bCs/>
                <w:sz w:val="22"/>
                <w:szCs w:val="22"/>
                <w:lang w:val="es-CR" w:eastAsia="es-CR"/>
              </w:rPr>
            </w:pPr>
            <w:r w:rsidRPr="009C4265">
              <w:rPr>
                <w:rFonts w:ascii="Arial Narrow" w:hAnsi="Arial Narrow" w:cs="Calibri"/>
                <w:b/>
                <w:bCs/>
                <w:sz w:val="22"/>
                <w:szCs w:val="22"/>
                <w:lang w:eastAsia="es-CR"/>
              </w:rPr>
              <w:t>Tabla 19</w:t>
            </w:r>
            <w:r w:rsidRPr="009C4265">
              <w:rPr>
                <w:rFonts w:ascii="Arial Narrow" w:hAnsi="Arial Narrow" w:cs="Calibri"/>
                <w:sz w:val="22"/>
                <w:szCs w:val="22"/>
                <w:lang w:eastAsia="es-CR"/>
              </w:rPr>
              <w:t xml:space="preserve"> Cumplimiento porcentual de las metas estratégicas del 2019, según responsable Estratégico</w:t>
            </w:r>
          </w:p>
        </w:tc>
        <w:tc>
          <w:tcPr>
            <w:tcW w:w="956" w:type="pct"/>
            <w:vMerge w:val="restart"/>
            <w:tcBorders>
              <w:top w:val="nil"/>
              <w:left w:val="single" w:sz="4" w:space="0" w:color="auto"/>
              <w:bottom w:val="single" w:sz="4" w:space="0" w:color="auto"/>
              <w:right w:val="single" w:sz="4" w:space="0" w:color="auto"/>
            </w:tcBorders>
            <w:shd w:val="clear" w:color="auto" w:fill="auto"/>
            <w:hideMark/>
          </w:tcPr>
          <w:p w14:paraId="296ED862" w14:textId="77777777" w:rsidR="009C4265" w:rsidRPr="009C4265" w:rsidRDefault="009C4265" w:rsidP="00BF6E93">
            <w:pPr>
              <w:jc w:val="both"/>
              <w:rPr>
                <w:rFonts w:ascii="Arial Narrow" w:hAnsi="Arial Narrow" w:cs="Calibri"/>
                <w:sz w:val="22"/>
                <w:szCs w:val="22"/>
                <w:lang w:val="es-CR" w:eastAsia="es-CR"/>
              </w:rPr>
            </w:pPr>
            <w:r w:rsidRPr="009C4265">
              <w:rPr>
                <w:rFonts w:ascii="Arial Narrow" w:hAnsi="Arial Narrow" w:cs="Calibri"/>
                <w:bCs/>
                <w:sz w:val="22"/>
                <w:szCs w:val="22"/>
                <w:lang w:val="es-ES" w:eastAsia="es-CR"/>
              </w:rPr>
              <w:t>Valorar si procede corregir o hacer la aclaración indicada.</w:t>
            </w:r>
          </w:p>
        </w:tc>
        <w:tc>
          <w:tcPr>
            <w:tcW w:w="889" w:type="pct"/>
            <w:vMerge w:val="restart"/>
            <w:tcBorders>
              <w:top w:val="nil"/>
              <w:left w:val="single" w:sz="4" w:space="0" w:color="auto"/>
              <w:bottom w:val="single" w:sz="4" w:space="0" w:color="auto"/>
              <w:right w:val="single" w:sz="4" w:space="0" w:color="auto"/>
            </w:tcBorders>
            <w:shd w:val="clear" w:color="auto" w:fill="auto"/>
            <w:noWrap/>
            <w:hideMark/>
          </w:tcPr>
          <w:p w14:paraId="1C6FF2C2" w14:textId="77777777" w:rsidR="009C4265" w:rsidRPr="009C4265" w:rsidRDefault="009C4265" w:rsidP="00FD024B">
            <w:pPr>
              <w:jc w:val="both"/>
              <w:rPr>
                <w:rFonts w:ascii="Arial Narrow" w:hAnsi="Arial Narrow" w:cs="Calibri"/>
                <w:sz w:val="22"/>
                <w:szCs w:val="22"/>
                <w:lang w:val="es-CR" w:eastAsia="es-CR"/>
              </w:rPr>
            </w:pPr>
            <w:r w:rsidRPr="009C4265">
              <w:rPr>
                <w:rFonts w:ascii="Arial Narrow" w:hAnsi="Arial Narrow" w:cs="Calibri"/>
                <w:sz w:val="22"/>
                <w:szCs w:val="22"/>
                <w:lang w:val="es-CR" w:eastAsia="es-CR"/>
              </w:rPr>
              <w:t>Se toma nota de la observación y se incorpora en el criterio del Departamento de Trabajo Social y Psicología.</w:t>
            </w:r>
          </w:p>
          <w:p w14:paraId="0DC0B713" w14:textId="1A356192" w:rsidR="009C4265" w:rsidRPr="009C4265" w:rsidRDefault="009C4265" w:rsidP="00C9711A">
            <w:pPr>
              <w:jc w:val="both"/>
              <w:rPr>
                <w:rFonts w:ascii="Arial Narrow" w:hAnsi="Arial Narrow" w:cs="Calibri"/>
                <w:sz w:val="22"/>
                <w:szCs w:val="22"/>
                <w:lang w:val="es-CR" w:eastAsia="es-CR"/>
              </w:rPr>
            </w:pPr>
            <w:r w:rsidRPr="009C4265">
              <w:rPr>
                <w:rFonts w:ascii="Arial Narrow" w:hAnsi="Arial Narrow" w:cs="Calibri"/>
                <w:sz w:val="22"/>
                <w:szCs w:val="22"/>
                <w:lang w:val="es-CR" w:eastAsia="es-CR"/>
              </w:rPr>
              <w:br/>
              <w:t>La observación modifica el contenido del informe, en cuanto a que se adiciona el criterio “</w:t>
            </w:r>
            <w:r w:rsidRPr="00C9711A">
              <w:rPr>
                <w:rFonts w:ascii="Arial Narrow" w:hAnsi="Arial Narrow" w:cs="Calibri"/>
                <w:i/>
                <w:iCs/>
                <w:sz w:val="22"/>
                <w:szCs w:val="22"/>
                <w:lang w:val="es-CR" w:eastAsia="es-CR"/>
              </w:rPr>
              <w:t>Es importante mencionar que por parte de la oficina Central del Departamento de Trabajo Social y Psicología, los números aportados para los años 2019 y 2020 en las metas anuales fueron superadas logrando un 100%</w:t>
            </w:r>
            <w:r w:rsidRPr="009C4265">
              <w:rPr>
                <w:rFonts w:ascii="Arial Narrow" w:hAnsi="Arial Narrow" w:cs="Calibri"/>
                <w:sz w:val="22"/>
                <w:szCs w:val="22"/>
                <w:lang w:val="es-CR" w:eastAsia="es-CR"/>
              </w:rPr>
              <w:t>.</w:t>
            </w:r>
            <w:r w:rsidR="006A146B">
              <w:rPr>
                <w:rFonts w:ascii="Arial Narrow" w:hAnsi="Arial Narrow" w:cs="Calibri"/>
                <w:sz w:val="22"/>
                <w:szCs w:val="22"/>
                <w:lang w:val="es-CR" w:eastAsia="es-CR"/>
              </w:rPr>
              <w:t>”</w:t>
            </w:r>
          </w:p>
          <w:p w14:paraId="353C0907" w14:textId="47536C48" w:rsidR="009C4265" w:rsidRPr="009C4265" w:rsidRDefault="009C4265" w:rsidP="00C9711A">
            <w:pPr>
              <w:jc w:val="both"/>
              <w:rPr>
                <w:rFonts w:ascii="Arial Narrow" w:hAnsi="Arial Narrow" w:cs="Calibri"/>
                <w:sz w:val="22"/>
                <w:szCs w:val="22"/>
                <w:lang w:val="es-CR" w:eastAsia="es-CR"/>
              </w:rPr>
            </w:pPr>
          </w:p>
        </w:tc>
        <w:tc>
          <w:tcPr>
            <w:tcW w:w="77" w:type="pct"/>
            <w:vAlign w:val="center"/>
            <w:hideMark/>
          </w:tcPr>
          <w:p w14:paraId="5B332310" w14:textId="77777777" w:rsidR="009C4265" w:rsidRPr="009C4265" w:rsidRDefault="009C4265" w:rsidP="009C4265">
            <w:pPr>
              <w:rPr>
                <w:rFonts w:ascii="Arial Narrow" w:hAnsi="Arial Narrow"/>
                <w:sz w:val="22"/>
                <w:szCs w:val="22"/>
                <w:lang w:val="es-CR" w:eastAsia="es-CR"/>
              </w:rPr>
            </w:pPr>
          </w:p>
        </w:tc>
      </w:tr>
      <w:tr w:rsidR="009C4265" w:rsidRPr="009C4265" w14:paraId="589E1992" w14:textId="77777777" w:rsidTr="00B963AA">
        <w:trPr>
          <w:trHeight w:val="5441"/>
        </w:trPr>
        <w:tc>
          <w:tcPr>
            <w:tcW w:w="924" w:type="pct"/>
            <w:vMerge/>
            <w:tcBorders>
              <w:top w:val="nil"/>
              <w:left w:val="single" w:sz="4" w:space="0" w:color="auto"/>
              <w:bottom w:val="single" w:sz="4" w:space="0" w:color="auto"/>
              <w:right w:val="single" w:sz="4" w:space="0" w:color="auto"/>
            </w:tcBorders>
            <w:vAlign w:val="center"/>
            <w:hideMark/>
          </w:tcPr>
          <w:p w14:paraId="2F9F0CF5" w14:textId="77777777" w:rsidR="009C4265" w:rsidRPr="009C4265" w:rsidRDefault="009C4265" w:rsidP="009C4265">
            <w:pPr>
              <w:rPr>
                <w:rFonts w:ascii="Arial Narrow" w:hAnsi="Arial Narrow" w:cs="Calibri"/>
                <w:sz w:val="22"/>
                <w:szCs w:val="22"/>
                <w:lang w:val="es-CR" w:eastAsia="es-CR"/>
              </w:rPr>
            </w:pPr>
          </w:p>
        </w:tc>
        <w:tc>
          <w:tcPr>
            <w:tcW w:w="370" w:type="pct"/>
            <w:vMerge/>
            <w:tcBorders>
              <w:top w:val="nil"/>
              <w:left w:val="single" w:sz="4" w:space="0" w:color="auto"/>
              <w:bottom w:val="single" w:sz="4" w:space="0" w:color="auto"/>
              <w:right w:val="single" w:sz="4" w:space="0" w:color="auto"/>
            </w:tcBorders>
            <w:vAlign w:val="center"/>
            <w:hideMark/>
          </w:tcPr>
          <w:p w14:paraId="03C0DE03" w14:textId="77777777" w:rsidR="009C4265" w:rsidRPr="009C4265" w:rsidRDefault="009C4265" w:rsidP="009C4265">
            <w:pPr>
              <w:rPr>
                <w:rFonts w:ascii="Arial Narrow" w:hAnsi="Arial Narrow" w:cs="Calibri"/>
                <w:sz w:val="22"/>
                <w:szCs w:val="22"/>
                <w:lang w:val="es-CR" w:eastAsia="es-CR"/>
              </w:rPr>
            </w:pPr>
          </w:p>
        </w:tc>
        <w:tc>
          <w:tcPr>
            <w:tcW w:w="1783" w:type="pct"/>
            <w:vMerge/>
            <w:tcBorders>
              <w:top w:val="nil"/>
              <w:left w:val="single" w:sz="4" w:space="0" w:color="auto"/>
              <w:bottom w:val="single" w:sz="4" w:space="0" w:color="auto"/>
              <w:right w:val="single" w:sz="4" w:space="0" w:color="auto"/>
            </w:tcBorders>
            <w:vAlign w:val="center"/>
            <w:hideMark/>
          </w:tcPr>
          <w:p w14:paraId="1911C5C0" w14:textId="77777777" w:rsidR="009C4265" w:rsidRPr="009C4265" w:rsidRDefault="009C4265" w:rsidP="009C4265">
            <w:pPr>
              <w:rPr>
                <w:rFonts w:ascii="Arial Narrow" w:hAnsi="Arial Narrow" w:cs="Calibri"/>
                <w:b/>
                <w:bCs/>
                <w:sz w:val="22"/>
                <w:szCs w:val="22"/>
                <w:lang w:val="es-CR" w:eastAsia="es-CR"/>
              </w:rPr>
            </w:pPr>
          </w:p>
        </w:tc>
        <w:tc>
          <w:tcPr>
            <w:tcW w:w="956" w:type="pct"/>
            <w:vMerge/>
            <w:tcBorders>
              <w:top w:val="nil"/>
              <w:left w:val="single" w:sz="4" w:space="0" w:color="auto"/>
              <w:bottom w:val="single" w:sz="4" w:space="0" w:color="auto"/>
              <w:right w:val="single" w:sz="4" w:space="0" w:color="auto"/>
            </w:tcBorders>
            <w:vAlign w:val="center"/>
            <w:hideMark/>
          </w:tcPr>
          <w:p w14:paraId="59DC141D" w14:textId="77777777" w:rsidR="009C4265" w:rsidRPr="009C4265" w:rsidRDefault="009C4265" w:rsidP="009C4265">
            <w:pPr>
              <w:rPr>
                <w:rFonts w:ascii="Arial Narrow" w:hAnsi="Arial Narrow" w:cs="Calibri"/>
                <w:sz w:val="22"/>
                <w:szCs w:val="22"/>
                <w:lang w:val="es-CR" w:eastAsia="es-CR"/>
              </w:rPr>
            </w:pPr>
          </w:p>
        </w:tc>
        <w:tc>
          <w:tcPr>
            <w:tcW w:w="889" w:type="pct"/>
            <w:vMerge/>
            <w:tcBorders>
              <w:top w:val="nil"/>
              <w:left w:val="single" w:sz="4" w:space="0" w:color="auto"/>
              <w:bottom w:val="single" w:sz="4" w:space="0" w:color="auto"/>
              <w:right w:val="single" w:sz="4" w:space="0" w:color="auto"/>
            </w:tcBorders>
            <w:vAlign w:val="center"/>
            <w:hideMark/>
          </w:tcPr>
          <w:p w14:paraId="6AFC93AB" w14:textId="77777777" w:rsidR="009C4265" w:rsidRPr="009C4265" w:rsidRDefault="009C4265" w:rsidP="009C4265">
            <w:pPr>
              <w:rPr>
                <w:rFonts w:ascii="Arial Narrow" w:hAnsi="Arial Narrow" w:cs="Calibri"/>
                <w:sz w:val="22"/>
                <w:szCs w:val="22"/>
                <w:lang w:val="es-CR" w:eastAsia="es-CR"/>
              </w:rPr>
            </w:pPr>
          </w:p>
        </w:tc>
        <w:tc>
          <w:tcPr>
            <w:tcW w:w="77" w:type="pct"/>
            <w:tcBorders>
              <w:top w:val="nil"/>
              <w:left w:val="nil"/>
              <w:bottom w:val="nil"/>
              <w:right w:val="nil"/>
            </w:tcBorders>
            <w:shd w:val="clear" w:color="auto" w:fill="auto"/>
            <w:noWrap/>
            <w:vAlign w:val="bottom"/>
            <w:hideMark/>
          </w:tcPr>
          <w:p w14:paraId="76B9FFFA" w14:textId="77777777" w:rsidR="009C4265" w:rsidRPr="009C4265" w:rsidRDefault="009C4265" w:rsidP="009C4265">
            <w:pPr>
              <w:jc w:val="center"/>
              <w:rPr>
                <w:rFonts w:ascii="Arial Narrow" w:hAnsi="Arial Narrow" w:cs="Calibri"/>
                <w:sz w:val="22"/>
                <w:szCs w:val="22"/>
                <w:lang w:val="es-CR" w:eastAsia="es-CR"/>
              </w:rPr>
            </w:pPr>
          </w:p>
        </w:tc>
      </w:tr>
      <w:tr w:rsidR="009C4265" w:rsidRPr="009C4265" w14:paraId="0CBF946D" w14:textId="77777777" w:rsidTr="00C9711A">
        <w:trPr>
          <w:trHeight w:val="1791"/>
        </w:trPr>
        <w:tc>
          <w:tcPr>
            <w:tcW w:w="924" w:type="pct"/>
            <w:vMerge/>
            <w:tcBorders>
              <w:top w:val="nil"/>
              <w:left w:val="single" w:sz="4" w:space="0" w:color="auto"/>
              <w:bottom w:val="single" w:sz="4" w:space="0" w:color="auto"/>
              <w:right w:val="single" w:sz="4" w:space="0" w:color="auto"/>
            </w:tcBorders>
            <w:vAlign w:val="center"/>
            <w:hideMark/>
          </w:tcPr>
          <w:p w14:paraId="4447EAB4" w14:textId="77777777" w:rsidR="009C4265" w:rsidRPr="009C4265" w:rsidRDefault="009C4265" w:rsidP="009C4265">
            <w:pPr>
              <w:rPr>
                <w:rFonts w:ascii="Arial Narrow" w:hAnsi="Arial Narrow" w:cs="Calibri"/>
                <w:sz w:val="22"/>
                <w:szCs w:val="22"/>
                <w:lang w:val="es-CR" w:eastAsia="es-CR"/>
              </w:rPr>
            </w:pPr>
          </w:p>
        </w:tc>
        <w:tc>
          <w:tcPr>
            <w:tcW w:w="370" w:type="pct"/>
            <w:vMerge w:val="restart"/>
            <w:tcBorders>
              <w:top w:val="nil"/>
              <w:left w:val="single" w:sz="4" w:space="0" w:color="auto"/>
              <w:bottom w:val="single" w:sz="4" w:space="0" w:color="auto"/>
              <w:right w:val="single" w:sz="4" w:space="0" w:color="auto"/>
            </w:tcBorders>
            <w:shd w:val="clear" w:color="auto" w:fill="auto"/>
            <w:vAlign w:val="center"/>
            <w:hideMark/>
          </w:tcPr>
          <w:p w14:paraId="1603CE1D" w14:textId="77777777" w:rsidR="009C4265" w:rsidRPr="009C4265" w:rsidRDefault="009C4265" w:rsidP="009C4265">
            <w:pPr>
              <w:jc w:val="center"/>
              <w:rPr>
                <w:rFonts w:ascii="Arial Narrow" w:hAnsi="Arial Narrow" w:cs="Calibri"/>
                <w:sz w:val="22"/>
                <w:szCs w:val="22"/>
                <w:lang w:val="es-CR" w:eastAsia="es-CR"/>
              </w:rPr>
            </w:pPr>
            <w:r w:rsidRPr="009C4265">
              <w:rPr>
                <w:rFonts w:ascii="Arial Narrow" w:hAnsi="Arial Narrow" w:cs="Calibri"/>
                <w:bCs/>
                <w:sz w:val="22"/>
                <w:szCs w:val="22"/>
                <w:lang w:val="es-ES" w:eastAsia="es-CR"/>
              </w:rPr>
              <w:t>270</w:t>
            </w:r>
          </w:p>
        </w:tc>
        <w:tc>
          <w:tcPr>
            <w:tcW w:w="1783" w:type="pct"/>
            <w:vMerge w:val="restart"/>
            <w:tcBorders>
              <w:top w:val="nil"/>
              <w:left w:val="single" w:sz="4" w:space="0" w:color="auto"/>
              <w:bottom w:val="single" w:sz="4" w:space="0" w:color="auto"/>
              <w:right w:val="single" w:sz="4" w:space="0" w:color="auto"/>
            </w:tcBorders>
            <w:shd w:val="clear" w:color="auto" w:fill="auto"/>
            <w:hideMark/>
          </w:tcPr>
          <w:p w14:paraId="2B06F665" w14:textId="77777777" w:rsidR="009C4265" w:rsidRPr="009C4265" w:rsidRDefault="009C4265" w:rsidP="006A146B">
            <w:pPr>
              <w:jc w:val="both"/>
              <w:rPr>
                <w:rFonts w:ascii="Arial Narrow" w:hAnsi="Arial Narrow" w:cs="Calibri"/>
                <w:sz w:val="22"/>
                <w:szCs w:val="22"/>
                <w:lang w:val="es-CR" w:eastAsia="es-CR"/>
              </w:rPr>
            </w:pPr>
            <w:r w:rsidRPr="009C4265">
              <w:rPr>
                <w:rFonts w:ascii="Arial Narrow" w:hAnsi="Arial Narrow" w:cs="Calibri"/>
                <w:bCs/>
                <w:sz w:val="22"/>
                <w:szCs w:val="22"/>
                <w:lang w:val="es-ES" w:eastAsia="es-CR"/>
              </w:rPr>
              <w:t>Primer párrafo y cuarto</w:t>
            </w:r>
          </w:p>
        </w:tc>
        <w:tc>
          <w:tcPr>
            <w:tcW w:w="956" w:type="pct"/>
            <w:tcBorders>
              <w:top w:val="nil"/>
              <w:left w:val="nil"/>
              <w:bottom w:val="single" w:sz="4" w:space="0" w:color="auto"/>
              <w:right w:val="single" w:sz="4" w:space="0" w:color="auto"/>
            </w:tcBorders>
            <w:shd w:val="clear" w:color="auto" w:fill="auto"/>
            <w:hideMark/>
          </w:tcPr>
          <w:p w14:paraId="45273B96" w14:textId="77777777" w:rsidR="009C4265" w:rsidRPr="009C4265" w:rsidRDefault="009C4265" w:rsidP="00BF6E93">
            <w:pPr>
              <w:jc w:val="both"/>
              <w:rPr>
                <w:rFonts w:ascii="Arial Narrow" w:hAnsi="Arial Narrow" w:cs="Calibri"/>
                <w:sz w:val="22"/>
                <w:szCs w:val="22"/>
                <w:lang w:val="es-CR" w:eastAsia="es-CR"/>
              </w:rPr>
            </w:pPr>
            <w:r w:rsidRPr="009C4265">
              <w:rPr>
                <w:rFonts w:ascii="Arial Narrow" w:hAnsi="Arial Narrow" w:cs="Calibri"/>
                <w:bCs/>
                <w:sz w:val="22"/>
                <w:szCs w:val="22"/>
                <w:lang w:val="es-CR" w:eastAsia="es-CR"/>
              </w:rPr>
              <w:t xml:space="preserve">Considerar si a pesar de que para el 2019 las Oficinas de Trabajo Social y Piscología de Santa Cruz, Grecia, Limón y Liberia reportaron cumplimientos del PAO por debajo del rango esperado, a nivel </w:t>
            </w:r>
            <w:r w:rsidRPr="009C4265">
              <w:rPr>
                <w:rFonts w:ascii="Arial Narrow" w:hAnsi="Arial Narrow" w:cs="Calibri"/>
                <w:bCs/>
                <w:sz w:val="22"/>
                <w:szCs w:val="22"/>
                <w:lang w:val="es-CR" w:eastAsia="es-CR"/>
              </w:rPr>
              <w:lastRenderedPageBreak/>
              <w:t>departamental si se logró la meta del 100%, según lo señalado anteriormente.</w:t>
            </w:r>
          </w:p>
        </w:tc>
        <w:tc>
          <w:tcPr>
            <w:tcW w:w="889" w:type="pct"/>
            <w:vMerge w:val="restart"/>
            <w:tcBorders>
              <w:top w:val="nil"/>
              <w:left w:val="single" w:sz="4" w:space="0" w:color="auto"/>
              <w:bottom w:val="single" w:sz="4" w:space="0" w:color="auto"/>
              <w:right w:val="single" w:sz="4" w:space="0" w:color="auto"/>
            </w:tcBorders>
            <w:shd w:val="clear" w:color="auto" w:fill="auto"/>
            <w:noWrap/>
            <w:hideMark/>
          </w:tcPr>
          <w:p w14:paraId="0D25BA7E" w14:textId="77777777" w:rsidR="009C4265" w:rsidRPr="009C4265" w:rsidRDefault="009C4265" w:rsidP="00FD024B">
            <w:pPr>
              <w:jc w:val="both"/>
              <w:rPr>
                <w:rFonts w:ascii="Arial Narrow" w:hAnsi="Arial Narrow" w:cs="Calibri"/>
                <w:sz w:val="22"/>
                <w:szCs w:val="22"/>
                <w:lang w:val="es-CR" w:eastAsia="es-CR"/>
              </w:rPr>
            </w:pPr>
            <w:r w:rsidRPr="009C4265">
              <w:rPr>
                <w:rFonts w:ascii="Arial Narrow" w:hAnsi="Arial Narrow" w:cs="Calibri"/>
                <w:sz w:val="22"/>
                <w:szCs w:val="22"/>
                <w:lang w:val="es-CR" w:eastAsia="es-CR"/>
              </w:rPr>
              <w:lastRenderedPageBreak/>
              <w:t>Se toma nota de la observación y se incorpora en el criterio del Departamento de Trabajo Social y Psicología.</w:t>
            </w:r>
          </w:p>
          <w:p w14:paraId="7B7034CF" w14:textId="1E96820D" w:rsidR="009C4265" w:rsidRPr="00C9711A" w:rsidRDefault="009C4265" w:rsidP="00C9711A">
            <w:pPr>
              <w:jc w:val="both"/>
              <w:rPr>
                <w:rFonts w:ascii="Arial Narrow" w:hAnsi="Arial Narrow" w:cs="Calibri"/>
                <w:i/>
                <w:iCs/>
                <w:sz w:val="22"/>
                <w:szCs w:val="22"/>
                <w:lang w:val="es-CR" w:eastAsia="es-CR"/>
              </w:rPr>
            </w:pPr>
            <w:r w:rsidRPr="009C4265">
              <w:rPr>
                <w:rFonts w:ascii="Arial Narrow" w:hAnsi="Arial Narrow" w:cs="Calibri"/>
                <w:sz w:val="22"/>
                <w:szCs w:val="22"/>
                <w:lang w:val="es-CR" w:eastAsia="es-CR"/>
              </w:rPr>
              <w:br/>
              <w:t xml:space="preserve">La observación modifica el contenido del informe, en cuanto </w:t>
            </w:r>
            <w:r w:rsidRPr="009C4265">
              <w:rPr>
                <w:rFonts w:ascii="Arial Narrow" w:hAnsi="Arial Narrow" w:cs="Calibri"/>
                <w:sz w:val="22"/>
                <w:szCs w:val="22"/>
                <w:lang w:val="es-CR" w:eastAsia="es-CR"/>
              </w:rPr>
              <w:lastRenderedPageBreak/>
              <w:t>a que se adiciona el criterio “</w:t>
            </w:r>
            <w:r w:rsidRPr="00C9711A">
              <w:rPr>
                <w:rFonts w:ascii="Arial Narrow" w:hAnsi="Arial Narrow" w:cs="Calibri"/>
                <w:i/>
                <w:iCs/>
                <w:sz w:val="22"/>
                <w:szCs w:val="22"/>
                <w:lang w:val="es-CR" w:eastAsia="es-CR"/>
              </w:rPr>
              <w:t>Es importante mencionar que por parte de la oficina Central del Departamento de Trabajo Social y Psicología, los números aportados para los años 2019 y 2020 en las metas anuales fueron superadas logrando un 100%.</w:t>
            </w:r>
            <w:r w:rsidR="006A146B">
              <w:rPr>
                <w:rFonts w:ascii="Arial Narrow" w:hAnsi="Arial Narrow" w:cs="Calibri"/>
                <w:i/>
                <w:iCs/>
                <w:sz w:val="22"/>
                <w:szCs w:val="22"/>
                <w:lang w:val="es-CR" w:eastAsia="es-CR"/>
              </w:rPr>
              <w:t>”</w:t>
            </w:r>
          </w:p>
          <w:p w14:paraId="1AA6DC84" w14:textId="0CECD0D8" w:rsidR="009C4265" w:rsidRPr="009C4265" w:rsidRDefault="009C4265" w:rsidP="00C9711A">
            <w:pPr>
              <w:jc w:val="both"/>
              <w:rPr>
                <w:rFonts w:ascii="Arial Narrow" w:hAnsi="Arial Narrow" w:cs="Calibri"/>
                <w:sz w:val="22"/>
                <w:szCs w:val="22"/>
                <w:lang w:val="es-CR" w:eastAsia="es-CR"/>
              </w:rPr>
            </w:pPr>
          </w:p>
        </w:tc>
        <w:tc>
          <w:tcPr>
            <w:tcW w:w="77" w:type="pct"/>
            <w:vAlign w:val="center"/>
            <w:hideMark/>
          </w:tcPr>
          <w:p w14:paraId="0E667C6A" w14:textId="77777777" w:rsidR="009C4265" w:rsidRPr="009C4265" w:rsidRDefault="009C4265" w:rsidP="009C4265">
            <w:pPr>
              <w:rPr>
                <w:rFonts w:ascii="Arial Narrow" w:hAnsi="Arial Narrow"/>
                <w:sz w:val="22"/>
                <w:szCs w:val="22"/>
                <w:lang w:val="es-CR" w:eastAsia="es-CR"/>
              </w:rPr>
            </w:pPr>
          </w:p>
        </w:tc>
      </w:tr>
      <w:tr w:rsidR="009C4265" w:rsidRPr="009C4265" w14:paraId="508FF7FF" w14:textId="77777777" w:rsidTr="00B963AA">
        <w:trPr>
          <w:trHeight w:val="4519"/>
        </w:trPr>
        <w:tc>
          <w:tcPr>
            <w:tcW w:w="924" w:type="pct"/>
            <w:vMerge/>
            <w:tcBorders>
              <w:top w:val="nil"/>
              <w:left w:val="single" w:sz="4" w:space="0" w:color="auto"/>
              <w:bottom w:val="single" w:sz="4" w:space="0" w:color="auto"/>
              <w:right w:val="single" w:sz="4" w:space="0" w:color="auto"/>
            </w:tcBorders>
            <w:vAlign w:val="center"/>
            <w:hideMark/>
          </w:tcPr>
          <w:p w14:paraId="2CADC9A1" w14:textId="77777777" w:rsidR="009C4265" w:rsidRPr="009C4265" w:rsidRDefault="009C4265" w:rsidP="009C4265">
            <w:pPr>
              <w:rPr>
                <w:rFonts w:ascii="Arial Narrow" w:hAnsi="Arial Narrow" w:cs="Calibri"/>
                <w:sz w:val="22"/>
                <w:szCs w:val="22"/>
                <w:lang w:val="es-CR" w:eastAsia="es-CR"/>
              </w:rPr>
            </w:pPr>
          </w:p>
        </w:tc>
        <w:tc>
          <w:tcPr>
            <w:tcW w:w="370" w:type="pct"/>
            <w:vMerge/>
            <w:tcBorders>
              <w:top w:val="nil"/>
              <w:left w:val="single" w:sz="4" w:space="0" w:color="auto"/>
              <w:bottom w:val="single" w:sz="4" w:space="0" w:color="auto"/>
              <w:right w:val="single" w:sz="4" w:space="0" w:color="auto"/>
            </w:tcBorders>
            <w:vAlign w:val="center"/>
            <w:hideMark/>
          </w:tcPr>
          <w:p w14:paraId="221CE986" w14:textId="77777777" w:rsidR="009C4265" w:rsidRPr="009C4265" w:rsidRDefault="009C4265" w:rsidP="009C4265">
            <w:pPr>
              <w:rPr>
                <w:rFonts w:ascii="Arial Narrow" w:hAnsi="Arial Narrow" w:cs="Calibri"/>
                <w:sz w:val="22"/>
                <w:szCs w:val="22"/>
                <w:lang w:val="es-CR" w:eastAsia="es-CR"/>
              </w:rPr>
            </w:pPr>
          </w:p>
        </w:tc>
        <w:tc>
          <w:tcPr>
            <w:tcW w:w="1783" w:type="pct"/>
            <w:vMerge/>
            <w:tcBorders>
              <w:top w:val="nil"/>
              <w:left w:val="single" w:sz="4" w:space="0" w:color="auto"/>
              <w:bottom w:val="single" w:sz="4" w:space="0" w:color="auto"/>
              <w:right w:val="single" w:sz="4" w:space="0" w:color="auto"/>
            </w:tcBorders>
            <w:vAlign w:val="center"/>
            <w:hideMark/>
          </w:tcPr>
          <w:p w14:paraId="4A3790D2" w14:textId="77777777" w:rsidR="009C4265" w:rsidRPr="009C4265" w:rsidRDefault="009C4265" w:rsidP="009C4265">
            <w:pPr>
              <w:rPr>
                <w:rFonts w:ascii="Arial Narrow" w:hAnsi="Arial Narrow" w:cs="Calibri"/>
                <w:sz w:val="22"/>
                <w:szCs w:val="22"/>
                <w:lang w:val="es-CR" w:eastAsia="es-CR"/>
              </w:rPr>
            </w:pPr>
          </w:p>
        </w:tc>
        <w:tc>
          <w:tcPr>
            <w:tcW w:w="956" w:type="pct"/>
            <w:tcBorders>
              <w:top w:val="nil"/>
              <w:left w:val="nil"/>
              <w:bottom w:val="single" w:sz="4" w:space="0" w:color="auto"/>
              <w:right w:val="single" w:sz="4" w:space="0" w:color="auto"/>
            </w:tcBorders>
            <w:shd w:val="clear" w:color="auto" w:fill="auto"/>
            <w:vAlign w:val="center"/>
            <w:hideMark/>
          </w:tcPr>
          <w:p w14:paraId="50BBABA5" w14:textId="77777777" w:rsidR="009C4265" w:rsidRPr="009C4265" w:rsidRDefault="009C4265" w:rsidP="009C4265">
            <w:pPr>
              <w:jc w:val="both"/>
              <w:rPr>
                <w:rFonts w:ascii="Arial Narrow" w:hAnsi="Arial Narrow" w:cs="Calibri"/>
                <w:sz w:val="22"/>
                <w:szCs w:val="22"/>
                <w:lang w:val="es-CR" w:eastAsia="es-CR"/>
              </w:rPr>
            </w:pPr>
            <w:r w:rsidRPr="009C4265">
              <w:rPr>
                <w:rFonts w:ascii="Arial Narrow" w:hAnsi="Arial Narrow" w:cs="Calibri"/>
                <w:bCs/>
                <w:sz w:val="22"/>
                <w:szCs w:val="22"/>
                <w:lang w:val="es-ES" w:eastAsia="es-CR"/>
              </w:rPr>
              <w:t>De igual manera para el año 2020.</w:t>
            </w:r>
          </w:p>
        </w:tc>
        <w:tc>
          <w:tcPr>
            <w:tcW w:w="889" w:type="pct"/>
            <w:vMerge/>
            <w:tcBorders>
              <w:top w:val="nil"/>
              <w:left w:val="single" w:sz="4" w:space="0" w:color="auto"/>
              <w:bottom w:val="single" w:sz="4" w:space="0" w:color="auto"/>
              <w:right w:val="single" w:sz="4" w:space="0" w:color="auto"/>
            </w:tcBorders>
            <w:vAlign w:val="center"/>
            <w:hideMark/>
          </w:tcPr>
          <w:p w14:paraId="4AB4AD3C" w14:textId="77777777" w:rsidR="009C4265" w:rsidRPr="009C4265" w:rsidRDefault="009C4265" w:rsidP="009C4265">
            <w:pPr>
              <w:rPr>
                <w:rFonts w:ascii="Arial Narrow" w:hAnsi="Arial Narrow" w:cs="Calibri"/>
                <w:sz w:val="22"/>
                <w:szCs w:val="22"/>
                <w:lang w:val="es-CR" w:eastAsia="es-CR"/>
              </w:rPr>
            </w:pPr>
          </w:p>
        </w:tc>
        <w:tc>
          <w:tcPr>
            <w:tcW w:w="77" w:type="pct"/>
            <w:vAlign w:val="center"/>
            <w:hideMark/>
          </w:tcPr>
          <w:p w14:paraId="1066BDE7" w14:textId="77777777" w:rsidR="009C4265" w:rsidRPr="009C4265" w:rsidRDefault="009C4265" w:rsidP="009C4265">
            <w:pPr>
              <w:rPr>
                <w:rFonts w:ascii="Arial Narrow" w:hAnsi="Arial Narrow"/>
                <w:sz w:val="22"/>
                <w:szCs w:val="22"/>
                <w:lang w:val="es-CR" w:eastAsia="es-CR"/>
              </w:rPr>
            </w:pPr>
          </w:p>
        </w:tc>
      </w:tr>
      <w:tr w:rsidR="009C4265" w:rsidRPr="009C4265" w14:paraId="282E65FB" w14:textId="77777777" w:rsidTr="00B963AA">
        <w:trPr>
          <w:trHeight w:val="2840"/>
        </w:trPr>
        <w:tc>
          <w:tcPr>
            <w:tcW w:w="924" w:type="pct"/>
            <w:vMerge/>
            <w:tcBorders>
              <w:top w:val="nil"/>
              <w:left w:val="single" w:sz="4" w:space="0" w:color="auto"/>
              <w:bottom w:val="single" w:sz="4" w:space="0" w:color="auto"/>
              <w:right w:val="single" w:sz="4" w:space="0" w:color="auto"/>
            </w:tcBorders>
            <w:vAlign w:val="center"/>
            <w:hideMark/>
          </w:tcPr>
          <w:p w14:paraId="3E29CA81" w14:textId="77777777" w:rsidR="009C4265" w:rsidRPr="009C4265" w:rsidRDefault="009C4265" w:rsidP="009C4265">
            <w:pPr>
              <w:rPr>
                <w:rFonts w:ascii="Arial Narrow" w:hAnsi="Arial Narrow" w:cs="Calibri"/>
                <w:sz w:val="22"/>
                <w:szCs w:val="22"/>
                <w:lang w:val="es-CR" w:eastAsia="es-CR"/>
              </w:rPr>
            </w:pPr>
          </w:p>
        </w:tc>
        <w:tc>
          <w:tcPr>
            <w:tcW w:w="370" w:type="pct"/>
            <w:vMerge w:val="restart"/>
            <w:tcBorders>
              <w:top w:val="nil"/>
              <w:left w:val="single" w:sz="4" w:space="0" w:color="auto"/>
              <w:bottom w:val="single" w:sz="4" w:space="0" w:color="auto"/>
              <w:right w:val="single" w:sz="4" w:space="0" w:color="auto"/>
            </w:tcBorders>
            <w:shd w:val="clear" w:color="auto" w:fill="auto"/>
            <w:vAlign w:val="center"/>
            <w:hideMark/>
          </w:tcPr>
          <w:p w14:paraId="644A7AAC" w14:textId="77777777" w:rsidR="009C4265" w:rsidRPr="009C4265" w:rsidRDefault="009C4265" w:rsidP="009C4265">
            <w:pPr>
              <w:jc w:val="center"/>
              <w:rPr>
                <w:rFonts w:ascii="Arial Narrow" w:hAnsi="Arial Narrow" w:cs="Calibri"/>
                <w:sz w:val="22"/>
                <w:szCs w:val="22"/>
                <w:lang w:val="es-CR" w:eastAsia="es-CR"/>
              </w:rPr>
            </w:pPr>
            <w:r w:rsidRPr="009C4265">
              <w:rPr>
                <w:rFonts w:ascii="Arial Narrow" w:hAnsi="Arial Narrow" w:cs="Calibri"/>
                <w:bCs/>
                <w:sz w:val="22"/>
                <w:szCs w:val="22"/>
                <w:lang w:val="es-ES" w:eastAsia="es-CR"/>
              </w:rPr>
              <w:t>271</w:t>
            </w:r>
          </w:p>
        </w:tc>
        <w:tc>
          <w:tcPr>
            <w:tcW w:w="1783" w:type="pct"/>
            <w:vMerge w:val="restart"/>
            <w:tcBorders>
              <w:top w:val="nil"/>
              <w:left w:val="single" w:sz="4" w:space="0" w:color="auto"/>
              <w:bottom w:val="single" w:sz="4" w:space="0" w:color="auto"/>
              <w:right w:val="single" w:sz="4" w:space="0" w:color="auto"/>
            </w:tcBorders>
            <w:shd w:val="clear" w:color="auto" w:fill="auto"/>
            <w:vAlign w:val="center"/>
            <w:hideMark/>
          </w:tcPr>
          <w:p w14:paraId="18510116" w14:textId="77777777" w:rsidR="009C4265" w:rsidRPr="009C4265" w:rsidRDefault="009C4265" w:rsidP="009C4265">
            <w:pPr>
              <w:jc w:val="both"/>
              <w:rPr>
                <w:rFonts w:ascii="Arial Narrow" w:hAnsi="Arial Narrow" w:cs="Calibri"/>
                <w:b/>
                <w:bCs/>
                <w:sz w:val="22"/>
                <w:szCs w:val="22"/>
                <w:lang w:val="es-CR" w:eastAsia="es-CR"/>
              </w:rPr>
            </w:pPr>
            <w:r w:rsidRPr="009C4265">
              <w:rPr>
                <w:rFonts w:ascii="Arial Narrow" w:hAnsi="Arial Narrow" w:cs="Calibri"/>
                <w:b/>
                <w:bCs/>
                <w:sz w:val="22"/>
                <w:szCs w:val="22"/>
                <w:lang w:eastAsia="es-CR"/>
              </w:rPr>
              <w:t xml:space="preserve">Tabla 20 </w:t>
            </w:r>
            <w:r w:rsidRPr="009C4265">
              <w:rPr>
                <w:rFonts w:ascii="Arial Narrow" w:hAnsi="Arial Narrow" w:cs="Calibri"/>
                <w:sz w:val="22"/>
                <w:szCs w:val="22"/>
                <w:lang w:eastAsia="es-CR"/>
              </w:rPr>
              <w:t>Cumplimiento porcentual de las metas estratégicas del 2020, según responsable Estratégico</w:t>
            </w:r>
          </w:p>
        </w:tc>
        <w:tc>
          <w:tcPr>
            <w:tcW w:w="956" w:type="pct"/>
            <w:vMerge w:val="restart"/>
            <w:tcBorders>
              <w:top w:val="nil"/>
              <w:left w:val="single" w:sz="4" w:space="0" w:color="auto"/>
              <w:bottom w:val="single" w:sz="4" w:space="0" w:color="auto"/>
              <w:right w:val="single" w:sz="4" w:space="0" w:color="auto"/>
            </w:tcBorders>
            <w:shd w:val="clear" w:color="auto" w:fill="auto"/>
            <w:vAlign w:val="center"/>
            <w:hideMark/>
          </w:tcPr>
          <w:p w14:paraId="76A37258" w14:textId="77777777" w:rsidR="009C4265" w:rsidRPr="009C4265" w:rsidRDefault="009C4265" w:rsidP="009C4265">
            <w:pPr>
              <w:jc w:val="both"/>
              <w:rPr>
                <w:rFonts w:ascii="Arial Narrow" w:hAnsi="Arial Narrow" w:cs="Calibri"/>
                <w:sz w:val="22"/>
                <w:szCs w:val="22"/>
                <w:lang w:val="es-CR" w:eastAsia="es-CR"/>
              </w:rPr>
            </w:pPr>
            <w:r w:rsidRPr="009C4265">
              <w:rPr>
                <w:rFonts w:ascii="Arial Narrow" w:hAnsi="Arial Narrow" w:cs="Calibri"/>
                <w:bCs/>
                <w:sz w:val="22"/>
                <w:szCs w:val="22"/>
                <w:lang w:val="es-ES" w:eastAsia="es-CR"/>
              </w:rPr>
              <w:t>Valorar si procede corregir o hacer la aclaración indicada.</w:t>
            </w:r>
          </w:p>
        </w:tc>
        <w:tc>
          <w:tcPr>
            <w:tcW w:w="889" w:type="pct"/>
            <w:vMerge w:val="restart"/>
            <w:tcBorders>
              <w:top w:val="nil"/>
              <w:left w:val="single" w:sz="4" w:space="0" w:color="auto"/>
              <w:bottom w:val="single" w:sz="4" w:space="0" w:color="auto"/>
              <w:right w:val="single" w:sz="4" w:space="0" w:color="auto"/>
            </w:tcBorders>
            <w:shd w:val="clear" w:color="auto" w:fill="auto"/>
            <w:noWrap/>
            <w:vAlign w:val="bottom"/>
            <w:hideMark/>
          </w:tcPr>
          <w:p w14:paraId="77669380" w14:textId="0ADAD045" w:rsidR="009C4265" w:rsidRPr="009C4265" w:rsidRDefault="009C4265" w:rsidP="009C4265">
            <w:pPr>
              <w:jc w:val="both"/>
              <w:rPr>
                <w:rFonts w:ascii="Arial Narrow" w:hAnsi="Arial Narrow" w:cs="Calibri"/>
                <w:sz w:val="22"/>
                <w:szCs w:val="22"/>
                <w:lang w:val="es-CR" w:eastAsia="es-CR"/>
              </w:rPr>
            </w:pPr>
            <w:r w:rsidRPr="00B40972">
              <w:rPr>
                <w:rFonts w:ascii="Arial Narrow" w:hAnsi="Arial Narrow" w:cs="Calibri"/>
                <w:sz w:val="22"/>
                <w:szCs w:val="22"/>
                <w:lang w:val="es-CR" w:eastAsia="es-CR"/>
              </w:rPr>
              <w:t>Se toma nota de la observación</w:t>
            </w:r>
            <w:r w:rsidR="00F44635" w:rsidRPr="00C9711A">
              <w:rPr>
                <w:rFonts w:ascii="Arial Narrow" w:hAnsi="Arial Narrow" w:cs="Calibri"/>
                <w:sz w:val="22"/>
                <w:szCs w:val="22"/>
                <w:lang w:val="es-CR" w:eastAsia="es-CR"/>
              </w:rPr>
              <w:t xml:space="preserve">, pero </w:t>
            </w:r>
            <w:r w:rsidRPr="00B40972">
              <w:rPr>
                <w:rFonts w:ascii="Arial Narrow" w:hAnsi="Arial Narrow" w:cs="Calibri"/>
                <w:sz w:val="22"/>
                <w:szCs w:val="22"/>
                <w:lang w:val="es-CR" w:eastAsia="es-CR"/>
              </w:rPr>
              <w:t>no se incorpora en el informe ya que el reporte indica un 94% de avance</w:t>
            </w:r>
            <w:r w:rsidR="00B40972" w:rsidRPr="00C9711A">
              <w:rPr>
                <w:rFonts w:ascii="Arial Narrow" w:hAnsi="Arial Narrow" w:cs="Calibri"/>
                <w:sz w:val="22"/>
                <w:szCs w:val="22"/>
                <w:lang w:val="es-CR" w:eastAsia="es-CR"/>
              </w:rPr>
              <w:t xml:space="preserve">, conforme los reportes del sistema PEI. </w:t>
            </w:r>
            <w:r w:rsidRPr="00B40972">
              <w:rPr>
                <w:rFonts w:ascii="Arial Narrow" w:hAnsi="Arial Narrow" w:cs="Calibri"/>
                <w:sz w:val="22"/>
                <w:szCs w:val="22"/>
                <w:lang w:val="es-CR" w:eastAsia="es-CR"/>
              </w:rPr>
              <w:t>.</w:t>
            </w:r>
          </w:p>
          <w:p w14:paraId="35358751" w14:textId="77777777" w:rsidR="009C4265" w:rsidRPr="009C4265" w:rsidRDefault="009C4265" w:rsidP="009C4265">
            <w:pPr>
              <w:jc w:val="both"/>
              <w:rPr>
                <w:rFonts w:ascii="Arial Narrow" w:hAnsi="Arial Narrow" w:cs="Calibri"/>
                <w:sz w:val="22"/>
                <w:szCs w:val="22"/>
                <w:lang w:val="es-CR" w:eastAsia="es-CR"/>
              </w:rPr>
            </w:pPr>
          </w:p>
          <w:p w14:paraId="619504F7" w14:textId="77777777" w:rsidR="009C4265" w:rsidRPr="009C4265" w:rsidRDefault="009C4265" w:rsidP="009C4265">
            <w:pPr>
              <w:jc w:val="both"/>
              <w:rPr>
                <w:rFonts w:ascii="Arial Narrow" w:hAnsi="Arial Narrow" w:cs="Calibri"/>
                <w:sz w:val="22"/>
                <w:szCs w:val="22"/>
                <w:lang w:val="es-CR" w:eastAsia="es-CR"/>
              </w:rPr>
            </w:pPr>
          </w:p>
          <w:p w14:paraId="2CEC7011" w14:textId="77777777" w:rsidR="009C4265" w:rsidRPr="009C4265" w:rsidRDefault="009C4265" w:rsidP="009C4265">
            <w:pPr>
              <w:jc w:val="both"/>
              <w:rPr>
                <w:rFonts w:ascii="Arial Narrow" w:hAnsi="Arial Narrow" w:cs="Calibri"/>
                <w:sz w:val="22"/>
                <w:szCs w:val="22"/>
                <w:lang w:val="es-CR" w:eastAsia="es-CR"/>
              </w:rPr>
            </w:pPr>
          </w:p>
          <w:p w14:paraId="05940B14" w14:textId="77777777" w:rsidR="009C4265" w:rsidRPr="009C4265" w:rsidRDefault="009C4265" w:rsidP="009C4265">
            <w:pPr>
              <w:jc w:val="center"/>
              <w:rPr>
                <w:rFonts w:ascii="Arial Narrow" w:hAnsi="Arial Narrow" w:cs="Calibri"/>
                <w:sz w:val="22"/>
                <w:szCs w:val="22"/>
                <w:lang w:val="es-CR" w:eastAsia="es-CR"/>
              </w:rPr>
            </w:pPr>
            <w:r w:rsidRPr="009C4265">
              <w:rPr>
                <w:rFonts w:ascii="Arial Narrow" w:hAnsi="Arial Narrow" w:cs="Calibri"/>
                <w:sz w:val="22"/>
                <w:szCs w:val="22"/>
                <w:lang w:val="es-CR" w:eastAsia="es-CR"/>
              </w:rPr>
              <w:t> </w:t>
            </w:r>
          </w:p>
        </w:tc>
        <w:tc>
          <w:tcPr>
            <w:tcW w:w="77" w:type="pct"/>
            <w:vAlign w:val="center"/>
            <w:hideMark/>
          </w:tcPr>
          <w:p w14:paraId="1B79BC02" w14:textId="77777777" w:rsidR="009C4265" w:rsidRPr="009C4265" w:rsidRDefault="009C4265" w:rsidP="009C4265">
            <w:pPr>
              <w:rPr>
                <w:rFonts w:ascii="Arial Narrow" w:hAnsi="Arial Narrow"/>
                <w:sz w:val="22"/>
                <w:szCs w:val="22"/>
                <w:lang w:val="es-CR" w:eastAsia="es-CR"/>
              </w:rPr>
            </w:pPr>
          </w:p>
        </w:tc>
      </w:tr>
      <w:tr w:rsidR="009C4265" w:rsidRPr="009C4265" w14:paraId="289A20FB" w14:textId="77777777" w:rsidTr="00B963AA">
        <w:trPr>
          <w:trHeight w:val="290"/>
        </w:trPr>
        <w:tc>
          <w:tcPr>
            <w:tcW w:w="924" w:type="pct"/>
            <w:vMerge/>
            <w:tcBorders>
              <w:top w:val="nil"/>
              <w:left w:val="single" w:sz="4" w:space="0" w:color="auto"/>
              <w:bottom w:val="single" w:sz="4" w:space="0" w:color="auto"/>
              <w:right w:val="single" w:sz="4" w:space="0" w:color="auto"/>
            </w:tcBorders>
            <w:vAlign w:val="center"/>
            <w:hideMark/>
          </w:tcPr>
          <w:p w14:paraId="170B0C14" w14:textId="77777777" w:rsidR="009C4265" w:rsidRPr="009C4265" w:rsidRDefault="009C4265" w:rsidP="009C4265">
            <w:pPr>
              <w:rPr>
                <w:rFonts w:ascii="Arial Narrow" w:hAnsi="Arial Narrow" w:cs="Calibri"/>
                <w:sz w:val="22"/>
                <w:szCs w:val="22"/>
                <w:lang w:val="es-CR" w:eastAsia="es-CR"/>
              </w:rPr>
            </w:pPr>
          </w:p>
        </w:tc>
        <w:tc>
          <w:tcPr>
            <w:tcW w:w="370" w:type="pct"/>
            <w:vMerge/>
            <w:tcBorders>
              <w:top w:val="nil"/>
              <w:left w:val="single" w:sz="4" w:space="0" w:color="auto"/>
              <w:bottom w:val="single" w:sz="4" w:space="0" w:color="auto"/>
              <w:right w:val="single" w:sz="4" w:space="0" w:color="auto"/>
            </w:tcBorders>
            <w:vAlign w:val="center"/>
            <w:hideMark/>
          </w:tcPr>
          <w:p w14:paraId="1DDB1018" w14:textId="77777777" w:rsidR="009C4265" w:rsidRPr="009C4265" w:rsidRDefault="009C4265" w:rsidP="009C4265">
            <w:pPr>
              <w:rPr>
                <w:rFonts w:ascii="Arial Narrow" w:hAnsi="Arial Narrow" w:cs="Calibri"/>
                <w:sz w:val="22"/>
                <w:szCs w:val="22"/>
                <w:lang w:val="es-CR" w:eastAsia="es-CR"/>
              </w:rPr>
            </w:pPr>
          </w:p>
        </w:tc>
        <w:tc>
          <w:tcPr>
            <w:tcW w:w="1783" w:type="pct"/>
            <w:vMerge/>
            <w:tcBorders>
              <w:top w:val="nil"/>
              <w:left w:val="single" w:sz="4" w:space="0" w:color="auto"/>
              <w:bottom w:val="single" w:sz="4" w:space="0" w:color="auto"/>
              <w:right w:val="single" w:sz="4" w:space="0" w:color="auto"/>
            </w:tcBorders>
            <w:vAlign w:val="center"/>
            <w:hideMark/>
          </w:tcPr>
          <w:p w14:paraId="78051E5D" w14:textId="77777777" w:rsidR="009C4265" w:rsidRPr="009C4265" w:rsidRDefault="009C4265" w:rsidP="009C4265">
            <w:pPr>
              <w:rPr>
                <w:rFonts w:ascii="Arial Narrow" w:hAnsi="Arial Narrow" w:cs="Calibri"/>
                <w:b/>
                <w:bCs/>
                <w:sz w:val="22"/>
                <w:szCs w:val="22"/>
                <w:lang w:val="es-CR" w:eastAsia="es-CR"/>
              </w:rPr>
            </w:pPr>
          </w:p>
        </w:tc>
        <w:tc>
          <w:tcPr>
            <w:tcW w:w="956" w:type="pct"/>
            <w:vMerge/>
            <w:tcBorders>
              <w:top w:val="nil"/>
              <w:left w:val="single" w:sz="4" w:space="0" w:color="auto"/>
              <w:bottom w:val="single" w:sz="4" w:space="0" w:color="auto"/>
              <w:right w:val="single" w:sz="4" w:space="0" w:color="auto"/>
            </w:tcBorders>
            <w:vAlign w:val="center"/>
            <w:hideMark/>
          </w:tcPr>
          <w:p w14:paraId="776AD815" w14:textId="77777777" w:rsidR="009C4265" w:rsidRPr="009C4265" w:rsidRDefault="009C4265" w:rsidP="009C4265">
            <w:pPr>
              <w:rPr>
                <w:rFonts w:ascii="Arial Narrow" w:hAnsi="Arial Narrow" w:cs="Calibri"/>
                <w:sz w:val="22"/>
                <w:szCs w:val="22"/>
                <w:lang w:val="es-CR" w:eastAsia="es-CR"/>
              </w:rPr>
            </w:pPr>
          </w:p>
        </w:tc>
        <w:tc>
          <w:tcPr>
            <w:tcW w:w="889" w:type="pct"/>
            <w:vMerge/>
            <w:tcBorders>
              <w:top w:val="nil"/>
              <w:left w:val="single" w:sz="4" w:space="0" w:color="auto"/>
              <w:bottom w:val="single" w:sz="4" w:space="0" w:color="auto"/>
              <w:right w:val="single" w:sz="4" w:space="0" w:color="auto"/>
            </w:tcBorders>
            <w:vAlign w:val="center"/>
            <w:hideMark/>
          </w:tcPr>
          <w:p w14:paraId="58F09909" w14:textId="77777777" w:rsidR="009C4265" w:rsidRPr="009C4265" w:rsidRDefault="009C4265" w:rsidP="009C4265">
            <w:pPr>
              <w:rPr>
                <w:rFonts w:ascii="Arial Narrow" w:hAnsi="Arial Narrow" w:cs="Calibri"/>
                <w:sz w:val="22"/>
                <w:szCs w:val="22"/>
                <w:lang w:val="es-CR" w:eastAsia="es-CR"/>
              </w:rPr>
            </w:pPr>
          </w:p>
        </w:tc>
        <w:tc>
          <w:tcPr>
            <w:tcW w:w="77" w:type="pct"/>
            <w:tcBorders>
              <w:top w:val="nil"/>
              <w:left w:val="nil"/>
              <w:bottom w:val="nil"/>
              <w:right w:val="nil"/>
            </w:tcBorders>
            <w:shd w:val="clear" w:color="auto" w:fill="auto"/>
            <w:noWrap/>
            <w:vAlign w:val="bottom"/>
            <w:hideMark/>
          </w:tcPr>
          <w:p w14:paraId="212BCE68" w14:textId="77777777" w:rsidR="009C4265" w:rsidRPr="009C4265" w:rsidRDefault="009C4265" w:rsidP="009C4265">
            <w:pPr>
              <w:jc w:val="center"/>
              <w:rPr>
                <w:rFonts w:ascii="Arial Narrow" w:hAnsi="Arial Narrow" w:cs="Calibri"/>
                <w:sz w:val="22"/>
                <w:szCs w:val="22"/>
                <w:lang w:val="es-CR" w:eastAsia="es-CR"/>
              </w:rPr>
            </w:pPr>
          </w:p>
        </w:tc>
      </w:tr>
      <w:tr w:rsidR="009C4265" w:rsidRPr="009C4265" w14:paraId="5FAA5B4B" w14:textId="77777777" w:rsidTr="00B963AA">
        <w:trPr>
          <w:trHeight w:val="8190"/>
        </w:trPr>
        <w:tc>
          <w:tcPr>
            <w:tcW w:w="924" w:type="pct"/>
            <w:vMerge w:val="restart"/>
            <w:tcBorders>
              <w:top w:val="nil"/>
              <w:left w:val="single" w:sz="4" w:space="0" w:color="auto"/>
              <w:bottom w:val="single" w:sz="4" w:space="0" w:color="auto"/>
              <w:right w:val="single" w:sz="4" w:space="0" w:color="auto"/>
            </w:tcBorders>
            <w:shd w:val="clear" w:color="auto" w:fill="auto"/>
            <w:vAlign w:val="bottom"/>
            <w:hideMark/>
          </w:tcPr>
          <w:p w14:paraId="3BF015AD" w14:textId="77777777" w:rsidR="009C4265" w:rsidRPr="009C4265" w:rsidRDefault="009C4265" w:rsidP="009C4265">
            <w:pPr>
              <w:jc w:val="center"/>
              <w:rPr>
                <w:rFonts w:ascii="Arial Narrow" w:hAnsi="Arial Narrow" w:cs="Calibri"/>
                <w:sz w:val="22"/>
                <w:szCs w:val="22"/>
                <w:lang w:val="es-CR" w:eastAsia="es-CR"/>
              </w:rPr>
            </w:pPr>
            <w:r w:rsidRPr="009C4265">
              <w:rPr>
                <w:rFonts w:ascii="Arial Narrow" w:hAnsi="Arial Narrow" w:cs="Calibri"/>
                <w:sz w:val="22"/>
                <w:szCs w:val="22"/>
                <w:lang w:val="es-CR" w:eastAsia="es-CR"/>
              </w:rPr>
              <w:lastRenderedPageBreak/>
              <w:t xml:space="preserve">Dirección de </w:t>
            </w:r>
            <w:r w:rsidRPr="009C4265">
              <w:rPr>
                <w:rFonts w:ascii="Arial Narrow" w:hAnsi="Arial Narrow" w:cs="Calibri"/>
                <w:sz w:val="22"/>
                <w:szCs w:val="22"/>
                <w:lang w:val="es-CR" w:eastAsia="es-CR"/>
              </w:rPr>
              <w:br/>
              <w:t>Tecnología de la Información</w:t>
            </w:r>
          </w:p>
          <w:p w14:paraId="047C552F" w14:textId="77777777" w:rsidR="009C4265" w:rsidRPr="009C4265" w:rsidRDefault="009C4265" w:rsidP="009C4265">
            <w:pPr>
              <w:jc w:val="center"/>
              <w:rPr>
                <w:rFonts w:ascii="Arial Narrow" w:hAnsi="Arial Narrow" w:cs="Calibri"/>
                <w:sz w:val="22"/>
                <w:szCs w:val="22"/>
                <w:lang w:val="es-CR" w:eastAsia="es-CR"/>
              </w:rPr>
            </w:pPr>
          </w:p>
          <w:p w14:paraId="30DC9C8E" w14:textId="77777777" w:rsidR="009C4265" w:rsidRPr="009C4265" w:rsidRDefault="009C4265" w:rsidP="009C4265">
            <w:pPr>
              <w:jc w:val="center"/>
              <w:rPr>
                <w:rFonts w:ascii="Arial Narrow" w:hAnsi="Arial Narrow" w:cs="Calibri"/>
                <w:sz w:val="22"/>
                <w:szCs w:val="22"/>
                <w:lang w:val="es-CR" w:eastAsia="es-CR"/>
              </w:rPr>
            </w:pPr>
          </w:p>
          <w:p w14:paraId="1A6EBB12" w14:textId="77777777" w:rsidR="009C4265" w:rsidRPr="009C4265" w:rsidRDefault="009C4265" w:rsidP="009C4265">
            <w:pPr>
              <w:jc w:val="center"/>
              <w:rPr>
                <w:rFonts w:ascii="Arial Narrow" w:hAnsi="Arial Narrow" w:cs="Calibri"/>
                <w:sz w:val="22"/>
                <w:szCs w:val="22"/>
                <w:lang w:val="es-CR" w:eastAsia="es-CR"/>
              </w:rPr>
            </w:pPr>
          </w:p>
          <w:p w14:paraId="250B5FF5" w14:textId="77777777" w:rsidR="009C4265" w:rsidRPr="009C4265" w:rsidRDefault="009C4265" w:rsidP="009C4265">
            <w:pPr>
              <w:jc w:val="center"/>
              <w:rPr>
                <w:rFonts w:ascii="Arial Narrow" w:hAnsi="Arial Narrow" w:cs="Calibri"/>
                <w:sz w:val="22"/>
                <w:szCs w:val="22"/>
                <w:lang w:val="es-CR" w:eastAsia="es-CR"/>
              </w:rPr>
            </w:pPr>
          </w:p>
          <w:p w14:paraId="406CF93E" w14:textId="77777777" w:rsidR="009C4265" w:rsidRPr="009C4265" w:rsidRDefault="009C4265" w:rsidP="009C4265">
            <w:pPr>
              <w:jc w:val="center"/>
              <w:rPr>
                <w:rFonts w:ascii="Arial Narrow" w:hAnsi="Arial Narrow" w:cs="Calibri"/>
                <w:sz w:val="22"/>
                <w:szCs w:val="22"/>
                <w:lang w:val="es-CR" w:eastAsia="es-CR"/>
              </w:rPr>
            </w:pPr>
          </w:p>
          <w:p w14:paraId="2FA2A50D" w14:textId="77777777" w:rsidR="009C4265" w:rsidRPr="009C4265" w:rsidRDefault="009C4265" w:rsidP="009C4265">
            <w:pPr>
              <w:jc w:val="center"/>
              <w:rPr>
                <w:rFonts w:ascii="Arial Narrow" w:hAnsi="Arial Narrow" w:cs="Calibri"/>
                <w:sz w:val="22"/>
                <w:szCs w:val="22"/>
                <w:lang w:val="es-CR" w:eastAsia="es-CR"/>
              </w:rPr>
            </w:pPr>
          </w:p>
          <w:p w14:paraId="0DA2C249" w14:textId="77777777" w:rsidR="009C4265" w:rsidRPr="009C4265" w:rsidRDefault="009C4265" w:rsidP="009C4265">
            <w:pPr>
              <w:jc w:val="center"/>
              <w:rPr>
                <w:rFonts w:ascii="Arial Narrow" w:hAnsi="Arial Narrow" w:cs="Calibri"/>
                <w:sz w:val="22"/>
                <w:szCs w:val="22"/>
                <w:lang w:val="es-CR" w:eastAsia="es-CR"/>
              </w:rPr>
            </w:pPr>
          </w:p>
          <w:p w14:paraId="380426D6" w14:textId="77777777" w:rsidR="009C4265" w:rsidRPr="009C4265" w:rsidRDefault="009C4265" w:rsidP="009C4265">
            <w:pPr>
              <w:jc w:val="center"/>
              <w:rPr>
                <w:rFonts w:ascii="Arial Narrow" w:hAnsi="Arial Narrow" w:cs="Calibri"/>
                <w:sz w:val="22"/>
                <w:szCs w:val="22"/>
                <w:lang w:val="es-CR" w:eastAsia="es-CR"/>
              </w:rPr>
            </w:pPr>
          </w:p>
          <w:p w14:paraId="1252C20D" w14:textId="77777777" w:rsidR="009C4265" w:rsidRPr="009C4265" w:rsidRDefault="009C4265" w:rsidP="009C4265">
            <w:pPr>
              <w:jc w:val="center"/>
              <w:rPr>
                <w:rFonts w:ascii="Arial Narrow" w:hAnsi="Arial Narrow" w:cs="Calibri"/>
                <w:sz w:val="22"/>
                <w:szCs w:val="22"/>
                <w:lang w:val="es-CR" w:eastAsia="es-CR"/>
              </w:rPr>
            </w:pPr>
          </w:p>
          <w:p w14:paraId="0BEB2C31" w14:textId="77777777" w:rsidR="009C4265" w:rsidRPr="009C4265" w:rsidRDefault="009C4265" w:rsidP="009C4265">
            <w:pPr>
              <w:jc w:val="center"/>
              <w:rPr>
                <w:rFonts w:ascii="Arial Narrow" w:hAnsi="Arial Narrow" w:cs="Calibri"/>
                <w:sz w:val="22"/>
                <w:szCs w:val="22"/>
                <w:lang w:val="es-CR" w:eastAsia="es-CR"/>
              </w:rPr>
            </w:pPr>
          </w:p>
        </w:tc>
        <w:tc>
          <w:tcPr>
            <w:tcW w:w="370" w:type="pct"/>
            <w:vMerge w:val="restart"/>
            <w:tcBorders>
              <w:top w:val="nil"/>
              <w:left w:val="single" w:sz="4" w:space="0" w:color="auto"/>
              <w:bottom w:val="single" w:sz="4" w:space="0" w:color="auto"/>
              <w:right w:val="single" w:sz="4" w:space="0" w:color="auto"/>
            </w:tcBorders>
            <w:shd w:val="clear" w:color="auto" w:fill="auto"/>
            <w:vAlign w:val="center"/>
            <w:hideMark/>
          </w:tcPr>
          <w:p w14:paraId="580B0182" w14:textId="77777777" w:rsidR="009C4265" w:rsidRPr="009C4265" w:rsidRDefault="009C4265" w:rsidP="009C4265">
            <w:pPr>
              <w:jc w:val="center"/>
              <w:rPr>
                <w:rFonts w:ascii="Arial Narrow" w:hAnsi="Arial Narrow" w:cs="Calibri"/>
                <w:sz w:val="22"/>
                <w:szCs w:val="22"/>
                <w:lang w:val="es-CR" w:eastAsia="es-CR"/>
              </w:rPr>
            </w:pPr>
            <w:r w:rsidRPr="009C4265">
              <w:rPr>
                <w:rFonts w:ascii="Arial Narrow" w:hAnsi="Arial Narrow" w:cs="Calibri"/>
                <w:sz w:val="22"/>
                <w:szCs w:val="22"/>
                <w:lang w:val="es-ES" w:eastAsia="es-CR"/>
              </w:rPr>
              <w:t>186-187</w:t>
            </w:r>
          </w:p>
        </w:tc>
        <w:tc>
          <w:tcPr>
            <w:tcW w:w="1783" w:type="pct"/>
            <w:vMerge w:val="restart"/>
            <w:tcBorders>
              <w:top w:val="nil"/>
              <w:left w:val="single" w:sz="4" w:space="0" w:color="auto"/>
              <w:bottom w:val="single" w:sz="4" w:space="0" w:color="auto"/>
              <w:right w:val="single" w:sz="4" w:space="0" w:color="auto"/>
            </w:tcBorders>
            <w:shd w:val="clear" w:color="auto" w:fill="auto"/>
            <w:vAlign w:val="center"/>
            <w:hideMark/>
          </w:tcPr>
          <w:p w14:paraId="3945AA6C" w14:textId="77777777" w:rsidR="009C4265" w:rsidRPr="009C4265" w:rsidRDefault="009C4265" w:rsidP="009C4265">
            <w:pPr>
              <w:jc w:val="both"/>
              <w:rPr>
                <w:rFonts w:ascii="Arial Narrow" w:hAnsi="Arial Narrow" w:cs="Calibri"/>
                <w:b/>
                <w:bCs/>
                <w:i/>
                <w:iCs/>
                <w:sz w:val="22"/>
                <w:szCs w:val="22"/>
                <w:lang w:val="es-CR" w:eastAsia="es-CR"/>
              </w:rPr>
            </w:pPr>
            <w:r w:rsidRPr="009C4265">
              <w:rPr>
                <w:rFonts w:ascii="Arial Narrow" w:hAnsi="Arial Narrow" w:cs="Calibri"/>
                <w:b/>
                <w:bCs/>
                <w:i/>
                <w:iCs/>
                <w:sz w:val="22"/>
                <w:szCs w:val="22"/>
                <w:lang w:val="es-CR" w:eastAsia="es-CR"/>
              </w:rPr>
              <w:t>Que al finalizar el 2024, se haya ampliado anualmente la cobertura efectiva de Teletrabajo, en puestos profesionales y personal técnico</w:t>
            </w:r>
          </w:p>
        </w:tc>
        <w:tc>
          <w:tcPr>
            <w:tcW w:w="956" w:type="pct"/>
            <w:vMerge w:val="restart"/>
            <w:tcBorders>
              <w:top w:val="nil"/>
              <w:left w:val="single" w:sz="4" w:space="0" w:color="auto"/>
              <w:bottom w:val="single" w:sz="4" w:space="0" w:color="auto"/>
              <w:right w:val="single" w:sz="4" w:space="0" w:color="auto"/>
            </w:tcBorders>
            <w:shd w:val="clear" w:color="auto" w:fill="auto"/>
            <w:vAlign w:val="center"/>
            <w:hideMark/>
          </w:tcPr>
          <w:p w14:paraId="40A7D50A" w14:textId="77777777" w:rsidR="009C4265" w:rsidRPr="009C4265" w:rsidRDefault="009C4265" w:rsidP="009C4265">
            <w:pPr>
              <w:jc w:val="both"/>
              <w:rPr>
                <w:rFonts w:ascii="Arial Narrow" w:hAnsi="Arial Narrow" w:cs="Calibri"/>
                <w:sz w:val="22"/>
                <w:szCs w:val="22"/>
                <w:lang w:val="es-CR" w:eastAsia="es-CR"/>
              </w:rPr>
            </w:pPr>
            <w:r w:rsidRPr="009C4265">
              <w:rPr>
                <w:rFonts w:ascii="Arial Narrow" w:hAnsi="Arial Narrow" w:cs="Calibri"/>
                <w:sz w:val="22"/>
                <w:szCs w:val="22"/>
                <w:lang w:val="es-ES" w:eastAsia="es-CR"/>
              </w:rPr>
              <w:t xml:space="preserve">Se debe indicar que esta Dirección Tecnología y el Poder Judicial en general, teniendo en cuenta la situación país experimentada con motivo de la emergencia nacional por la pandemia, realizó el esfuerzo por poner a funcionar a más de 1200 personas teletrabajadoras. Aspecto mencionado en el oficio N° </w:t>
            </w:r>
            <w:r w:rsidRPr="009C4265">
              <w:rPr>
                <w:rFonts w:ascii="Arial Narrow" w:hAnsi="Arial Narrow" w:cs="Calibri"/>
                <w:b/>
                <w:bCs/>
                <w:sz w:val="22"/>
                <w:szCs w:val="22"/>
                <w:lang w:val="es-ES" w:eastAsia="es-CR"/>
              </w:rPr>
              <w:t>220-DTI-2021.</w:t>
            </w:r>
          </w:p>
        </w:tc>
        <w:tc>
          <w:tcPr>
            <w:tcW w:w="889" w:type="pct"/>
            <w:vMerge w:val="restart"/>
            <w:tcBorders>
              <w:top w:val="nil"/>
              <w:left w:val="single" w:sz="4" w:space="0" w:color="auto"/>
              <w:bottom w:val="single" w:sz="4" w:space="0" w:color="auto"/>
              <w:right w:val="single" w:sz="4" w:space="0" w:color="auto"/>
            </w:tcBorders>
            <w:shd w:val="clear" w:color="auto" w:fill="auto"/>
            <w:noWrap/>
            <w:vAlign w:val="bottom"/>
            <w:hideMark/>
          </w:tcPr>
          <w:p w14:paraId="01A4B861" w14:textId="77777777" w:rsidR="009C4265" w:rsidRPr="009C4265" w:rsidRDefault="009C4265" w:rsidP="009C4265">
            <w:pPr>
              <w:jc w:val="both"/>
              <w:rPr>
                <w:rFonts w:ascii="Arial Narrow" w:hAnsi="Arial Narrow" w:cs="Calibri"/>
                <w:sz w:val="22"/>
                <w:szCs w:val="22"/>
                <w:lang w:val="es-CR" w:eastAsia="es-CR"/>
              </w:rPr>
            </w:pPr>
          </w:p>
          <w:p w14:paraId="27420940" w14:textId="77777777" w:rsidR="009C4265" w:rsidRPr="009C4265" w:rsidRDefault="009C4265" w:rsidP="009C4265">
            <w:pPr>
              <w:jc w:val="both"/>
              <w:rPr>
                <w:rFonts w:ascii="Arial Narrow" w:hAnsi="Arial Narrow" w:cs="Calibri"/>
                <w:sz w:val="22"/>
                <w:szCs w:val="22"/>
                <w:lang w:val="es-CR" w:eastAsia="es-CR"/>
              </w:rPr>
            </w:pPr>
          </w:p>
          <w:p w14:paraId="2B69B5F1" w14:textId="77777777" w:rsidR="009C4265" w:rsidRPr="009C4265" w:rsidRDefault="009C4265" w:rsidP="009C4265">
            <w:pPr>
              <w:jc w:val="both"/>
              <w:rPr>
                <w:rFonts w:ascii="Arial Narrow" w:hAnsi="Arial Narrow" w:cs="Calibri"/>
                <w:sz w:val="22"/>
                <w:szCs w:val="22"/>
                <w:lang w:val="es-CR" w:eastAsia="es-CR"/>
              </w:rPr>
            </w:pPr>
          </w:p>
          <w:p w14:paraId="1175ADCA" w14:textId="77777777" w:rsidR="009C4265" w:rsidRPr="009C4265" w:rsidRDefault="009C4265" w:rsidP="009C4265">
            <w:pPr>
              <w:jc w:val="both"/>
              <w:rPr>
                <w:rFonts w:ascii="Arial Narrow" w:hAnsi="Arial Narrow" w:cs="Calibri"/>
                <w:sz w:val="22"/>
                <w:szCs w:val="22"/>
                <w:lang w:val="es-CR" w:eastAsia="es-CR"/>
              </w:rPr>
            </w:pPr>
          </w:p>
          <w:p w14:paraId="6A98E84C" w14:textId="2C8C93E8" w:rsidR="009C4265" w:rsidRPr="009C4265" w:rsidRDefault="009C4265" w:rsidP="009C4265">
            <w:pPr>
              <w:jc w:val="both"/>
              <w:rPr>
                <w:rFonts w:ascii="Arial Narrow" w:hAnsi="Arial Narrow" w:cs="Calibri"/>
                <w:sz w:val="22"/>
                <w:szCs w:val="22"/>
                <w:lang w:val="es-CR" w:eastAsia="es-CR"/>
              </w:rPr>
            </w:pPr>
            <w:r w:rsidRPr="009C4265">
              <w:rPr>
                <w:rFonts w:ascii="Arial Narrow" w:hAnsi="Arial Narrow" w:cs="Calibri"/>
                <w:sz w:val="22"/>
                <w:szCs w:val="22"/>
                <w:lang w:val="es-CR" w:eastAsia="es-CR"/>
              </w:rPr>
              <w:t>Se toma nota de la observación y se incorpora en la meta estratégica: “</w:t>
            </w:r>
            <w:r w:rsidRPr="009C4265">
              <w:rPr>
                <w:rFonts w:ascii="Arial Narrow" w:hAnsi="Arial Narrow" w:cs="Calibri"/>
                <w:i/>
                <w:iCs/>
                <w:sz w:val="22"/>
                <w:szCs w:val="22"/>
                <w:lang w:val="es-CR" w:eastAsia="es-CR"/>
              </w:rPr>
              <w:t>Que al finalizar el 2024, se haya ampliado anualmente la cobertura efectiva de Teletrabajo, en puestos profesionales y personal técnico</w:t>
            </w:r>
            <w:r w:rsidRPr="009C4265">
              <w:rPr>
                <w:rFonts w:ascii="Arial Narrow" w:hAnsi="Arial Narrow" w:cs="Calibri"/>
                <w:sz w:val="22"/>
                <w:szCs w:val="22"/>
                <w:lang w:val="es-CR" w:eastAsia="es-CR"/>
              </w:rPr>
              <w:t>” el criterio de</w:t>
            </w:r>
            <w:r w:rsidR="00FD024B">
              <w:rPr>
                <w:rFonts w:ascii="Arial Narrow" w:hAnsi="Arial Narrow" w:cs="Calibri"/>
                <w:sz w:val="22"/>
                <w:szCs w:val="22"/>
                <w:lang w:val="es-CR" w:eastAsia="es-CR"/>
              </w:rPr>
              <w:t xml:space="preserve"> la DTIyC</w:t>
            </w:r>
            <w:r w:rsidRPr="009C4265">
              <w:rPr>
                <w:rFonts w:ascii="Arial Narrow" w:hAnsi="Arial Narrow" w:cs="Calibri"/>
                <w:sz w:val="22"/>
                <w:szCs w:val="22"/>
                <w:lang w:val="es-CR" w:eastAsia="es-CR"/>
              </w:rPr>
              <w:t>.</w:t>
            </w:r>
          </w:p>
          <w:p w14:paraId="07149FDD" w14:textId="106B9909" w:rsidR="009C4265" w:rsidRPr="009C4265" w:rsidRDefault="009C4265" w:rsidP="009C4265">
            <w:pPr>
              <w:jc w:val="both"/>
              <w:rPr>
                <w:rFonts w:ascii="Arial Narrow" w:hAnsi="Arial Narrow" w:cs="Calibri"/>
                <w:sz w:val="22"/>
                <w:szCs w:val="22"/>
                <w:lang w:val="es-CR" w:eastAsia="es-CR"/>
              </w:rPr>
            </w:pPr>
            <w:r w:rsidRPr="009C4265">
              <w:rPr>
                <w:rFonts w:ascii="Arial Narrow" w:hAnsi="Arial Narrow" w:cs="Calibri"/>
                <w:sz w:val="22"/>
                <w:szCs w:val="22"/>
                <w:lang w:val="es-CR" w:eastAsia="es-CR"/>
              </w:rPr>
              <w:br/>
              <w:t>La observación modifica el contenido del informe, en cuanto a que se adiciona el criterio de la Dirección de Tecnología de la Información</w:t>
            </w:r>
            <w:r w:rsidR="00BF6E93">
              <w:rPr>
                <w:rFonts w:ascii="Arial Narrow" w:hAnsi="Arial Narrow" w:cs="Calibri"/>
                <w:sz w:val="22"/>
                <w:szCs w:val="22"/>
                <w:lang w:val="es-CR" w:eastAsia="es-CR"/>
              </w:rPr>
              <w:t xml:space="preserve"> y Comunicaciones</w:t>
            </w:r>
            <w:r w:rsidRPr="009C4265">
              <w:rPr>
                <w:rFonts w:ascii="Arial Narrow" w:hAnsi="Arial Narrow" w:cs="Calibri"/>
                <w:sz w:val="22"/>
                <w:szCs w:val="22"/>
                <w:lang w:val="es-CR" w:eastAsia="es-CR"/>
              </w:rPr>
              <w:t>.</w:t>
            </w:r>
          </w:p>
          <w:p w14:paraId="3D45A0D3" w14:textId="77777777" w:rsidR="009C4265" w:rsidRPr="009C4265" w:rsidRDefault="009C4265" w:rsidP="009C4265">
            <w:pPr>
              <w:jc w:val="both"/>
              <w:rPr>
                <w:rFonts w:ascii="Arial Narrow" w:hAnsi="Arial Narrow" w:cs="Calibri"/>
                <w:sz w:val="22"/>
                <w:szCs w:val="22"/>
                <w:lang w:val="es-ES" w:eastAsia="es-CR"/>
              </w:rPr>
            </w:pPr>
          </w:p>
          <w:p w14:paraId="333799B1" w14:textId="77777777" w:rsidR="009C4265" w:rsidRPr="009C4265" w:rsidRDefault="009C4265" w:rsidP="009C4265">
            <w:pPr>
              <w:jc w:val="both"/>
              <w:rPr>
                <w:rFonts w:ascii="Arial Narrow" w:hAnsi="Arial Narrow" w:cs="Calibri"/>
                <w:sz w:val="22"/>
                <w:szCs w:val="22"/>
                <w:lang w:val="es-ES" w:eastAsia="es-CR"/>
              </w:rPr>
            </w:pPr>
          </w:p>
          <w:p w14:paraId="770FE95F" w14:textId="77777777" w:rsidR="009C4265" w:rsidRPr="009C4265" w:rsidRDefault="009C4265" w:rsidP="009C4265">
            <w:pPr>
              <w:jc w:val="both"/>
              <w:rPr>
                <w:rFonts w:ascii="Arial Narrow" w:hAnsi="Arial Narrow" w:cs="Calibri"/>
                <w:sz w:val="22"/>
                <w:szCs w:val="22"/>
                <w:lang w:val="es-ES" w:eastAsia="es-CR"/>
              </w:rPr>
            </w:pPr>
          </w:p>
          <w:p w14:paraId="3878EC0E" w14:textId="77777777" w:rsidR="009C4265" w:rsidRPr="009C4265" w:rsidRDefault="009C4265" w:rsidP="009C4265">
            <w:pPr>
              <w:jc w:val="both"/>
              <w:rPr>
                <w:rFonts w:ascii="Arial Narrow" w:hAnsi="Arial Narrow" w:cs="Calibri"/>
                <w:sz w:val="22"/>
                <w:szCs w:val="22"/>
                <w:lang w:val="es-ES" w:eastAsia="es-CR"/>
              </w:rPr>
            </w:pPr>
          </w:p>
          <w:p w14:paraId="1204A962" w14:textId="77777777" w:rsidR="009C4265" w:rsidRPr="009C4265" w:rsidRDefault="009C4265" w:rsidP="009C4265">
            <w:pPr>
              <w:jc w:val="both"/>
              <w:rPr>
                <w:rFonts w:ascii="Arial Narrow" w:hAnsi="Arial Narrow" w:cs="Calibri"/>
                <w:sz w:val="22"/>
                <w:szCs w:val="22"/>
                <w:lang w:val="es-ES" w:eastAsia="es-CR"/>
              </w:rPr>
            </w:pPr>
          </w:p>
          <w:p w14:paraId="57E2D557" w14:textId="77777777" w:rsidR="009C4265" w:rsidRPr="009C4265" w:rsidRDefault="009C4265" w:rsidP="009C4265">
            <w:pPr>
              <w:jc w:val="both"/>
              <w:rPr>
                <w:rFonts w:ascii="Arial Narrow" w:hAnsi="Arial Narrow" w:cs="Calibri"/>
                <w:sz w:val="22"/>
                <w:szCs w:val="22"/>
                <w:lang w:val="es-ES" w:eastAsia="es-CR"/>
              </w:rPr>
            </w:pPr>
          </w:p>
          <w:p w14:paraId="341F420C" w14:textId="77777777" w:rsidR="009C4265" w:rsidRPr="009C4265" w:rsidRDefault="009C4265" w:rsidP="009C4265">
            <w:pPr>
              <w:jc w:val="both"/>
              <w:rPr>
                <w:rFonts w:ascii="Arial Narrow" w:hAnsi="Arial Narrow" w:cs="Calibri"/>
                <w:sz w:val="22"/>
                <w:szCs w:val="22"/>
                <w:lang w:val="es-ES" w:eastAsia="es-CR"/>
              </w:rPr>
            </w:pPr>
          </w:p>
          <w:p w14:paraId="2E359F3A" w14:textId="77777777" w:rsidR="009C4265" w:rsidRPr="009C4265" w:rsidRDefault="009C4265" w:rsidP="009C4265">
            <w:pPr>
              <w:jc w:val="both"/>
              <w:rPr>
                <w:rFonts w:ascii="Arial Narrow" w:hAnsi="Arial Narrow" w:cs="Calibri"/>
                <w:sz w:val="22"/>
                <w:szCs w:val="22"/>
                <w:lang w:val="es-ES" w:eastAsia="es-CR"/>
              </w:rPr>
            </w:pPr>
          </w:p>
          <w:p w14:paraId="5A2A37E1" w14:textId="77777777" w:rsidR="009C4265" w:rsidRPr="009C4265" w:rsidRDefault="009C4265" w:rsidP="009C4265">
            <w:pPr>
              <w:jc w:val="both"/>
              <w:rPr>
                <w:rFonts w:ascii="Arial Narrow" w:hAnsi="Arial Narrow" w:cs="Calibri"/>
                <w:sz w:val="22"/>
                <w:szCs w:val="22"/>
                <w:lang w:val="es-ES" w:eastAsia="es-CR"/>
              </w:rPr>
            </w:pPr>
          </w:p>
          <w:p w14:paraId="20AE9B57" w14:textId="77777777" w:rsidR="009C4265" w:rsidRPr="009C4265" w:rsidRDefault="009C4265" w:rsidP="009C4265">
            <w:pPr>
              <w:jc w:val="both"/>
              <w:rPr>
                <w:rFonts w:ascii="Arial Narrow" w:hAnsi="Arial Narrow" w:cs="Calibri"/>
                <w:sz w:val="22"/>
                <w:szCs w:val="22"/>
                <w:lang w:val="es-ES" w:eastAsia="es-CR"/>
              </w:rPr>
            </w:pPr>
          </w:p>
          <w:p w14:paraId="658A21F5" w14:textId="77777777" w:rsidR="009C4265" w:rsidRPr="009C4265" w:rsidRDefault="009C4265" w:rsidP="009C4265">
            <w:pPr>
              <w:jc w:val="both"/>
              <w:rPr>
                <w:rFonts w:ascii="Arial Narrow" w:hAnsi="Arial Narrow" w:cs="Calibri"/>
                <w:sz w:val="22"/>
                <w:szCs w:val="22"/>
                <w:lang w:val="es-ES" w:eastAsia="es-CR"/>
              </w:rPr>
            </w:pPr>
          </w:p>
          <w:p w14:paraId="7F45AD89" w14:textId="77777777" w:rsidR="009C4265" w:rsidRPr="009C4265" w:rsidRDefault="009C4265" w:rsidP="009C4265">
            <w:pPr>
              <w:jc w:val="both"/>
              <w:rPr>
                <w:rFonts w:ascii="Arial Narrow" w:hAnsi="Arial Narrow" w:cs="Calibri"/>
                <w:sz w:val="22"/>
                <w:szCs w:val="22"/>
                <w:lang w:val="es-CR" w:eastAsia="es-CR"/>
              </w:rPr>
            </w:pPr>
            <w:r w:rsidRPr="009C4265">
              <w:rPr>
                <w:rFonts w:ascii="Arial Narrow" w:hAnsi="Arial Narrow" w:cs="Calibri"/>
                <w:sz w:val="22"/>
                <w:szCs w:val="22"/>
                <w:lang w:val="es-ES" w:eastAsia="es-CR"/>
              </w:rPr>
              <w:t> </w:t>
            </w:r>
          </w:p>
        </w:tc>
        <w:tc>
          <w:tcPr>
            <w:tcW w:w="77" w:type="pct"/>
            <w:vAlign w:val="center"/>
            <w:hideMark/>
          </w:tcPr>
          <w:p w14:paraId="2F1F5270" w14:textId="77777777" w:rsidR="009C4265" w:rsidRPr="009C4265" w:rsidRDefault="009C4265" w:rsidP="009C4265">
            <w:pPr>
              <w:rPr>
                <w:rFonts w:ascii="Arial Narrow" w:hAnsi="Arial Narrow"/>
                <w:sz w:val="22"/>
                <w:szCs w:val="22"/>
                <w:lang w:val="es-CR" w:eastAsia="es-CR"/>
              </w:rPr>
            </w:pPr>
          </w:p>
        </w:tc>
      </w:tr>
      <w:tr w:rsidR="009C4265" w:rsidRPr="009C4265" w14:paraId="3CD3612B" w14:textId="77777777" w:rsidTr="00B963AA">
        <w:trPr>
          <w:trHeight w:val="290"/>
        </w:trPr>
        <w:tc>
          <w:tcPr>
            <w:tcW w:w="924" w:type="pct"/>
            <w:vMerge/>
            <w:tcBorders>
              <w:top w:val="nil"/>
              <w:left w:val="single" w:sz="4" w:space="0" w:color="auto"/>
              <w:bottom w:val="single" w:sz="4" w:space="0" w:color="auto"/>
              <w:right w:val="single" w:sz="4" w:space="0" w:color="auto"/>
            </w:tcBorders>
            <w:vAlign w:val="center"/>
            <w:hideMark/>
          </w:tcPr>
          <w:p w14:paraId="257D2676" w14:textId="77777777" w:rsidR="009C4265" w:rsidRPr="009C4265" w:rsidRDefault="009C4265" w:rsidP="009C4265">
            <w:pPr>
              <w:rPr>
                <w:rFonts w:ascii="Arial Narrow" w:hAnsi="Arial Narrow" w:cs="Calibri"/>
                <w:sz w:val="22"/>
                <w:szCs w:val="22"/>
                <w:lang w:val="es-CR" w:eastAsia="es-CR"/>
              </w:rPr>
            </w:pPr>
          </w:p>
        </w:tc>
        <w:tc>
          <w:tcPr>
            <w:tcW w:w="370" w:type="pct"/>
            <w:vMerge/>
            <w:tcBorders>
              <w:top w:val="nil"/>
              <w:left w:val="single" w:sz="4" w:space="0" w:color="auto"/>
              <w:bottom w:val="single" w:sz="4" w:space="0" w:color="auto"/>
              <w:right w:val="single" w:sz="4" w:space="0" w:color="auto"/>
            </w:tcBorders>
            <w:vAlign w:val="center"/>
            <w:hideMark/>
          </w:tcPr>
          <w:p w14:paraId="4D394B04" w14:textId="77777777" w:rsidR="009C4265" w:rsidRPr="009C4265" w:rsidRDefault="009C4265" w:rsidP="009C4265">
            <w:pPr>
              <w:rPr>
                <w:rFonts w:ascii="Arial Narrow" w:hAnsi="Arial Narrow" w:cs="Calibri"/>
                <w:sz w:val="22"/>
                <w:szCs w:val="22"/>
                <w:lang w:val="es-CR" w:eastAsia="es-CR"/>
              </w:rPr>
            </w:pPr>
          </w:p>
        </w:tc>
        <w:tc>
          <w:tcPr>
            <w:tcW w:w="1783" w:type="pct"/>
            <w:vMerge/>
            <w:tcBorders>
              <w:top w:val="nil"/>
              <w:left w:val="single" w:sz="4" w:space="0" w:color="auto"/>
              <w:bottom w:val="single" w:sz="4" w:space="0" w:color="auto"/>
              <w:right w:val="single" w:sz="4" w:space="0" w:color="auto"/>
            </w:tcBorders>
            <w:vAlign w:val="center"/>
            <w:hideMark/>
          </w:tcPr>
          <w:p w14:paraId="29FFC39A" w14:textId="77777777" w:rsidR="009C4265" w:rsidRPr="009C4265" w:rsidRDefault="009C4265" w:rsidP="009C4265">
            <w:pPr>
              <w:rPr>
                <w:rFonts w:ascii="Arial Narrow" w:hAnsi="Arial Narrow" w:cs="Calibri"/>
                <w:b/>
                <w:bCs/>
                <w:i/>
                <w:iCs/>
                <w:sz w:val="22"/>
                <w:szCs w:val="22"/>
                <w:lang w:val="es-CR" w:eastAsia="es-CR"/>
              </w:rPr>
            </w:pPr>
          </w:p>
        </w:tc>
        <w:tc>
          <w:tcPr>
            <w:tcW w:w="956" w:type="pct"/>
            <w:vMerge/>
            <w:tcBorders>
              <w:top w:val="nil"/>
              <w:left w:val="single" w:sz="4" w:space="0" w:color="auto"/>
              <w:bottom w:val="single" w:sz="4" w:space="0" w:color="auto"/>
              <w:right w:val="single" w:sz="4" w:space="0" w:color="auto"/>
            </w:tcBorders>
            <w:vAlign w:val="center"/>
            <w:hideMark/>
          </w:tcPr>
          <w:p w14:paraId="53FFBB0B" w14:textId="77777777" w:rsidR="009C4265" w:rsidRPr="009C4265" w:rsidRDefault="009C4265" w:rsidP="009C4265">
            <w:pPr>
              <w:rPr>
                <w:rFonts w:ascii="Arial Narrow" w:hAnsi="Arial Narrow" w:cs="Calibri"/>
                <w:sz w:val="22"/>
                <w:szCs w:val="22"/>
                <w:lang w:val="es-CR" w:eastAsia="es-CR"/>
              </w:rPr>
            </w:pPr>
          </w:p>
        </w:tc>
        <w:tc>
          <w:tcPr>
            <w:tcW w:w="889" w:type="pct"/>
            <w:vMerge/>
            <w:tcBorders>
              <w:top w:val="nil"/>
              <w:left w:val="single" w:sz="4" w:space="0" w:color="auto"/>
              <w:bottom w:val="single" w:sz="4" w:space="0" w:color="auto"/>
              <w:right w:val="single" w:sz="4" w:space="0" w:color="auto"/>
            </w:tcBorders>
            <w:vAlign w:val="center"/>
            <w:hideMark/>
          </w:tcPr>
          <w:p w14:paraId="14B77582" w14:textId="77777777" w:rsidR="009C4265" w:rsidRPr="009C4265" w:rsidRDefault="009C4265" w:rsidP="009C4265">
            <w:pPr>
              <w:rPr>
                <w:rFonts w:ascii="Arial Narrow" w:hAnsi="Arial Narrow" w:cs="Calibri"/>
                <w:sz w:val="22"/>
                <w:szCs w:val="22"/>
                <w:lang w:val="es-CR" w:eastAsia="es-CR"/>
              </w:rPr>
            </w:pPr>
          </w:p>
        </w:tc>
        <w:tc>
          <w:tcPr>
            <w:tcW w:w="77" w:type="pct"/>
            <w:tcBorders>
              <w:top w:val="nil"/>
              <w:left w:val="nil"/>
              <w:bottom w:val="nil"/>
              <w:right w:val="nil"/>
            </w:tcBorders>
            <w:shd w:val="clear" w:color="auto" w:fill="auto"/>
            <w:noWrap/>
            <w:vAlign w:val="bottom"/>
            <w:hideMark/>
          </w:tcPr>
          <w:p w14:paraId="5D23ADE7" w14:textId="77777777" w:rsidR="009C4265" w:rsidRPr="009C4265" w:rsidRDefault="009C4265" w:rsidP="009C4265">
            <w:pPr>
              <w:jc w:val="center"/>
              <w:rPr>
                <w:rFonts w:ascii="Arial Narrow" w:hAnsi="Arial Narrow" w:cs="Calibri"/>
                <w:sz w:val="22"/>
                <w:szCs w:val="22"/>
                <w:lang w:val="es-CR" w:eastAsia="es-CR"/>
              </w:rPr>
            </w:pPr>
          </w:p>
        </w:tc>
      </w:tr>
      <w:tr w:rsidR="009C4265" w:rsidRPr="009C4265" w14:paraId="39E6E9C2" w14:textId="77777777" w:rsidTr="00B963AA">
        <w:trPr>
          <w:trHeight w:val="300"/>
        </w:trPr>
        <w:tc>
          <w:tcPr>
            <w:tcW w:w="924" w:type="pct"/>
            <w:vMerge/>
            <w:tcBorders>
              <w:top w:val="nil"/>
              <w:left w:val="single" w:sz="4" w:space="0" w:color="auto"/>
              <w:bottom w:val="single" w:sz="4" w:space="0" w:color="auto"/>
              <w:right w:val="single" w:sz="4" w:space="0" w:color="auto"/>
            </w:tcBorders>
            <w:vAlign w:val="center"/>
            <w:hideMark/>
          </w:tcPr>
          <w:p w14:paraId="144377D4" w14:textId="77777777" w:rsidR="009C4265" w:rsidRPr="009C4265" w:rsidRDefault="009C4265" w:rsidP="009C4265">
            <w:pPr>
              <w:rPr>
                <w:rFonts w:ascii="Arial Narrow" w:hAnsi="Arial Narrow" w:cs="Calibri"/>
                <w:sz w:val="22"/>
                <w:szCs w:val="22"/>
                <w:lang w:val="es-CR" w:eastAsia="es-CR"/>
              </w:rPr>
            </w:pPr>
          </w:p>
        </w:tc>
        <w:tc>
          <w:tcPr>
            <w:tcW w:w="370" w:type="pct"/>
            <w:vMerge/>
            <w:tcBorders>
              <w:top w:val="nil"/>
              <w:left w:val="single" w:sz="4" w:space="0" w:color="auto"/>
              <w:bottom w:val="single" w:sz="4" w:space="0" w:color="auto"/>
              <w:right w:val="single" w:sz="4" w:space="0" w:color="auto"/>
            </w:tcBorders>
            <w:vAlign w:val="center"/>
            <w:hideMark/>
          </w:tcPr>
          <w:p w14:paraId="7B58C53F" w14:textId="77777777" w:rsidR="009C4265" w:rsidRPr="009C4265" w:rsidRDefault="009C4265" w:rsidP="009C4265">
            <w:pPr>
              <w:rPr>
                <w:rFonts w:ascii="Arial Narrow" w:hAnsi="Arial Narrow" w:cs="Calibri"/>
                <w:sz w:val="22"/>
                <w:szCs w:val="22"/>
                <w:lang w:val="es-CR" w:eastAsia="es-CR"/>
              </w:rPr>
            </w:pPr>
          </w:p>
        </w:tc>
        <w:tc>
          <w:tcPr>
            <w:tcW w:w="1783" w:type="pct"/>
            <w:vMerge/>
            <w:tcBorders>
              <w:top w:val="nil"/>
              <w:left w:val="single" w:sz="4" w:space="0" w:color="auto"/>
              <w:bottom w:val="single" w:sz="4" w:space="0" w:color="auto"/>
              <w:right w:val="single" w:sz="4" w:space="0" w:color="auto"/>
            </w:tcBorders>
            <w:vAlign w:val="center"/>
            <w:hideMark/>
          </w:tcPr>
          <w:p w14:paraId="1793FBCC" w14:textId="77777777" w:rsidR="009C4265" w:rsidRPr="009C4265" w:rsidRDefault="009C4265" w:rsidP="009C4265">
            <w:pPr>
              <w:rPr>
                <w:rFonts w:ascii="Arial Narrow" w:hAnsi="Arial Narrow" w:cs="Calibri"/>
                <w:b/>
                <w:bCs/>
                <w:i/>
                <w:iCs/>
                <w:sz w:val="22"/>
                <w:szCs w:val="22"/>
                <w:lang w:val="es-CR" w:eastAsia="es-CR"/>
              </w:rPr>
            </w:pPr>
          </w:p>
        </w:tc>
        <w:tc>
          <w:tcPr>
            <w:tcW w:w="956" w:type="pct"/>
            <w:vMerge/>
            <w:tcBorders>
              <w:top w:val="nil"/>
              <w:left w:val="single" w:sz="4" w:space="0" w:color="auto"/>
              <w:bottom w:val="single" w:sz="4" w:space="0" w:color="auto"/>
              <w:right w:val="single" w:sz="4" w:space="0" w:color="auto"/>
            </w:tcBorders>
            <w:vAlign w:val="center"/>
            <w:hideMark/>
          </w:tcPr>
          <w:p w14:paraId="232F88F8" w14:textId="77777777" w:rsidR="009C4265" w:rsidRPr="009C4265" w:rsidRDefault="009C4265" w:rsidP="009C4265">
            <w:pPr>
              <w:rPr>
                <w:rFonts w:ascii="Arial Narrow" w:hAnsi="Arial Narrow" w:cs="Calibri"/>
                <w:sz w:val="22"/>
                <w:szCs w:val="22"/>
                <w:lang w:val="es-CR" w:eastAsia="es-CR"/>
              </w:rPr>
            </w:pPr>
          </w:p>
        </w:tc>
        <w:tc>
          <w:tcPr>
            <w:tcW w:w="889" w:type="pct"/>
            <w:vMerge/>
            <w:tcBorders>
              <w:top w:val="nil"/>
              <w:left w:val="single" w:sz="4" w:space="0" w:color="auto"/>
              <w:bottom w:val="single" w:sz="4" w:space="0" w:color="auto"/>
              <w:right w:val="single" w:sz="4" w:space="0" w:color="auto"/>
            </w:tcBorders>
            <w:vAlign w:val="center"/>
            <w:hideMark/>
          </w:tcPr>
          <w:p w14:paraId="71A64CFC" w14:textId="77777777" w:rsidR="009C4265" w:rsidRPr="009C4265" w:rsidRDefault="009C4265" w:rsidP="009C4265">
            <w:pPr>
              <w:rPr>
                <w:rFonts w:ascii="Arial Narrow" w:hAnsi="Arial Narrow" w:cs="Calibri"/>
                <w:sz w:val="22"/>
                <w:szCs w:val="22"/>
                <w:lang w:val="es-CR" w:eastAsia="es-CR"/>
              </w:rPr>
            </w:pPr>
          </w:p>
        </w:tc>
        <w:tc>
          <w:tcPr>
            <w:tcW w:w="77" w:type="pct"/>
            <w:tcBorders>
              <w:top w:val="nil"/>
              <w:left w:val="nil"/>
              <w:bottom w:val="nil"/>
              <w:right w:val="nil"/>
            </w:tcBorders>
            <w:shd w:val="clear" w:color="auto" w:fill="auto"/>
            <w:noWrap/>
            <w:vAlign w:val="bottom"/>
            <w:hideMark/>
          </w:tcPr>
          <w:p w14:paraId="13E456E9" w14:textId="77777777" w:rsidR="009C4265" w:rsidRPr="009C4265" w:rsidRDefault="009C4265" w:rsidP="009C4265">
            <w:pPr>
              <w:rPr>
                <w:rFonts w:ascii="Arial Narrow" w:hAnsi="Arial Narrow"/>
                <w:sz w:val="22"/>
                <w:szCs w:val="22"/>
                <w:lang w:val="es-CR" w:eastAsia="es-CR"/>
              </w:rPr>
            </w:pPr>
          </w:p>
        </w:tc>
      </w:tr>
      <w:tr w:rsidR="009C4265" w:rsidRPr="009C4265" w14:paraId="720CCB67" w14:textId="77777777" w:rsidTr="00B963AA">
        <w:trPr>
          <w:trHeight w:val="8192"/>
        </w:trPr>
        <w:tc>
          <w:tcPr>
            <w:tcW w:w="924" w:type="pct"/>
            <w:vMerge/>
            <w:tcBorders>
              <w:top w:val="nil"/>
              <w:left w:val="single" w:sz="4" w:space="0" w:color="auto"/>
              <w:bottom w:val="single" w:sz="4" w:space="0" w:color="auto"/>
              <w:right w:val="single" w:sz="4" w:space="0" w:color="auto"/>
            </w:tcBorders>
            <w:vAlign w:val="center"/>
            <w:hideMark/>
          </w:tcPr>
          <w:p w14:paraId="6AA28B65" w14:textId="77777777" w:rsidR="009C4265" w:rsidRPr="009C4265" w:rsidRDefault="009C4265" w:rsidP="009C4265">
            <w:pPr>
              <w:rPr>
                <w:rFonts w:ascii="Arial Narrow" w:hAnsi="Arial Narrow" w:cs="Calibri"/>
                <w:sz w:val="22"/>
                <w:szCs w:val="22"/>
                <w:lang w:val="es-CR" w:eastAsia="es-CR"/>
              </w:rPr>
            </w:pPr>
          </w:p>
        </w:tc>
        <w:tc>
          <w:tcPr>
            <w:tcW w:w="370" w:type="pct"/>
            <w:vMerge w:val="restart"/>
            <w:tcBorders>
              <w:top w:val="nil"/>
              <w:left w:val="single" w:sz="4" w:space="0" w:color="auto"/>
              <w:bottom w:val="single" w:sz="4" w:space="0" w:color="auto"/>
              <w:right w:val="single" w:sz="4" w:space="0" w:color="auto"/>
            </w:tcBorders>
            <w:shd w:val="clear" w:color="auto" w:fill="auto"/>
            <w:vAlign w:val="center"/>
            <w:hideMark/>
          </w:tcPr>
          <w:p w14:paraId="78CA8C50" w14:textId="77777777" w:rsidR="009C4265" w:rsidRPr="009C4265" w:rsidRDefault="009C4265" w:rsidP="009C4265">
            <w:pPr>
              <w:jc w:val="center"/>
              <w:rPr>
                <w:rFonts w:ascii="Arial Narrow" w:hAnsi="Arial Narrow" w:cs="Calibri"/>
                <w:sz w:val="22"/>
                <w:szCs w:val="22"/>
                <w:lang w:val="es-CR" w:eastAsia="es-CR"/>
              </w:rPr>
            </w:pPr>
            <w:r w:rsidRPr="009C4265">
              <w:rPr>
                <w:rFonts w:ascii="Arial Narrow" w:hAnsi="Arial Narrow" w:cs="Calibri"/>
                <w:sz w:val="22"/>
                <w:szCs w:val="22"/>
                <w:lang w:val="es-ES" w:eastAsia="es-CR"/>
              </w:rPr>
              <w:t>186-187</w:t>
            </w:r>
          </w:p>
        </w:tc>
        <w:tc>
          <w:tcPr>
            <w:tcW w:w="1783" w:type="pct"/>
            <w:vMerge w:val="restart"/>
            <w:tcBorders>
              <w:top w:val="nil"/>
              <w:left w:val="single" w:sz="4" w:space="0" w:color="auto"/>
              <w:bottom w:val="single" w:sz="4" w:space="0" w:color="auto"/>
              <w:right w:val="single" w:sz="4" w:space="0" w:color="auto"/>
            </w:tcBorders>
            <w:shd w:val="clear" w:color="auto" w:fill="auto"/>
            <w:vAlign w:val="center"/>
            <w:hideMark/>
          </w:tcPr>
          <w:p w14:paraId="0D75C51D" w14:textId="77777777" w:rsidR="009C4265" w:rsidRPr="009C4265" w:rsidRDefault="009C4265" w:rsidP="009C4265">
            <w:pPr>
              <w:jc w:val="both"/>
              <w:rPr>
                <w:rFonts w:ascii="Arial Narrow" w:hAnsi="Arial Narrow" w:cs="Calibri"/>
                <w:b/>
                <w:bCs/>
                <w:i/>
                <w:iCs/>
                <w:sz w:val="22"/>
                <w:szCs w:val="22"/>
                <w:lang w:val="es-CR" w:eastAsia="es-CR"/>
              </w:rPr>
            </w:pPr>
            <w:r w:rsidRPr="009C4265">
              <w:rPr>
                <w:rFonts w:ascii="Arial Narrow" w:hAnsi="Arial Narrow" w:cs="Calibri"/>
                <w:b/>
                <w:bCs/>
                <w:i/>
                <w:iCs/>
                <w:sz w:val="22"/>
                <w:szCs w:val="22"/>
                <w:lang w:val="es-CR" w:eastAsia="es-CR"/>
              </w:rPr>
              <w:t>Que al finalizar el 2024, se haya implementado en al menos 1200 (10%) de los puestos profesionales y técnicos, en los que sea factible, la adopción de modalidades alternativas de trabajo</w:t>
            </w:r>
            <w:r w:rsidRPr="009C4265">
              <w:rPr>
                <w:rFonts w:ascii="Arial Narrow" w:hAnsi="Arial Narrow" w:cs="Calibri"/>
                <w:b/>
                <w:bCs/>
                <w:sz w:val="22"/>
                <w:szCs w:val="22"/>
                <w:lang w:val="es-CR" w:eastAsia="es-CR"/>
              </w:rPr>
              <w:t>” </w:t>
            </w:r>
          </w:p>
        </w:tc>
        <w:tc>
          <w:tcPr>
            <w:tcW w:w="956" w:type="pct"/>
            <w:vMerge w:val="restart"/>
            <w:tcBorders>
              <w:top w:val="nil"/>
              <w:left w:val="single" w:sz="4" w:space="0" w:color="auto"/>
              <w:bottom w:val="single" w:sz="4" w:space="0" w:color="auto"/>
              <w:right w:val="single" w:sz="4" w:space="0" w:color="auto"/>
            </w:tcBorders>
            <w:shd w:val="clear" w:color="auto" w:fill="auto"/>
            <w:vAlign w:val="center"/>
            <w:hideMark/>
          </w:tcPr>
          <w:p w14:paraId="7A179A4F" w14:textId="77777777" w:rsidR="009C4265" w:rsidRPr="009C4265" w:rsidRDefault="009C4265" w:rsidP="009C4265">
            <w:pPr>
              <w:jc w:val="both"/>
              <w:rPr>
                <w:rFonts w:ascii="Arial Narrow" w:hAnsi="Arial Narrow" w:cs="Calibri"/>
                <w:sz w:val="22"/>
                <w:szCs w:val="22"/>
                <w:lang w:val="es-CR" w:eastAsia="es-CR"/>
              </w:rPr>
            </w:pPr>
            <w:r w:rsidRPr="009C4265">
              <w:rPr>
                <w:rFonts w:ascii="Arial Narrow" w:hAnsi="Arial Narrow" w:cs="Calibri"/>
                <w:sz w:val="22"/>
                <w:szCs w:val="22"/>
                <w:lang w:val="es-ES" w:eastAsia="es-CR"/>
              </w:rPr>
              <w:t xml:space="preserve">Se debe indicar que esta Dirección de Tecnología y el Poder Judicial en general, teniendo en cuenta la situación país experimentada con motivo de la emergencia nacional por la pandemia, realizó el esfuerzo por poner a funcionar a más de 1200 personas teletrabajadoras. Aspecto mencionado en el oficio N° </w:t>
            </w:r>
            <w:r w:rsidRPr="009C4265">
              <w:rPr>
                <w:rFonts w:ascii="Arial Narrow" w:hAnsi="Arial Narrow" w:cs="Calibri"/>
                <w:b/>
                <w:bCs/>
                <w:sz w:val="22"/>
                <w:szCs w:val="22"/>
                <w:lang w:val="es-ES" w:eastAsia="es-CR"/>
              </w:rPr>
              <w:t>220-DTI-2021.</w:t>
            </w:r>
          </w:p>
        </w:tc>
        <w:tc>
          <w:tcPr>
            <w:tcW w:w="889" w:type="pct"/>
            <w:vMerge w:val="restart"/>
            <w:tcBorders>
              <w:top w:val="nil"/>
              <w:left w:val="single" w:sz="4" w:space="0" w:color="auto"/>
              <w:bottom w:val="single" w:sz="4" w:space="0" w:color="auto"/>
              <w:right w:val="single" w:sz="4" w:space="0" w:color="auto"/>
            </w:tcBorders>
            <w:shd w:val="clear" w:color="auto" w:fill="auto"/>
            <w:noWrap/>
            <w:vAlign w:val="bottom"/>
            <w:hideMark/>
          </w:tcPr>
          <w:p w14:paraId="7687D26A" w14:textId="6064F411" w:rsidR="009C4265" w:rsidRPr="009C4265" w:rsidRDefault="009C4265" w:rsidP="009C4265">
            <w:pPr>
              <w:jc w:val="both"/>
              <w:rPr>
                <w:rFonts w:ascii="Arial Narrow" w:hAnsi="Arial Narrow" w:cs="Calibri"/>
                <w:sz w:val="22"/>
                <w:szCs w:val="22"/>
                <w:lang w:val="es-CR" w:eastAsia="es-CR"/>
              </w:rPr>
            </w:pPr>
            <w:r w:rsidRPr="009C4265">
              <w:rPr>
                <w:rFonts w:ascii="Arial Narrow" w:hAnsi="Arial Narrow" w:cs="Calibri"/>
                <w:sz w:val="22"/>
                <w:szCs w:val="22"/>
                <w:lang w:val="es-CR" w:eastAsia="es-CR"/>
              </w:rPr>
              <w:t>Se toma nota de la observación y se incorpora en la meta estratégica: “</w:t>
            </w:r>
            <w:r w:rsidRPr="009C4265">
              <w:rPr>
                <w:rFonts w:ascii="Arial Narrow" w:hAnsi="Arial Narrow" w:cs="Calibri"/>
                <w:i/>
                <w:iCs/>
                <w:sz w:val="22"/>
                <w:szCs w:val="22"/>
                <w:lang w:val="es-CR" w:eastAsia="es-CR"/>
              </w:rPr>
              <w:t>Que al finalizar el 2024, se haya implementado en al menos 1200 (10%) de los puestos profesionales y técnicos, en los que sea factible, la adopción de modalidades alternativas de trabajo</w:t>
            </w:r>
            <w:r w:rsidRPr="009C4265">
              <w:rPr>
                <w:rFonts w:ascii="Arial Narrow" w:hAnsi="Arial Narrow" w:cs="Calibri"/>
                <w:sz w:val="22"/>
                <w:szCs w:val="22"/>
                <w:lang w:val="es-CR" w:eastAsia="es-CR"/>
              </w:rPr>
              <w:t>” el criterio de</w:t>
            </w:r>
            <w:r w:rsidR="00FD024B">
              <w:rPr>
                <w:rFonts w:ascii="Arial Narrow" w:hAnsi="Arial Narrow" w:cs="Calibri"/>
                <w:sz w:val="22"/>
                <w:szCs w:val="22"/>
                <w:lang w:val="es-CR" w:eastAsia="es-CR"/>
              </w:rPr>
              <w:t xml:space="preserve"> </w:t>
            </w:r>
            <w:r w:rsidRPr="009C4265">
              <w:rPr>
                <w:rFonts w:ascii="Arial Narrow" w:hAnsi="Arial Narrow" w:cs="Calibri"/>
                <w:sz w:val="22"/>
                <w:szCs w:val="22"/>
                <w:lang w:val="es-CR" w:eastAsia="es-CR"/>
              </w:rPr>
              <w:t>l</w:t>
            </w:r>
            <w:r w:rsidR="00FD024B">
              <w:rPr>
                <w:rFonts w:ascii="Arial Narrow" w:hAnsi="Arial Narrow" w:cs="Calibri"/>
                <w:sz w:val="22"/>
                <w:szCs w:val="22"/>
                <w:lang w:val="es-CR" w:eastAsia="es-CR"/>
              </w:rPr>
              <w:t>a</w:t>
            </w:r>
            <w:r w:rsidRPr="009C4265">
              <w:rPr>
                <w:rFonts w:ascii="Arial Narrow" w:hAnsi="Arial Narrow" w:cs="Calibri"/>
                <w:sz w:val="22"/>
                <w:szCs w:val="22"/>
                <w:lang w:val="es-CR" w:eastAsia="es-CR"/>
              </w:rPr>
              <w:t xml:space="preserve"> </w:t>
            </w:r>
            <w:r w:rsidR="00FD024B">
              <w:rPr>
                <w:rFonts w:ascii="Arial Narrow" w:hAnsi="Arial Narrow" w:cs="Calibri"/>
                <w:sz w:val="22"/>
                <w:szCs w:val="22"/>
                <w:lang w:val="es-CR" w:eastAsia="es-CR"/>
              </w:rPr>
              <w:t>DTI y C</w:t>
            </w:r>
            <w:r w:rsidRPr="009C4265">
              <w:rPr>
                <w:rFonts w:ascii="Arial Narrow" w:hAnsi="Arial Narrow" w:cs="Calibri"/>
                <w:sz w:val="22"/>
                <w:szCs w:val="22"/>
                <w:lang w:val="es-CR" w:eastAsia="es-CR"/>
              </w:rPr>
              <w:t>.</w:t>
            </w:r>
          </w:p>
          <w:p w14:paraId="53A02750" w14:textId="1CE2D5DB" w:rsidR="009C4265" w:rsidRPr="009C4265" w:rsidRDefault="009C4265" w:rsidP="009C4265">
            <w:pPr>
              <w:jc w:val="both"/>
              <w:rPr>
                <w:rFonts w:ascii="Arial Narrow" w:hAnsi="Arial Narrow" w:cs="Calibri"/>
                <w:sz w:val="22"/>
                <w:szCs w:val="22"/>
                <w:lang w:val="es-CR" w:eastAsia="es-CR"/>
              </w:rPr>
            </w:pPr>
            <w:r w:rsidRPr="009C4265">
              <w:rPr>
                <w:rFonts w:ascii="Arial Narrow" w:hAnsi="Arial Narrow" w:cs="Calibri"/>
                <w:sz w:val="22"/>
                <w:szCs w:val="22"/>
                <w:lang w:val="es-CR" w:eastAsia="es-CR"/>
              </w:rPr>
              <w:br/>
              <w:t>La observación modifica el contenido del informe, en cuanto a que se adiciona el criterio de la Dirección de Tecnología de la Información</w:t>
            </w:r>
            <w:r w:rsidR="00FD024B">
              <w:rPr>
                <w:rFonts w:ascii="Arial Narrow" w:hAnsi="Arial Narrow" w:cs="Calibri"/>
                <w:sz w:val="22"/>
                <w:szCs w:val="22"/>
                <w:lang w:val="es-CR" w:eastAsia="es-CR"/>
              </w:rPr>
              <w:t xml:space="preserve"> y Comunicaciones</w:t>
            </w:r>
            <w:r w:rsidRPr="009C4265">
              <w:rPr>
                <w:rFonts w:ascii="Arial Narrow" w:hAnsi="Arial Narrow" w:cs="Calibri"/>
                <w:sz w:val="22"/>
                <w:szCs w:val="22"/>
                <w:lang w:val="es-CR" w:eastAsia="es-CR"/>
              </w:rPr>
              <w:t>.</w:t>
            </w:r>
          </w:p>
          <w:p w14:paraId="42111D2D" w14:textId="77777777" w:rsidR="009C4265" w:rsidRPr="009C4265" w:rsidRDefault="009C4265" w:rsidP="009C4265">
            <w:pPr>
              <w:jc w:val="both"/>
              <w:rPr>
                <w:rFonts w:ascii="Arial Narrow" w:hAnsi="Arial Narrow" w:cs="Calibri"/>
                <w:sz w:val="22"/>
                <w:szCs w:val="22"/>
                <w:lang w:val="es-CR" w:eastAsia="es-CR"/>
              </w:rPr>
            </w:pPr>
          </w:p>
          <w:p w14:paraId="25991D84" w14:textId="77777777" w:rsidR="009C4265" w:rsidRPr="009C4265" w:rsidRDefault="009C4265" w:rsidP="009C4265">
            <w:pPr>
              <w:jc w:val="both"/>
              <w:rPr>
                <w:rFonts w:ascii="Arial Narrow" w:hAnsi="Arial Narrow" w:cs="Calibri"/>
                <w:sz w:val="22"/>
                <w:szCs w:val="22"/>
                <w:lang w:val="es-CR" w:eastAsia="es-CR"/>
              </w:rPr>
            </w:pPr>
          </w:p>
          <w:p w14:paraId="7E0E2671" w14:textId="77777777" w:rsidR="009C4265" w:rsidRPr="009C4265" w:rsidRDefault="009C4265" w:rsidP="009C4265">
            <w:pPr>
              <w:jc w:val="both"/>
              <w:rPr>
                <w:rFonts w:ascii="Arial Narrow" w:hAnsi="Arial Narrow" w:cs="Calibri"/>
                <w:sz w:val="22"/>
                <w:szCs w:val="22"/>
                <w:lang w:val="es-CR" w:eastAsia="es-CR"/>
              </w:rPr>
            </w:pPr>
          </w:p>
          <w:p w14:paraId="7FE5C6EA" w14:textId="77777777" w:rsidR="009C4265" w:rsidRPr="009C4265" w:rsidRDefault="009C4265" w:rsidP="009C4265">
            <w:pPr>
              <w:jc w:val="both"/>
              <w:rPr>
                <w:rFonts w:ascii="Arial Narrow" w:hAnsi="Arial Narrow" w:cs="Calibri"/>
                <w:sz w:val="22"/>
                <w:szCs w:val="22"/>
                <w:lang w:val="es-CR" w:eastAsia="es-CR"/>
              </w:rPr>
            </w:pPr>
          </w:p>
          <w:p w14:paraId="2D0D079B" w14:textId="77777777" w:rsidR="009C4265" w:rsidRPr="009C4265" w:rsidRDefault="009C4265" w:rsidP="009C4265">
            <w:pPr>
              <w:jc w:val="both"/>
              <w:rPr>
                <w:rFonts w:ascii="Arial Narrow" w:hAnsi="Arial Narrow" w:cs="Calibri"/>
                <w:sz w:val="22"/>
                <w:szCs w:val="22"/>
                <w:lang w:val="es-CR" w:eastAsia="es-CR"/>
              </w:rPr>
            </w:pPr>
          </w:p>
          <w:p w14:paraId="67E97DE1" w14:textId="77777777" w:rsidR="009C4265" w:rsidRPr="009C4265" w:rsidRDefault="009C4265" w:rsidP="009C4265">
            <w:pPr>
              <w:jc w:val="both"/>
              <w:rPr>
                <w:rFonts w:ascii="Arial Narrow" w:hAnsi="Arial Narrow" w:cs="Calibri"/>
                <w:sz w:val="22"/>
                <w:szCs w:val="22"/>
                <w:lang w:val="es-CR" w:eastAsia="es-CR"/>
              </w:rPr>
            </w:pPr>
          </w:p>
          <w:p w14:paraId="038EFFE7" w14:textId="77777777" w:rsidR="009C4265" w:rsidRPr="009C4265" w:rsidRDefault="009C4265" w:rsidP="009C4265">
            <w:pPr>
              <w:jc w:val="both"/>
              <w:rPr>
                <w:rFonts w:ascii="Arial Narrow" w:hAnsi="Arial Narrow" w:cs="Calibri"/>
                <w:sz w:val="22"/>
                <w:szCs w:val="22"/>
                <w:lang w:val="es-CR" w:eastAsia="es-CR"/>
              </w:rPr>
            </w:pPr>
          </w:p>
          <w:p w14:paraId="1FFBE842" w14:textId="77777777" w:rsidR="009C4265" w:rsidRPr="009C4265" w:rsidRDefault="009C4265" w:rsidP="009C4265">
            <w:pPr>
              <w:jc w:val="both"/>
              <w:rPr>
                <w:rFonts w:ascii="Arial Narrow" w:hAnsi="Arial Narrow" w:cs="Calibri"/>
                <w:sz w:val="22"/>
                <w:szCs w:val="22"/>
                <w:lang w:val="es-CR" w:eastAsia="es-CR"/>
              </w:rPr>
            </w:pPr>
          </w:p>
          <w:p w14:paraId="1E09ED51" w14:textId="77777777" w:rsidR="009C4265" w:rsidRPr="009C4265" w:rsidRDefault="009C4265" w:rsidP="009C4265">
            <w:pPr>
              <w:jc w:val="both"/>
              <w:rPr>
                <w:rFonts w:ascii="Arial Narrow" w:hAnsi="Arial Narrow" w:cs="Calibri"/>
                <w:sz w:val="22"/>
                <w:szCs w:val="22"/>
                <w:lang w:val="es-CR" w:eastAsia="es-CR"/>
              </w:rPr>
            </w:pPr>
          </w:p>
          <w:p w14:paraId="7DE1FEE2" w14:textId="77777777" w:rsidR="009C4265" w:rsidRPr="009C4265" w:rsidRDefault="009C4265" w:rsidP="009C4265">
            <w:pPr>
              <w:jc w:val="both"/>
              <w:rPr>
                <w:rFonts w:ascii="Arial Narrow" w:hAnsi="Arial Narrow" w:cs="Calibri"/>
                <w:sz w:val="22"/>
                <w:szCs w:val="22"/>
                <w:lang w:val="es-CR" w:eastAsia="es-CR"/>
              </w:rPr>
            </w:pPr>
          </w:p>
          <w:p w14:paraId="61FC28B9" w14:textId="77777777" w:rsidR="009C4265" w:rsidRPr="009C4265" w:rsidRDefault="009C4265" w:rsidP="009C4265">
            <w:pPr>
              <w:jc w:val="center"/>
              <w:rPr>
                <w:rFonts w:ascii="Arial Narrow" w:hAnsi="Arial Narrow" w:cs="Calibri"/>
                <w:sz w:val="22"/>
                <w:szCs w:val="22"/>
                <w:lang w:val="es-CR" w:eastAsia="es-CR"/>
              </w:rPr>
            </w:pPr>
            <w:r w:rsidRPr="009C4265">
              <w:rPr>
                <w:rFonts w:ascii="Arial Narrow" w:hAnsi="Arial Narrow" w:cs="Calibri"/>
                <w:sz w:val="22"/>
                <w:szCs w:val="22"/>
                <w:lang w:val="es-ES" w:eastAsia="es-CR"/>
              </w:rPr>
              <w:t> </w:t>
            </w:r>
          </w:p>
        </w:tc>
        <w:tc>
          <w:tcPr>
            <w:tcW w:w="77" w:type="pct"/>
            <w:vAlign w:val="center"/>
            <w:hideMark/>
          </w:tcPr>
          <w:p w14:paraId="21B32E88" w14:textId="77777777" w:rsidR="009C4265" w:rsidRPr="009C4265" w:rsidRDefault="009C4265" w:rsidP="009C4265">
            <w:pPr>
              <w:rPr>
                <w:rFonts w:ascii="Arial Narrow" w:hAnsi="Arial Narrow"/>
                <w:sz w:val="22"/>
                <w:szCs w:val="22"/>
                <w:lang w:val="es-CR" w:eastAsia="es-CR"/>
              </w:rPr>
            </w:pPr>
          </w:p>
        </w:tc>
      </w:tr>
      <w:tr w:rsidR="009C4265" w:rsidRPr="009C4265" w14:paraId="2710448E" w14:textId="77777777" w:rsidTr="00B963AA">
        <w:trPr>
          <w:trHeight w:val="290"/>
        </w:trPr>
        <w:tc>
          <w:tcPr>
            <w:tcW w:w="924" w:type="pct"/>
            <w:vMerge/>
            <w:tcBorders>
              <w:top w:val="nil"/>
              <w:left w:val="single" w:sz="4" w:space="0" w:color="auto"/>
              <w:bottom w:val="single" w:sz="4" w:space="0" w:color="auto"/>
              <w:right w:val="single" w:sz="4" w:space="0" w:color="auto"/>
            </w:tcBorders>
            <w:vAlign w:val="center"/>
            <w:hideMark/>
          </w:tcPr>
          <w:p w14:paraId="6FE430DE" w14:textId="77777777" w:rsidR="009C4265" w:rsidRPr="009C4265" w:rsidRDefault="009C4265" w:rsidP="009C4265">
            <w:pPr>
              <w:rPr>
                <w:rFonts w:ascii="Arial Narrow" w:hAnsi="Arial Narrow" w:cs="Calibri"/>
                <w:sz w:val="22"/>
                <w:szCs w:val="22"/>
                <w:lang w:val="es-CR" w:eastAsia="es-CR"/>
              </w:rPr>
            </w:pPr>
          </w:p>
        </w:tc>
        <w:tc>
          <w:tcPr>
            <w:tcW w:w="370" w:type="pct"/>
            <w:vMerge/>
            <w:tcBorders>
              <w:top w:val="nil"/>
              <w:left w:val="single" w:sz="4" w:space="0" w:color="auto"/>
              <w:bottom w:val="single" w:sz="4" w:space="0" w:color="auto"/>
              <w:right w:val="single" w:sz="4" w:space="0" w:color="auto"/>
            </w:tcBorders>
            <w:vAlign w:val="center"/>
            <w:hideMark/>
          </w:tcPr>
          <w:p w14:paraId="203397A2" w14:textId="77777777" w:rsidR="009C4265" w:rsidRPr="009C4265" w:rsidRDefault="009C4265" w:rsidP="009C4265">
            <w:pPr>
              <w:rPr>
                <w:rFonts w:ascii="Arial Narrow" w:hAnsi="Arial Narrow" w:cs="Calibri"/>
                <w:sz w:val="22"/>
                <w:szCs w:val="22"/>
                <w:lang w:val="es-CR" w:eastAsia="es-CR"/>
              </w:rPr>
            </w:pPr>
          </w:p>
        </w:tc>
        <w:tc>
          <w:tcPr>
            <w:tcW w:w="1783" w:type="pct"/>
            <w:vMerge/>
            <w:tcBorders>
              <w:top w:val="nil"/>
              <w:left w:val="single" w:sz="4" w:space="0" w:color="auto"/>
              <w:bottom w:val="single" w:sz="4" w:space="0" w:color="auto"/>
              <w:right w:val="single" w:sz="4" w:space="0" w:color="auto"/>
            </w:tcBorders>
            <w:vAlign w:val="center"/>
            <w:hideMark/>
          </w:tcPr>
          <w:p w14:paraId="764CD360" w14:textId="77777777" w:rsidR="009C4265" w:rsidRPr="009C4265" w:rsidRDefault="009C4265" w:rsidP="009C4265">
            <w:pPr>
              <w:rPr>
                <w:rFonts w:ascii="Arial Narrow" w:hAnsi="Arial Narrow" w:cs="Calibri"/>
                <w:b/>
                <w:bCs/>
                <w:i/>
                <w:iCs/>
                <w:sz w:val="22"/>
                <w:szCs w:val="22"/>
                <w:lang w:val="es-CR" w:eastAsia="es-CR"/>
              </w:rPr>
            </w:pPr>
          </w:p>
        </w:tc>
        <w:tc>
          <w:tcPr>
            <w:tcW w:w="956" w:type="pct"/>
            <w:vMerge/>
            <w:tcBorders>
              <w:top w:val="nil"/>
              <w:left w:val="single" w:sz="4" w:space="0" w:color="auto"/>
              <w:bottom w:val="single" w:sz="4" w:space="0" w:color="auto"/>
              <w:right w:val="single" w:sz="4" w:space="0" w:color="auto"/>
            </w:tcBorders>
            <w:vAlign w:val="center"/>
            <w:hideMark/>
          </w:tcPr>
          <w:p w14:paraId="7C560C8C" w14:textId="77777777" w:rsidR="009C4265" w:rsidRPr="009C4265" w:rsidRDefault="009C4265" w:rsidP="009C4265">
            <w:pPr>
              <w:rPr>
                <w:rFonts w:ascii="Arial Narrow" w:hAnsi="Arial Narrow" w:cs="Calibri"/>
                <w:sz w:val="22"/>
                <w:szCs w:val="22"/>
                <w:lang w:val="es-CR" w:eastAsia="es-CR"/>
              </w:rPr>
            </w:pPr>
          </w:p>
        </w:tc>
        <w:tc>
          <w:tcPr>
            <w:tcW w:w="889" w:type="pct"/>
            <w:vMerge/>
            <w:tcBorders>
              <w:top w:val="nil"/>
              <w:left w:val="single" w:sz="4" w:space="0" w:color="auto"/>
              <w:bottom w:val="single" w:sz="4" w:space="0" w:color="auto"/>
              <w:right w:val="single" w:sz="4" w:space="0" w:color="auto"/>
            </w:tcBorders>
            <w:vAlign w:val="center"/>
            <w:hideMark/>
          </w:tcPr>
          <w:p w14:paraId="0C2C4EAC" w14:textId="77777777" w:rsidR="009C4265" w:rsidRPr="009C4265" w:rsidRDefault="009C4265" w:rsidP="009C4265">
            <w:pPr>
              <w:rPr>
                <w:rFonts w:ascii="Arial Narrow" w:hAnsi="Arial Narrow" w:cs="Calibri"/>
                <w:sz w:val="22"/>
                <w:szCs w:val="22"/>
                <w:lang w:val="es-CR" w:eastAsia="es-CR"/>
              </w:rPr>
            </w:pPr>
          </w:p>
        </w:tc>
        <w:tc>
          <w:tcPr>
            <w:tcW w:w="77" w:type="pct"/>
            <w:tcBorders>
              <w:top w:val="nil"/>
              <w:left w:val="nil"/>
              <w:bottom w:val="nil"/>
              <w:right w:val="nil"/>
            </w:tcBorders>
            <w:shd w:val="clear" w:color="auto" w:fill="auto"/>
            <w:noWrap/>
            <w:vAlign w:val="bottom"/>
            <w:hideMark/>
          </w:tcPr>
          <w:p w14:paraId="1AD2E10C" w14:textId="77777777" w:rsidR="009C4265" w:rsidRPr="009C4265" w:rsidRDefault="009C4265" w:rsidP="009C4265">
            <w:pPr>
              <w:jc w:val="center"/>
              <w:rPr>
                <w:rFonts w:ascii="Arial Narrow" w:hAnsi="Arial Narrow" w:cs="Calibri"/>
                <w:sz w:val="22"/>
                <w:szCs w:val="22"/>
                <w:lang w:val="es-CR" w:eastAsia="es-CR"/>
              </w:rPr>
            </w:pPr>
          </w:p>
        </w:tc>
      </w:tr>
      <w:tr w:rsidR="009C4265" w:rsidRPr="009C4265" w14:paraId="78A6183D" w14:textId="77777777" w:rsidTr="00B963AA">
        <w:trPr>
          <w:trHeight w:val="50"/>
        </w:trPr>
        <w:tc>
          <w:tcPr>
            <w:tcW w:w="924" w:type="pct"/>
            <w:vMerge/>
            <w:tcBorders>
              <w:top w:val="nil"/>
              <w:left w:val="single" w:sz="4" w:space="0" w:color="auto"/>
              <w:bottom w:val="single" w:sz="4" w:space="0" w:color="auto"/>
              <w:right w:val="single" w:sz="4" w:space="0" w:color="auto"/>
            </w:tcBorders>
            <w:vAlign w:val="center"/>
            <w:hideMark/>
          </w:tcPr>
          <w:p w14:paraId="3622C218" w14:textId="77777777" w:rsidR="009C4265" w:rsidRPr="009C4265" w:rsidRDefault="009C4265" w:rsidP="009C4265">
            <w:pPr>
              <w:rPr>
                <w:rFonts w:ascii="Arial Narrow" w:hAnsi="Arial Narrow" w:cs="Calibri"/>
                <w:sz w:val="22"/>
                <w:szCs w:val="22"/>
                <w:lang w:val="es-CR" w:eastAsia="es-CR"/>
              </w:rPr>
            </w:pPr>
          </w:p>
        </w:tc>
        <w:tc>
          <w:tcPr>
            <w:tcW w:w="370" w:type="pct"/>
            <w:vMerge/>
            <w:tcBorders>
              <w:top w:val="nil"/>
              <w:left w:val="single" w:sz="4" w:space="0" w:color="auto"/>
              <w:bottom w:val="single" w:sz="4" w:space="0" w:color="auto"/>
              <w:right w:val="single" w:sz="4" w:space="0" w:color="auto"/>
            </w:tcBorders>
            <w:vAlign w:val="center"/>
            <w:hideMark/>
          </w:tcPr>
          <w:p w14:paraId="6E7CE9A2" w14:textId="77777777" w:rsidR="009C4265" w:rsidRPr="009C4265" w:rsidRDefault="009C4265" w:rsidP="009C4265">
            <w:pPr>
              <w:rPr>
                <w:rFonts w:ascii="Arial Narrow" w:hAnsi="Arial Narrow" w:cs="Calibri"/>
                <w:sz w:val="22"/>
                <w:szCs w:val="22"/>
                <w:lang w:val="es-CR" w:eastAsia="es-CR"/>
              </w:rPr>
            </w:pPr>
          </w:p>
        </w:tc>
        <w:tc>
          <w:tcPr>
            <w:tcW w:w="1783" w:type="pct"/>
            <w:vMerge/>
            <w:tcBorders>
              <w:top w:val="nil"/>
              <w:left w:val="single" w:sz="4" w:space="0" w:color="auto"/>
              <w:bottom w:val="single" w:sz="4" w:space="0" w:color="auto"/>
              <w:right w:val="single" w:sz="4" w:space="0" w:color="auto"/>
            </w:tcBorders>
            <w:vAlign w:val="center"/>
            <w:hideMark/>
          </w:tcPr>
          <w:p w14:paraId="491BE0AA" w14:textId="77777777" w:rsidR="009C4265" w:rsidRPr="009C4265" w:rsidRDefault="009C4265" w:rsidP="009C4265">
            <w:pPr>
              <w:rPr>
                <w:rFonts w:ascii="Arial Narrow" w:hAnsi="Arial Narrow" w:cs="Calibri"/>
                <w:b/>
                <w:bCs/>
                <w:i/>
                <w:iCs/>
                <w:sz w:val="22"/>
                <w:szCs w:val="22"/>
                <w:lang w:val="es-CR" w:eastAsia="es-CR"/>
              </w:rPr>
            </w:pPr>
          </w:p>
        </w:tc>
        <w:tc>
          <w:tcPr>
            <w:tcW w:w="956" w:type="pct"/>
            <w:vMerge/>
            <w:tcBorders>
              <w:top w:val="nil"/>
              <w:left w:val="single" w:sz="4" w:space="0" w:color="auto"/>
              <w:bottom w:val="single" w:sz="4" w:space="0" w:color="auto"/>
              <w:right w:val="single" w:sz="4" w:space="0" w:color="auto"/>
            </w:tcBorders>
            <w:vAlign w:val="center"/>
            <w:hideMark/>
          </w:tcPr>
          <w:p w14:paraId="4D86BA7D" w14:textId="77777777" w:rsidR="009C4265" w:rsidRPr="009C4265" w:rsidRDefault="009C4265" w:rsidP="009C4265">
            <w:pPr>
              <w:rPr>
                <w:rFonts w:ascii="Arial Narrow" w:hAnsi="Arial Narrow" w:cs="Calibri"/>
                <w:sz w:val="22"/>
                <w:szCs w:val="22"/>
                <w:lang w:val="es-CR" w:eastAsia="es-CR"/>
              </w:rPr>
            </w:pPr>
          </w:p>
        </w:tc>
        <w:tc>
          <w:tcPr>
            <w:tcW w:w="889" w:type="pct"/>
            <w:vMerge/>
            <w:tcBorders>
              <w:top w:val="nil"/>
              <w:left w:val="single" w:sz="4" w:space="0" w:color="auto"/>
              <w:bottom w:val="single" w:sz="4" w:space="0" w:color="auto"/>
              <w:right w:val="single" w:sz="4" w:space="0" w:color="auto"/>
            </w:tcBorders>
            <w:vAlign w:val="center"/>
            <w:hideMark/>
          </w:tcPr>
          <w:p w14:paraId="44AD3A5B" w14:textId="77777777" w:rsidR="009C4265" w:rsidRPr="009C4265" w:rsidRDefault="009C4265" w:rsidP="009C4265">
            <w:pPr>
              <w:rPr>
                <w:rFonts w:ascii="Arial Narrow" w:hAnsi="Arial Narrow" w:cs="Calibri"/>
                <w:sz w:val="22"/>
                <w:szCs w:val="22"/>
                <w:lang w:val="es-CR" w:eastAsia="es-CR"/>
              </w:rPr>
            </w:pPr>
          </w:p>
        </w:tc>
        <w:tc>
          <w:tcPr>
            <w:tcW w:w="77" w:type="pct"/>
            <w:tcBorders>
              <w:top w:val="nil"/>
              <w:left w:val="nil"/>
              <w:bottom w:val="nil"/>
              <w:right w:val="nil"/>
            </w:tcBorders>
            <w:shd w:val="clear" w:color="auto" w:fill="auto"/>
            <w:noWrap/>
            <w:vAlign w:val="bottom"/>
            <w:hideMark/>
          </w:tcPr>
          <w:p w14:paraId="44A492F2" w14:textId="77777777" w:rsidR="009C4265" w:rsidRPr="009C4265" w:rsidRDefault="009C4265" w:rsidP="009C4265">
            <w:pPr>
              <w:rPr>
                <w:rFonts w:ascii="Arial Narrow" w:hAnsi="Arial Narrow"/>
                <w:sz w:val="22"/>
                <w:szCs w:val="22"/>
                <w:lang w:val="es-CR" w:eastAsia="es-CR"/>
              </w:rPr>
            </w:pPr>
          </w:p>
        </w:tc>
      </w:tr>
      <w:tr w:rsidR="009C4265" w:rsidRPr="009C4265" w14:paraId="6CADCF35" w14:textId="77777777" w:rsidTr="00C9711A">
        <w:trPr>
          <w:trHeight w:val="70"/>
        </w:trPr>
        <w:tc>
          <w:tcPr>
            <w:tcW w:w="924" w:type="pct"/>
            <w:tcBorders>
              <w:top w:val="single" w:sz="4" w:space="0" w:color="auto"/>
              <w:left w:val="single" w:sz="4" w:space="0" w:color="auto"/>
              <w:bottom w:val="single" w:sz="4" w:space="0" w:color="auto"/>
              <w:right w:val="single" w:sz="4" w:space="0" w:color="auto"/>
            </w:tcBorders>
            <w:shd w:val="clear" w:color="auto" w:fill="auto"/>
            <w:noWrap/>
            <w:hideMark/>
          </w:tcPr>
          <w:p w14:paraId="16FCE38F" w14:textId="3A4E098B" w:rsidR="009C4265" w:rsidRPr="009C4265" w:rsidRDefault="009C4265" w:rsidP="00C9711A">
            <w:pPr>
              <w:jc w:val="center"/>
              <w:rPr>
                <w:rFonts w:ascii="Arial Narrow" w:hAnsi="Arial Narrow" w:cs="Calibri"/>
                <w:sz w:val="22"/>
                <w:szCs w:val="22"/>
                <w:lang w:val="es-CR" w:eastAsia="es-CR"/>
              </w:rPr>
            </w:pPr>
            <w:r w:rsidRPr="009C4265">
              <w:rPr>
                <w:rFonts w:ascii="Arial Narrow" w:hAnsi="Arial Narrow" w:cs="Calibri"/>
                <w:sz w:val="22"/>
                <w:szCs w:val="22"/>
                <w:lang w:val="es-CR" w:eastAsia="es-CR"/>
              </w:rPr>
              <w:t>Oficina Rectora de Justicia Restaurativa</w:t>
            </w:r>
          </w:p>
        </w:tc>
        <w:tc>
          <w:tcPr>
            <w:tcW w:w="370" w:type="pct"/>
            <w:tcBorders>
              <w:top w:val="single" w:sz="4" w:space="0" w:color="auto"/>
              <w:left w:val="nil"/>
              <w:bottom w:val="single" w:sz="4" w:space="0" w:color="auto"/>
              <w:right w:val="single" w:sz="4" w:space="0" w:color="auto"/>
            </w:tcBorders>
            <w:shd w:val="clear" w:color="auto" w:fill="auto"/>
            <w:noWrap/>
            <w:hideMark/>
          </w:tcPr>
          <w:p w14:paraId="7EB2A11D" w14:textId="77777777" w:rsidR="009C4265" w:rsidRPr="009C4265" w:rsidRDefault="009C4265" w:rsidP="006A146B">
            <w:pPr>
              <w:jc w:val="center"/>
              <w:rPr>
                <w:rFonts w:ascii="Arial Narrow" w:hAnsi="Arial Narrow" w:cs="Calibri"/>
                <w:sz w:val="22"/>
                <w:szCs w:val="22"/>
                <w:lang w:val="es-CR" w:eastAsia="es-CR"/>
              </w:rPr>
            </w:pPr>
            <w:r w:rsidRPr="009C4265">
              <w:rPr>
                <w:rFonts w:ascii="Arial Narrow" w:hAnsi="Arial Narrow" w:cs="Calibri"/>
                <w:sz w:val="22"/>
                <w:szCs w:val="22"/>
                <w:lang w:val="es-CR" w:eastAsia="es-CR"/>
              </w:rPr>
              <w:t>-</w:t>
            </w:r>
          </w:p>
        </w:tc>
        <w:tc>
          <w:tcPr>
            <w:tcW w:w="1783" w:type="pct"/>
            <w:tcBorders>
              <w:top w:val="single" w:sz="4" w:space="0" w:color="auto"/>
              <w:left w:val="nil"/>
              <w:bottom w:val="single" w:sz="4" w:space="0" w:color="auto"/>
              <w:right w:val="single" w:sz="4" w:space="0" w:color="auto"/>
            </w:tcBorders>
            <w:shd w:val="clear" w:color="auto" w:fill="auto"/>
            <w:noWrap/>
            <w:hideMark/>
          </w:tcPr>
          <w:p w14:paraId="25DBD045" w14:textId="77777777" w:rsidR="009C4265" w:rsidRPr="009C4265" w:rsidRDefault="009C4265" w:rsidP="00BF6E93">
            <w:pPr>
              <w:jc w:val="center"/>
              <w:rPr>
                <w:rFonts w:ascii="Arial Narrow" w:hAnsi="Arial Narrow" w:cs="Calibri"/>
                <w:sz w:val="22"/>
                <w:szCs w:val="22"/>
                <w:lang w:val="es-CR" w:eastAsia="es-CR"/>
              </w:rPr>
            </w:pPr>
            <w:r w:rsidRPr="009C4265">
              <w:rPr>
                <w:rFonts w:ascii="Arial Narrow" w:hAnsi="Arial Narrow" w:cs="Calibri"/>
                <w:sz w:val="22"/>
                <w:szCs w:val="22"/>
                <w:lang w:val="es-CR" w:eastAsia="es-CR"/>
              </w:rPr>
              <w:t>-</w:t>
            </w:r>
          </w:p>
        </w:tc>
        <w:tc>
          <w:tcPr>
            <w:tcW w:w="956" w:type="pct"/>
            <w:tcBorders>
              <w:top w:val="nil"/>
              <w:left w:val="nil"/>
              <w:bottom w:val="single" w:sz="4" w:space="0" w:color="auto"/>
              <w:right w:val="single" w:sz="4" w:space="0" w:color="auto"/>
            </w:tcBorders>
            <w:shd w:val="clear" w:color="auto" w:fill="auto"/>
            <w:noWrap/>
            <w:hideMark/>
          </w:tcPr>
          <w:p w14:paraId="7CD1AEEB" w14:textId="77777777" w:rsidR="009C4265" w:rsidRPr="009C4265" w:rsidRDefault="009C4265" w:rsidP="00C9711A">
            <w:pPr>
              <w:jc w:val="center"/>
              <w:rPr>
                <w:rFonts w:ascii="Arial Narrow" w:hAnsi="Arial Narrow" w:cs="Calibri"/>
                <w:sz w:val="22"/>
                <w:szCs w:val="22"/>
                <w:lang w:val="es-CR" w:eastAsia="es-CR"/>
              </w:rPr>
            </w:pPr>
            <w:r w:rsidRPr="009C4265">
              <w:rPr>
                <w:rFonts w:ascii="Arial Narrow" w:hAnsi="Arial Narrow" w:cs="Calibri"/>
                <w:sz w:val="22"/>
                <w:szCs w:val="22"/>
                <w:lang w:val="es-CR" w:eastAsia="es-CR"/>
              </w:rPr>
              <w:t>No tiene observación alguna sobre el mencionado documento</w:t>
            </w:r>
          </w:p>
        </w:tc>
        <w:tc>
          <w:tcPr>
            <w:tcW w:w="889" w:type="pct"/>
            <w:tcBorders>
              <w:top w:val="nil"/>
              <w:left w:val="nil"/>
              <w:bottom w:val="single" w:sz="4" w:space="0" w:color="auto"/>
              <w:right w:val="single" w:sz="4" w:space="0" w:color="auto"/>
            </w:tcBorders>
            <w:shd w:val="clear" w:color="auto" w:fill="auto"/>
            <w:noWrap/>
            <w:hideMark/>
          </w:tcPr>
          <w:p w14:paraId="133074FF" w14:textId="77777777" w:rsidR="009C4265" w:rsidRPr="009C4265" w:rsidRDefault="009C4265" w:rsidP="006A146B">
            <w:pPr>
              <w:jc w:val="center"/>
              <w:rPr>
                <w:rFonts w:ascii="Arial Narrow" w:hAnsi="Arial Narrow" w:cs="Calibri"/>
                <w:sz w:val="22"/>
                <w:szCs w:val="22"/>
                <w:lang w:val="es-CR" w:eastAsia="es-CR"/>
              </w:rPr>
            </w:pPr>
            <w:r w:rsidRPr="009C4265">
              <w:rPr>
                <w:rFonts w:ascii="Arial Narrow" w:hAnsi="Arial Narrow" w:cs="Calibri"/>
                <w:sz w:val="22"/>
                <w:szCs w:val="22"/>
                <w:lang w:val="es-CR" w:eastAsia="es-CR"/>
              </w:rPr>
              <w:t>N/A</w:t>
            </w:r>
          </w:p>
        </w:tc>
        <w:tc>
          <w:tcPr>
            <w:tcW w:w="77" w:type="pct"/>
            <w:vAlign w:val="center"/>
            <w:hideMark/>
          </w:tcPr>
          <w:p w14:paraId="4505056C" w14:textId="77777777" w:rsidR="009C4265" w:rsidRPr="009C4265" w:rsidRDefault="009C4265" w:rsidP="009C4265">
            <w:pPr>
              <w:rPr>
                <w:rFonts w:ascii="Arial Narrow" w:hAnsi="Arial Narrow"/>
                <w:sz w:val="22"/>
                <w:szCs w:val="22"/>
                <w:lang w:val="es-CR" w:eastAsia="es-CR"/>
              </w:rPr>
            </w:pPr>
          </w:p>
        </w:tc>
      </w:tr>
      <w:tr w:rsidR="009C4265" w:rsidRPr="009C4265" w14:paraId="43843F05" w14:textId="77777777" w:rsidTr="00C9711A">
        <w:trPr>
          <w:trHeight w:val="70"/>
        </w:trPr>
        <w:tc>
          <w:tcPr>
            <w:tcW w:w="924" w:type="pct"/>
            <w:tcBorders>
              <w:top w:val="single" w:sz="4" w:space="0" w:color="auto"/>
              <w:left w:val="single" w:sz="4" w:space="0" w:color="auto"/>
              <w:bottom w:val="single" w:sz="4" w:space="0" w:color="auto"/>
              <w:right w:val="single" w:sz="4" w:space="0" w:color="auto"/>
            </w:tcBorders>
            <w:shd w:val="clear" w:color="auto" w:fill="auto"/>
            <w:noWrap/>
          </w:tcPr>
          <w:p w14:paraId="62F30F53" w14:textId="77777777" w:rsidR="009C4265" w:rsidRPr="009C4265" w:rsidRDefault="009C4265" w:rsidP="00C9711A">
            <w:pPr>
              <w:jc w:val="center"/>
              <w:rPr>
                <w:rFonts w:ascii="Arial Narrow" w:hAnsi="Arial Narrow" w:cs="Calibri"/>
                <w:sz w:val="22"/>
                <w:szCs w:val="22"/>
                <w:lang w:val="es-CR" w:eastAsia="es-CR"/>
              </w:rPr>
            </w:pPr>
            <w:r w:rsidRPr="009C4265">
              <w:rPr>
                <w:rFonts w:ascii="Arial Narrow" w:hAnsi="Arial Narrow" w:cs="Calibri"/>
                <w:sz w:val="22"/>
                <w:szCs w:val="22"/>
                <w:lang w:val="es-CR" w:eastAsia="es-CR"/>
              </w:rPr>
              <w:t>Escuela Judicial</w:t>
            </w:r>
          </w:p>
        </w:tc>
        <w:tc>
          <w:tcPr>
            <w:tcW w:w="370" w:type="pct"/>
            <w:tcBorders>
              <w:top w:val="single" w:sz="4" w:space="0" w:color="auto"/>
              <w:left w:val="nil"/>
              <w:bottom w:val="single" w:sz="4" w:space="0" w:color="auto"/>
              <w:right w:val="single" w:sz="4" w:space="0" w:color="auto"/>
            </w:tcBorders>
            <w:shd w:val="clear" w:color="auto" w:fill="auto"/>
            <w:noWrap/>
          </w:tcPr>
          <w:p w14:paraId="219FD2B9" w14:textId="77777777" w:rsidR="009C4265" w:rsidRPr="009C4265" w:rsidRDefault="009C4265" w:rsidP="006A146B">
            <w:pPr>
              <w:jc w:val="center"/>
              <w:rPr>
                <w:rFonts w:ascii="Arial Narrow" w:hAnsi="Arial Narrow" w:cs="Calibri"/>
                <w:sz w:val="22"/>
                <w:szCs w:val="22"/>
                <w:lang w:val="es-CR" w:eastAsia="es-CR"/>
              </w:rPr>
            </w:pPr>
            <w:r w:rsidRPr="009C4265">
              <w:rPr>
                <w:rFonts w:ascii="Arial Narrow" w:hAnsi="Arial Narrow" w:cs="Calibri"/>
                <w:sz w:val="22"/>
                <w:szCs w:val="22"/>
                <w:lang w:val="es-CR" w:eastAsia="es-CR"/>
              </w:rPr>
              <w:t>-</w:t>
            </w:r>
          </w:p>
        </w:tc>
        <w:tc>
          <w:tcPr>
            <w:tcW w:w="1783" w:type="pct"/>
            <w:tcBorders>
              <w:top w:val="single" w:sz="4" w:space="0" w:color="auto"/>
              <w:left w:val="nil"/>
              <w:bottom w:val="single" w:sz="4" w:space="0" w:color="auto"/>
              <w:right w:val="single" w:sz="4" w:space="0" w:color="auto"/>
            </w:tcBorders>
            <w:shd w:val="clear" w:color="auto" w:fill="auto"/>
            <w:noWrap/>
          </w:tcPr>
          <w:p w14:paraId="0B63C872" w14:textId="77777777" w:rsidR="009C4265" w:rsidRPr="009C4265" w:rsidRDefault="009C4265" w:rsidP="00BF6E93">
            <w:pPr>
              <w:jc w:val="center"/>
              <w:rPr>
                <w:rFonts w:ascii="Arial Narrow" w:hAnsi="Arial Narrow" w:cs="Calibri"/>
                <w:sz w:val="22"/>
                <w:szCs w:val="22"/>
                <w:lang w:val="es-CR" w:eastAsia="es-CR"/>
              </w:rPr>
            </w:pPr>
            <w:r w:rsidRPr="009C4265">
              <w:rPr>
                <w:rFonts w:ascii="Arial Narrow" w:hAnsi="Arial Narrow" w:cs="Calibri"/>
                <w:sz w:val="22"/>
                <w:szCs w:val="22"/>
                <w:lang w:val="es-CR" w:eastAsia="es-CR"/>
              </w:rPr>
              <w:t>-</w:t>
            </w:r>
          </w:p>
        </w:tc>
        <w:tc>
          <w:tcPr>
            <w:tcW w:w="956" w:type="pct"/>
            <w:tcBorders>
              <w:top w:val="single" w:sz="4" w:space="0" w:color="auto"/>
              <w:left w:val="nil"/>
              <w:bottom w:val="single" w:sz="4" w:space="0" w:color="auto"/>
              <w:right w:val="single" w:sz="4" w:space="0" w:color="auto"/>
            </w:tcBorders>
            <w:shd w:val="clear" w:color="auto" w:fill="auto"/>
            <w:noWrap/>
          </w:tcPr>
          <w:p w14:paraId="0E0D6A99" w14:textId="77777777" w:rsidR="009C4265" w:rsidRPr="009C4265" w:rsidRDefault="009C4265" w:rsidP="00C9711A">
            <w:pPr>
              <w:jc w:val="center"/>
              <w:rPr>
                <w:rFonts w:ascii="Arial Narrow" w:hAnsi="Arial Narrow" w:cs="Calibri"/>
                <w:sz w:val="22"/>
                <w:szCs w:val="22"/>
                <w:lang w:val="es-CR" w:eastAsia="es-CR"/>
              </w:rPr>
            </w:pPr>
            <w:r w:rsidRPr="009C4265">
              <w:rPr>
                <w:rFonts w:ascii="Arial Narrow" w:hAnsi="Arial Narrow" w:cs="Calibri"/>
                <w:sz w:val="22"/>
                <w:szCs w:val="22"/>
                <w:lang w:val="es-CR" w:eastAsia="es-CR"/>
              </w:rPr>
              <w:t>No se tiene observaciones</w:t>
            </w:r>
          </w:p>
        </w:tc>
        <w:tc>
          <w:tcPr>
            <w:tcW w:w="889" w:type="pct"/>
            <w:tcBorders>
              <w:top w:val="single" w:sz="4" w:space="0" w:color="auto"/>
              <w:left w:val="nil"/>
              <w:bottom w:val="single" w:sz="4" w:space="0" w:color="auto"/>
              <w:right w:val="single" w:sz="4" w:space="0" w:color="auto"/>
            </w:tcBorders>
            <w:shd w:val="clear" w:color="auto" w:fill="auto"/>
            <w:noWrap/>
          </w:tcPr>
          <w:p w14:paraId="33BF375D" w14:textId="77777777" w:rsidR="009C4265" w:rsidRPr="009C4265" w:rsidRDefault="009C4265" w:rsidP="006A146B">
            <w:pPr>
              <w:jc w:val="center"/>
              <w:rPr>
                <w:rFonts w:ascii="Arial Narrow" w:hAnsi="Arial Narrow" w:cs="Calibri"/>
                <w:sz w:val="22"/>
                <w:szCs w:val="22"/>
                <w:lang w:val="es-CR" w:eastAsia="es-CR"/>
              </w:rPr>
            </w:pPr>
            <w:r w:rsidRPr="009C4265">
              <w:rPr>
                <w:rFonts w:ascii="Arial Narrow" w:hAnsi="Arial Narrow" w:cs="Calibri"/>
                <w:sz w:val="22"/>
                <w:szCs w:val="22"/>
                <w:lang w:val="es-CR" w:eastAsia="es-CR"/>
              </w:rPr>
              <w:t>N/A</w:t>
            </w:r>
          </w:p>
        </w:tc>
        <w:tc>
          <w:tcPr>
            <w:tcW w:w="77" w:type="pct"/>
            <w:vAlign w:val="center"/>
          </w:tcPr>
          <w:p w14:paraId="49BBC513" w14:textId="77777777" w:rsidR="009C4265" w:rsidRPr="009C4265" w:rsidRDefault="009C4265" w:rsidP="009C4265">
            <w:pPr>
              <w:rPr>
                <w:rFonts w:ascii="Arial Narrow" w:hAnsi="Arial Narrow"/>
                <w:sz w:val="22"/>
                <w:szCs w:val="22"/>
                <w:lang w:val="es-CR" w:eastAsia="es-CR"/>
              </w:rPr>
            </w:pPr>
          </w:p>
        </w:tc>
      </w:tr>
      <w:tr w:rsidR="009C4265" w:rsidRPr="009C4265" w14:paraId="08D8AFC9" w14:textId="77777777" w:rsidTr="00C9711A">
        <w:trPr>
          <w:trHeight w:val="70"/>
        </w:trPr>
        <w:tc>
          <w:tcPr>
            <w:tcW w:w="924" w:type="pct"/>
            <w:tcBorders>
              <w:top w:val="single" w:sz="4" w:space="0" w:color="auto"/>
              <w:left w:val="single" w:sz="4" w:space="0" w:color="auto"/>
              <w:bottom w:val="single" w:sz="4" w:space="0" w:color="auto"/>
              <w:right w:val="single" w:sz="4" w:space="0" w:color="auto"/>
            </w:tcBorders>
            <w:shd w:val="clear" w:color="auto" w:fill="auto"/>
            <w:noWrap/>
          </w:tcPr>
          <w:p w14:paraId="437289D8" w14:textId="0774A230" w:rsidR="009C4265" w:rsidRPr="009C4265" w:rsidRDefault="009C4265" w:rsidP="00C9711A">
            <w:pPr>
              <w:jc w:val="center"/>
              <w:rPr>
                <w:rFonts w:ascii="Arial Narrow" w:hAnsi="Arial Narrow" w:cs="Calibri"/>
                <w:sz w:val="22"/>
                <w:szCs w:val="22"/>
                <w:lang w:val="es-CR" w:eastAsia="es-CR"/>
              </w:rPr>
            </w:pPr>
            <w:r w:rsidRPr="009C4265">
              <w:rPr>
                <w:rFonts w:ascii="Arial Narrow" w:hAnsi="Arial Narrow" w:cs="Calibri"/>
                <w:sz w:val="22"/>
                <w:szCs w:val="22"/>
                <w:lang w:val="es-CR" w:eastAsia="es-CR"/>
              </w:rPr>
              <w:t xml:space="preserve">Defensa </w:t>
            </w:r>
            <w:r w:rsidR="005B6D31">
              <w:rPr>
                <w:rFonts w:ascii="Arial Narrow" w:hAnsi="Arial Narrow" w:cs="Calibri"/>
                <w:sz w:val="22"/>
                <w:szCs w:val="22"/>
                <w:lang w:val="es-CR" w:eastAsia="es-CR"/>
              </w:rPr>
              <w:t>P</w:t>
            </w:r>
            <w:r w:rsidRPr="009C4265">
              <w:rPr>
                <w:rFonts w:ascii="Arial Narrow" w:hAnsi="Arial Narrow" w:cs="Calibri"/>
                <w:sz w:val="22"/>
                <w:szCs w:val="22"/>
                <w:lang w:val="es-CR" w:eastAsia="es-CR"/>
              </w:rPr>
              <w:t>ública</w:t>
            </w:r>
          </w:p>
        </w:tc>
        <w:tc>
          <w:tcPr>
            <w:tcW w:w="370" w:type="pct"/>
            <w:tcBorders>
              <w:top w:val="single" w:sz="4" w:space="0" w:color="auto"/>
              <w:left w:val="nil"/>
              <w:bottom w:val="single" w:sz="4" w:space="0" w:color="auto"/>
              <w:right w:val="single" w:sz="4" w:space="0" w:color="auto"/>
            </w:tcBorders>
            <w:shd w:val="clear" w:color="auto" w:fill="auto"/>
            <w:noWrap/>
          </w:tcPr>
          <w:p w14:paraId="1C1EF3F2" w14:textId="77777777" w:rsidR="009C4265" w:rsidRPr="009C4265" w:rsidRDefault="009C4265" w:rsidP="006A146B">
            <w:pPr>
              <w:jc w:val="center"/>
              <w:rPr>
                <w:rFonts w:ascii="Arial Narrow" w:hAnsi="Arial Narrow" w:cs="Calibri"/>
                <w:sz w:val="22"/>
                <w:szCs w:val="22"/>
                <w:lang w:val="es-CR" w:eastAsia="es-CR"/>
              </w:rPr>
            </w:pPr>
          </w:p>
        </w:tc>
        <w:tc>
          <w:tcPr>
            <w:tcW w:w="1783" w:type="pct"/>
            <w:tcBorders>
              <w:top w:val="single" w:sz="4" w:space="0" w:color="auto"/>
              <w:left w:val="nil"/>
              <w:bottom w:val="single" w:sz="4" w:space="0" w:color="auto"/>
              <w:right w:val="single" w:sz="4" w:space="0" w:color="auto"/>
            </w:tcBorders>
            <w:shd w:val="clear" w:color="auto" w:fill="auto"/>
            <w:noWrap/>
          </w:tcPr>
          <w:p w14:paraId="6A814189" w14:textId="77777777" w:rsidR="009C4265" w:rsidRPr="009C4265" w:rsidRDefault="009C4265" w:rsidP="00BF6E93">
            <w:pPr>
              <w:jc w:val="center"/>
              <w:rPr>
                <w:rFonts w:ascii="Arial Narrow" w:hAnsi="Arial Narrow" w:cs="Calibri"/>
                <w:sz w:val="22"/>
                <w:szCs w:val="22"/>
                <w:lang w:val="es-CR" w:eastAsia="es-CR"/>
              </w:rPr>
            </w:pPr>
          </w:p>
        </w:tc>
        <w:tc>
          <w:tcPr>
            <w:tcW w:w="956" w:type="pct"/>
            <w:tcBorders>
              <w:top w:val="single" w:sz="4" w:space="0" w:color="auto"/>
              <w:left w:val="nil"/>
              <w:bottom w:val="single" w:sz="4" w:space="0" w:color="auto"/>
              <w:right w:val="single" w:sz="4" w:space="0" w:color="auto"/>
            </w:tcBorders>
            <w:shd w:val="clear" w:color="auto" w:fill="auto"/>
            <w:noWrap/>
          </w:tcPr>
          <w:p w14:paraId="7BBC0E91" w14:textId="77777777" w:rsidR="009C4265" w:rsidRPr="009C4265" w:rsidRDefault="009C4265" w:rsidP="00C9711A">
            <w:pPr>
              <w:jc w:val="center"/>
              <w:rPr>
                <w:rFonts w:ascii="Arial Narrow" w:hAnsi="Arial Narrow" w:cs="Calibri"/>
                <w:sz w:val="22"/>
                <w:szCs w:val="22"/>
                <w:lang w:val="es-CR" w:eastAsia="es-CR"/>
              </w:rPr>
            </w:pPr>
            <w:r w:rsidRPr="009C4265">
              <w:rPr>
                <w:rFonts w:ascii="Arial Narrow" w:hAnsi="Arial Narrow" w:cs="Calibri"/>
                <w:sz w:val="22"/>
                <w:szCs w:val="22"/>
                <w:lang w:val="es-CR" w:eastAsia="es-CR"/>
              </w:rPr>
              <w:t>No se tiene observaciones</w:t>
            </w:r>
          </w:p>
        </w:tc>
        <w:tc>
          <w:tcPr>
            <w:tcW w:w="889" w:type="pct"/>
            <w:tcBorders>
              <w:top w:val="single" w:sz="4" w:space="0" w:color="auto"/>
              <w:left w:val="nil"/>
              <w:bottom w:val="single" w:sz="4" w:space="0" w:color="auto"/>
              <w:right w:val="single" w:sz="4" w:space="0" w:color="auto"/>
            </w:tcBorders>
            <w:shd w:val="clear" w:color="auto" w:fill="auto"/>
            <w:noWrap/>
          </w:tcPr>
          <w:p w14:paraId="7887BCCB" w14:textId="77777777" w:rsidR="009C4265" w:rsidRPr="009C4265" w:rsidRDefault="009C4265" w:rsidP="006A146B">
            <w:pPr>
              <w:jc w:val="center"/>
              <w:rPr>
                <w:rFonts w:ascii="Arial Narrow" w:hAnsi="Arial Narrow" w:cs="Calibri"/>
                <w:sz w:val="22"/>
                <w:szCs w:val="22"/>
                <w:lang w:val="es-CR" w:eastAsia="es-CR"/>
              </w:rPr>
            </w:pPr>
            <w:r w:rsidRPr="009C4265">
              <w:rPr>
                <w:rFonts w:ascii="Arial Narrow" w:hAnsi="Arial Narrow" w:cs="Calibri"/>
                <w:sz w:val="22"/>
                <w:szCs w:val="22"/>
                <w:lang w:val="es-CR" w:eastAsia="es-CR"/>
              </w:rPr>
              <w:t>N/A</w:t>
            </w:r>
          </w:p>
        </w:tc>
        <w:tc>
          <w:tcPr>
            <w:tcW w:w="77" w:type="pct"/>
            <w:vAlign w:val="center"/>
          </w:tcPr>
          <w:p w14:paraId="0A62BC26" w14:textId="77777777" w:rsidR="009C4265" w:rsidRPr="009C4265" w:rsidRDefault="009C4265" w:rsidP="009C4265">
            <w:pPr>
              <w:rPr>
                <w:rFonts w:ascii="Arial Narrow" w:hAnsi="Arial Narrow"/>
                <w:sz w:val="22"/>
                <w:szCs w:val="22"/>
                <w:lang w:val="es-CR" w:eastAsia="es-CR"/>
              </w:rPr>
            </w:pPr>
          </w:p>
        </w:tc>
      </w:tr>
      <w:tr w:rsidR="009C4265" w:rsidRPr="009C4265" w14:paraId="5BA72836" w14:textId="77777777" w:rsidTr="00C9711A">
        <w:trPr>
          <w:trHeight w:val="1514"/>
        </w:trPr>
        <w:tc>
          <w:tcPr>
            <w:tcW w:w="924" w:type="pct"/>
            <w:tcBorders>
              <w:top w:val="single" w:sz="4" w:space="0" w:color="auto"/>
              <w:left w:val="single" w:sz="4" w:space="0" w:color="auto"/>
              <w:bottom w:val="single" w:sz="4" w:space="0" w:color="auto"/>
              <w:right w:val="single" w:sz="4" w:space="0" w:color="auto"/>
            </w:tcBorders>
            <w:shd w:val="clear" w:color="auto" w:fill="auto"/>
            <w:noWrap/>
          </w:tcPr>
          <w:p w14:paraId="7BDC6B69" w14:textId="77777777" w:rsidR="009C4265" w:rsidRPr="009C4265" w:rsidRDefault="009C4265" w:rsidP="00C9711A">
            <w:pPr>
              <w:jc w:val="both"/>
              <w:rPr>
                <w:rFonts w:ascii="Arial Narrow" w:hAnsi="Arial Narrow" w:cs="Calibri"/>
                <w:sz w:val="22"/>
                <w:szCs w:val="22"/>
                <w:lang w:val="es-CR" w:eastAsia="es-CR"/>
              </w:rPr>
            </w:pPr>
            <w:r w:rsidRPr="009C4265">
              <w:rPr>
                <w:rFonts w:ascii="Arial Narrow" w:hAnsi="Arial Narrow" w:cs="Calibri"/>
                <w:sz w:val="22"/>
                <w:szCs w:val="22"/>
                <w:lang w:val="es-CR" w:eastAsia="es-CR"/>
              </w:rPr>
              <w:lastRenderedPageBreak/>
              <w:t>Centro de Apoyo, Coordinación y Mejoramiento de la función Jurisdiccional</w:t>
            </w:r>
          </w:p>
          <w:p w14:paraId="5211A097" w14:textId="77777777" w:rsidR="009C4265" w:rsidRPr="009C4265" w:rsidRDefault="009C4265" w:rsidP="00C9711A">
            <w:pPr>
              <w:jc w:val="both"/>
              <w:rPr>
                <w:rFonts w:ascii="Arial Narrow" w:hAnsi="Arial Narrow" w:cs="Calibri"/>
                <w:sz w:val="22"/>
                <w:szCs w:val="22"/>
                <w:lang w:val="es-CR" w:eastAsia="es-CR"/>
              </w:rPr>
            </w:pPr>
          </w:p>
          <w:p w14:paraId="094AAE08" w14:textId="77777777" w:rsidR="009C4265" w:rsidRPr="009C4265" w:rsidRDefault="009C4265" w:rsidP="00C9711A">
            <w:pPr>
              <w:jc w:val="both"/>
              <w:rPr>
                <w:rFonts w:ascii="Arial Narrow" w:hAnsi="Arial Narrow" w:cs="Calibri"/>
                <w:sz w:val="22"/>
                <w:szCs w:val="22"/>
                <w:lang w:val="es-CR" w:eastAsia="es-CR"/>
              </w:rPr>
            </w:pPr>
          </w:p>
          <w:p w14:paraId="11030EF9" w14:textId="77777777" w:rsidR="009C4265" w:rsidRPr="009C4265" w:rsidRDefault="009C4265" w:rsidP="00C9711A">
            <w:pPr>
              <w:jc w:val="both"/>
              <w:rPr>
                <w:rFonts w:ascii="Arial Narrow" w:hAnsi="Arial Narrow" w:cs="Calibri"/>
                <w:sz w:val="22"/>
                <w:szCs w:val="22"/>
                <w:lang w:val="es-CR" w:eastAsia="es-CR"/>
              </w:rPr>
            </w:pPr>
          </w:p>
        </w:tc>
        <w:tc>
          <w:tcPr>
            <w:tcW w:w="370" w:type="pct"/>
            <w:tcBorders>
              <w:top w:val="single" w:sz="4" w:space="0" w:color="auto"/>
              <w:left w:val="nil"/>
              <w:bottom w:val="single" w:sz="4" w:space="0" w:color="auto"/>
              <w:right w:val="single" w:sz="4" w:space="0" w:color="auto"/>
            </w:tcBorders>
            <w:shd w:val="clear" w:color="auto" w:fill="auto"/>
            <w:noWrap/>
          </w:tcPr>
          <w:p w14:paraId="3D62246C" w14:textId="77777777" w:rsidR="009C4265" w:rsidRPr="009C4265" w:rsidRDefault="009C4265" w:rsidP="00C9711A">
            <w:pPr>
              <w:jc w:val="both"/>
              <w:rPr>
                <w:rFonts w:ascii="Arial Narrow" w:hAnsi="Arial Narrow" w:cs="Calibri"/>
                <w:sz w:val="22"/>
                <w:szCs w:val="22"/>
                <w:lang w:val="es-CR" w:eastAsia="es-CR"/>
              </w:rPr>
            </w:pPr>
            <w:r w:rsidRPr="009C4265">
              <w:rPr>
                <w:rFonts w:ascii="Arial Narrow" w:hAnsi="Arial Narrow" w:cs="Arial"/>
                <w:sz w:val="22"/>
                <w:szCs w:val="22"/>
              </w:rPr>
              <w:t>8</w:t>
            </w:r>
          </w:p>
        </w:tc>
        <w:tc>
          <w:tcPr>
            <w:tcW w:w="1783" w:type="pct"/>
            <w:tcBorders>
              <w:top w:val="single" w:sz="4" w:space="0" w:color="auto"/>
              <w:left w:val="nil"/>
              <w:bottom w:val="single" w:sz="4" w:space="0" w:color="auto"/>
              <w:right w:val="single" w:sz="4" w:space="0" w:color="auto"/>
            </w:tcBorders>
            <w:shd w:val="clear" w:color="auto" w:fill="auto"/>
            <w:noWrap/>
          </w:tcPr>
          <w:p w14:paraId="791C2563" w14:textId="7899F9CF" w:rsidR="009C4265" w:rsidRPr="009C4265" w:rsidRDefault="009C4265" w:rsidP="00C9711A">
            <w:pPr>
              <w:jc w:val="both"/>
              <w:rPr>
                <w:rFonts w:ascii="Arial Narrow" w:hAnsi="Arial Narrow" w:cs="Calibri"/>
                <w:sz w:val="22"/>
                <w:szCs w:val="22"/>
                <w:lang w:val="es-CR" w:eastAsia="es-CR"/>
              </w:rPr>
            </w:pPr>
            <w:r w:rsidRPr="009C4265">
              <w:rPr>
                <w:rFonts w:ascii="Arial Narrow" w:hAnsi="Arial Narrow" w:cs="Arial"/>
                <w:noProof/>
                <w:sz w:val="22"/>
                <w:szCs w:val="22"/>
                <w:lang w:val="es-CR" w:eastAsia="es-CR"/>
              </w:rPr>
              <w:drawing>
                <wp:inline distT="0" distB="0" distL="0" distR="0" wp14:anchorId="4F3E0499" wp14:editId="19434610">
                  <wp:extent cx="2091364" cy="2489200"/>
                  <wp:effectExtent l="0" t="0" r="4445" b="635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2121236" cy="2524755"/>
                          </a:xfrm>
                          <a:prstGeom prst="rect">
                            <a:avLst/>
                          </a:prstGeom>
                          <a:noFill/>
                          <a:ln>
                            <a:noFill/>
                          </a:ln>
                        </pic:spPr>
                      </pic:pic>
                    </a:graphicData>
                  </a:graphic>
                </wp:inline>
              </w:drawing>
            </w:r>
          </w:p>
        </w:tc>
        <w:tc>
          <w:tcPr>
            <w:tcW w:w="956" w:type="pct"/>
            <w:tcBorders>
              <w:top w:val="single" w:sz="4" w:space="0" w:color="auto"/>
              <w:left w:val="nil"/>
              <w:bottom w:val="single" w:sz="4" w:space="0" w:color="auto"/>
              <w:right w:val="single" w:sz="4" w:space="0" w:color="auto"/>
            </w:tcBorders>
            <w:shd w:val="clear" w:color="auto" w:fill="auto"/>
            <w:noWrap/>
          </w:tcPr>
          <w:p w14:paraId="47D34538" w14:textId="6402F260" w:rsidR="009C4265" w:rsidRPr="009C4265" w:rsidRDefault="009C4265" w:rsidP="006A146B">
            <w:pPr>
              <w:jc w:val="both"/>
              <w:textAlignment w:val="baseline"/>
              <w:rPr>
                <w:rFonts w:ascii="Arial Narrow" w:hAnsi="Arial Narrow" w:cs="Arial"/>
                <w:sz w:val="22"/>
                <w:szCs w:val="22"/>
                <w:lang w:val="es-CR" w:eastAsia="es-CR"/>
              </w:rPr>
            </w:pPr>
            <w:r w:rsidRPr="009C4265">
              <w:rPr>
                <w:rFonts w:ascii="Arial Narrow" w:hAnsi="Arial Narrow" w:cs="Arial"/>
                <w:sz w:val="22"/>
                <w:szCs w:val="22"/>
                <w:lang w:val="es-ES" w:eastAsia="es-CR"/>
              </w:rPr>
              <w:t>No se observa el número de página de las tablas</w:t>
            </w:r>
          </w:p>
          <w:p w14:paraId="0F1351BC" w14:textId="77777777" w:rsidR="009C4265" w:rsidRPr="009C4265" w:rsidRDefault="009C4265" w:rsidP="00C9711A">
            <w:pPr>
              <w:jc w:val="both"/>
              <w:rPr>
                <w:rFonts w:ascii="Arial Narrow" w:hAnsi="Arial Narrow" w:cs="Calibri"/>
                <w:sz w:val="22"/>
                <w:szCs w:val="22"/>
                <w:lang w:val="es-CR" w:eastAsia="es-CR"/>
              </w:rPr>
            </w:pPr>
          </w:p>
          <w:p w14:paraId="73334B59" w14:textId="77777777" w:rsidR="009C4265" w:rsidRPr="009C4265" w:rsidRDefault="009C4265" w:rsidP="00C9711A">
            <w:pPr>
              <w:jc w:val="both"/>
              <w:rPr>
                <w:rFonts w:ascii="Arial Narrow" w:hAnsi="Arial Narrow" w:cs="Calibri"/>
                <w:sz w:val="22"/>
                <w:szCs w:val="22"/>
                <w:lang w:val="es-CR" w:eastAsia="es-CR"/>
              </w:rPr>
            </w:pPr>
          </w:p>
          <w:p w14:paraId="11DE7C10" w14:textId="77777777" w:rsidR="009C4265" w:rsidRPr="009C4265" w:rsidRDefault="009C4265" w:rsidP="00C9711A">
            <w:pPr>
              <w:jc w:val="both"/>
              <w:rPr>
                <w:rFonts w:ascii="Arial Narrow" w:hAnsi="Arial Narrow" w:cs="Calibri"/>
                <w:sz w:val="22"/>
                <w:szCs w:val="22"/>
                <w:lang w:val="es-CR" w:eastAsia="es-CR"/>
              </w:rPr>
            </w:pPr>
          </w:p>
          <w:p w14:paraId="1F4A267D" w14:textId="77777777" w:rsidR="009C4265" w:rsidRPr="009C4265" w:rsidRDefault="009C4265" w:rsidP="00C9711A">
            <w:pPr>
              <w:jc w:val="both"/>
              <w:rPr>
                <w:rFonts w:ascii="Arial Narrow" w:hAnsi="Arial Narrow" w:cs="Calibri"/>
                <w:sz w:val="22"/>
                <w:szCs w:val="22"/>
                <w:lang w:val="es-CR" w:eastAsia="es-CR"/>
              </w:rPr>
            </w:pPr>
          </w:p>
          <w:p w14:paraId="7AB3577B" w14:textId="77777777" w:rsidR="009C4265" w:rsidRPr="009C4265" w:rsidRDefault="009C4265" w:rsidP="00C9711A">
            <w:pPr>
              <w:jc w:val="both"/>
              <w:rPr>
                <w:rFonts w:ascii="Arial Narrow" w:hAnsi="Arial Narrow" w:cs="Calibri"/>
                <w:sz w:val="22"/>
                <w:szCs w:val="22"/>
                <w:lang w:val="es-CR" w:eastAsia="es-CR"/>
              </w:rPr>
            </w:pPr>
          </w:p>
          <w:p w14:paraId="4D30143A" w14:textId="77777777" w:rsidR="009C4265" w:rsidRPr="009C4265" w:rsidRDefault="009C4265" w:rsidP="00C9711A">
            <w:pPr>
              <w:jc w:val="both"/>
              <w:rPr>
                <w:rFonts w:ascii="Arial Narrow" w:hAnsi="Arial Narrow" w:cs="Calibri"/>
                <w:sz w:val="22"/>
                <w:szCs w:val="22"/>
                <w:lang w:val="es-CR" w:eastAsia="es-CR"/>
              </w:rPr>
            </w:pPr>
          </w:p>
        </w:tc>
        <w:tc>
          <w:tcPr>
            <w:tcW w:w="889" w:type="pct"/>
            <w:tcBorders>
              <w:top w:val="single" w:sz="4" w:space="0" w:color="auto"/>
              <w:left w:val="nil"/>
              <w:bottom w:val="single" w:sz="4" w:space="0" w:color="auto"/>
              <w:right w:val="single" w:sz="4" w:space="0" w:color="auto"/>
            </w:tcBorders>
            <w:shd w:val="clear" w:color="auto" w:fill="auto"/>
            <w:noWrap/>
          </w:tcPr>
          <w:p w14:paraId="4884C95D" w14:textId="60194BCD" w:rsidR="009C4265" w:rsidRPr="009C4265" w:rsidRDefault="009C4265" w:rsidP="006A146B">
            <w:pPr>
              <w:jc w:val="both"/>
              <w:rPr>
                <w:rFonts w:ascii="Arial Narrow" w:hAnsi="Arial Narrow" w:cs="Calibri"/>
                <w:sz w:val="22"/>
                <w:szCs w:val="22"/>
                <w:lang w:val="es-CR" w:eastAsia="es-CR"/>
              </w:rPr>
            </w:pPr>
            <w:r w:rsidRPr="009C4265">
              <w:rPr>
                <w:rFonts w:ascii="Arial Narrow" w:hAnsi="Arial Narrow" w:cs="Calibri"/>
                <w:sz w:val="22"/>
                <w:szCs w:val="22"/>
                <w:lang w:val="es-CR" w:eastAsia="es-CR"/>
              </w:rPr>
              <w:t>Se toma nota de la observación.</w:t>
            </w:r>
          </w:p>
          <w:p w14:paraId="292DDBE3" w14:textId="77777777" w:rsidR="009C4265" w:rsidRPr="009C4265" w:rsidRDefault="009C4265" w:rsidP="00BF6E93">
            <w:pPr>
              <w:jc w:val="both"/>
              <w:rPr>
                <w:rFonts w:ascii="Arial Narrow" w:hAnsi="Arial Narrow" w:cs="Calibri"/>
                <w:sz w:val="22"/>
                <w:szCs w:val="22"/>
                <w:lang w:val="es-CR" w:eastAsia="es-CR"/>
              </w:rPr>
            </w:pPr>
          </w:p>
          <w:p w14:paraId="5F596AE8" w14:textId="77777777" w:rsidR="009C4265" w:rsidRPr="009C4265" w:rsidRDefault="009C4265" w:rsidP="00FD024B">
            <w:pPr>
              <w:jc w:val="both"/>
              <w:rPr>
                <w:rFonts w:ascii="Arial Narrow" w:hAnsi="Arial Narrow" w:cs="Calibri"/>
                <w:sz w:val="22"/>
                <w:szCs w:val="22"/>
                <w:lang w:val="es-CR" w:eastAsia="es-CR"/>
              </w:rPr>
            </w:pPr>
            <w:r w:rsidRPr="009C4265">
              <w:rPr>
                <w:rFonts w:ascii="Arial Narrow" w:hAnsi="Arial Narrow" w:cs="Calibri"/>
                <w:sz w:val="22"/>
                <w:szCs w:val="22"/>
                <w:lang w:val="es-CR" w:eastAsia="es-CR"/>
              </w:rPr>
              <w:t>Al respecto, se verifica el índice y se visualiza los números.</w:t>
            </w:r>
          </w:p>
          <w:p w14:paraId="04671F26" w14:textId="77777777" w:rsidR="009C4265" w:rsidRPr="009C4265" w:rsidRDefault="009C4265">
            <w:pPr>
              <w:jc w:val="both"/>
              <w:rPr>
                <w:rFonts w:cs="Calibri"/>
                <w:sz w:val="22"/>
                <w:szCs w:val="22"/>
                <w:lang w:val="es-CR" w:eastAsia="es-CR"/>
              </w:rPr>
            </w:pPr>
          </w:p>
          <w:p w14:paraId="0322B89E" w14:textId="77777777" w:rsidR="009C4265" w:rsidRPr="009C4265" w:rsidRDefault="009C4265">
            <w:pPr>
              <w:jc w:val="both"/>
              <w:rPr>
                <w:rFonts w:cs="Calibri"/>
                <w:sz w:val="22"/>
                <w:szCs w:val="22"/>
                <w:lang w:val="es-CR" w:eastAsia="es-CR"/>
              </w:rPr>
            </w:pPr>
            <w:r w:rsidRPr="009C4265">
              <w:rPr>
                <w:rFonts w:ascii="Arial Narrow" w:hAnsi="Arial Narrow" w:cs="Calibri"/>
                <w:sz w:val="22"/>
                <w:szCs w:val="22"/>
                <w:lang w:val="es-CR" w:eastAsia="es-CR"/>
              </w:rPr>
              <w:t>La observación no modifica el contenido.</w:t>
            </w:r>
          </w:p>
          <w:p w14:paraId="661147A2" w14:textId="457DEC23" w:rsidR="009C4265" w:rsidRPr="009C4265" w:rsidRDefault="009C4265" w:rsidP="00C9711A">
            <w:pPr>
              <w:jc w:val="both"/>
              <w:rPr>
                <w:rFonts w:ascii="Arial Narrow" w:hAnsi="Arial Narrow" w:cs="Calibri"/>
                <w:sz w:val="22"/>
                <w:szCs w:val="22"/>
                <w:lang w:val="es-CR" w:eastAsia="es-CR"/>
              </w:rPr>
            </w:pPr>
          </w:p>
        </w:tc>
        <w:tc>
          <w:tcPr>
            <w:tcW w:w="77" w:type="pct"/>
            <w:vAlign w:val="center"/>
          </w:tcPr>
          <w:p w14:paraId="3FF60193" w14:textId="77777777" w:rsidR="009C4265" w:rsidRPr="009C4265" w:rsidRDefault="009C4265" w:rsidP="009C4265">
            <w:pPr>
              <w:rPr>
                <w:rFonts w:ascii="Arial Narrow" w:hAnsi="Arial Narrow"/>
                <w:sz w:val="22"/>
                <w:szCs w:val="22"/>
                <w:lang w:val="es-CR" w:eastAsia="es-CR"/>
              </w:rPr>
            </w:pPr>
          </w:p>
        </w:tc>
      </w:tr>
      <w:tr w:rsidR="009C4265" w:rsidRPr="009C4265" w14:paraId="0FA98068" w14:textId="77777777" w:rsidTr="00B963AA">
        <w:trPr>
          <w:trHeight w:val="1514"/>
        </w:trPr>
        <w:tc>
          <w:tcPr>
            <w:tcW w:w="924" w:type="pct"/>
            <w:tcBorders>
              <w:top w:val="single" w:sz="4" w:space="0" w:color="auto"/>
              <w:left w:val="single" w:sz="4" w:space="0" w:color="auto"/>
              <w:bottom w:val="single" w:sz="4" w:space="0" w:color="auto"/>
              <w:right w:val="single" w:sz="4" w:space="0" w:color="auto"/>
            </w:tcBorders>
            <w:shd w:val="clear" w:color="auto" w:fill="auto"/>
            <w:noWrap/>
            <w:vAlign w:val="bottom"/>
          </w:tcPr>
          <w:p w14:paraId="36BE8838" w14:textId="77777777" w:rsidR="009C4265" w:rsidRPr="009C4265" w:rsidRDefault="009C4265" w:rsidP="009C4265">
            <w:pPr>
              <w:jc w:val="center"/>
              <w:rPr>
                <w:rFonts w:ascii="Arial Narrow" w:hAnsi="Arial Narrow" w:cs="Calibri"/>
                <w:sz w:val="22"/>
                <w:szCs w:val="22"/>
                <w:lang w:val="es-CR" w:eastAsia="es-CR"/>
              </w:rPr>
            </w:pPr>
            <w:r w:rsidRPr="009C4265">
              <w:rPr>
                <w:rFonts w:ascii="Arial Narrow" w:hAnsi="Arial Narrow" w:cs="Calibri"/>
                <w:sz w:val="22"/>
                <w:szCs w:val="22"/>
                <w:lang w:val="es-CR" w:eastAsia="es-CR"/>
              </w:rPr>
              <w:t>Centro de Apoyo, Coordinación y Mejoramiento de la función Jurisdiccional</w:t>
            </w:r>
          </w:p>
          <w:p w14:paraId="467C95B3" w14:textId="77777777" w:rsidR="009C4265" w:rsidRPr="009C4265" w:rsidRDefault="009C4265" w:rsidP="009C4265">
            <w:pPr>
              <w:jc w:val="center"/>
              <w:rPr>
                <w:rFonts w:ascii="Arial Narrow" w:hAnsi="Arial Narrow" w:cs="Calibri"/>
                <w:sz w:val="22"/>
                <w:szCs w:val="22"/>
                <w:lang w:val="es-CR" w:eastAsia="es-CR"/>
              </w:rPr>
            </w:pPr>
          </w:p>
        </w:tc>
        <w:tc>
          <w:tcPr>
            <w:tcW w:w="370" w:type="pct"/>
            <w:tcBorders>
              <w:top w:val="single" w:sz="4" w:space="0" w:color="auto"/>
              <w:left w:val="nil"/>
              <w:bottom w:val="single" w:sz="4" w:space="0" w:color="auto"/>
              <w:right w:val="single" w:sz="4" w:space="0" w:color="auto"/>
            </w:tcBorders>
            <w:shd w:val="clear" w:color="auto" w:fill="auto"/>
            <w:noWrap/>
            <w:vAlign w:val="bottom"/>
          </w:tcPr>
          <w:p w14:paraId="3487C733" w14:textId="77777777" w:rsidR="009C4265" w:rsidRPr="009C4265" w:rsidRDefault="009C4265" w:rsidP="009C4265">
            <w:pPr>
              <w:jc w:val="center"/>
              <w:rPr>
                <w:rFonts w:ascii="Arial Narrow" w:hAnsi="Arial Narrow" w:cs="Arial"/>
                <w:sz w:val="22"/>
                <w:szCs w:val="22"/>
              </w:rPr>
            </w:pPr>
            <w:r w:rsidRPr="009C4265">
              <w:rPr>
                <w:rFonts w:ascii="Arial Narrow" w:hAnsi="Arial Narrow" w:cs="Arial"/>
                <w:sz w:val="22"/>
                <w:szCs w:val="22"/>
              </w:rPr>
              <w:t>11 y 27</w:t>
            </w:r>
          </w:p>
        </w:tc>
        <w:tc>
          <w:tcPr>
            <w:tcW w:w="1783" w:type="pct"/>
            <w:tcBorders>
              <w:top w:val="single" w:sz="4" w:space="0" w:color="auto"/>
              <w:left w:val="nil"/>
              <w:bottom w:val="single" w:sz="4" w:space="0" w:color="auto"/>
              <w:right w:val="single" w:sz="4" w:space="0" w:color="auto"/>
            </w:tcBorders>
            <w:shd w:val="clear" w:color="auto" w:fill="auto"/>
            <w:noWrap/>
            <w:vAlign w:val="bottom"/>
          </w:tcPr>
          <w:p w14:paraId="57F1BAD4" w14:textId="510B52AD" w:rsidR="009C4265" w:rsidRPr="009C4265" w:rsidRDefault="009C4265" w:rsidP="009C4265">
            <w:pPr>
              <w:jc w:val="center"/>
              <w:rPr>
                <w:rFonts w:ascii="Arial Narrow" w:hAnsi="Arial Narrow" w:cs="Arial"/>
                <w:noProof/>
                <w:sz w:val="22"/>
                <w:szCs w:val="22"/>
                <w:lang w:eastAsia="zh-CN"/>
              </w:rPr>
            </w:pPr>
            <w:r w:rsidRPr="009C4265">
              <w:rPr>
                <w:rFonts w:ascii="Arial Narrow" w:hAnsi="Arial Narrow" w:cs="Arial"/>
                <w:noProof/>
                <w:sz w:val="22"/>
                <w:szCs w:val="22"/>
                <w:lang w:val="es-CR" w:eastAsia="es-CR"/>
              </w:rPr>
              <w:drawing>
                <wp:inline distT="0" distB="0" distL="0" distR="0" wp14:anchorId="44E39D8B" wp14:editId="6B1FAD24">
                  <wp:extent cx="2002405" cy="1333500"/>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a:stretch>
                            <a:fillRect/>
                          </a:stretch>
                        </pic:blipFill>
                        <pic:spPr>
                          <a:xfrm>
                            <a:off x="0" y="0"/>
                            <a:ext cx="2018766" cy="1344396"/>
                          </a:xfrm>
                          <a:prstGeom prst="rect">
                            <a:avLst/>
                          </a:prstGeom>
                        </pic:spPr>
                      </pic:pic>
                    </a:graphicData>
                  </a:graphic>
                </wp:inline>
              </w:drawing>
            </w:r>
          </w:p>
        </w:tc>
        <w:tc>
          <w:tcPr>
            <w:tcW w:w="956" w:type="pct"/>
            <w:tcBorders>
              <w:top w:val="single" w:sz="4" w:space="0" w:color="auto"/>
              <w:left w:val="nil"/>
              <w:bottom w:val="single" w:sz="4" w:space="0" w:color="auto"/>
              <w:right w:val="single" w:sz="4" w:space="0" w:color="auto"/>
            </w:tcBorders>
            <w:shd w:val="clear" w:color="auto" w:fill="auto"/>
            <w:noWrap/>
            <w:vAlign w:val="bottom"/>
          </w:tcPr>
          <w:p w14:paraId="6F9945E8" w14:textId="77777777" w:rsidR="009C4265" w:rsidRPr="009C4265" w:rsidRDefault="009C4265" w:rsidP="009C4265">
            <w:pPr>
              <w:jc w:val="both"/>
              <w:textAlignment w:val="baseline"/>
              <w:rPr>
                <w:rFonts w:ascii="Arial Narrow" w:hAnsi="Arial Narrow" w:cs="Arial"/>
                <w:sz w:val="22"/>
                <w:szCs w:val="22"/>
                <w:lang w:val="es-ES" w:eastAsia="es-CR"/>
              </w:rPr>
            </w:pPr>
            <w:r w:rsidRPr="009C4265">
              <w:rPr>
                <w:rFonts w:ascii="Arial Narrow" w:hAnsi="Arial Narrow" w:cs="Arial"/>
                <w:sz w:val="22"/>
                <w:szCs w:val="22"/>
                <w:lang w:val="es-CR" w:eastAsia="es-CR"/>
              </w:rPr>
              <w:t>Revisar</w:t>
            </w:r>
            <w:r w:rsidRPr="009C4265">
              <w:rPr>
                <w:rFonts w:ascii="Arial Narrow" w:hAnsi="Arial Narrow" w:cs="Arial"/>
                <w:sz w:val="22"/>
                <w:szCs w:val="22"/>
                <w:lang w:val="es-ES" w:eastAsia="es-CR"/>
              </w:rPr>
              <w:t xml:space="preserve"> el valor agregado que, de mostrar la escala de valores en el eje horizontal, queda muy junto y tiende a confundir.</w:t>
            </w:r>
          </w:p>
        </w:tc>
        <w:tc>
          <w:tcPr>
            <w:tcW w:w="889" w:type="pct"/>
            <w:tcBorders>
              <w:top w:val="single" w:sz="4" w:space="0" w:color="auto"/>
              <w:left w:val="nil"/>
              <w:bottom w:val="single" w:sz="4" w:space="0" w:color="auto"/>
              <w:right w:val="single" w:sz="4" w:space="0" w:color="auto"/>
            </w:tcBorders>
            <w:shd w:val="clear" w:color="auto" w:fill="auto"/>
            <w:noWrap/>
            <w:vAlign w:val="bottom"/>
          </w:tcPr>
          <w:p w14:paraId="661BCEE3" w14:textId="77777777" w:rsidR="009C4265" w:rsidRPr="009C4265" w:rsidRDefault="009C4265" w:rsidP="009C4265">
            <w:pPr>
              <w:jc w:val="both"/>
              <w:rPr>
                <w:rFonts w:ascii="Arial Narrow" w:hAnsi="Arial Narrow" w:cs="Calibri"/>
                <w:sz w:val="22"/>
                <w:szCs w:val="22"/>
                <w:lang w:val="es-CR" w:eastAsia="es-CR"/>
              </w:rPr>
            </w:pPr>
            <w:r w:rsidRPr="009C4265">
              <w:rPr>
                <w:rFonts w:ascii="Arial Narrow" w:hAnsi="Arial Narrow" w:cs="Calibri"/>
                <w:sz w:val="22"/>
                <w:szCs w:val="22"/>
                <w:lang w:val="es-CR" w:eastAsia="es-CR"/>
              </w:rPr>
              <w:t xml:space="preserve">Se toma nota de la observación. </w:t>
            </w:r>
          </w:p>
          <w:p w14:paraId="53DCD32C" w14:textId="77777777" w:rsidR="009C4265" w:rsidRPr="009C4265" w:rsidRDefault="009C4265" w:rsidP="009C4265">
            <w:pPr>
              <w:jc w:val="both"/>
              <w:rPr>
                <w:rFonts w:ascii="Arial Narrow" w:hAnsi="Arial Narrow" w:cs="Calibri"/>
                <w:sz w:val="22"/>
                <w:szCs w:val="22"/>
                <w:lang w:val="es-CR" w:eastAsia="es-CR"/>
              </w:rPr>
            </w:pPr>
          </w:p>
          <w:p w14:paraId="599E30B9" w14:textId="77777777" w:rsidR="009C4265" w:rsidRPr="009C4265" w:rsidRDefault="009C4265" w:rsidP="009C4265">
            <w:pPr>
              <w:jc w:val="both"/>
              <w:rPr>
                <w:rFonts w:cs="Calibri"/>
                <w:sz w:val="22"/>
                <w:szCs w:val="22"/>
                <w:lang w:val="es-CR" w:eastAsia="es-CR"/>
              </w:rPr>
            </w:pPr>
            <w:r w:rsidRPr="009C4265">
              <w:rPr>
                <w:rFonts w:ascii="Arial Narrow" w:hAnsi="Arial Narrow" w:cs="Calibri"/>
                <w:sz w:val="22"/>
                <w:szCs w:val="22"/>
                <w:lang w:val="es-CR" w:eastAsia="es-CR"/>
              </w:rPr>
              <w:t>La observación no modifica el contenido.</w:t>
            </w:r>
          </w:p>
          <w:p w14:paraId="24C01F12" w14:textId="77777777" w:rsidR="009C4265" w:rsidRPr="009C4265" w:rsidRDefault="009C4265" w:rsidP="009C4265">
            <w:pPr>
              <w:jc w:val="center"/>
              <w:rPr>
                <w:rFonts w:ascii="Arial Narrow" w:hAnsi="Arial Narrow" w:cs="Calibri"/>
                <w:sz w:val="22"/>
                <w:szCs w:val="22"/>
                <w:lang w:val="es-CR" w:eastAsia="es-CR"/>
              </w:rPr>
            </w:pPr>
          </w:p>
        </w:tc>
        <w:tc>
          <w:tcPr>
            <w:tcW w:w="77" w:type="pct"/>
            <w:vAlign w:val="center"/>
          </w:tcPr>
          <w:p w14:paraId="7974C4A9" w14:textId="77777777" w:rsidR="009C4265" w:rsidRPr="009C4265" w:rsidRDefault="009C4265" w:rsidP="009C4265">
            <w:pPr>
              <w:rPr>
                <w:rFonts w:ascii="Arial Narrow" w:hAnsi="Arial Narrow"/>
                <w:sz w:val="22"/>
                <w:szCs w:val="22"/>
                <w:lang w:val="es-CR" w:eastAsia="es-CR"/>
              </w:rPr>
            </w:pPr>
          </w:p>
        </w:tc>
      </w:tr>
      <w:tr w:rsidR="009C4265" w:rsidRPr="009C4265" w14:paraId="06361D76" w14:textId="77777777" w:rsidTr="00B963AA">
        <w:trPr>
          <w:trHeight w:val="1514"/>
        </w:trPr>
        <w:tc>
          <w:tcPr>
            <w:tcW w:w="924" w:type="pct"/>
            <w:tcBorders>
              <w:top w:val="single" w:sz="4" w:space="0" w:color="auto"/>
              <w:left w:val="single" w:sz="4" w:space="0" w:color="auto"/>
              <w:bottom w:val="single" w:sz="4" w:space="0" w:color="auto"/>
              <w:right w:val="single" w:sz="4" w:space="0" w:color="auto"/>
            </w:tcBorders>
            <w:shd w:val="clear" w:color="auto" w:fill="auto"/>
            <w:noWrap/>
            <w:vAlign w:val="bottom"/>
          </w:tcPr>
          <w:p w14:paraId="74AFD6BE" w14:textId="77777777" w:rsidR="009C4265" w:rsidRPr="009C4265" w:rsidRDefault="009C4265" w:rsidP="009C4265">
            <w:pPr>
              <w:jc w:val="center"/>
              <w:rPr>
                <w:rFonts w:ascii="Arial Narrow" w:hAnsi="Arial Narrow" w:cs="Calibri"/>
                <w:sz w:val="22"/>
                <w:szCs w:val="22"/>
                <w:lang w:val="es-CR" w:eastAsia="es-CR"/>
              </w:rPr>
            </w:pPr>
            <w:r w:rsidRPr="009C4265">
              <w:rPr>
                <w:rFonts w:ascii="Arial Narrow" w:hAnsi="Arial Narrow" w:cs="Calibri"/>
                <w:sz w:val="22"/>
                <w:szCs w:val="22"/>
                <w:lang w:val="es-CR" w:eastAsia="es-CR"/>
              </w:rPr>
              <w:t>Centro de Apoyo, Coordinación y Mejoramiento de la función Jurisdiccional</w:t>
            </w:r>
          </w:p>
          <w:p w14:paraId="18CE235F" w14:textId="77777777" w:rsidR="009C4265" w:rsidRPr="009C4265" w:rsidRDefault="009C4265" w:rsidP="009C4265">
            <w:pPr>
              <w:jc w:val="center"/>
              <w:rPr>
                <w:rFonts w:ascii="Arial Narrow" w:hAnsi="Arial Narrow" w:cs="Calibri"/>
                <w:sz w:val="22"/>
                <w:szCs w:val="22"/>
                <w:lang w:val="es-CR" w:eastAsia="es-CR"/>
              </w:rPr>
            </w:pPr>
          </w:p>
        </w:tc>
        <w:tc>
          <w:tcPr>
            <w:tcW w:w="370" w:type="pct"/>
            <w:tcBorders>
              <w:top w:val="single" w:sz="4" w:space="0" w:color="auto"/>
              <w:left w:val="nil"/>
              <w:bottom w:val="single" w:sz="4" w:space="0" w:color="auto"/>
              <w:right w:val="single" w:sz="4" w:space="0" w:color="auto"/>
            </w:tcBorders>
            <w:shd w:val="clear" w:color="auto" w:fill="auto"/>
            <w:noWrap/>
            <w:vAlign w:val="bottom"/>
          </w:tcPr>
          <w:p w14:paraId="372FC02A" w14:textId="77777777" w:rsidR="009C4265" w:rsidRPr="009C4265" w:rsidRDefault="009C4265" w:rsidP="009C4265">
            <w:pPr>
              <w:jc w:val="center"/>
              <w:rPr>
                <w:rFonts w:ascii="Arial Narrow" w:hAnsi="Arial Narrow" w:cs="Arial"/>
                <w:sz w:val="22"/>
                <w:szCs w:val="22"/>
              </w:rPr>
            </w:pPr>
            <w:r w:rsidRPr="009C4265">
              <w:rPr>
                <w:rFonts w:ascii="Arial Narrow" w:hAnsi="Arial Narrow" w:cs="Arial"/>
                <w:sz w:val="22"/>
                <w:szCs w:val="22"/>
              </w:rPr>
              <w:t>26</w:t>
            </w:r>
          </w:p>
        </w:tc>
        <w:tc>
          <w:tcPr>
            <w:tcW w:w="1783" w:type="pct"/>
            <w:tcBorders>
              <w:top w:val="single" w:sz="4" w:space="0" w:color="auto"/>
              <w:left w:val="nil"/>
              <w:bottom w:val="single" w:sz="4" w:space="0" w:color="auto"/>
              <w:right w:val="single" w:sz="4" w:space="0" w:color="auto"/>
            </w:tcBorders>
            <w:shd w:val="clear" w:color="auto" w:fill="auto"/>
            <w:noWrap/>
            <w:vAlign w:val="center"/>
          </w:tcPr>
          <w:p w14:paraId="3DEBDE21" w14:textId="77777777" w:rsidR="009C4265" w:rsidRPr="009C4265" w:rsidRDefault="009C4265" w:rsidP="009C4265">
            <w:pPr>
              <w:jc w:val="center"/>
              <w:rPr>
                <w:rFonts w:ascii="Arial Narrow" w:hAnsi="Arial Narrow" w:cs="Arial"/>
                <w:noProof/>
                <w:sz w:val="22"/>
                <w:szCs w:val="22"/>
              </w:rPr>
            </w:pPr>
            <w:r w:rsidRPr="009C4265">
              <w:rPr>
                <w:rFonts w:ascii="Arial Narrow" w:hAnsi="Arial Narrow" w:cs="Arial"/>
                <w:sz w:val="22"/>
                <w:szCs w:val="22"/>
                <w:lang w:eastAsia="zh-CN"/>
              </w:rPr>
              <w:t xml:space="preserve">Como se observa, de la totalidad de metas hay 2 grandes temas estratégicos de cara a la sociedad que son </w:t>
            </w:r>
            <w:r w:rsidRPr="009C4265">
              <w:rPr>
                <w:rFonts w:ascii="Arial Narrow" w:hAnsi="Arial Narrow" w:cs="Arial"/>
                <w:b/>
                <w:bCs/>
                <w:sz w:val="22"/>
                <w:szCs w:val="22"/>
                <w:lang w:eastAsia="zh-CN"/>
              </w:rPr>
              <w:t>Resolución oportuna de conflictos y Confianza y probidad en la justicia</w:t>
            </w:r>
            <w:r w:rsidRPr="009C4265">
              <w:rPr>
                <w:rFonts w:ascii="Arial Narrow" w:hAnsi="Arial Narrow" w:cs="Arial"/>
                <w:sz w:val="22"/>
                <w:szCs w:val="22"/>
                <w:lang w:eastAsia="zh-CN"/>
              </w:rPr>
              <w:t xml:space="preserve"> de todas las metas estratégicas, esto refleja el compromiso institucional en servir a la población y con el eje de transparencia, promoviendo la confianza en la justicia. </w:t>
            </w:r>
            <w:r w:rsidRPr="009C4265">
              <w:rPr>
                <w:rFonts w:ascii="Arial Narrow" w:hAnsi="Arial Narrow" w:cs="Arial"/>
                <w:b/>
                <w:bCs/>
                <w:sz w:val="22"/>
                <w:szCs w:val="22"/>
                <w:lang w:eastAsia="zh-CN"/>
              </w:rPr>
              <w:t>Ambos temas recogen el 50% del total de metas estratégicas de cada año.</w:t>
            </w:r>
          </w:p>
        </w:tc>
        <w:tc>
          <w:tcPr>
            <w:tcW w:w="956" w:type="pct"/>
            <w:tcBorders>
              <w:top w:val="single" w:sz="4" w:space="0" w:color="auto"/>
              <w:left w:val="nil"/>
              <w:bottom w:val="single" w:sz="4" w:space="0" w:color="auto"/>
              <w:right w:val="single" w:sz="4" w:space="0" w:color="auto"/>
            </w:tcBorders>
            <w:shd w:val="clear" w:color="auto" w:fill="auto"/>
            <w:noWrap/>
            <w:vAlign w:val="bottom"/>
          </w:tcPr>
          <w:p w14:paraId="1CB56DC9" w14:textId="77777777" w:rsidR="009C4265" w:rsidRPr="009C4265" w:rsidRDefault="009C4265" w:rsidP="009C4265">
            <w:pPr>
              <w:jc w:val="both"/>
              <w:textAlignment w:val="baseline"/>
              <w:rPr>
                <w:rFonts w:ascii="Arial Narrow" w:hAnsi="Arial Narrow" w:cs="Arial"/>
                <w:sz w:val="22"/>
                <w:szCs w:val="22"/>
                <w:lang w:val="es-CR" w:eastAsia="es-CR"/>
              </w:rPr>
            </w:pPr>
            <w:r w:rsidRPr="009C4265">
              <w:rPr>
                <w:rFonts w:ascii="Arial Narrow" w:hAnsi="Arial Narrow" w:cs="Arial"/>
                <w:sz w:val="22"/>
                <w:szCs w:val="22"/>
                <w:lang w:val="es-CR" w:eastAsia="es-CR"/>
              </w:rPr>
              <w:t>Se recomienda revisar la redacción ya que para el 2019 alcanza un 50% y para el 2020 un 49%-</w:t>
            </w:r>
          </w:p>
          <w:p w14:paraId="77416AAB" w14:textId="77777777" w:rsidR="009C4265" w:rsidRPr="009C4265" w:rsidRDefault="009C4265" w:rsidP="009C4265">
            <w:pPr>
              <w:jc w:val="both"/>
              <w:textAlignment w:val="baseline"/>
              <w:rPr>
                <w:rFonts w:ascii="Arial Narrow" w:hAnsi="Arial Narrow" w:cs="Arial"/>
                <w:sz w:val="22"/>
                <w:szCs w:val="22"/>
                <w:lang w:val="es-CR" w:eastAsia="es-CR"/>
              </w:rPr>
            </w:pPr>
          </w:p>
          <w:p w14:paraId="23A61A3C" w14:textId="77777777" w:rsidR="009C4265" w:rsidRPr="009C4265" w:rsidRDefault="009C4265" w:rsidP="009C4265">
            <w:pPr>
              <w:jc w:val="both"/>
              <w:textAlignment w:val="baseline"/>
              <w:rPr>
                <w:rFonts w:ascii="Arial Narrow" w:hAnsi="Arial Narrow" w:cs="Arial"/>
                <w:sz w:val="22"/>
                <w:szCs w:val="22"/>
                <w:lang w:val="es-CR" w:eastAsia="es-CR"/>
              </w:rPr>
            </w:pPr>
          </w:p>
          <w:p w14:paraId="364929DE" w14:textId="77777777" w:rsidR="009C4265" w:rsidRPr="009C4265" w:rsidRDefault="009C4265" w:rsidP="009C4265">
            <w:pPr>
              <w:jc w:val="both"/>
              <w:textAlignment w:val="baseline"/>
              <w:rPr>
                <w:rFonts w:ascii="Arial Narrow" w:hAnsi="Arial Narrow" w:cs="Arial"/>
                <w:sz w:val="22"/>
                <w:szCs w:val="22"/>
                <w:lang w:val="es-CR" w:eastAsia="es-CR"/>
              </w:rPr>
            </w:pPr>
          </w:p>
          <w:p w14:paraId="2FD7FAB9" w14:textId="77777777" w:rsidR="009C4265" w:rsidRPr="009C4265" w:rsidRDefault="009C4265" w:rsidP="009C4265">
            <w:pPr>
              <w:jc w:val="both"/>
              <w:textAlignment w:val="baseline"/>
              <w:rPr>
                <w:rFonts w:ascii="Arial Narrow" w:hAnsi="Arial Narrow" w:cs="Arial"/>
                <w:sz w:val="22"/>
                <w:szCs w:val="22"/>
                <w:lang w:val="es-CR" w:eastAsia="es-CR"/>
              </w:rPr>
            </w:pPr>
          </w:p>
        </w:tc>
        <w:tc>
          <w:tcPr>
            <w:tcW w:w="889" w:type="pct"/>
            <w:tcBorders>
              <w:top w:val="single" w:sz="4" w:space="0" w:color="auto"/>
              <w:left w:val="nil"/>
              <w:bottom w:val="single" w:sz="4" w:space="0" w:color="auto"/>
              <w:right w:val="single" w:sz="4" w:space="0" w:color="auto"/>
            </w:tcBorders>
            <w:shd w:val="clear" w:color="auto" w:fill="auto"/>
            <w:noWrap/>
            <w:vAlign w:val="bottom"/>
          </w:tcPr>
          <w:p w14:paraId="0BBA5337" w14:textId="77777777" w:rsidR="009C4265" w:rsidRPr="009C4265" w:rsidRDefault="009C4265" w:rsidP="009C4265">
            <w:pPr>
              <w:jc w:val="both"/>
              <w:rPr>
                <w:rFonts w:ascii="Arial Narrow" w:hAnsi="Arial Narrow" w:cs="Calibri"/>
                <w:sz w:val="22"/>
                <w:szCs w:val="22"/>
                <w:lang w:val="es-CR" w:eastAsia="es-CR"/>
              </w:rPr>
            </w:pPr>
            <w:r w:rsidRPr="009C4265">
              <w:rPr>
                <w:rFonts w:ascii="Arial Narrow" w:hAnsi="Arial Narrow" w:cs="Calibri"/>
                <w:sz w:val="22"/>
                <w:szCs w:val="22"/>
                <w:lang w:val="es-CR" w:eastAsia="es-CR"/>
              </w:rPr>
              <w:t xml:space="preserve">Se toma nota de la observación y se incorpora el porcentaje respectivo por cada año. </w:t>
            </w:r>
          </w:p>
          <w:p w14:paraId="06172DD1" w14:textId="77777777" w:rsidR="009C4265" w:rsidRPr="009C4265" w:rsidRDefault="009C4265" w:rsidP="009C4265">
            <w:pPr>
              <w:jc w:val="both"/>
              <w:rPr>
                <w:rFonts w:ascii="Arial Narrow" w:hAnsi="Arial Narrow" w:cs="Calibri"/>
                <w:sz w:val="22"/>
                <w:szCs w:val="22"/>
                <w:lang w:val="es-CR" w:eastAsia="es-CR"/>
              </w:rPr>
            </w:pPr>
          </w:p>
          <w:p w14:paraId="42454D51" w14:textId="77777777" w:rsidR="009C4265" w:rsidRPr="009C4265" w:rsidRDefault="009C4265" w:rsidP="009C4265">
            <w:pPr>
              <w:jc w:val="both"/>
              <w:rPr>
                <w:rFonts w:cs="Calibri"/>
                <w:sz w:val="22"/>
                <w:szCs w:val="22"/>
                <w:lang w:val="es-CR" w:eastAsia="es-CR"/>
              </w:rPr>
            </w:pPr>
            <w:r w:rsidRPr="009C4265">
              <w:rPr>
                <w:rFonts w:ascii="Arial Narrow" w:hAnsi="Arial Narrow" w:cs="Calibri"/>
                <w:sz w:val="22"/>
                <w:szCs w:val="22"/>
                <w:lang w:val="es-CR" w:eastAsia="es-CR"/>
              </w:rPr>
              <w:t>La observación modifica el contenido.</w:t>
            </w:r>
          </w:p>
          <w:p w14:paraId="77B40493" w14:textId="77777777" w:rsidR="009C4265" w:rsidRPr="009C4265" w:rsidRDefault="009C4265" w:rsidP="009C4265">
            <w:pPr>
              <w:jc w:val="center"/>
              <w:rPr>
                <w:rFonts w:ascii="Arial Narrow" w:hAnsi="Arial Narrow" w:cs="Calibri"/>
                <w:sz w:val="22"/>
                <w:szCs w:val="22"/>
                <w:lang w:val="es-CR" w:eastAsia="es-CR"/>
              </w:rPr>
            </w:pPr>
          </w:p>
        </w:tc>
        <w:tc>
          <w:tcPr>
            <w:tcW w:w="77" w:type="pct"/>
            <w:vAlign w:val="center"/>
          </w:tcPr>
          <w:p w14:paraId="502067AC" w14:textId="77777777" w:rsidR="009C4265" w:rsidRPr="009C4265" w:rsidRDefault="009C4265" w:rsidP="009C4265">
            <w:pPr>
              <w:rPr>
                <w:rFonts w:ascii="Arial Narrow" w:hAnsi="Arial Narrow"/>
                <w:sz w:val="22"/>
                <w:szCs w:val="22"/>
                <w:lang w:val="es-CR" w:eastAsia="es-CR"/>
              </w:rPr>
            </w:pPr>
          </w:p>
        </w:tc>
      </w:tr>
      <w:tr w:rsidR="009C4265" w:rsidRPr="009C4265" w14:paraId="51036BEE" w14:textId="77777777" w:rsidTr="00B963AA">
        <w:trPr>
          <w:trHeight w:val="1514"/>
        </w:trPr>
        <w:tc>
          <w:tcPr>
            <w:tcW w:w="924" w:type="pct"/>
            <w:tcBorders>
              <w:top w:val="single" w:sz="4" w:space="0" w:color="auto"/>
              <w:left w:val="single" w:sz="4" w:space="0" w:color="auto"/>
              <w:bottom w:val="single" w:sz="4" w:space="0" w:color="auto"/>
              <w:right w:val="single" w:sz="4" w:space="0" w:color="auto"/>
            </w:tcBorders>
            <w:shd w:val="clear" w:color="auto" w:fill="auto"/>
            <w:noWrap/>
            <w:vAlign w:val="bottom"/>
          </w:tcPr>
          <w:p w14:paraId="6514E186" w14:textId="77777777" w:rsidR="009C4265" w:rsidRPr="009C4265" w:rsidRDefault="009C4265" w:rsidP="009C4265">
            <w:pPr>
              <w:jc w:val="center"/>
              <w:rPr>
                <w:rFonts w:ascii="Arial Narrow" w:hAnsi="Arial Narrow" w:cs="Calibri"/>
                <w:sz w:val="22"/>
                <w:szCs w:val="22"/>
                <w:lang w:val="es-CR" w:eastAsia="es-CR"/>
              </w:rPr>
            </w:pPr>
            <w:r w:rsidRPr="009C4265">
              <w:rPr>
                <w:rFonts w:ascii="Arial Narrow" w:hAnsi="Arial Narrow" w:cs="Calibri"/>
                <w:sz w:val="22"/>
                <w:szCs w:val="22"/>
                <w:lang w:val="es-CR" w:eastAsia="es-CR"/>
              </w:rPr>
              <w:t>Centro de Apoyo, Coordinación y Mejoramiento de la función Jurisdiccional</w:t>
            </w:r>
          </w:p>
          <w:p w14:paraId="6D1CD194" w14:textId="77777777" w:rsidR="009C4265" w:rsidRPr="009C4265" w:rsidRDefault="009C4265" w:rsidP="009C4265">
            <w:pPr>
              <w:jc w:val="center"/>
              <w:rPr>
                <w:rFonts w:ascii="Arial Narrow" w:hAnsi="Arial Narrow" w:cs="Calibri"/>
                <w:sz w:val="22"/>
                <w:szCs w:val="22"/>
                <w:lang w:val="es-CR" w:eastAsia="es-CR"/>
              </w:rPr>
            </w:pPr>
          </w:p>
        </w:tc>
        <w:tc>
          <w:tcPr>
            <w:tcW w:w="370" w:type="pct"/>
            <w:tcBorders>
              <w:top w:val="single" w:sz="4" w:space="0" w:color="auto"/>
              <w:left w:val="nil"/>
              <w:bottom w:val="single" w:sz="4" w:space="0" w:color="auto"/>
              <w:right w:val="single" w:sz="4" w:space="0" w:color="auto"/>
            </w:tcBorders>
            <w:shd w:val="clear" w:color="auto" w:fill="auto"/>
            <w:noWrap/>
            <w:vAlign w:val="bottom"/>
          </w:tcPr>
          <w:p w14:paraId="05A11D4B" w14:textId="77777777" w:rsidR="009C4265" w:rsidRPr="009C4265" w:rsidRDefault="009C4265" w:rsidP="009C4265">
            <w:pPr>
              <w:jc w:val="center"/>
              <w:rPr>
                <w:rFonts w:ascii="Arial Narrow" w:hAnsi="Arial Narrow" w:cs="Arial"/>
                <w:sz w:val="22"/>
                <w:szCs w:val="22"/>
              </w:rPr>
            </w:pPr>
            <w:r w:rsidRPr="009C4265">
              <w:rPr>
                <w:rFonts w:ascii="Arial Narrow" w:hAnsi="Arial Narrow" w:cs="Arial"/>
                <w:sz w:val="22"/>
                <w:szCs w:val="22"/>
              </w:rPr>
              <w:t>35-36</w:t>
            </w:r>
          </w:p>
        </w:tc>
        <w:tc>
          <w:tcPr>
            <w:tcW w:w="1783" w:type="pct"/>
            <w:tcBorders>
              <w:top w:val="single" w:sz="4" w:space="0" w:color="auto"/>
              <w:left w:val="nil"/>
              <w:bottom w:val="single" w:sz="4" w:space="0" w:color="auto"/>
              <w:right w:val="single" w:sz="4" w:space="0" w:color="auto"/>
            </w:tcBorders>
            <w:shd w:val="clear" w:color="auto" w:fill="auto"/>
            <w:noWrap/>
            <w:vAlign w:val="center"/>
          </w:tcPr>
          <w:p w14:paraId="10ED89E9" w14:textId="77777777" w:rsidR="009C4265" w:rsidRPr="009C4265" w:rsidRDefault="009C4265" w:rsidP="009C4265">
            <w:pPr>
              <w:suppressLineNumbers/>
              <w:spacing w:before="120" w:after="120"/>
              <w:jc w:val="center"/>
              <w:rPr>
                <w:rFonts w:ascii="Arial Narrow" w:eastAsiaTheme="minorHAnsi" w:hAnsi="Arial Narrow" w:cs="Arial"/>
                <w:sz w:val="22"/>
                <w:szCs w:val="22"/>
                <w:lang w:val="es-CR" w:eastAsia="zh-CN"/>
              </w:rPr>
            </w:pPr>
            <w:r w:rsidRPr="009C4265">
              <w:rPr>
                <w:rFonts w:ascii="Arial Narrow" w:eastAsiaTheme="minorHAnsi" w:hAnsi="Arial Narrow" w:cs="Arial"/>
                <w:sz w:val="22"/>
                <w:szCs w:val="22"/>
                <w:lang w:val="es-CR" w:eastAsia="zh-CN"/>
              </w:rPr>
              <w:t xml:space="preserve">Cuadro </w:t>
            </w:r>
            <w:r w:rsidRPr="009C4265">
              <w:rPr>
                <w:rFonts w:ascii="Arial Narrow" w:eastAsiaTheme="minorHAnsi" w:hAnsi="Arial Narrow" w:cs="Arial"/>
                <w:sz w:val="22"/>
                <w:szCs w:val="22"/>
                <w:lang w:val="es-CR" w:eastAsia="zh-CN"/>
              </w:rPr>
              <w:fldChar w:fldCharType="begin"/>
            </w:r>
            <w:r w:rsidRPr="009C4265">
              <w:rPr>
                <w:rFonts w:ascii="Arial Narrow" w:eastAsiaTheme="minorHAnsi" w:hAnsi="Arial Narrow" w:cs="Arial"/>
                <w:sz w:val="22"/>
                <w:szCs w:val="22"/>
                <w:lang w:val="es-CR" w:eastAsia="zh-CN"/>
              </w:rPr>
              <w:instrText xml:space="preserve"> SEQ Cuadro_No. \* ARABIC </w:instrText>
            </w:r>
            <w:r w:rsidRPr="009C4265">
              <w:rPr>
                <w:rFonts w:ascii="Arial Narrow" w:eastAsiaTheme="minorHAnsi" w:hAnsi="Arial Narrow" w:cs="Arial"/>
                <w:sz w:val="22"/>
                <w:szCs w:val="22"/>
                <w:lang w:val="es-CR" w:eastAsia="zh-CN"/>
              </w:rPr>
              <w:fldChar w:fldCharType="separate"/>
            </w:r>
            <w:r w:rsidRPr="009C4265">
              <w:rPr>
                <w:rFonts w:ascii="Arial Narrow" w:eastAsiaTheme="minorHAnsi" w:hAnsi="Arial Narrow" w:cs="Arial"/>
                <w:sz w:val="22"/>
                <w:szCs w:val="22"/>
                <w:lang w:val="es-CR" w:eastAsia="zh-CN"/>
              </w:rPr>
              <w:t>3</w:t>
            </w:r>
            <w:r w:rsidRPr="009C4265">
              <w:rPr>
                <w:rFonts w:ascii="Arial Narrow" w:eastAsiaTheme="minorHAnsi" w:hAnsi="Arial Narrow" w:cs="Arial"/>
                <w:sz w:val="22"/>
                <w:szCs w:val="22"/>
                <w:lang w:val="es-CR" w:eastAsia="zh-CN"/>
              </w:rPr>
              <w:fldChar w:fldCharType="end"/>
            </w:r>
            <w:r w:rsidRPr="009C4265">
              <w:rPr>
                <w:rFonts w:ascii="Arial Narrow" w:eastAsiaTheme="minorHAnsi" w:hAnsi="Arial Narrow" w:cs="Arial"/>
                <w:sz w:val="22"/>
                <w:szCs w:val="22"/>
                <w:lang w:val="es-CR" w:eastAsia="zh-CN"/>
              </w:rPr>
              <w:t xml:space="preserve"> Metas estratégicas de Celeridad Judicial y su cumplimiento para el 2019-2020</w:t>
            </w:r>
          </w:p>
          <w:p w14:paraId="03D063F3" w14:textId="77777777" w:rsidR="009C4265" w:rsidRPr="009C4265" w:rsidRDefault="009C4265" w:rsidP="009C4265">
            <w:pPr>
              <w:suppressLineNumbers/>
              <w:spacing w:before="120" w:after="120"/>
              <w:jc w:val="center"/>
              <w:rPr>
                <w:rFonts w:ascii="Arial Narrow" w:eastAsiaTheme="minorHAnsi" w:hAnsi="Arial Narrow" w:cs="Arial"/>
                <w:sz w:val="22"/>
                <w:szCs w:val="22"/>
                <w:lang w:val="es-CR" w:eastAsia="zh-CN"/>
              </w:rPr>
            </w:pPr>
            <w:r w:rsidRPr="009C4265">
              <w:rPr>
                <w:rFonts w:ascii="Arial Narrow" w:hAnsi="Arial Narrow" w:cs="Arial"/>
                <w:i/>
                <w:iCs/>
                <w:sz w:val="22"/>
                <w:szCs w:val="22"/>
                <w:lang w:val="es-CR"/>
              </w:rPr>
              <w:object w:dxaOrig="17205" w:dyaOrig="6780" w14:anchorId="34BBDAF1">
                <v:shape id="_x0000_i1046" type="#_x0000_t75" style="width:200.3pt;height:77.25pt" o:ole="">
                  <v:imagedata r:id="rId206" o:title=""/>
                </v:shape>
                <o:OLEObject Type="Embed" ProgID="PBrush" ShapeID="_x0000_i1046" DrawAspect="Content" ObjectID="_1696768465" r:id="rId207"/>
              </w:object>
            </w:r>
          </w:p>
          <w:p w14:paraId="6C970C82" w14:textId="77777777" w:rsidR="009C4265" w:rsidRPr="009C4265" w:rsidRDefault="009C4265" w:rsidP="009C4265">
            <w:pPr>
              <w:spacing w:line="360" w:lineRule="auto"/>
              <w:jc w:val="both"/>
              <w:rPr>
                <w:rFonts w:ascii="Arial Narrow" w:eastAsia="Calibri" w:hAnsi="Arial Narrow" w:cs="Arial"/>
                <w:sz w:val="22"/>
                <w:szCs w:val="22"/>
              </w:rPr>
            </w:pPr>
          </w:p>
          <w:p w14:paraId="79C7D002" w14:textId="77777777" w:rsidR="009C4265" w:rsidRPr="009C4265" w:rsidRDefault="009C4265" w:rsidP="009C4265">
            <w:pPr>
              <w:jc w:val="center"/>
              <w:rPr>
                <w:rFonts w:ascii="Arial Narrow" w:hAnsi="Arial Narrow" w:cs="Arial"/>
                <w:sz w:val="22"/>
                <w:szCs w:val="22"/>
                <w:lang w:eastAsia="zh-CN"/>
              </w:rPr>
            </w:pPr>
            <w:r w:rsidRPr="009C4265">
              <w:rPr>
                <w:rFonts w:ascii="Arial Narrow" w:hAnsi="Arial Narrow"/>
                <w:sz w:val="22"/>
                <w:szCs w:val="22"/>
              </w:rPr>
              <w:object w:dxaOrig="12405" w:dyaOrig="1875" w14:anchorId="25CB24C0">
                <v:shape id="_x0000_i1047" type="#_x0000_t75" style="width:164.3pt;height:61.55pt" o:ole="">
                  <v:imagedata r:id="rId208" o:title=""/>
                </v:shape>
                <o:OLEObject Type="Embed" ProgID="PBrush" ShapeID="_x0000_i1047" DrawAspect="Content" ObjectID="_1696768466" r:id="rId209"/>
              </w:object>
            </w:r>
          </w:p>
        </w:tc>
        <w:tc>
          <w:tcPr>
            <w:tcW w:w="956" w:type="pct"/>
            <w:tcBorders>
              <w:top w:val="single" w:sz="4" w:space="0" w:color="auto"/>
              <w:left w:val="nil"/>
              <w:bottom w:val="single" w:sz="4" w:space="0" w:color="auto"/>
              <w:right w:val="single" w:sz="4" w:space="0" w:color="auto"/>
            </w:tcBorders>
            <w:shd w:val="clear" w:color="auto" w:fill="auto"/>
            <w:noWrap/>
            <w:vAlign w:val="center"/>
          </w:tcPr>
          <w:p w14:paraId="0183D571" w14:textId="758CEC52" w:rsidR="009C4265" w:rsidRDefault="009C4265" w:rsidP="009C4265">
            <w:pPr>
              <w:widowControl w:val="0"/>
              <w:autoSpaceDE w:val="0"/>
              <w:autoSpaceDN w:val="0"/>
              <w:adjustRightInd w:val="0"/>
              <w:jc w:val="both"/>
              <w:rPr>
                <w:rFonts w:ascii="Arial Narrow" w:hAnsi="Arial Narrow" w:cs="Arial"/>
                <w:sz w:val="22"/>
                <w:szCs w:val="22"/>
              </w:rPr>
            </w:pPr>
            <w:r w:rsidRPr="009C4265">
              <w:rPr>
                <w:rFonts w:ascii="Arial Narrow" w:hAnsi="Arial Narrow" w:cs="Arial"/>
                <w:sz w:val="22"/>
                <w:szCs w:val="22"/>
              </w:rPr>
              <w:lastRenderedPageBreak/>
              <w:t>A nivel nacional hay 76 despachos que atienden la materia contravencional, no 74 como se indica en el cuadro.</w:t>
            </w:r>
          </w:p>
          <w:p w14:paraId="3A530C49" w14:textId="63837985" w:rsidR="00890CB3" w:rsidRDefault="00890CB3" w:rsidP="009C4265">
            <w:pPr>
              <w:widowControl w:val="0"/>
              <w:autoSpaceDE w:val="0"/>
              <w:autoSpaceDN w:val="0"/>
              <w:adjustRightInd w:val="0"/>
              <w:jc w:val="both"/>
              <w:rPr>
                <w:rFonts w:ascii="Arial Narrow" w:hAnsi="Arial Narrow" w:cs="Arial"/>
                <w:sz w:val="22"/>
                <w:szCs w:val="22"/>
              </w:rPr>
            </w:pPr>
          </w:p>
          <w:p w14:paraId="45D9C360" w14:textId="4E290E78" w:rsidR="00890CB3" w:rsidRDefault="00890CB3" w:rsidP="009C4265">
            <w:pPr>
              <w:widowControl w:val="0"/>
              <w:autoSpaceDE w:val="0"/>
              <w:autoSpaceDN w:val="0"/>
              <w:adjustRightInd w:val="0"/>
              <w:jc w:val="both"/>
              <w:rPr>
                <w:rFonts w:ascii="Arial Narrow" w:hAnsi="Arial Narrow" w:cs="Arial"/>
                <w:sz w:val="22"/>
                <w:szCs w:val="22"/>
              </w:rPr>
            </w:pPr>
          </w:p>
          <w:p w14:paraId="181CEE35" w14:textId="77777777" w:rsidR="00890CB3" w:rsidRPr="009C4265" w:rsidRDefault="00890CB3" w:rsidP="009C4265">
            <w:pPr>
              <w:widowControl w:val="0"/>
              <w:autoSpaceDE w:val="0"/>
              <w:autoSpaceDN w:val="0"/>
              <w:adjustRightInd w:val="0"/>
              <w:jc w:val="both"/>
              <w:rPr>
                <w:rFonts w:ascii="Arial Narrow" w:hAnsi="Arial Narrow" w:cs="Arial"/>
                <w:sz w:val="22"/>
                <w:szCs w:val="22"/>
              </w:rPr>
            </w:pPr>
          </w:p>
          <w:p w14:paraId="391F5B35" w14:textId="77777777" w:rsidR="00890CB3" w:rsidRDefault="00890CB3" w:rsidP="009C4265">
            <w:pPr>
              <w:jc w:val="both"/>
              <w:textAlignment w:val="baseline"/>
              <w:rPr>
                <w:rFonts w:ascii="Arial Narrow" w:hAnsi="Arial Narrow" w:cs="Arial"/>
                <w:color w:val="000000"/>
                <w:sz w:val="22"/>
                <w:szCs w:val="22"/>
                <w:shd w:val="clear" w:color="auto" w:fill="FFFFFF"/>
                <w:lang w:val="es-ES" w:eastAsia="es-CR"/>
              </w:rPr>
            </w:pPr>
          </w:p>
          <w:p w14:paraId="6AFB2E7E" w14:textId="77777777" w:rsidR="00890CB3" w:rsidRDefault="00890CB3" w:rsidP="009C4265">
            <w:pPr>
              <w:jc w:val="both"/>
              <w:textAlignment w:val="baseline"/>
              <w:rPr>
                <w:rFonts w:ascii="Arial Narrow" w:hAnsi="Arial Narrow" w:cs="Arial"/>
                <w:color w:val="000000"/>
                <w:sz w:val="22"/>
                <w:szCs w:val="22"/>
                <w:shd w:val="clear" w:color="auto" w:fill="FFFFFF"/>
                <w:lang w:val="es-ES" w:eastAsia="es-CR"/>
              </w:rPr>
            </w:pPr>
          </w:p>
          <w:p w14:paraId="738278AF" w14:textId="77777777" w:rsidR="00890CB3" w:rsidRDefault="00890CB3" w:rsidP="009C4265">
            <w:pPr>
              <w:jc w:val="both"/>
              <w:textAlignment w:val="baseline"/>
              <w:rPr>
                <w:rFonts w:ascii="Arial Narrow" w:hAnsi="Arial Narrow" w:cs="Arial"/>
                <w:color w:val="000000"/>
                <w:sz w:val="22"/>
                <w:szCs w:val="22"/>
                <w:shd w:val="clear" w:color="auto" w:fill="FFFFFF"/>
                <w:lang w:val="es-ES" w:eastAsia="es-CR"/>
              </w:rPr>
            </w:pPr>
          </w:p>
          <w:p w14:paraId="5295E2E8" w14:textId="77777777" w:rsidR="00890CB3" w:rsidRDefault="00890CB3" w:rsidP="009C4265">
            <w:pPr>
              <w:jc w:val="both"/>
              <w:textAlignment w:val="baseline"/>
              <w:rPr>
                <w:rFonts w:ascii="Arial Narrow" w:hAnsi="Arial Narrow" w:cs="Arial"/>
                <w:color w:val="000000"/>
                <w:sz w:val="22"/>
                <w:szCs w:val="22"/>
                <w:shd w:val="clear" w:color="auto" w:fill="FFFFFF"/>
                <w:lang w:val="es-ES" w:eastAsia="es-CR"/>
              </w:rPr>
            </w:pPr>
          </w:p>
          <w:p w14:paraId="28B0E213" w14:textId="77777777" w:rsidR="00890CB3" w:rsidRDefault="00890CB3" w:rsidP="009C4265">
            <w:pPr>
              <w:jc w:val="both"/>
              <w:textAlignment w:val="baseline"/>
              <w:rPr>
                <w:rFonts w:ascii="Arial Narrow" w:hAnsi="Arial Narrow" w:cs="Arial"/>
                <w:color w:val="000000"/>
                <w:sz w:val="22"/>
                <w:szCs w:val="22"/>
                <w:shd w:val="clear" w:color="auto" w:fill="FFFFFF"/>
                <w:lang w:val="es-ES" w:eastAsia="es-CR"/>
              </w:rPr>
            </w:pPr>
          </w:p>
          <w:p w14:paraId="6B5DAE32" w14:textId="77777777" w:rsidR="00890CB3" w:rsidRDefault="00890CB3" w:rsidP="009C4265">
            <w:pPr>
              <w:jc w:val="both"/>
              <w:textAlignment w:val="baseline"/>
              <w:rPr>
                <w:rFonts w:ascii="Arial Narrow" w:hAnsi="Arial Narrow" w:cs="Arial"/>
                <w:color w:val="000000"/>
                <w:sz w:val="22"/>
                <w:szCs w:val="22"/>
                <w:shd w:val="clear" w:color="auto" w:fill="FFFFFF"/>
                <w:lang w:val="es-ES" w:eastAsia="es-CR"/>
              </w:rPr>
            </w:pPr>
          </w:p>
          <w:p w14:paraId="3FC67FA0" w14:textId="77777777" w:rsidR="00890CB3" w:rsidRDefault="00890CB3" w:rsidP="009C4265">
            <w:pPr>
              <w:jc w:val="both"/>
              <w:textAlignment w:val="baseline"/>
              <w:rPr>
                <w:rFonts w:ascii="Arial Narrow" w:hAnsi="Arial Narrow" w:cs="Arial"/>
                <w:color w:val="000000"/>
                <w:sz w:val="22"/>
                <w:szCs w:val="22"/>
                <w:shd w:val="clear" w:color="auto" w:fill="FFFFFF"/>
                <w:lang w:val="es-ES" w:eastAsia="es-CR"/>
              </w:rPr>
            </w:pPr>
          </w:p>
          <w:p w14:paraId="4F4D4A38" w14:textId="77777777" w:rsidR="00890CB3" w:rsidRDefault="00890CB3" w:rsidP="009C4265">
            <w:pPr>
              <w:jc w:val="both"/>
              <w:textAlignment w:val="baseline"/>
              <w:rPr>
                <w:rFonts w:ascii="Arial Narrow" w:hAnsi="Arial Narrow" w:cs="Arial"/>
                <w:color w:val="000000"/>
                <w:sz w:val="22"/>
                <w:szCs w:val="22"/>
                <w:shd w:val="clear" w:color="auto" w:fill="FFFFFF"/>
                <w:lang w:val="es-ES" w:eastAsia="es-CR"/>
              </w:rPr>
            </w:pPr>
          </w:p>
          <w:p w14:paraId="246444D3" w14:textId="77777777" w:rsidR="00890CB3" w:rsidRDefault="00890CB3" w:rsidP="009C4265">
            <w:pPr>
              <w:jc w:val="both"/>
              <w:textAlignment w:val="baseline"/>
              <w:rPr>
                <w:rFonts w:ascii="Arial Narrow" w:hAnsi="Arial Narrow" w:cs="Arial"/>
                <w:color w:val="000000"/>
                <w:sz w:val="22"/>
                <w:szCs w:val="22"/>
                <w:shd w:val="clear" w:color="auto" w:fill="FFFFFF"/>
                <w:lang w:val="es-ES" w:eastAsia="es-CR"/>
              </w:rPr>
            </w:pPr>
          </w:p>
          <w:p w14:paraId="63EE8A07" w14:textId="77777777" w:rsidR="00890CB3" w:rsidRDefault="00890CB3" w:rsidP="009C4265">
            <w:pPr>
              <w:jc w:val="both"/>
              <w:textAlignment w:val="baseline"/>
              <w:rPr>
                <w:rFonts w:ascii="Arial Narrow" w:hAnsi="Arial Narrow" w:cs="Arial"/>
                <w:color w:val="000000"/>
                <w:sz w:val="22"/>
                <w:szCs w:val="22"/>
                <w:shd w:val="clear" w:color="auto" w:fill="FFFFFF"/>
                <w:lang w:val="es-ES" w:eastAsia="es-CR"/>
              </w:rPr>
            </w:pPr>
          </w:p>
          <w:p w14:paraId="271972A3" w14:textId="77777777" w:rsidR="00890CB3" w:rsidRDefault="00890CB3" w:rsidP="009C4265">
            <w:pPr>
              <w:jc w:val="both"/>
              <w:textAlignment w:val="baseline"/>
              <w:rPr>
                <w:rFonts w:ascii="Arial Narrow" w:hAnsi="Arial Narrow" w:cs="Arial"/>
                <w:color w:val="000000"/>
                <w:sz w:val="22"/>
                <w:szCs w:val="22"/>
                <w:shd w:val="clear" w:color="auto" w:fill="FFFFFF"/>
                <w:lang w:val="es-ES" w:eastAsia="es-CR"/>
              </w:rPr>
            </w:pPr>
          </w:p>
          <w:p w14:paraId="399FF524" w14:textId="610565A6" w:rsidR="009C4265" w:rsidRPr="009C4265" w:rsidRDefault="009C4265" w:rsidP="009C4265">
            <w:pPr>
              <w:jc w:val="both"/>
              <w:textAlignment w:val="baseline"/>
              <w:rPr>
                <w:rFonts w:ascii="Arial Narrow" w:hAnsi="Arial Narrow" w:cs="Arial"/>
                <w:sz w:val="22"/>
                <w:szCs w:val="22"/>
                <w:lang w:val="es-CR" w:eastAsia="es-CR"/>
              </w:rPr>
            </w:pPr>
            <w:r w:rsidRPr="009C4265">
              <w:rPr>
                <w:rFonts w:ascii="Arial Narrow" w:hAnsi="Arial Narrow" w:cs="Arial"/>
                <w:color w:val="000000"/>
                <w:sz w:val="22"/>
                <w:szCs w:val="22"/>
                <w:shd w:val="clear" w:color="auto" w:fill="FFFFFF"/>
                <w:lang w:val="es-ES" w:eastAsia="es-CR"/>
              </w:rPr>
              <w:t>En e</w:t>
            </w:r>
            <w:r w:rsidRPr="009C4265">
              <w:rPr>
                <w:rFonts w:ascii="Arial Narrow" w:hAnsi="Arial Narrow"/>
                <w:color w:val="000000"/>
                <w:sz w:val="22"/>
                <w:szCs w:val="22"/>
                <w:shd w:val="clear" w:color="auto" w:fill="FFFFFF"/>
                <w:lang w:val="es-ES" w:eastAsia="es-CR"/>
              </w:rPr>
              <w:t xml:space="preserve">l </w:t>
            </w:r>
            <w:r w:rsidRPr="009C4265">
              <w:rPr>
                <w:rFonts w:ascii="Arial Narrow" w:hAnsi="Arial Narrow" w:cs="Arial"/>
                <w:color w:val="000000"/>
                <w:sz w:val="22"/>
                <w:szCs w:val="22"/>
                <w:shd w:val="clear" w:color="auto" w:fill="FFFFFF"/>
                <w:lang w:val="es-ES" w:eastAsia="es-CR"/>
              </w:rPr>
              <w:t>cuadro se indica que el cumplimiento para los juzgados penales juveniles del país en el 2020 es de 78% mientras que en el análisis en la página 36 refiere que dicho cumplimiento fue del 76%.</w:t>
            </w:r>
            <w:r w:rsidRPr="009C4265">
              <w:rPr>
                <w:rFonts w:ascii="Arial Narrow" w:hAnsi="Arial Narrow" w:cs="Arial"/>
                <w:color w:val="000000"/>
                <w:sz w:val="22"/>
                <w:szCs w:val="22"/>
                <w:shd w:val="clear" w:color="auto" w:fill="FFFFFF"/>
                <w:lang w:val="es-CR" w:eastAsia="es-CR"/>
              </w:rPr>
              <w:t> </w:t>
            </w:r>
          </w:p>
        </w:tc>
        <w:tc>
          <w:tcPr>
            <w:tcW w:w="889" w:type="pct"/>
            <w:tcBorders>
              <w:top w:val="single" w:sz="4" w:space="0" w:color="auto"/>
              <w:left w:val="nil"/>
              <w:bottom w:val="single" w:sz="4" w:space="0" w:color="auto"/>
              <w:right w:val="single" w:sz="4" w:space="0" w:color="auto"/>
            </w:tcBorders>
            <w:shd w:val="clear" w:color="auto" w:fill="auto"/>
            <w:noWrap/>
            <w:vAlign w:val="bottom"/>
          </w:tcPr>
          <w:p w14:paraId="488C3C8C" w14:textId="4812B0CD" w:rsidR="009C4265" w:rsidRPr="00C9711A" w:rsidRDefault="009C4265" w:rsidP="009C4265">
            <w:pPr>
              <w:jc w:val="both"/>
              <w:rPr>
                <w:rFonts w:ascii="Arial Narrow" w:hAnsi="Arial Narrow" w:cs="Calibri"/>
                <w:sz w:val="22"/>
                <w:szCs w:val="22"/>
                <w:lang w:val="es-CR" w:eastAsia="es-CR"/>
              </w:rPr>
            </w:pPr>
            <w:r w:rsidRPr="00C9711A">
              <w:rPr>
                <w:rFonts w:ascii="Arial Narrow" w:hAnsi="Arial Narrow" w:cs="Calibri"/>
                <w:sz w:val="22"/>
                <w:szCs w:val="22"/>
                <w:lang w:val="es-CR" w:eastAsia="es-CR"/>
              </w:rPr>
              <w:lastRenderedPageBreak/>
              <w:t xml:space="preserve">Se toma nota de la observación y se </w:t>
            </w:r>
            <w:r w:rsidR="00890CB3">
              <w:rPr>
                <w:rFonts w:ascii="Arial Narrow" w:hAnsi="Arial Narrow" w:cs="Calibri"/>
                <w:sz w:val="22"/>
                <w:szCs w:val="22"/>
                <w:lang w:val="es-CR" w:eastAsia="es-CR"/>
              </w:rPr>
              <w:t xml:space="preserve">aclara que el dato consignado corresponde a la cantidad de oficinas que vincularon su meta a través del PAO, sin embargo, el </w:t>
            </w:r>
            <w:r w:rsidR="00890CB3">
              <w:rPr>
                <w:rFonts w:ascii="Arial Narrow" w:hAnsi="Arial Narrow" w:cs="Calibri"/>
                <w:sz w:val="22"/>
                <w:szCs w:val="22"/>
                <w:lang w:val="es-CR" w:eastAsia="es-CR"/>
              </w:rPr>
              <w:lastRenderedPageBreak/>
              <w:t>dato que se calcula para la variable “Cumplimiento acumulado del PEI” sí se tomaron en consideración la totalidad de oficinas de la materia</w:t>
            </w:r>
            <w:r w:rsidRPr="00C9711A">
              <w:rPr>
                <w:rFonts w:ascii="Arial Narrow" w:hAnsi="Arial Narrow" w:cs="Calibri"/>
                <w:sz w:val="22"/>
                <w:szCs w:val="22"/>
                <w:lang w:val="es-CR" w:eastAsia="es-CR"/>
              </w:rPr>
              <w:t>.</w:t>
            </w:r>
          </w:p>
          <w:p w14:paraId="46FB9D54" w14:textId="77777777" w:rsidR="009C4265" w:rsidRPr="00C9711A" w:rsidRDefault="009C4265" w:rsidP="009C4265">
            <w:pPr>
              <w:jc w:val="both"/>
              <w:rPr>
                <w:rFonts w:ascii="Arial Narrow" w:hAnsi="Arial Narrow" w:cs="Calibri"/>
                <w:sz w:val="22"/>
                <w:szCs w:val="22"/>
                <w:lang w:val="es-CR" w:eastAsia="es-CR"/>
              </w:rPr>
            </w:pPr>
          </w:p>
          <w:p w14:paraId="442C27E5" w14:textId="77777777" w:rsidR="00890CB3" w:rsidRDefault="00890CB3" w:rsidP="009B7B0A">
            <w:pPr>
              <w:jc w:val="both"/>
              <w:rPr>
                <w:rFonts w:ascii="Arial Narrow" w:hAnsi="Arial Narrow" w:cs="Calibri"/>
                <w:sz w:val="22"/>
                <w:szCs w:val="22"/>
                <w:lang w:val="es-CR" w:eastAsia="es-CR"/>
              </w:rPr>
            </w:pPr>
          </w:p>
          <w:p w14:paraId="3DCF6A85" w14:textId="39AA817C" w:rsidR="009C4265" w:rsidRPr="009C4265" w:rsidRDefault="00890CB3" w:rsidP="009C4265">
            <w:pPr>
              <w:jc w:val="both"/>
              <w:rPr>
                <w:rFonts w:cs="Calibri"/>
                <w:sz w:val="22"/>
                <w:szCs w:val="22"/>
                <w:lang w:val="es-CR" w:eastAsia="es-CR"/>
              </w:rPr>
            </w:pPr>
            <w:r>
              <w:rPr>
                <w:rFonts w:ascii="Arial Narrow" w:hAnsi="Arial Narrow" w:cs="Calibri"/>
                <w:sz w:val="22"/>
                <w:szCs w:val="22"/>
                <w:lang w:val="es-CR" w:eastAsia="es-CR"/>
              </w:rPr>
              <w:t xml:space="preserve">Se corrigió el dato. </w:t>
            </w:r>
            <w:r w:rsidR="009C4265" w:rsidRPr="00C9711A">
              <w:rPr>
                <w:rFonts w:ascii="Arial Narrow" w:hAnsi="Arial Narrow" w:cs="Calibri"/>
                <w:sz w:val="22"/>
                <w:szCs w:val="22"/>
                <w:lang w:val="es-CR" w:eastAsia="es-CR"/>
              </w:rPr>
              <w:t>.</w:t>
            </w:r>
          </w:p>
          <w:p w14:paraId="59364356" w14:textId="77777777" w:rsidR="009C4265" w:rsidRPr="009C4265" w:rsidRDefault="009C4265" w:rsidP="009C4265">
            <w:pPr>
              <w:jc w:val="both"/>
              <w:rPr>
                <w:rFonts w:ascii="Arial Narrow" w:hAnsi="Arial Narrow" w:cs="Calibri"/>
                <w:sz w:val="22"/>
                <w:szCs w:val="22"/>
                <w:lang w:val="es-CR" w:eastAsia="es-CR"/>
              </w:rPr>
            </w:pPr>
          </w:p>
          <w:p w14:paraId="11C21DFA" w14:textId="77777777" w:rsidR="009C4265" w:rsidRPr="009C4265" w:rsidRDefault="009C4265" w:rsidP="009C4265">
            <w:pPr>
              <w:jc w:val="center"/>
              <w:rPr>
                <w:rFonts w:ascii="Arial Narrow" w:hAnsi="Arial Narrow" w:cs="Calibri"/>
                <w:sz w:val="22"/>
                <w:szCs w:val="22"/>
                <w:lang w:val="es-CR" w:eastAsia="es-CR"/>
              </w:rPr>
            </w:pPr>
          </w:p>
        </w:tc>
        <w:tc>
          <w:tcPr>
            <w:tcW w:w="77" w:type="pct"/>
            <w:vAlign w:val="center"/>
          </w:tcPr>
          <w:p w14:paraId="5F04AA3A" w14:textId="77777777" w:rsidR="009C4265" w:rsidRPr="009C4265" w:rsidRDefault="009C4265" w:rsidP="009C4265">
            <w:pPr>
              <w:rPr>
                <w:rFonts w:ascii="Arial Narrow" w:hAnsi="Arial Narrow"/>
                <w:sz w:val="22"/>
                <w:szCs w:val="22"/>
                <w:lang w:val="es-CR" w:eastAsia="es-CR"/>
              </w:rPr>
            </w:pPr>
          </w:p>
        </w:tc>
      </w:tr>
      <w:tr w:rsidR="009C4265" w:rsidRPr="009C4265" w14:paraId="7693A6B6" w14:textId="77777777" w:rsidTr="00C9711A">
        <w:trPr>
          <w:trHeight w:val="1514"/>
        </w:trPr>
        <w:tc>
          <w:tcPr>
            <w:tcW w:w="924" w:type="pct"/>
            <w:tcBorders>
              <w:top w:val="single" w:sz="4" w:space="0" w:color="auto"/>
              <w:left w:val="single" w:sz="4" w:space="0" w:color="auto"/>
              <w:bottom w:val="single" w:sz="4" w:space="0" w:color="auto"/>
              <w:right w:val="single" w:sz="4" w:space="0" w:color="auto"/>
            </w:tcBorders>
            <w:shd w:val="clear" w:color="auto" w:fill="auto"/>
            <w:noWrap/>
            <w:vAlign w:val="bottom"/>
          </w:tcPr>
          <w:p w14:paraId="0B5062C7" w14:textId="77777777" w:rsidR="009C4265" w:rsidRPr="009C4265" w:rsidRDefault="009C4265" w:rsidP="009C4265">
            <w:pPr>
              <w:jc w:val="center"/>
              <w:rPr>
                <w:rFonts w:ascii="Arial Narrow" w:hAnsi="Arial Narrow" w:cs="Calibri"/>
                <w:sz w:val="22"/>
                <w:szCs w:val="22"/>
                <w:lang w:val="es-CR" w:eastAsia="es-CR"/>
              </w:rPr>
            </w:pPr>
            <w:r w:rsidRPr="009C4265">
              <w:rPr>
                <w:rFonts w:ascii="Arial Narrow" w:hAnsi="Arial Narrow" w:cs="Calibri"/>
                <w:sz w:val="22"/>
                <w:szCs w:val="22"/>
                <w:lang w:val="es-CR" w:eastAsia="es-CR"/>
              </w:rPr>
              <w:lastRenderedPageBreak/>
              <w:t>Centro de Apoyo, Coordinación y Mejoramiento de la función Jurisdiccional</w:t>
            </w:r>
          </w:p>
          <w:p w14:paraId="25EA338D" w14:textId="77777777" w:rsidR="009C4265" w:rsidRPr="009C4265" w:rsidRDefault="009C4265" w:rsidP="009C4265">
            <w:pPr>
              <w:jc w:val="center"/>
              <w:rPr>
                <w:rFonts w:ascii="Arial Narrow" w:hAnsi="Arial Narrow" w:cs="Calibri"/>
                <w:sz w:val="22"/>
                <w:szCs w:val="22"/>
                <w:lang w:val="es-CR" w:eastAsia="es-CR"/>
              </w:rPr>
            </w:pPr>
          </w:p>
          <w:p w14:paraId="24C87819" w14:textId="77777777" w:rsidR="009C4265" w:rsidRPr="009C4265" w:rsidRDefault="009C4265" w:rsidP="009C4265">
            <w:pPr>
              <w:jc w:val="center"/>
              <w:rPr>
                <w:rFonts w:ascii="Arial Narrow" w:hAnsi="Arial Narrow" w:cs="Calibri"/>
                <w:sz w:val="22"/>
                <w:szCs w:val="22"/>
                <w:lang w:val="es-CR" w:eastAsia="es-CR"/>
              </w:rPr>
            </w:pPr>
          </w:p>
          <w:p w14:paraId="39B422AF" w14:textId="77777777" w:rsidR="009C4265" w:rsidRPr="009C4265" w:rsidRDefault="009C4265" w:rsidP="009C4265">
            <w:pPr>
              <w:jc w:val="center"/>
              <w:rPr>
                <w:rFonts w:ascii="Arial Narrow" w:hAnsi="Arial Narrow" w:cs="Calibri"/>
                <w:sz w:val="22"/>
                <w:szCs w:val="22"/>
                <w:lang w:val="es-CR" w:eastAsia="es-CR"/>
              </w:rPr>
            </w:pPr>
          </w:p>
          <w:p w14:paraId="4EA377FA" w14:textId="77777777" w:rsidR="009C4265" w:rsidRPr="009C4265" w:rsidRDefault="009C4265" w:rsidP="009C4265">
            <w:pPr>
              <w:jc w:val="center"/>
              <w:rPr>
                <w:rFonts w:ascii="Arial Narrow" w:hAnsi="Arial Narrow" w:cs="Calibri"/>
                <w:sz w:val="22"/>
                <w:szCs w:val="22"/>
                <w:lang w:val="es-CR" w:eastAsia="es-CR"/>
              </w:rPr>
            </w:pPr>
          </w:p>
          <w:p w14:paraId="703E9AF1" w14:textId="77777777" w:rsidR="009C4265" w:rsidRPr="009C4265" w:rsidRDefault="009C4265" w:rsidP="009C4265">
            <w:pPr>
              <w:jc w:val="center"/>
              <w:rPr>
                <w:rFonts w:ascii="Arial Narrow" w:hAnsi="Arial Narrow" w:cs="Calibri"/>
                <w:sz w:val="22"/>
                <w:szCs w:val="22"/>
                <w:lang w:val="es-CR" w:eastAsia="es-CR"/>
              </w:rPr>
            </w:pPr>
          </w:p>
          <w:p w14:paraId="2CCB09AF" w14:textId="77777777" w:rsidR="009C4265" w:rsidRPr="009C4265" w:rsidRDefault="009C4265" w:rsidP="009C4265">
            <w:pPr>
              <w:jc w:val="center"/>
              <w:rPr>
                <w:rFonts w:ascii="Arial Narrow" w:hAnsi="Arial Narrow" w:cs="Calibri"/>
                <w:sz w:val="22"/>
                <w:szCs w:val="22"/>
                <w:lang w:val="es-CR" w:eastAsia="es-CR"/>
              </w:rPr>
            </w:pPr>
          </w:p>
          <w:p w14:paraId="043F5B6A" w14:textId="77777777" w:rsidR="009C4265" w:rsidRPr="009C4265" w:rsidRDefault="009C4265" w:rsidP="009C4265">
            <w:pPr>
              <w:jc w:val="center"/>
              <w:rPr>
                <w:rFonts w:ascii="Arial Narrow" w:hAnsi="Arial Narrow" w:cs="Calibri"/>
                <w:sz w:val="22"/>
                <w:szCs w:val="22"/>
                <w:lang w:val="es-CR" w:eastAsia="es-CR"/>
              </w:rPr>
            </w:pPr>
          </w:p>
          <w:p w14:paraId="0DA2A703" w14:textId="77777777" w:rsidR="009C4265" w:rsidRPr="009C4265" w:rsidRDefault="009C4265" w:rsidP="009C4265">
            <w:pPr>
              <w:jc w:val="center"/>
              <w:rPr>
                <w:rFonts w:ascii="Arial Narrow" w:hAnsi="Arial Narrow" w:cs="Calibri"/>
                <w:sz w:val="22"/>
                <w:szCs w:val="22"/>
                <w:lang w:val="es-CR" w:eastAsia="es-CR"/>
              </w:rPr>
            </w:pPr>
          </w:p>
          <w:p w14:paraId="33EDC5BA" w14:textId="77777777" w:rsidR="009C4265" w:rsidRPr="009C4265" w:rsidRDefault="009C4265" w:rsidP="009C4265">
            <w:pPr>
              <w:jc w:val="center"/>
              <w:rPr>
                <w:rFonts w:ascii="Arial Narrow" w:hAnsi="Arial Narrow" w:cs="Calibri"/>
                <w:sz w:val="22"/>
                <w:szCs w:val="22"/>
                <w:lang w:val="es-CR" w:eastAsia="es-CR"/>
              </w:rPr>
            </w:pPr>
          </w:p>
          <w:p w14:paraId="43C74DC8" w14:textId="77777777" w:rsidR="009C4265" w:rsidRPr="009C4265" w:rsidRDefault="009C4265" w:rsidP="009C4265">
            <w:pPr>
              <w:jc w:val="center"/>
              <w:rPr>
                <w:rFonts w:ascii="Arial Narrow" w:hAnsi="Arial Narrow" w:cs="Calibri"/>
                <w:sz w:val="22"/>
                <w:szCs w:val="22"/>
                <w:lang w:val="es-CR" w:eastAsia="es-CR"/>
              </w:rPr>
            </w:pPr>
          </w:p>
          <w:p w14:paraId="4FFFC9FF" w14:textId="77777777" w:rsidR="009C4265" w:rsidRPr="009C4265" w:rsidRDefault="009C4265" w:rsidP="009C4265">
            <w:pPr>
              <w:jc w:val="center"/>
              <w:rPr>
                <w:rFonts w:ascii="Arial Narrow" w:hAnsi="Arial Narrow" w:cs="Calibri"/>
                <w:sz w:val="22"/>
                <w:szCs w:val="22"/>
                <w:lang w:val="es-CR" w:eastAsia="es-CR"/>
              </w:rPr>
            </w:pPr>
          </w:p>
          <w:p w14:paraId="22F51B66" w14:textId="77777777" w:rsidR="009C4265" w:rsidRPr="009C4265" w:rsidRDefault="009C4265" w:rsidP="009C4265">
            <w:pPr>
              <w:jc w:val="center"/>
              <w:rPr>
                <w:rFonts w:ascii="Arial Narrow" w:hAnsi="Arial Narrow" w:cs="Calibri"/>
                <w:sz w:val="22"/>
                <w:szCs w:val="22"/>
                <w:lang w:val="es-CR" w:eastAsia="es-CR"/>
              </w:rPr>
            </w:pPr>
          </w:p>
          <w:p w14:paraId="3028D0C7" w14:textId="77777777" w:rsidR="009C4265" w:rsidRPr="009C4265" w:rsidRDefault="009C4265" w:rsidP="009C4265">
            <w:pPr>
              <w:jc w:val="center"/>
              <w:rPr>
                <w:rFonts w:ascii="Arial Narrow" w:hAnsi="Arial Narrow" w:cs="Calibri"/>
                <w:sz w:val="22"/>
                <w:szCs w:val="22"/>
                <w:lang w:val="es-CR" w:eastAsia="es-CR"/>
              </w:rPr>
            </w:pPr>
          </w:p>
          <w:p w14:paraId="28DE2907" w14:textId="77777777" w:rsidR="009C4265" w:rsidRPr="009C4265" w:rsidRDefault="009C4265" w:rsidP="009C4265">
            <w:pPr>
              <w:jc w:val="center"/>
              <w:rPr>
                <w:rFonts w:ascii="Arial Narrow" w:hAnsi="Arial Narrow" w:cs="Calibri"/>
                <w:sz w:val="22"/>
                <w:szCs w:val="22"/>
                <w:lang w:val="es-CR" w:eastAsia="es-CR"/>
              </w:rPr>
            </w:pPr>
          </w:p>
          <w:p w14:paraId="6DD8B700" w14:textId="77777777" w:rsidR="009C4265" w:rsidRPr="009C4265" w:rsidRDefault="009C4265" w:rsidP="009C4265">
            <w:pPr>
              <w:jc w:val="center"/>
              <w:rPr>
                <w:rFonts w:ascii="Arial Narrow" w:hAnsi="Arial Narrow" w:cs="Calibri"/>
                <w:sz w:val="22"/>
                <w:szCs w:val="22"/>
                <w:lang w:val="es-CR" w:eastAsia="es-CR"/>
              </w:rPr>
            </w:pPr>
          </w:p>
          <w:p w14:paraId="2DF16374" w14:textId="77777777" w:rsidR="009C4265" w:rsidRPr="009C4265" w:rsidRDefault="009C4265" w:rsidP="009C4265">
            <w:pPr>
              <w:jc w:val="center"/>
              <w:rPr>
                <w:rFonts w:ascii="Arial Narrow" w:hAnsi="Arial Narrow" w:cs="Calibri"/>
                <w:sz w:val="22"/>
                <w:szCs w:val="22"/>
                <w:lang w:val="es-CR" w:eastAsia="es-CR"/>
              </w:rPr>
            </w:pPr>
          </w:p>
          <w:p w14:paraId="208114B6" w14:textId="77777777" w:rsidR="009C4265" w:rsidRPr="009C4265" w:rsidRDefault="009C4265" w:rsidP="009C4265">
            <w:pPr>
              <w:jc w:val="center"/>
              <w:rPr>
                <w:rFonts w:ascii="Arial Narrow" w:hAnsi="Arial Narrow" w:cs="Calibri"/>
                <w:sz w:val="22"/>
                <w:szCs w:val="22"/>
                <w:lang w:val="es-CR" w:eastAsia="es-CR"/>
              </w:rPr>
            </w:pPr>
          </w:p>
          <w:p w14:paraId="13044D1B" w14:textId="77777777" w:rsidR="009C4265" w:rsidRPr="009C4265" w:rsidRDefault="009C4265" w:rsidP="009C4265">
            <w:pPr>
              <w:jc w:val="center"/>
              <w:rPr>
                <w:rFonts w:ascii="Arial Narrow" w:hAnsi="Arial Narrow" w:cs="Calibri"/>
                <w:sz w:val="22"/>
                <w:szCs w:val="22"/>
                <w:lang w:val="es-CR" w:eastAsia="es-CR"/>
              </w:rPr>
            </w:pPr>
          </w:p>
          <w:p w14:paraId="270EC71F" w14:textId="77777777" w:rsidR="009C4265" w:rsidRPr="009C4265" w:rsidRDefault="009C4265" w:rsidP="009C4265">
            <w:pPr>
              <w:jc w:val="center"/>
              <w:rPr>
                <w:rFonts w:ascii="Arial Narrow" w:hAnsi="Arial Narrow" w:cs="Calibri"/>
                <w:sz w:val="22"/>
                <w:szCs w:val="22"/>
                <w:lang w:val="es-CR" w:eastAsia="es-CR"/>
              </w:rPr>
            </w:pPr>
          </w:p>
          <w:p w14:paraId="7CF9C095" w14:textId="77777777" w:rsidR="009C4265" w:rsidRPr="009C4265" w:rsidRDefault="009C4265" w:rsidP="009C4265">
            <w:pPr>
              <w:jc w:val="center"/>
              <w:rPr>
                <w:rFonts w:ascii="Arial Narrow" w:hAnsi="Arial Narrow" w:cs="Calibri"/>
                <w:sz w:val="22"/>
                <w:szCs w:val="22"/>
                <w:lang w:val="es-CR" w:eastAsia="es-CR"/>
              </w:rPr>
            </w:pPr>
          </w:p>
          <w:p w14:paraId="145E098B" w14:textId="77777777" w:rsidR="009C4265" w:rsidRPr="009C4265" w:rsidRDefault="009C4265" w:rsidP="009C4265">
            <w:pPr>
              <w:jc w:val="center"/>
              <w:rPr>
                <w:rFonts w:ascii="Arial Narrow" w:hAnsi="Arial Narrow" w:cs="Calibri"/>
                <w:sz w:val="22"/>
                <w:szCs w:val="22"/>
                <w:lang w:val="es-CR" w:eastAsia="es-CR"/>
              </w:rPr>
            </w:pPr>
          </w:p>
          <w:p w14:paraId="76A0E53F" w14:textId="77777777" w:rsidR="009C4265" w:rsidRPr="009C4265" w:rsidRDefault="009C4265" w:rsidP="009C4265">
            <w:pPr>
              <w:jc w:val="center"/>
              <w:rPr>
                <w:rFonts w:ascii="Arial Narrow" w:hAnsi="Arial Narrow" w:cs="Calibri"/>
                <w:sz w:val="22"/>
                <w:szCs w:val="22"/>
                <w:lang w:val="es-CR" w:eastAsia="es-CR"/>
              </w:rPr>
            </w:pPr>
          </w:p>
        </w:tc>
        <w:tc>
          <w:tcPr>
            <w:tcW w:w="370" w:type="pct"/>
            <w:tcBorders>
              <w:top w:val="single" w:sz="4" w:space="0" w:color="auto"/>
              <w:left w:val="nil"/>
              <w:bottom w:val="single" w:sz="4" w:space="0" w:color="auto"/>
              <w:right w:val="single" w:sz="4" w:space="0" w:color="auto"/>
            </w:tcBorders>
            <w:shd w:val="clear" w:color="auto" w:fill="auto"/>
            <w:noWrap/>
            <w:vAlign w:val="bottom"/>
          </w:tcPr>
          <w:p w14:paraId="1587943B" w14:textId="77777777" w:rsidR="009C4265" w:rsidRPr="009C4265" w:rsidRDefault="009C4265" w:rsidP="009C4265">
            <w:pPr>
              <w:jc w:val="center"/>
              <w:rPr>
                <w:rFonts w:ascii="Arial Narrow" w:hAnsi="Arial Narrow" w:cs="Arial"/>
                <w:sz w:val="22"/>
                <w:szCs w:val="22"/>
              </w:rPr>
            </w:pPr>
            <w:r w:rsidRPr="009C4265">
              <w:rPr>
                <w:rFonts w:ascii="Arial Narrow" w:hAnsi="Arial Narrow" w:cs="Arial"/>
                <w:sz w:val="22"/>
                <w:szCs w:val="22"/>
              </w:rPr>
              <w:lastRenderedPageBreak/>
              <w:t>35-69</w:t>
            </w:r>
          </w:p>
        </w:tc>
        <w:tc>
          <w:tcPr>
            <w:tcW w:w="1783" w:type="pct"/>
            <w:tcBorders>
              <w:top w:val="single" w:sz="4" w:space="0" w:color="auto"/>
              <w:left w:val="nil"/>
              <w:bottom w:val="single" w:sz="4" w:space="0" w:color="auto"/>
              <w:right w:val="single" w:sz="4" w:space="0" w:color="auto"/>
            </w:tcBorders>
            <w:shd w:val="clear" w:color="auto" w:fill="auto"/>
            <w:noWrap/>
          </w:tcPr>
          <w:p w14:paraId="0D4E561B" w14:textId="07BA372E" w:rsidR="009C4265" w:rsidRPr="009C4265" w:rsidRDefault="009C4265" w:rsidP="00C9711A">
            <w:pPr>
              <w:jc w:val="both"/>
              <w:rPr>
                <w:rFonts w:ascii="Arial Narrow" w:hAnsi="Arial Narrow" w:cs="Arial"/>
                <w:sz w:val="22"/>
                <w:szCs w:val="22"/>
                <w:lang w:eastAsia="zh-CN"/>
              </w:rPr>
            </w:pPr>
            <w:r w:rsidRPr="009C4265">
              <w:rPr>
                <w:rFonts w:ascii="Arial Narrow" w:hAnsi="Arial Narrow" w:cs="Arial"/>
                <w:sz w:val="22"/>
                <w:szCs w:val="22"/>
                <w:lang w:eastAsia="zh-CN"/>
              </w:rPr>
              <w:t>Cuadros del 3 al 10</w:t>
            </w:r>
          </w:p>
          <w:p w14:paraId="114A05E7" w14:textId="77777777" w:rsidR="009C4265" w:rsidRPr="009C4265" w:rsidRDefault="009C4265" w:rsidP="00C9711A">
            <w:pPr>
              <w:jc w:val="both"/>
              <w:rPr>
                <w:rFonts w:ascii="Arial Narrow" w:hAnsi="Arial Narrow"/>
                <w:sz w:val="22"/>
                <w:szCs w:val="22"/>
              </w:rPr>
            </w:pPr>
            <w:r w:rsidRPr="009C4265">
              <w:rPr>
                <w:rFonts w:ascii="Arial Narrow" w:hAnsi="Arial Narrow"/>
                <w:sz w:val="22"/>
                <w:szCs w:val="22"/>
              </w:rPr>
              <w:object w:dxaOrig="8070" w:dyaOrig="2310" w14:anchorId="7D4D9205">
                <v:shape id="_x0000_i1048" type="#_x0000_t75" style="width:164.95pt;height:87.7pt" o:ole="">
                  <v:imagedata r:id="rId210" o:title=""/>
                </v:shape>
                <o:OLEObject Type="Embed" ProgID="PBrush" ShapeID="_x0000_i1048" DrawAspect="Content" ObjectID="_1696768467" r:id="rId211"/>
              </w:object>
            </w:r>
          </w:p>
          <w:p w14:paraId="5FD13C51" w14:textId="77777777" w:rsidR="009C4265" w:rsidRPr="009C4265" w:rsidRDefault="009C4265" w:rsidP="00C9711A">
            <w:pPr>
              <w:jc w:val="both"/>
              <w:rPr>
                <w:rFonts w:ascii="Arial Narrow" w:hAnsi="Arial Narrow" w:cs="Arial"/>
                <w:sz w:val="22"/>
                <w:szCs w:val="22"/>
                <w:lang w:eastAsia="zh-CN"/>
              </w:rPr>
            </w:pPr>
            <w:r w:rsidRPr="009C4265">
              <w:rPr>
                <w:rFonts w:ascii="Arial Narrow" w:hAnsi="Arial Narrow" w:cs="Arial"/>
                <w:sz w:val="22"/>
                <w:szCs w:val="22"/>
                <w:lang w:eastAsia="zh-CN"/>
              </w:rPr>
              <w:t>Cuadros del 11 al 15</w:t>
            </w:r>
          </w:p>
          <w:p w14:paraId="7903E19D" w14:textId="77777777" w:rsidR="009C4265" w:rsidRPr="009C4265" w:rsidRDefault="009C4265" w:rsidP="00C9711A">
            <w:pPr>
              <w:suppressLineNumbers/>
              <w:spacing w:before="120" w:after="120"/>
              <w:jc w:val="both"/>
              <w:rPr>
                <w:rFonts w:ascii="Arial Narrow" w:eastAsiaTheme="minorHAnsi" w:hAnsi="Arial Narrow" w:cs="Arial"/>
                <w:sz w:val="22"/>
                <w:szCs w:val="22"/>
                <w:lang w:val="es-CR" w:eastAsia="zh-CN"/>
              </w:rPr>
            </w:pPr>
            <w:r w:rsidRPr="009C4265">
              <w:rPr>
                <w:rFonts w:ascii="Arial Narrow" w:hAnsi="Arial Narrow" w:cs="Arial"/>
                <w:i/>
                <w:iCs/>
                <w:sz w:val="22"/>
                <w:szCs w:val="22"/>
                <w:lang w:val="es-CR"/>
              </w:rPr>
              <w:object w:dxaOrig="8100" w:dyaOrig="2130" w14:anchorId="23E7B378">
                <v:shape id="_x0000_i1049" type="#_x0000_t75" style="width:164.3pt;height:82.45pt" o:ole="">
                  <v:imagedata r:id="rId212" o:title=""/>
                </v:shape>
                <o:OLEObject Type="Embed" ProgID="PBrush" ShapeID="_x0000_i1049" DrawAspect="Content" ObjectID="_1696768468" r:id="rId213"/>
              </w:object>
            </w:r>
          </w:p>
        </w:tc>
        <w:tc>
          <w:tcPr>
            <w:tcW w:w="956" w:type="pct"/>
            <w:tcBorders>
              <w:top w:val="single" w:sz="4" w:space="0" w:color="auto"/>
              <w:left w:val="nil"/>
              <w:bottom w:val="single" w:sz="4" w:space="0" w:color="auto"/>
              <w:right w:val="single" w:sz="4" w:space="0" w:color="auto"/>
            </w:tcBorders>
            <w:shd w:val="clear" w:color="auto" w:fill="auto"/>
            <w:noWrap/>
          </w:tcPr>
          <w:p w14:paraId="24F33D59" w14:textId="77777777" w:rsidR="009C4265" w:rsidRPr="009C4265" w:rsidRDefault="009C4265" w:rsidP="00C9711A">
            <w:pPr>
              <w:widowControl w:val="0"/>
              <w:tabs>
                <w:tab w:val="left" w:pos="175"/>
              </w:tabs>
              <w:autoSpaceDE w:val="0"/>
              <w:autoSpaceDN w:val="0"/>
              <w:adjustRightInd w:val="0"/>
              <w:spacing w:after="200"/>
              <w:ind w:left="754"/>
              <w:contextualSpacing/>
              <w:jc w:val="both"/>
              <w:rPr>
                <w:rFonts w:ascii="Arial Narrow" w:eastAsiaTheme="minorHAnsi" w:hAnsi="Arial Narrow" w:cs="Arial"/>
                <w:sz w:val="22"/>
                <w:szCs w:val="22"/>
                <w:lang w:val="es-CR" w:eastAsia="en-US"/>
              </w:rPr>
            </w:pPr>
          </w:p>
          <w:p w14:paraId="228535CF" w14:textId="77777777" w:rsidR="009C4265" w:rsidRPr="009C4265" w:rsidRDefault="009C4265" w:rsidP="00C9711A">
            <w:pPr>
              <w:widowControl w:val="0"/>
              <w:tabs>
                <w:tab w:val="left" w:pos="175"/>
              </w:tabs>
              <w:autoSpaceDE w:val="0"/>
              <w:autoSpaceDN w:val="0"/>
              <w:adjustRightInd w:val="0"/>
              <w:spacing w:after="200"/>
              <w:ind w:left="754"/>
              <w:contextualSpacing/>
              <w:jc w:val="both"/>
              <w:rPr>
                <w:rFonts w:ascii="Arial Narrow" w:eastAsiaTheme="minorHAnsi" w:hAnsi="Arial Narrow" w:cs="Arial"/>
                <w:sz w:val="22"/>
                <w:szCs w:val="22"/>
                <w:lang w:val="es-CR" w:eastAsia="en-US"/>
              </w:rPr>
            </w:pPr>
          </w:p>
          <w:p w14:paraId="6B6DFBB2" w14:textId="77777777" w:rsidR="009C4265" w:rsidRPr="009C4265" w:rsidRDefault="009C4265" w:rsidP="006A146B">
            <w:pPr>
              <w:widowControl w:val="0"/>
              <w:tabs>
                <w:tab w:val="left" w:pos="175"/>
              </w:tabs>
              <w:autoSpaceDE w:val="0"/>
              <w:autoSpaceDN w:val="0"/>
              <w:adjustRightInd w:val="0"/>
              <w:jc w:val="both"/>
              <w:rPr>
                <w:rFonts w:ascii="Arial Narrow" w:hAnsi="Arial Narrow" w:cs="Arial"/>
              </w:rPr>
            </w:pPr>
            <w:r w:rsidRPr="009C4265">
              <w:rPr>
                <w:rFonts w:ascii="Arial Narrow" w:hAnsi="Arial Narrow" w:cs="Arial"/>
              </w:rPr>
              <w:t>Cuadros del 3 al 10</w:t>
            </w:r>
          </w:p>
          <w:p w14:paraId="755DD006" w14:textId="77777777" w:rsidR="009C4265" w:rsidRPr="009C4265" w:rsidRDefault="009C4265" w:rsidP="00C9711A">
            <w:pPr>
              <w:widowControl w:val="0"/>
              <w:tabs>
                <w:tab w:val="left" w:pos="175"/>
              </w:tabs>
              <w:autoSpaceDE w:val="0"/>
              <w:autoSpaceDN w:val="0"/>
              <w:adjustRightInd w:val="0"/>
              <w:spacing w:after="200"/>
              <w:ind w:left="754"/>
              <w:contextualSpacing/>
              <w:jc w:val="both"/>
              <w:rPr>
                <w:rFonts w:ascii="Arial Narrow" w:eastAsiaTheme="minorHAnsi" w:hAnsi="Arial Narrow" w:cs="Arial"/>
                <w:sz w:val="22"/>
                <w:szCs w:val="22"/>
                <w:lang w:val="es-CR" w:eastAsia="en-US"/>
              </w:rPr>
            </w:pPr>
          </w:p>
          <w:p w14:paraId="2B0279D5" w14:textId="77777777" w:rsidR="009C4265" w:rsidRPr="009C4265" w:rsidRDefault="009C4265" w:rsidP="00C9711A">
            <w:pPr>
              <w:widowControl w:val="0"/>
              <w:tabs>
                <w:tab w:val="left" w:pos="175"/>
              </w:tabs>
              <w:autoSpaceDE w:val="0"/>
              <w:autoSpaceDN w:val="0"/>
              <w:adjustRightInd w:val="0"/>
              <w:spacing w:after="200"/>
              <w:ind w:left="34"/>
              <w:contextualSpacing/>
              <w:jc w:val="both"/>
              <w:rPr>
                <w:rFonts w:ascii="Arial Narrow" w:eastAsiaTheme="minorHAnsi" w:hAnsi="Arial Narrow" w:cs="Arial"/>
                <w:sz w:val="22"/>
                <w:szCs w:val="22"/>
                <w:lang w:val="es-CR" w:eastAsia="en-US"/>
              </w:rPr>
            </w:pPr>
            <w:r w:rsidRPr="009C4265">
              <w:rPr>
                <w:rFonts w:ascii="Arial Narrow" w:eastAsiaTheme="minorHAnsi" w:hAnsi="Arial Narrow" w:cs="Arial"/>
                <w:sz w:val="22"/>
                <w:szCs w:val="22"/>
                <w:lang w:val="es-CR" w:eastAsia="en-US"/>
              </w:rPr>
              <w:t>Revisar el tipo de cálculo realizado, ya que el porcentaje del PEI corresponde a un dato anual y no acumulado como se indica en la columna “DETALLE”.</w:t>
            </w:r>
          </w:p>
          <w:p w14:paraId="19089967" w14:textId="77777777" w:rsidR="009C4265" w:rsidRPr="009C4265" w:rsidRDefault="009C4265" w:rsidP="00C9711A">
            <w:pPr>
              <w:widowControl w:val="0"/>
              <w:tabs>
                <w:tab w:val="left" w:pos="175"/>
              </w:tabs>
              <w:autoSpaceDE w:val="0"/>
              <w:autoSpaceDN w:val="0"/>
              <w:adjustRightInd w:val="0"/>
              <w:spacing w:after="200"/>
              <w:ind w:left="34"/>
              <w:contextualSpacing/>
              <w:jc w:val="both"/>
              <w:rPr>
                <w:rFonts w:ascii="Arial Narrow" w:eastAsiaTheme="minorHAnsi" w:hAnsi="Arial Narrow" w:cs="Arial"/>
                <w:sz w:val="22"/>
                <w:szCs w:val="22"/>
                <w:lang w:val="es-CR" w:eastAsia="en-US"/>
              </w:rPr>
            </w:pPr>
          </w:p>
          <w:p w14:paraId="79F1C0A8" w14:textId="77777777" w:rsidR="009C4265" w:rsidRPr="009C4265" w:rsidRDefault="009C4265" w:rsidP="00C9711A">
            <w:pPr>
              <w:widowControl w:val="0"/>
              <w:tabs>
                <w:tab w:val="left" w:pos="175"/>
              </w:tabs>
              <w:autoSpaceDE w:val="0"/>
              <w:autoSpaceDN w:val="0"/>
              <w:adjustRightInd w:val="0"/>
              <w:spacing w:after="200"/>
              <w:ind w:left="34"/>
              <w:contextualSpacing/>
              <w:jc w:val="both"/>
              <w:rPr>
                <w:rFonts w:ascii="Arial Narrow" w:eastAsiaTheme="minorHAnsi" w:hAnsi="Arial Narrow" w:cs="Arial"/>
                <w:sz w:val="22"/>
                <w:szCs w:val="22"/>
                <w:lang w:val="es-CR" w:eastAsia="en-US"/>
              </w:rPr>
            </w:pPr>
          </w:p>
          <w:p w14:paraId="4A78EEBB" w14:textId="77777777" w:rsidR="009C4265" w:rsidRPr="009C4265" w:rsidRDefault="009C4265" w:rsidP="00C9711A">
            <w:pPr>
              <w:widowControl w:val="0"/>
              <w:tabs>
                <w:tab w:val="left" w:pos="175"/>
              </w:tabs>
              <w:autoSpaceDE w:val="0"/>
              <w:autoSpaceDN w:val="0"/>
              <w:adjustRightInd w:val="0"/>
              <w:spacing w:after="200"/>
              <w:ind w:left="34"/>
              <w:contextualSpacing/>
              <w:jc w:val="both"/>
              <w:rPr>
                <w:rFonts w:ascii="Arial Narrow" w:eastAsiaTheme="minorHAnsi" w:hAnsi="Arial Narrow" w:cs="Arial"/>
                <w:sz w:val="22"/>
                <w:szCs w:val="22"/>
                <w:lang w:val="es-CR" w:eastAsia="en-US"/>
              </w:rPr>
            </w:pPr>
          </w:p>
          <w:p w14:paraId="1C6B65F6" w14:textId="77777777" w:rsidR="009C4265" w:rsidRPr="009C4265" w:rsidRDefault="009C4265" w:rsidP="00C9711A">
            <w:pPr>
              <w:widowControl w:val="0"/>
              <w:tabs>
                <w:tab w:val="left" w:pos="175"/>
              </w:tabs>
              <w:autoSpaceDE w:val="0"/>
              <w:autoSpaceDN w:val="0"/>
              <w:adjustRightInd w:val="0"/>
              <w:spacing w:after="200"/>
              <w:ind w:left="34"/>
              <w:contextualSpacing/>
              <w:jc w:val="both"/>
              <w:rPr>
                <w:rFonts w:ascii="Arial Narrow" w:eastAsiaTheme="minorHAnsi" w:hAnsi="Arial Narrow" w:cs="Arial"/>
                <w:sz w:val="22"/>
                <w:szCs w:val="22"/>
                <w:lang w:val="es-CR" w:eastAsia="en-US"/>
              </w:rPr>
            </w:pPr>
            <w:r w:rsidRPr="009C4265">
              <w:rPr>
                <w:rFonts w:ascii="Arial Narrow" w:eastAsiaTheme="minorHAnsi" w:hAnsi="Arial Narrow" w:cs="Arial"/>
                <w:sz w:val="22"/>
                <w:szCs w:val="22"/>
                <w:lang w:val="es-CR" w:eastAsia="en-US"/>
              </w:rPr>
              <w:t>Cuadros del 11 al 15</w:t>
            </w:r>
          </w:p>
          <w:p w14:paraId="5F3342AA" w14:textId="77777777" w:rsidR="009C4265" w:rsidRPr="009C4265" w:rsidRDefault="009C4265" w:rsidP="00C9711A">
            <w:pPr>
              <w:widowControl w:val="0"/>
              <w:tabs>
                <w:tab w:val="left" w:pos="175"/>
              </w:tabs>
              <w:autoSpaceDE w:val="0"/>
              <w:autoSpaceDN w:val="0"/>
              <w:adjustRightInd w:val="0"/>
              <w:spacing w:after="200"/>
              <w:ind w:left="34"/>
              <w:contextualSpacing/>
              <w:jc w:val="both"/>
              <w:rPr>
                <w:rFonts w:ascii="Arial Narrow" w:eastAsiaTheme="minorHAnsi" w:hAnsi="Arial Narrow" w:cs="Arial"/>
                <w:sz w:val="22"/>
                <w:szCs w:val="22"/>
                <w:lang w:val="es-CR" w:eastAsia="en-US"/>
              </w:rPr>
            </w:pPr>
          </w:p>
          <w:p w14:paraId="4C916BB8" w14:textId="77777777" w:rsidR="009C4265" w:rsidRPr="009C4265" w:rsidRDefault="009C4265" w:rsidP="00C9711A">
            <w:pPr>
              <w:widowControl w:val="0"/>
              <w:tabs>
                <w:tab w:val="left" w:pos="175"/>
              </w:tabs>
              <w:autoSpaceDE w:val="0"/>
              <w:autoSpaceDN w:val="0"/>
              <w:adjustRightInd w:val="0"/>
              <w:spacing w:after="200"/>
              <w:ind w:left="34"/>
              <w:contextualSpacing/>
              <w:jc w:val="both"/>
              <w:rPr>
                <w:rFonts w:ascii="Arial Narrow" w:eastAsiaTheme="minorHAnsi" w:hAnsi="Arial Narrow" w:cs="Arial"/>
                <w:sz w:val="22"/>
                <w:szCs w:val="22"/>
                <w:lang w:val="es-CR" w:eastAsia="en-US"/>
              </w:rPr>
            </w:pPr>
            <w:r w:rsidRPr="009C4265">
              <w:rPr>
                <w:rFonts w:ascii="Arial Narrow" w:eastAsiaTheme="minorHAnsi" w:hAnsi="Arial Narrow" w:cs="Arial"/>
                <w:sz w:val="22"/>
                <w:szCs w:val="22"/>
                <w:lang w:val="es-CR" w:eastAsia="en-US"/>
              </w:rPr>
              <w:t xml:space="preserve">Se observa que el porcentaje de cumplimiento del PEI sí corresponde a un dato acumulado, a diferencia </w:t>
            </w:r>
            <w:r w:rsidRPr="009C4265">
              <w:rPr>
                <w:rFonts w:ascii="Arial Narrow" w:eastAsiaTheme="minorHAnsi" w:hAnsi="Arial Narrow" w:cs="Arial"/>
                <w:sz w:val="22"/>
                <w:szCs w:val="22"/>
                <w:lang w:val="es-CR" w:eastAsia="en-US"/>
              </w:rPr>
              <w:lastRenderedPageBreak/>
              <w:t>del porcentaje anual mostrado en los cuadros del 3 al 10.</w:t>
            </w:r>
          </w:p>
          <w:p w14:paraId="01DE4445" w14:textId="77777777" w:rsidR="009C4265" w:rsidRPr="009C4265" w:rsidRDefault="009C4265" w:rsidP="00C9711A">
            <w:pPr>
              <w:widowControl w:val="0"/>
              <w:tabs>
                <w:tab w:val="left" w:pos="175"/>
              </w:tabs>
              <w:autoSpaceDE w:val="0"/>
              <w:autoSpaceDN w:val="0"/>
              <w:adjustRightInd w:val="0"/>
              <w:spacing w:after="200"/>
              <w:ind w:left="34"/>
              <w:contextualSpacing/>
              <w:jc w:val="both"/>
              <w:rPr>
                <w:rFonts w:ascii="Arial Narrow" w:eastAsiaTheme="minorHAnsi" w:hAnsi="Arial Narrow" w:cs="Arial"/>
                <w:sz w:val="22"/>
                <w:szCs w:val="22"/>
                <w:lang w:val="es-CR" w:eastAsia="en-US"/>
              </w:rPr>
            </w:pPr>
          </w:p>
          <w:p w14:paraId="46EDB70D" w14:textId="77777777" w:rsidR="009C4265" w:rsidRPr="009C4265" w:rsidRDefault="009C4265" w:rsidP="00C9711A">
            <w:pPr>
              <w:widowControl w:val="0"/>
              <w:tabs>
                <w:tab w:val="left" w:pos="175"/>
              </w:tabs>
              <w:autoSpaceDE w:val="0"/>
              <w:autoSpaceDN w:val="0"/>
              <w:adjustRightInd w:val="0"/>
              <w:spacing w:after="200"/>
              <w:ind w:left="34"/>
              <w:contextualSpacing/>
              <w:jc w:val="both"/>
              <w:rPr>
                <w:rFonts w:ascii="Arial Narrow" w:eastAsiaTheme="minorHAnsi" w:hAnsi="Arial Narrow" w:cs="Arial"/>
                <w:sz w:val="22"/>
                <w:szCs w:val="22"/>
                <w:lang w:val="es-CR" w:eastAsia="en-US"/>
              </w:rPr>
            </w:pPr>
            <w:r w:rsidRPr="009C4265">
              <w:rPr>
                <w:rFonts w:ascii="Arial Narrow" w:eastAsiaTheme="minorHAnsi" w:hAnsi="Arial Narrow" w:cs="Arial"/>
                <w:sz w:val="22"/>
                <w:szCs w:val="22"/>
                <w:lang w:val="es-CR" w:eastAsia="en-US"/>
              </w:rPr>
              <w:t>Se sugiere revisar la metodología de cálculo para el porcentaje acumulado del PEI.</w:t>
            </w:r>
          </w:p>
          <w:p w14:paraId="2894391B" w14:textId="77777777" w:rsidR="009C4265" w:rsidRPr="009C4265" w:rsidRDefault="009C4265" w:rsidP="006A146B">
            <w:pPr>
              <w:widowControl w:val="0"/>
              <w:autoSpaceDE w:val="0"/>
              <w:autoSpaceDN w:val="0"/>
              <w:adjustRightInd w:val="0"/>
              <w:jc w:val="both"/>
              <w:rPr>
                <w:rFonts w:ascii="Arial Narrow" w:hAnsi="Arial Narrow" w:cs="Arial"/>
                <w:sz w:val="22"/>
                <w:szCs w:val="22"/>
              </w:rPr>
            </w:pPr>
          </w:p>
        </w:tc>
        <w:tc>
          <w:tcPr>
            <w:tcW w:w="889" w:type="pct"/>
            <w:tcBorders>
              <w:top w:val="single" w:sz="4" w:space="0" w:color="auto"/>
              <w:left w:val="nil"/>
              <w:bottom w:val="single" w:sz="4" w:space="0" w:color="auto"/>
              <w:right w:val="single" w:sz="4" w:space="0" w:color="auto"/>
            </w:tcBorders>
            <w:shd w:val="clear" w:color="auto" w:fill="auto"/>
            <w:noWrap/>
          </w:tcPr>
          <w:p w14:paraId="101E8F69" w14:textId="77777777" w:rsidR="00FD024B" w:rsidRPr="009C4265" w:rsidRDefault="00FD024B" w:rsidP="00FD024B">
            <w:pPr>
              <w:jc w:val="both"/>
              <w:rPr>
                <w:rFonts w:ascii="Arial Narrow" w:hAnsi="Arial Narrow" w:cs="Calibri"/>
                <w:sz w:val="22"/>
                <w:szCs w:val="22"/>
                <w:lang w:val="es-CR" w:eastAsia="es-CR"/>
              </w:rPr>
            </w:pPr>
            <w:r w:rsidRPr="009C4265">
              <w:rPr>
                <w:rFonts w:ascii="Arial Narrow" w:hAnsi="Arial Narrow" w:cs="Calibri"/>
                <w:sz w:val="22"/>
                <w:szCs w:val="22"/>
                <w:lang w:val="es-CR" w:eastAsia="es-CR"/>
              </w:rPr>
              <w:lastRenderedPageBreak/>
              <w:t xml:space="preserve">Se toma nota de la observación. </w:t>
            </w:r>
          </w:p>
          <w:p w14:paraId="7F70617E" w14:textId="77777777" w:rsidR="00FD024B" w:rsidRPr="009C4265" w:rsidRDefault="00FD024B" w:rsidP="00FD024B">
            <w:pPr>
              <w:jc w:val="both"/>
              <w:rPr>
                <w:rFonts w:ascii="Arial Narrow" w:hAnsi="Arial Narrow" w:cs="Calibri"/>
                <w:sz w:val="22"/>
                <w:szCs w:val="22"/>
                <w:lang w:val="es-CR" w:eastAsia="es-CR"/>
              </w:rPr>
            </w:pPr>
          </w:p>
          <w:p w14:paraId="15592160" w14:textId="77777777" w:rsidR="00FD024B" w:rsidRPr="009C4265" w:rsidRDefault="00FD024B" w:rsidP="00FD024B">
            <w:pPr>
              <w:jc w:val="both"/>
              <w:rPr>
                <w:rFonts w:cs="Calibri"/>
                <w:sz w:val="22"/>
                <w:szCs w:val="22"/>
                <w:lang w:val="es-CR" w:eastAsia="es-CR"/>
              </w:rPr>
            </w:pPr>
            <w:r w:rsidRPr="009C4265">
              <w:rPr>
                <w:rFonts w:ascii="Arial Narrow" w:hAnsi="Arial Narrow" w:cs="Calibri"/>
                <w:sz w:val="22"/>
                <w:szCs w:val="22"/>
                <w:lang w:val="es-CR" w:eastAsia="es-CR"/>
              </w:rPr>
              <w:t>La observación no modifica el contenido.</w:t>
            </w:r>
          </w:p>
          <w:p w14:paraId="229C19D8" w14:textId="17622A6E" w:rsidR="009C4265" w:rsidRDefault="009C4265" w:rsidP="005B6D31">
            <w:pPr>
              <w:jc w:val="both"/>
              <w:rPr>
                <w:rFonts w:ascii="Arial Narrow" w:hAnsi="Arial Narrow" w:cs="Calibri"/>
                <w:sz w:val="22"/>
                <w:szCs w:val="22"/>
                <w:lang w:val="es-CR" w:eastAsia="es-CR"/>
              </w:rPr>
            </w:pPr>
          </w:p>
          <w:p w14:paraId="2C028D89" w14:textId="1356B375" w:rsidR="00FD024B" w:rsidRDefault="00FD024B" w:rsidP="005B6D31">
            <w:pPr>
              <w:jc w:val="both"/>
              <w:rPr>
                <w:rFonts w:ascii="Arial Narrow" w:hAnsi="Arial Narrow" w:cs="Calibri"/>
                <w:sz w:val="22"/>
                <w:szCs w:val="22"/>
                <w:lang w:val="es-CR" w:eastAsia="es-CR"/>
              </w:rPr>
            </w:pPr>
            <w:r>
              <w:rPr>
                <w:rFonts w:ascii="Arial Narrow" w:hAnsi="Arial Narrow" w:cs="Calibri"/>
                <w:sz w:val="22"/>
                <w:szCs w:val="22"/>
                <w:lang w:val="es-CR" w:eastAsia="es-CR"/>
              </w:rPr>
              <w:t xml:space="preserve">Se debe aclarar que la acción estratégica de Celeridad Judicial está compuesta por diversas metas estratégicas las cuales sus valores finales </w:t>
            </w:r>
            <w:r w:rsidRPr="00975FCD">
              <w:rPr>
                <w:rFonts w:ascii="Arial Narrow" w:hAnsi="Arial Narrow" w:cs="Calibri"/>
                <w:sz w:val="22"/>
                <w:szCs w:val="22"/>
                <w:lang w:val="es-CR" w:eastAsia="es-CR"/>
              </w:rPr>
              <w:t xml:space="preserve">esperados para el 2024 no es un 100% de cumplimiento, sino haber logrado de manera gradual un incremento de 1% anual de casos terminados, </w:t>
            </w:r>
            <w:r w:rsidR="00975FCD" w:rsidRPr="00975FCD">
              <w:rPr>
                <w:rFonts w:ascii="Arial Narrow" w:hAnsi="Arial Narrow" w:cs="Calibri"/>
                <w:sz w:val="22"/>
                <w:szCs w:val="22"/>
                <w:lang w:val="es-CR" w:eastAsia="es-CR"/>
              </w:rPr>
              <w:t xml:space="preserve">por lo que </w:t>
            </w:r>
            <w:r w:rsidR="00975FCD" w:rsidRPr="00975FCD">
              <w:rPr>
                <w:rFonts w:ascii="Arial Narrow" w:hAnsi="Arial Narrow" w:cs="Calibri"/>
                <w:sz w:val="22"/>
                <w:szCs w:val="22"/>
                <w:lang w:val="es-CR" w:eastAsia="es-CR"/>
              </w:rPr>
              <w:lastRenderedPageBreak/>
              <w:t>su medición</w:t>
            </w:r>
            <w:r w:rsidR="00975FCD">
              <w:rPr>
                <w:rFonts w:ascii="Arial Narrow" w:hAnsi="Arial Narrow" w:cs="Calibri"/>
                <w:sz w:val="22"/>
                <w:szCs w:val="22"/>
                <w:lang w:val="es-CR" w:eastAsia="es-CR"/>
              </w:rPr>
              <w:t xml:space="preserve"> anual se hace en función del valor absoluto alcanzado.</w:t>
            </w:r>
          </w:p>
          <w:p w14:paraId="595F80F2" w14:textId="1C7380F2" w:rsidR="00FD024B" w:rsidRPr="009C4265" w:rsidRDefault="00FD024B" w:rsidP="00C9711A">
            <w:pPr>
              <w:jc w:val="both"/>
              <w:rPr>
                <w:rFonts w:ascii="Arial Narrow" w:hAnsi="Arial Narrow" w:cs="Calibri"/>
                <w:sz w:val="22"/>
                <w:szCs w:val="22"/>
                <w:lang w:val="es-CR" w:eastAsia="es-CR"/>
              </w:rPr>
            </w:pPr>
            <w:r>
              <w:rPr>
                <w:rFonts w:ascii="Arial Narrow" w:hAnsi="Arial Narrow" w:cs="Calibri"/>
                <w:sz w:val="22"/>
                <w:szCs w:val="22"/>
                <w:lang w:val="es-CR" w:eastAsia="es-CR"/>
              </w:rPr>
              <w:t>Ahora bien, cuando la meta está planteada en términos porcentuales donde se espera lograr el 100% al final del periodo del PEI, el valor acumulado  está definido para cada año del periodo  2019-2024</w:t>
            </w:r>
            <w:r w:rsidR="00DC18EF">
              <w:rPr>
                <w:rFonts w:ascii="Arial Narrow" w:hAnsi="Arial Narrow" w:cs="Calibri"/>
                <w:sz w:val="22"/>
                <w:szCs w:val="22"/>
                <w:lang w:val="es-CR" w:eastAsia="es-CR"/>
              </w:rPr>
              <w:t>,</w:t>
            </w:r>
            <w:r>
              <w:rPr>
                <w:rFonts w:ascii="Arial Narrow" w:hAnsi="Arial Narrow" w:cs="Calibri"/>
                <w:sz w:val="22"/>
                <w:szCs w:val="22"/>
                <w:lang w:val="es-CR" w:eastAsia="es-CR"/>
              </w:rPr>
              <w:t xml:space="preserve"> </w:t>
            </w:r>
            <w:r w:rsidR="00283694" w:rsidRPr="00C9711A">
              <w:rPr>
                <w:rFonts w:ascii="Arial Narrow" w:hAnsi="Arial Narrow" w:cs="Calibri"/>
                <w:sz w:val="22"/>
                <w:szCs w:val="22"/>
                <w:lang w:val="es-CR" w:eastAsia="es-CR"/>
              </w:rPr>
              <w:t xml:space="preserve">así como se observa en el cuadro 30 del informe, donde se evidencian metas </w:t>
            </w:r>
            <w:r w:rsidR="00283694">
              <w:rPr>
                <w:rFonts w:ascii="Arial Narrow" w:hAnsi="Arial Narrow" w:cs="Calibri"/>
                <w:sz w:val="22"/>
                <w:szCs w:val="22"/>
                <w:lang w:val="es-CR" w:eastAsia="es-CR"/>
              </w:rPr>
              <w:t>c</w:t>
            </w:r>
            <w:r w:rsidR="00283694" w:rsidRPr="00C9711A">
              <w:rPr>
                <w:rFonts w:ascii="Arial Narrow" w:hAnsi="Arial Narrow" w:cs="Calibri"/>
                <w:sz w:val="22"/>
                <w:szCs w:val="22"/>
                <w:lang w:val="es-CR" w:eastAsia="es-CR"/>
              </w:rPr>
              <w:t>on valores finales de 100%.</w:t>
            </w:r>
          </w:p>
        </w:tc>
        <w:tc>
          <w:tcPr>
            <w:tcW w:w="77" w:type="pct"/>
            <w:vAlign w:val="center"/>
          </w:tcPr>
          <w:p w14:paraId="3FE2B056" w14:textId="77777777" w:rsidR="009C4265" w:rsidRPr="009C4265" w:rsidRDefault="009C4265" w:rsidP="009C4265">
            <w:pPr>
              <w:rPr>
                <w:rFonts w:ascii="Arial Narrow" w:hAnsi="Arial Narrow"/>
                <w:sz w:val="22"/>
                <w:szCs w:val="22"/>
                <w:lang w:val="es-CR" w:eastAsia="es-CR"/>
              </w:rPr>
            </w:pPr>
          </w:p>
        </w:tc>
      </w:tr>
      <w:tr w:rsidR="009C4265" w:rsidRPr="009C4265" w14:paraId="69D24B70" w14:textId="77777777" w:rsidTr="00C9711A">
        <w:trPr>
          <w:trHeight w:val="1514"/>
        </w:trPr>
        <w:tc>
          <w:tcPr>
            <w:tcW w:w="924" w:type="pct"/>
            <w:tcBorders>
              <w:top w:val="single" w:sz="4" w:space="0" w:color="auto"/>
              <w:left w:val="single" w:sz="4" w:space="0" w:color="auto"/>
              <w:bottom w:val="single" w:sz="4" w:space="0" w:color="auto"/>
              <w:right w:val="single" w:sz="4" w:space="0" w:color="auto"/>
            </w:tcBorders>
            <w:shd w:val="clear" w:color="auto" w:fill="auto"/>
            <w:noWrap/>
            <w:vAlign w:val="bottom"/>
          </w:tcPr>
          <w:p w14:paraId="196F7B4C" w14:textId="77777777" w:rsidR="009C4265" w:rsidRPr="009C4265" w:rsidRDefault="009C4265" w:rsidP="009C4265">
            <w:pPr>
              <w:jc w:val="center"/>
              <w:rPr>
                <w:rFonts w:ascii="Arial Narrow" w:hAnsi="Arial Narrow" w:cs="Calibri"/>
                <w:sz w:val="22"/>
                <w:szCs w:val="22"/>
                <w:lang w:val="es-CR" w:eastAsia="es-CR"/>
              </w:rPr>
            </w:pPr>
            <w:r w:rsidRPr="009C4265">
              <w:rPr>
                <w:rFonts w:ascii="Arial Narrow" w:hAnsi="Arial Narrow" w:cs="Calibri"/>
                <w:sz w:val="22"/>
                <w:szCs w:val="22"/>
                <w:lang w:val="es-CR" w:eastAsia="es-CR"/>
              </w:rPr>
              <w:lastRenderedPageBreak/>
              <w:t>Centro de Apoyo, Coordinación y Mejoramiento de la función Jurisdiccional</w:t>
            </w:r>
          </w:p>
          <w:p w14:paraId="64D9CABB" w14:textId="77777777" w:rsidR="009C4265" w:rsidRPr="009C4265" w:rsidRDefault="009C4265" w:rsidP="009C4265">
            <w:pPr>
              <w:jc w:val="center"/>
              <w:rPr>
                <w:rFonts w:ascii="Arial Narrow" w:hAnsi="Arial Narrow" w:cs="Calibri"/>
                <w:sz w:val="22"/>
                <w:szCs w:val="22"/>
                <w:lang w:val="es-CR" w:eastAsia="es-CR"/>
              </w:rPr>
            </w:pPr>
          </w:p>
          <w:p w14:paraId="124343A6" w14:textId="77777777" w:rsidR="009C4265" w:rsidRPr="009C4265" w:rsidRDefault="009C4265" w:rsidP="009C4265">
            <w:pPr>
              <w:jc w:val="center"/>
              <w:rPr>
                <w:rFonts w:ascii="Arial Narrow" w:hAnsi="Arial Narrow" w:cs="Calibri"/>
                <w:sz w:val="22"/>
                <w:szCs w:val="22"/>
                <w:lang w:val="es-CR" w:eastAsia="es-CR"/>
              </w:rPr>
            </w:pPr>
          </w:p>
          <w:p w14:paraId="3986F75E" w14:textId="77777777" w:rsidR="009C4265" w:rsidRPr="009C4265" w:rsidRDefault="009C4265" w:rsidP="009C4265">
            <w:pPr>
              <w:jc w:val="center"/>
              <w:rPr>
                <w:rFonts w:ascii="Arial Narrow" w:hAnsi="Arial Narrow" w:cs="Calibri"/>
                <w:sz w:val="22"/>
                <w:szCs w:val="22"/>
                <w:lang w:val="es-CR" w:eastAsia="es-CR"/>
              </w:rPr>
            </w:pPr>
          </w:p>
          <w:p w14:paraId="09CCB69B" w14:textId="77777777" w:rsidR="009C4265" w:rsidRPr="009C4265" w:rsidRDefault="009C4265" w:rsidP="009C4265">
            <w:pPr>
              <w:jc w:val="center"/>
              <w:rPr>
                <w:rFonts w:ascii="Arial Narrow" w:hAnsi="Arial Narrow" w:cs="Calibri"/>
                <w:sz w:val="22"/>
                <w:szCs w:val="22"/>
                <w:lang w:val="es-CR" w:eastAsia="es-CR"/>
              </w:rPr>
            </w:pPr>
          </w:p>
          <w:p w14:paraId="0D86098A" w14:textId="77777777" w:rsidR="009C4265" w:rsidRPr="009C4265" w:rsidRDefault="009C4265" w:rsidP="009C4265">
            <w:pPr>
              <w:jc w:val="center"/>
              <w:rPr>
                <w:rFonts w:ascii="Arial Narrow" w:hAnsi="Arial Narrow" w:cs="Calibri"/>
                <w:sz w:val="22"/>
                <w:szCs w:val="22"/>
                <w:lang w:val="es-CR" w:eastAsia="es-CR"/>
              </w:rPr>
            </w:pPr>
          </w:p>
          <w:p w14:paraId="6A28B392" w14:textId="77777777" w:rsidR="009C4265" w:rsidRPr="009C4265" w:rsidRDefault="009C4265" w:rsidP="009C4265">
            <w:pPr>
              <w:jc w:val="center"/>
              <w:rPr>
                <w:rFonts w:ascii="Arial Narrow" w:hAnsi="Arial Narrow" w:cs="Calibri"/>
                <w:sz w:val="22"/>
                <w:szCs w:val="22"/>
                <w:lang w:val="es-CR" w:eastAsia="es-CR"/>
              </w:rPr>
            </w:pPr>
          </w:p>
          <w:p w14:paraId="367DC9F9" w14:textId="77777777" w:rsidR="009C4265" w:rsidRPr="009C4265" w:rsidRDefault="009C4265" w:rsidP="009C4265">
            <w:pPr>
              <w:jc w:val="center"/>
              <w:rPr>
                <w:rFonts w:ascii="Arial Narrow" w:hAnsi="Arial Narrow" w:cs="Calibri"/>
                <w:sz w:val="22"/>
                <w:szCs w:val="22"/>
                <w:lang w:val="es-CR" w:eastAsia="es-CR"/>
              </w:rPr>
            </w:pPr>
          </w:p>
        </w:tc>
        <w:tc>
          <w:tcPr>
            <w:tcW w:w="370" w:type="pct"/>
            <w:tcBorders>
              <w:top w:val="single" w:sz="4" w:space="0" w:color="auto"/>
              <w:left w:val="nil"/>
              <w:bottom w:val="single" w:sz="4" w:space="0" w:color="auto"/>
              <w:right w:val="single" w:sz="4" w:space="0" w:color="auto"/>
            </w:tcBorders>
            <w:shd w:val="clear" w:color="auto" w:fill="auto"/>
            <w:noWrap/>
            <w:vAlign w:val="bottom"/>
          </w:tcPr>
          <w:p w14:paraId="12BA1872" w14:textId="77777777" w:rsidR="009C4265" w:rsidRPr="009C4265" w:rsidRDefault="009C4265" w:rsidP="009C4265">
            <w:pPr>
              <w:jc w:val="center"/>
              <w:rPr>
                <w:rFonts w:ascii="Arial Narrow" w:hAnsi="Arial Narrow" w:cs="Arial"/>
                <w:sz w:val="22"/>
                <w:szCs w:val="22"/>
              </w:rPr>
            </w:pPr>
            <w:r w:rsidRPr="009C4265">
              <w:rPr>
                <w:rFonts w:ascii="Arial Narrow" w:hAnsi="Arial Narrow" w:cs="Arial"/>
                <w:sz w:val="22"/>
                <w:szCs w:val="22"/>
              </w:rPr>
              <w:t>38</w:t>
            </w:r>
          </w:p>
        </w:tc>
        <w:tc>
          <w:tcPr>
            <w:tcW w:w="1783" w:type="pct"/>
            <w:tcBorders>
              <w:top w:val="single" w:sz="4" w:space="0" w:color="auto"/>
              <w:left w:val="nil"/>
              <w:bottom w:val="single" w:sz="4" w:space="0" w:color="auto"/>
              <w:right w:val="single" w:sz="4" w:space="0" w:color="auto"/>
            </w:tcBorders>
            <w:shd w:val="clear" w:color="auto" w:fill="auto"/>
            <w:noWrap/>
          </w:tcPr>
          <w:p w14:paraId="08488FBB" w14:textId="77777777" w:rsidR="009C4265" w:rsidRPr="009C4265" w:rsidRDefault="009C4265" w:rsidP="00C9711A">
            <w:pPr>
              <w:suppressLineNumbers/>
              <w:spacing w:before="120" w:after="120"/>
              <w:jc w:val="both"/>
              <w:rPr>
                <w:rFonts w:ascii="Arial Narrow" w:eastAsiaTheme="minorHAnsi" w:hAnsi="Arial Narrow" w:cs="Arial"/>
                <w:sz w:val="22"/>
                <w:szCs w:val="22"/>
                <w:lang w:val="es-CR" w:eastAsia="zh-CN"/>
              </w:rPr>
            </w:pPr>
            <w:r w:rsidRPr="009C4265">
              <w:rPr>
                <w:rFonts w:ascii="Arial Narrow" w:eastAsiaTheme="minorHAnsi" w:hAnsi="Arial Narrow" w:cs="Arial"/>
                <w:sz w:val="22"/>
                <w:szCs w:val="22"/>
                <w:lang w:val="es-CR" w:eastAsia="zh-CN"/>
              </w:rPr>
              <w:t>Cuadro 4 Metas estratégicas de Celeridad Judicial y su cumplimiento para el 2019-2020</w:t>
            </w:r>
          </w:p>
          <w:p w14:paraId="62BEA2E4" w14:textId="77777777" w:rsidR="009C4265" w:rsidRPr="009C4265" w:rsidRDefault="009C4265" w:rsidP="00C9711A">
            <w:pPr>
              <w:jc w:val="both"/>
              <w:rPr>
                <w:rFonts w:ascii="Arial Narrow" w:hAnsi="Arial Narrow"/>
                <w:sz w:val="22"/>
                <w:szCs w:val="22"/>
              </w:rPr>
            </w:pPr>
            <w:r w:rsidRPr="009C4265">
              <w:rPr>
                <w:rFonts w:ascii="Arial Narrow" w:hAnsi="Arial Narrow"/>
                <w:sz w:val="22"/>
                <w:szCs w:val="22"/>
              </w:rPr>
              <w:object w:dxaOrig="17280" w:dyaOrig="6765" w14:anchorId="0ADCBA92">
                <v:shape id="_x0000_i1050" type="#_x0000_t75" style="width:174.75pt;height:159.05pt" o:ole="">
                  <v:imagedata r:id="rId214" o:title=""/>
                </v:shape>
                <o:OLEObject Type="Embed" ProgID="PBrush" ShapeID="_x0000_i1050" DrawAspect="Content" ObjectID="_1696768469" r:id="rId215"/>
              </w:object>
            </w:r>
          </w:p>
          <w:p w14:paraId="467BFA3E" w14:textId="77777777" w:rsidR="009C4265" w:rsidRPr="009C4265" w:rsidRDefault="009C4265" w:rsidP="00C9711A">
            <w:pPr>
              <w:jc w:val="both"/>
              <w:rPr>
                <w:rFonts w:ascii="Arial Narrow" w:hAnsi="Arial Narrow"/>
                <w:sz w:val="22"/>
                <w:szCs w:val="22"/>
              </w:rPr>
            </w:pPr>
          </w:p>
          <w:p w14:paraId="1D3BE834" w14:textId="77777777" w:rsidR="009C4265" w:rsidRPr="009C4265" w:rsidRDefault="009C4265" w:rsidP="00C9711A">
            <w:pPr>
              <w:jc w:val="both"/>
              <w:rPr>
                <w:rFonts w:ascii="Arial Narrow" w:hAnsi="Arial Narrow" w:cs="Arial"/>
                <w:sz w:val="22"/>
                <w:szCs w:val="22"/>
                <w:lang w:eastAsia="zh-CN"/>
              </w:rPr>
            </w:pPr>
          </w:p>
        </w:tc>
        <w:tc>
          <w:tcPr>
            <w:tcW w:w="956" w:type="pct"/>
            <w:tcBorders>
              <w:top w:val="single" w:sz="4" w:space="0" w:color="auto"/>
              <w:left w:val="nil"/>
              <w:bottom w:val="single" w:sz="4" w:space="0" w:color="auto"/>
              <w:right w:val="single" w:sz="4" w:space="0" w:color="auto"/>
            </w:tcBorders>
            <w:shd w:val="clear" w:color="auto" w:fill="auto"/>
            <w:noWrap/>
          </w:tcPr>
          <w:p w14:paraId="1E47D7E7" w14:textId="77777777" w:rsidR="009C4265" w:rsidRPr="009C4265" w:rsidRDefault="009C4265" w:rsidP="006A146B">
            <w:pPr>
              <w:widowControl w:val="0"/>
              <w:tabs>
                <w:tab w:val="left" w:pos="175"/>
              </w:tabs>
              <w:autoSpaceDE w:val="0"/>
              <w:autoSpaceDN w:val="0"/>
              <w:adjustRightInd w:val="0"/>
              <w:jc w:val="both"/>
              <w:rPr>
                <w:rFonts w:ascii="Arial Narrow" w:hAnsi="Arial Narrow" w:cs="Arial"/>
                <w:sz w:val="22"/>
                <w:szCs w:val="22"/>
              </w:rPr>
            </w:pPr>
            <w:r w:rsidRPr="009C4265">
              <w:rPr>
                <w:rFonts w:ascii="Arial Narrow" w:hAnsi="Arial Narrow" w:cs="Arial"/>
                <w:sz w:val="22"/>
                <w:szCs w:val="22"/>
              </w:rPr>
              <w:t>A nivel nacional hay 60 despachos que atienden la materia de tránsito y no 57.</w:t>
            </w:r>
          </w:p>
        </w:tc>
        <w:tc>
          <w:tcPr>
            <w:tcW w:w="889" w:type="pct"/>
            <w:tcBorders>
              <w:top w:val="single" w:sz="4" w:space="0" w:color="auto"/>
              <w:left w:val="nil"/>
              <w:bottom w:val="single" w:sz="4" w:space="0" w:color="auto"/>
              <w:right w:val="single" w:sz="4" w:space="0" w:color="auto"/>
            </w:tcBorders>
            <w:shd w:val="clear" w:color="auto" w:fill="auto"/>
            <w:noWrap/>
          </w:tcPr>
          <w:p w14:paraId="02755F03" w14:textId="77777777" w:rsidR="00890CB3" w:rsidRPr="00DB4E23" w:rsidRDefault="00890CB3" w:rsidP="00890CB3">
            <w:pPr>
              <w:jc w:val="both"/>
              <w:rPr>
                <w:rFonts w:ascii="Arial Narrow" w:hAnsi="Arial Narrow" w:cs="Calibri"/>
                <w:sz w:val="22"/>
                <w:szCs w:val="22"/>
                <w:lang w:val="es-CR" w:eastAsia="es-CR"/>
              </w:rPr>
            </w:pPr>
            <w:r w:rsidRPr="00DB4E23">
              <w:rPr>
                <w:rFonts w:ascii="Arial Narrow" w:hAnsi="Arial Narrow" w:cs="Calibri"/>
                <w:sz w:val="22"/>
                <w:szCs w:val="22"/>
                <w:lang w:val="es-CR" w:eastAsia="es-CR"/>
              </w:rPr>
              <w:t xml:space="preserve">Se toma nota de la observación y se </w:t>
            </w:r>
            <w:r>
              <w:rPr>
                <w:rFonts w:ascii="Arial Narrow" w:hAnsi="Arial Narrow" w:cs="Calibri"/>
                <w:sz w:val="22"/>
                <w:szCs w:val="22"/>
                <w:lang w:val="es-CR" w:eastAsia="es-CR"/>
              </w:rPr>
              <w:t>aclara que el dato consignado corresponde a la cantidad de oficinas que vincularon su meta a través del PAO, sin embargo, el dato que se calcula para la variable “Cumplimiento acumulado del PEI” sí se tomaron en consideración la totalidad de oficinas de la materia</w:t>
            </w:r>
            <w:r w:rsidRPr="00DB4E23">
              <w:rPr>
                <w:rFonts w:ascii="Arial Narrow" w:hAnsi="Arial Narrow" w:cs="Calibri"/>
                <w:sz w:val="22"/>
                <w:szCs w:val="22"/>
                <w:lang w:val="es-CR" w:eastAsia="es-CR"/>
              </w:rPr>
              <w:t>.</w:t>
            </w:r>
          </w:p>
          <w:p w14:paraId="1381EFCA" w14:textId="77777777" w:rsidR="009C4265" w:rsidRPr="009C4265" w:rsidRDefault="009C4265" w:rsidP="00C9711A">
            <w:pPr>
              <w:jc w:val="both"/>
              <w:rPr>
                <w:rFonts w:ascii="Arial Narrow" w:hAnsi="Arial Narrow" w:cs="Calibri"/>
                <w:sz w:val="22"/>
                <w:szCs w:val="22"/>
                <w:lang w:val="es-CR" w:eastAsia="es-CR"/>
              </w:rPr>
            </w:pPr>
          </w:p>
        </w:tc>
        <w:tc>
          <w:tcPr>
            <w:tcW w:w="77" w:type="pct"/>
            <w:vAlign w:val="center"/>
          </w:tcPr>
          <w:p w14:paraId="7AD8CA35" w14:textId="77777777" w:rsidR="009C4265" w:rsidRPr="009C4265" w:rsidRDefault="009C4265" w:rsidP="009C4265">
            <w:pPr>
              <w:rPr>
                <w:rFonts w:ascii="Arial Narrow" w:hAnsi="Arial Narrow"/>
                <w:sz w:val="22"/>
                <w:szCs w:val="22"/>
                <w:lang w:val="es-CR" w:eastAsia="es-CR"/>
              </w:rPr>
            </w:pPr>
          </w:p>
        </w:tc>
      </w:tr>
      <w:tr w:rsidR="009C4265" w:rsidRPr="009C4265" w14:paraId="67B3DBD3" w14:textId="77777777" w:rsidTr="00B963AA">
        <w:trPr>
          <w:trHeight w:val="1514"/>
        </w:trPr>
        <w:tc>
          <w:tcPr>
            <w:tcW w:w="924" w:type="pct"/>
            <w:tcBorders>
              <w:top w:val="single" w:sz="4" w:space="0" w:color="auto"/>
              <w:left w:val="single" w:sz="4" w:space="0" w:color="auto"/>
              <w:bottom w:val="single" w:sz="4" w:space="0" w:color="auto"/>
              <w:right w:val="single" w:sz="4" w:space="0" w:color="auto"/>
            </w:tcBorders>
            <w:shd w:val="clear" w:color="auto" w:fill="auto"/>
            <w:noWrap/>
            <w:vAlign w:val="bottom"/>
          </w:tcPr>
          <w:p w14:paraId="43A4EF04" w14:textId="77777777" w:rsidR="009C4265" w:rsidRPr="009C4265" w:rsidRDefault="009C4265" w:rsidP="009C4265">
            <w:pPr>
              <w:jc w:val="center"/>
              <w:rPr>
                <w:rFonts w:ascii="Arial Narrow" w:hAnsi="Arial Narrow" w:cs="Calibri"/>
                <w:sz w:val="22"/>
                <w:szCs w:val="22"/>
                <w:lang w:val="es-CR" w:eastAsia="es-CR"/>
              </w:rPr>
            </w:pPr>
            <w:r w:rsidRPr="009C4265">
              <w:rPr>
                <w:rFonts w:ascii="Arial Narrow" w:hAnsi="Arial Narrow" w:cs="Calibri"/>
                <w:sz w:val="22"/>
                <w:szCs w:val="22"/>
                <w:lang w:val="es-CR" w:eastAsia="es-CR"/>
              </w:rPr>
              <w:lastRenderedPageBreak/>
              <w:t>Centro de Apoyo, Coordinación y Mejoramiento de la función Jurisdiccional</w:t>
            </w:r>
          </w:p>
          <w:p w14:paraId="29723270" w14:textId="77777777" w:rsidR="009C4265" w:rsidRPr="009C4265" w:rsidRDefault="009C4265" w:rsidP="009C4265">
            <w:pPr>
              <w:jc w:val="center"/>
              <w:rPr>
                <w:rFonts w:ascii="Arial Narrow" w:hAnsi="Arial Narrow" w:cs="Calibri"/>
                <w:sz w:val="22"/>
                <w:szCs w:val="22"/>
                <w:lang w:val="es-CR" w:eastAsia="es-CR"/>
              </w:rPr>
            </w:pPr>
          </w:p>
          <w:p w14:paraId="1D05BF31" w14:textId="77777777" w:rsidR="009C4265" w:rsidRPr="009C4265" w:rsidRDefault="009C4265" w:rsidP="009C4265">
            <w:pPr>
              <w:jc w:val="center"/>
              <w:rPr>
                <w:rFonts w:ascii="Arial Narrow" w:hAnsi="Arial Narrow" w:cs="Calibri"/>
                <w:sz w:val="22"/>
                <w:szCs w:val="22"/>
                <w:lang w:val="es-CR" w:eastAsia="es-CR"/>
              </w:rPr>
            </w:pPr>
          </w:p>
          <w:p w14:paraId="00847FBD" w14:textId="77777777" w:rsidR="009C4265" w:rsidRPr="009C4265" w:rsidRDefault="009C4265" w:rsidP="009C4265">
            <w:pPr>
              <w:jc w:val="center"/>
              <w:rPr>
                <w:rFonts w:ascii="Arial Narrow" w:hAnsi="Arial Narrow" w:cs="Calibri"/>
                <w:sz w:val="22"/>
                <w:szCs w:val="22"/>
                <w:lang w:val="es-CR" w:eastAsia="es-CR"/>
              </w:rPr>
            </w:pPr>
          </w:p>
          <w:p w14:paraId="76252D54" w14:textId="77777777" w:rsidR="009C4265" w:rsidRPr="009C4265" w:rsidRDefault="009C4265" w:rsidP="009C4265">
            <w:pPr>
              <w:jc w:val="center"/>
              <w:rPr>
                <w:rFonts w:ascii="Arial Narrow" w:hAnsi="Arial Narrow" w:cs="Calibri"/>
                <w:sz w:val="22"/>
                <w:szCs w:val="22"/>
                <w:lang w:val="es-CR" w:eastAsia="es-CR"/>
              </w:rPr>
            </w:pPr>
          </w:p>
          <w:p w14:paraId="0B48EE26" w14:textId="77777777" w:rsidR="009C4265" w:rsidRPr="009C4265" w:rsidRDefault="009C4265" w:rsidP="009C4265">
            <w:pPr>
              <w:jc w:val="center"/>
              <w:rPr>
                <w:rFonts w:ascii="Arial Narrow" w:hAnsi="Arial Narrow" w:cs="Calibri"/>
                <w:sz w:val="22"/>
                <w:szCs w:val="22"/>
                <w:lang w:val="es-CR" w:eastAsia="es-CR"/>
              </w:rPr>
            </w:pPr>
          </w:p>
          <w:p w14:paraId="07E4E5C6" w14:textId="77777777" w:rsidR="009C4265" w:rsidRPr="009C4265" w:rsidRDefault="009C4265" w:rsidP="009C4265">
            <w:pPr>
              <w:jc w:val="center"/>
              <w:rPr>
                <w:rFonts w:ascii="Arial Narrow" w:hAnsi="Arial Narrow" w:cs="Calibri"/>
                <w:sz w:val="22"/>
                <w:szCs w:val="22"/>
                <w:lang w:val="es-CR" w:eastAsia="es-CR"/>
              </w:rPr>
            </w:pPr>
          </w:p>
          <w:p w14:paraId="734F98B8" w14:textId="77777777" w:rsidR="009C4265" w:rsidRPr="009C4265" w:rsidRDefault="009C4265" w:rsidP="009C4265">
            <w:pPr>
              <w:jc w:val="center"/>
              <w:rPr>
                <w:rFonts w:ascii="Arial Narrow" w:hAnsi="Arial Narrow" w:cs="Calibri"/>
                <w:sz w:val="22"/>
                <w:szCs w:val="22"/>
                <w:lang w:val="es-CR" w:eastAsia="es-CR"/>
              </w:rPr>
            </w:pPr>
          </w:p>
          <w:p w14:paraId="4FA2C919" w14:textId="77777777" w:rsidR="009C4265" w:rsidRPr="009C4265" w:rsidRDefault="009C4265" w:rsidP="009C4265">
            <w:pPr>
              <w:jc w:val="center"/>
              <w:rPr>
                <w:rFonts w:ascii="Arial Narrow" w:hAnsi="Arial Narrow" w:cs="Calibri"/>
                <w:sz w:val="22"/>
                <w:szCs w:val="22"/>
                <w:lang w:val="es-CR" w:eastAsia="es-CR"/>
              </w:rPr>
            </w:pPr>
          </w:p>
        </w:tc>
        <w:tc>
          <w:tcPr>
            <w:tcW w:w="370" w:type="pct"/>
            <w:tcBorders>
              <w:top w:val="single" w:sz="4" w:space="0" w:color="auto"/>
              <w:left w:val="nil"/>
              <w:bottom w:val="single" w:sz="4" w:space="0" w:color="auto"/>
              <w:right w:val="single" w:sz="4" w:space="0" w:color="auto"/>
            </w:tcBorders>
            <w:shd w:val="clear" w:color="auto" w:fill="auto"/>
            <w:noWrap/>
            <w:vAlign w:val="bottom"/>
          </w:tcPr>
          <w:p w14:paraId="3309A078" w14:textId="77777777" w:rsidR="009C4265" w:rsidRPr="009C4265" w:rsidRDefault="009C4265" w:rsidP="009C4265">
            <w:pPr>
              <w:jc w:val="center"/>
              <w:rPr>
                <w:rFonts w:ascii="Arial Narrow" w:hAnsi="Arial Narrow" w:cs="Arial"/>
                <w:sz w:val="22"/>
                <w:szCs w:val="22"/>
              </w:rPr>
            </w:pPr>
            <w:r w:rsidRPr="009C4265">
              <w:rPr>
                <w:rFonts w:ascii="Arial Narrow" w:hAnsi="Arial Narrow" w:cs="Arial"/>
                <w:sz w:val="22"/>
                <w:szCs w:val="22"/>
              </w:rPr>
              <w:t>57</w:t>
            </w:r>
          </w:p>
        </w:tc>
        <w:tc>
          <w:tcPr>
            <w:tcW w:w="1783" w:type="pct"/>
            <w:tcBorders>
              <w:top w:val="single" w:sz="4" w:space="0" w:color="auto"/>
              <w:left w:val="nil"/>
              <w:bottom w:val="single" w:sz="4" w:space="0" w:color="auto"/>
              <w:right w:val="single" w:sz="4" w:space="0" w:color="auto"/>
            </w:tcBorders>
            <w:shd w:val="clear" w:color="auto" w:fill="auto"/>
            <w:noWrap/>
            <w:vAlign w:val="center"/>
          </w:tcPr>
          <w:p w14:paraId="135DF403" w14:textId="77777777" w:rsidR="009C4265" w:rsidRPr="009C4265" w:rsidRDefault="009C4265" w:rsidP="009C4265">
            <w:pPr>
              <w:suppressLineNumbers/>
              <w:spacing w:before="120" w:after="120"/>
              <w:jc w:val="center"/>
              <w:rPr>
                <w:rFonts w:ascii="Arial Narrow" w:eastAsiaTheme="minorHAnsi" w:hAnsi="Arial Narrow" w:cs="Arial"/>
                <w:sz w:val="22"/>
                <w:szCs w:val="22"/>
                <w:lang w:val="es-CR" w:eastAsia="zh-CN"/>
              </w:rPr>
            </w:pPr>
            <w:r w:rsidRPr="009C4265">
              <w:rPr>
                <w:rFonts w:ascii="Arial Narrow" w:eastAsiaTheme="minorHAnsi" w:hAnsi="Arial Narrow" w:cs="Arial"/>
                <w:sz w:val="22"/>
                <w:szCs w:val="22"/>
                <w:lang w:val="es-CR" w:eastAsia="zh-CN"/>
              </w:rPr>
              <w:t>Cuadro 11 Metas estratégicas de Celeridad Judicial y su cumplimiento para el 2019-2020</w:t>
            </w:r>
          </w:p>
          <w:p w14:paraId="1666D775" w14:textId="77777777" w:rsidR="009C4265" w:rsidRPr="009C4265" w:rsidRDefault="009C4265" w:rsidP="009C4265">
            <w:pPr>
              <w:suppressLineNumbers/>
              <w:spacing w:before="120" w:after="120"/>
              <w:jc w:val="center"/>
              <w:rPr>
                <w:rFonts w:ascii="Arial Narrow" w:eastAsiaTheme="minorHAnsi" w:hAnsi="Arial Narrow" w:cs="Arial"/>
                <w:sz w:val="22"/>
                <w:szCs w:val="22"/>
                <w:lang w:val="es-CR" w:eastAsia="zh-CN"/>
              </w:rPr>
            </w:pPr>
            <w:r w:rsidRPr="009C4265">
              <w:rPr>
                <w:rFonts w:ascii="Arial Narrow" w:hAnsi="Arial Narrow" w:cs="Arial"/>
                <w:i/>
                <w:iCs/>
                <w:sz w:val="22"/>
                <w:szCs w:val="22"/>
                <w:lang w:val="es-CR"/>
              </w:rPr>
              <w:object w:dxaOrig="4320" w:dyaOrig="1833" w14:anchorId="50EE1A73">
                <v:shape id="_x0000_i1051" type="#_x0000_t75" style="width:396pt;height:190.45pt" o:ole="">
                  <v:imagedata r:id="rId216" o:title=""/>
                </v:shape>
                <o:OLEObject Type="Embed" ProgID="PBrush" ShapeID="_x0000_i1051" DrawAspect="Content" ObjectID="_1696768470" r:id="rId217"/>
              </w:object>
            </w:r>
          </w:p>
        </w:tc>
        <w:tc>
          <w:tcPr>
            <w:tcW w:w="956" w:type="pct"/>
            <w:tcBorders>
              <w:top w:val="single" w:sz="4" w:space="0" w:color="auto"/>
              <w:left w:val="nil"/>
              <w:bottom w:val="single" w:sz="4" w:space="0" w:color="auto"/>
              <w:right w:val="single" w:sz="4" w:space="0" w:color="auto"/>
            </w:tcBorders>
            <w:shd w:val="clear" w:color="auto" w:fill="auto"/>
            <w:noWrap/>
          </w:tcPr>
          <w:p w14:paraId="0D395B50" w14:textId="77777777" w:rsidR="009C4265" w:rsidRPr="009C4265" w:rsidRDefault="009C4265" w:rsidP="00C9711A">
            <w:pPr>
              <w:spacing w:line="276" w:lineRule="auto"/>
              <w:contextualSpacing/>
              <w:jc w:val="both"/>
              <w:rPr>
                <w:rFonts w:ascii="Arial Narrow" w:eastAsiaTheme="minorHAnsi" w:hAnsi="Arial Narrow" w:cs="Arial"/>
                <w:sz w:val="22"/>
                <w:szCs w:val="22"/>
                <w:lang w:val="es-CR" w:eastAsia="en-US"/>
              </w:rPr>
            </w:pPr>
            <w:r w:rsidRPr="009C4265">
              <w:rPr>
                <w:rFonts w:ascii="Arial Narrow" w:eastAsiaTheme="minorHAnsi" w:hAnsi="Arial Narrow" w:cs="Arial"/>
                <w:sz w:val="22"/>
                <w:szCs w:val="22"/>
                <w:lang w:val="es-CR" w:eastAsia="en-US"/>
              </w:rPr>
              <w:t>La materia penal juvenil no cuenta con indicadores de gestión y la meta asociada hace referencia al Modelo de Sostenibilidad.</w:t>
            </w:r>
          </w:p>
          <w:p w14:paraId="6C70D08B" w14:textId="77777777" w:rsidR="009C4265" w:rsidRPr="009C4265" w:rsidRDefault="009C4265" w:rsidP="00C9711A">
            <w:pPr>
              <w:spacing w:line="276" w:lineRule="auto"/>
              <w:contextualSpacing/>
              <w:jc w:val="both"/>
              <w:rPr>
                <w:rFonts w:ascii="Arial Narrow" w:eastAsiaTheme="minorHAnsi" w:hAnsi="Arial Narrow" w:cs="Arial"/>
                <w:sz w:val="22"/>
                <w:szCs w:val="22"/>
                <w:lang w:val="es-CR" w:eastAsia="en-US"/>
              </w:rPr>
            </w:pPr>
            <w:r w:rsidRPr="009C4265">
              <w:rPr>
                <w:rFonts w:ascii="Arial Narrow" w:eastAsiaTheme="minorHAnsi" w:hAnsi="Arial Narrow" w:cs="Arial"/>
                <w:sz w:val="22"/>
                <w:szCs w:val="22"/>
                <w:lang w:val="es-CR" w:eastAsia="en-US"/>
              </w:rPr>
              <w:t>A nivel nacional hay 76 despachos que atienden la materia contravencional y no 72.</w:t>
            </w:r>
          </w:p>
          <w:p w14:paraId="3EFD6573" w14:textId="77777777" w:rsidR="009C4265" w:rsidRPr="009C4265" w:rsidRDefault="009C4265" w:rsidP="009C4265">
            <w:pPr>
              <w:jc w:val="both"/>
              <w:rPr>
                <w:rFonts w:ascii="Arial Narrow" w:hAnsi="Arial Narrow" w:cs="Arial"/>
                <w:sz w:val="22"/>
                <w:szCs w:val="22"/>
              </w:rPr>
            </w:pPr>
          </w:p>
          <w:p w14:paraId="1A29B77C" w14:textId="77777777" w:rsidR="009C4265" w:rsidRPr="009C4265" w:rsidRDefault="009C4265" w:rsidP="009C4265">
            <w:pPr>
              <w:widowControl w:val="0"/>
              <w:tabs>
                <w:tab w:val="left" w:pos="175"/>
              </w:tabs>
              <w:autoSpaceDE w:val="0"/>
              <w:autoSpaceDN w:val="0"/>
              <w:adjustRightInd w:val="0"/>
              <w:jc w:val="both"/>
              <w:rPr>
                <w:rFonts w:ascii="Arial Narrow" w:hAnsi="Arial Narrow" w:cs="Arial"/>
                <w:sz w:val="22"/>
                <w:szCs w:val="22"/>
              </w:rPr>
            </w:pPr>
          </w:p>
        </w:tc>
        <w:tc>
          <w:tcPr>
            <w:tcW w:w="889" w:type="pct"/>
            <w:tcBorders>
              <w:top w:val="single" w:sz="4" w:space="0" w:color="auto"/>
              <w:left w:val="nil"/>
              <w:bottom w:val="single" w:sz="4" w:space="0" w:color="auto"/>
              <w:right w:val="single" w:sz="4" w:space="0" w:color="auto"/>
            </w:tcBorders>
            <w:shd w:val="clear" w:color="auto" w:fill="auto"/>
            <w:noWrap/>
            <w:vAlign w:val="bottom"/>
          </w:tcPr>
          <w:p w14:paraId="5C3E50CA" w14:textId="77777777" w:rsidR="00890CB3" w:rsidRPr="00DB4E23" w:rsidRDefault="00890CB3" w:rsidP="00890CB3">
            <w:pPr>
              <w:jc w:val="both"/>
              <w:rPr>
                <w:rFonts w:ascii="Arial Narrow" w:hAnsi="Arial Narrow" w:cs="Calibri"/>
                <w:sz w:val="22"/>
                <w:szCs w:val="22"/>
                <w:lang w:val="es-CR" w:eastAsia="es-CR"/>
              </w:rPr>
            </w:pPr>
            <w:r w:rsidRPr="00DB4E23">
              <w:rPr>
                <w:rFonts w:ascii="Arial Narrow" w:hAnsi="Arial Narrow" w:cs="Calibri"/>
                <w:sz w:val="22"/>
                <w:szCs w:val="22"/>
                <w:lang w:val="es-CR" w:eastAsia="es-CR"/>
              </w:rPr>
              <w:t xml:space="preserve">Se toma nota de la observación y se </w:t>
            </w:r>
            <w:r>
              <w:rPr>
                <w:rFonts w:ascii="Arial Narrow" w:hAnsi="Arial Narrow" w:cs="Calibri"/>
                <w:sz w:val="22"/>
                <w:szCs w:val="22"/>
                <w:lang w:val="es-CR" w:eastAsia="es-CR"/>
              </w:rPr>
              <w:t>aclara que el dato consignado corresponde a la cantidad de oficinas que vincularon su meta a través del PAO, sin embargo, el dato que se calcula para la variable “Cumplimiento acumulado del PEI” sí se tomaron en consideración la totalidad de oficinas de la materia</w:t>
            </w:r>
            <w:r w:rsidRPr="00DB4E23">
              <w:rPr>
                <w:rFonts w:ascii="Arial Narrow" w:hAnsi="Arial Narrow" w:cs="Calibri"/>
                <w:sz w:val="22"/>
                <w:szCs w:val="22"/>
                <w:lang w:val="es-CR" w:eastAsia="es-CR"/>
              </w:rPr>
              <w:t>.</w:t>
            </w:r>
          </w:p>
          <w:p w14:paraId="65653E14" w14:textId="77777777" w:rsidR="009C4265" w:rsidRPr="009C4265" w:rsidRDefault="009C4265" w:rsidP="009C4265">
            <w:pPr>
              <w:jc w:val="center"/>
              <w:rPr>
                <w:rFonts w:ascii="Arial Narrow" w:hAnsi="Arial Narrow" w:cs="Calibri"/>
                <w:sz w:val="22"/>
                <w:szCs w:val="22"/>
                <w:lang w:val="es-CR" w:eastAsia="es-CR"/>
              </w:rPr>
            </w:pPr>
          </w:p>
        </w:tc>
        <w:tc>
          <w:tcPr>
            <w:tcW w:w="77" w:type="pct"/>
            <w:vAlign w:val="center"/>
          </w:tcPr>
          <w:p w14:paraId="780B61CD" w14:textId="77777777" w:rsidR="009C4265" w:rsidRPr="009C4265" w:rsidRDefault="009C4265" w:rsidP="009C4265">
            <w:pPr>
              <w:rPr>
                <w:rFonts w:ascii="Arial Narrow" w:hAnsi="Arial Narrow"/>
                <w:sz w:val="22"/>
                <w:szCs w:val="22"/>
                <w:lang w:val="es-CR" w:eastAsia="es-CR"/>
              </w:rPr>
            </w:pPr>
          </w:p>
        </w:tc>
      </w:tr>
      <w:tr w:rsidR="009C4265" w:rsidRPr="009C4265" w14:paraId="3022A9AA" w14:textId="77777777" w:rsidTr="00B963AA">
        <w:trPr>
          <w:trHeight w:val="1514"/>
        </w:trPr>
        <w:tc>
          <w:tcPr>
            <w:tcW w:w="924" w:type="pct"/>
            <w:tcBorders>
              <w:top w:val="single" w:sz="4" w:space="0" w:color="auto"/>
              <w:left w:val="single" w:sz="4" w:space="0" w:color="auto"/>
              <w:bottom w:val="single" w:sz="4" w:space="0" w:color="auto"/>
              <w:right w:val="single" w:sz="4" w:space="0" w:color="auto"/>
            </w:tcBorders>
            <w:shd w:val="clear" w:color="auto" w:fill="auto"/>
            <w:noWrap/>
            <w:vAlign w:val="bottom"/>
          </w:tcPr>
          <w:p w14:paraId="7A050C49" w14:textId="77777777" w:rsidR="009C4265" w:rsidRPr="009C4265" w:rsidRDefault="009C4265" w:rsidP="009C4265">
            <w:pPr>
              <w:jc w:val="center"/>
              <w:rPr>
                <w:rFonts w:ascii="Arial Narrow" w:hAnsi="Arial Narrow" w:cs="Calibri"/>
                <w:sz w:val="22"/>
                <w:szCs w:val="22"/>
                <w:lang w:val="es-CR" w:eastAsia="es-CR"/>
              </w:rPr>
            </w:pPr>
            <w:r w:rsidRPr="009C4265">
              <w:rPr>
                <w:rFonts w:ascii="Arial Narrow" w:hAnsi="Arial Narrow" w:cs="Calibri"/>
                <w:sz w:val="22"/>
                <w:szCs w:val="22"/>
                <w:lang w:val="es-CR" w:eastAsia="es-CR"/>
              </w:rPr>
              <w:t>Centro de Apoyo, Coordinación y Mejoramiento de la función Jurisdiccional</w:t>
            </w:r>
          </w:p>
          <w:p w14:paraId="2EB5362B" w14:textId="77777777" w:rsidR="009C4265" w:rsidRPr="009C4265" w:rsidRDefault="009C4265" w:rsidP="009C4265">
            <w:pPr>
              <w:jc w:val="center"/>
              <w:rPr>
                <w:rFonts w:ascii="Arial Narrow" w:hAnsi="Arial Narrow" w:cs="Calibri"/>
                <w:sz w:val="22"/>
                <w:szCs w:val="22"/>
                <w:lang w:val="es-CR" w:eastAsia="es-CR"/>
              </w:rPr>
            </w:pPr>
          </w:p>
        </w:tc>
        <w:tc>
          <w:tcPr>
            <w:tcW w:w="370" w:type="pct"/>
            <w:tcBorders>
              <w:top w:val="single" w:sz="4" w:space="0" w:color="auto"/>
              <w:left w:val="nil"/>
              <w:bottom w:val="single" w:sz="4" w:space="0" w:color="auto"/>
              <w:right w:val="single" w:sz="4" w:space="0" w:color="auto"/>
            </w:tcBorders>
            <w:shd w:val="clear" w:color="auto" w:fill="auto"/>
            <w:noWrap/>
            <w:vAlign w:val="bottom"/>
          </w:tcPr>
          <w:p w14:paraId="78EBEDF4" w14:textId="77777777" w:rsidR="009C4265" w:rsidRPr="009C4265" w:rsidRDefault="009C4265" w:rsidP="009C4265">
            <w:pPr>
              <w:jc w:val="center"/>
              <w:rPr>
                <w:rFonts w:ascii="Arial Narrow" w:hAnsi="Arial Narrow" w:cs="Arial"/>
                <w:sz w:val="22"/>
                <w:szCs w:val="22"/>
              </w:rPr>
            </w:pPr>
            <w:r w:rsidRPr="009C4265">
              <w:rPr>
                <w:rFonts w:ascii="Arial Narrow" w:hAnsi="Arial Narrow" w:cs="Arial"/>
                <w:sz w:val="22"/>
                <w:szCs w:val="22"/>
              </w:rPr>
              <w:t>60</w:t>
            </w:r>
          </w:p>
        </w:tc>
        <w:tc>
          <w:tcPr>
            <w:tcW w:w="1783" w:type="pct"/>
            <w:tcBorders>
              <w:top w:val="single" w:sz="4" w:space="0" w:color="auto"/>
              <w:left w:val="nil"/>
              <w:bottom w:val="single" w:sz="4" w:space="0" w:color="auto"/>
              <w:right w:val="single" w:sz="4" w:space="0" w:color="auto"/>
            </w:tcBorders>
            <w:shd w:val="clear" w:color="auto" w:fill="auto"/>
            <w:noWrap/>
            <w:vAlign w:val="center"/>
          </w:tcPr>
          <w:p w14:paraId="0E149DC8" w14:textId="77777777" w:rsidR="009C4265" w:rsidRPr="009C4265" w:rsidRDefault="009C4265" w:rsidP="00C9711A">
            <w:pPr>
              <w:tabs>
                <w:tab w:val="left" w:pos="2776"/>
              </w:tabs>
              <w:jc w:val="center"/>
              <w:rPr>
                <w:rFonts w:ascii="Arial Narrow" w:hAnsi="Arial Narrow" w:cs="Arial"/>
                <w:sz w:val="22"/>
                <w:szCs w:val="22"/>
                <w:lang w:eastAsia="zh-CN"/>
              </w:rPr>
            </w:pPr>
            <w:r w:rsidRPr="009C4265">
              <w:rPr>
                <w:rFonts w:ascii="Arial Narrow" w:hAnsi="Arial Narrow" w:cs="Arial"/>
                <w:sz w:val="22"/>
                <w:szCs w:val="22"/>
                <w:lang w:eastAsia="zh-CN"/>
              </w:rPr>
              <w:t xml:space="preserve">Cuadro </w:t>
            </w:r>
            <w:r w:rsidRPr="009C4265">
              <w:rPr>
                <w:rFonts w:ascii="Arial Narrow" w:hAnsi="Arial Narrow" w:cs="Arial"/>
                <w:sz w:val="22"/>
                <w:szCs w:val="22"/>
                <w:lang w:eastAsia="zh-CN"/>
              </w:rPr>
              <w:fldChar w:fldCharType="begin"/>
            </w:r>
            <w:r w:rsidRPr="009C4265">
              <w:rPr>
                <w:rFonts w:ascii="Arial Narrow" w:hAnsi="Arial Narrow" w:cs="Arial"/>
                <w:sz w:val="22"/>
                <w:szCs w:val="22"/>
                <w:lang w:eastAsia="zh-CN"/>
              </w:rPr>
              <w:instrText xml:space="preserve"> SEQ Cuadro_No. \* ARABIC </w:instrText>
            </w:r>
            <w:r w:rsidRPr="009C4265">
              <w:rPr>
                <w:rFonts w:ascii="Arial Narrow" w:hAnsi="Arial Narrow" w:cs="Arial"/>
                <w:sz w:val="22"/>
                <w:szCs w:val="22"/>
                <w:lang w:eastAsia="zh-CN"/>
              </w:rPr>
              <w:fldChar w:fldCharType="separate"/>
            </w:r>
            <w:r w:rsidRPr="009C4265">
              <w:rPr>
                <w:rFonts w:ascii="Arial Narrow" w:hAnsi="Arial Narrow" w:cs="Arial"/>
                <w:sz w:val="22"/>
                <w:szCs w:val="22"/>
                <w:lang w:eastAsia="zh-CN"/>
              </w:rPr>
              <w:t>12</w:t>
            </w:r>
            <w:r w:rsidRPr="009C4265">
              <w:rPr>
                <w:rFonts w:ascii="Arial Narrow" w:hAnsi="Arial Narrow" w:cs="Arial"/>
                <w:sz w:val="22"/>
                <w:szCs w:val="22"/>
                <w:lang w:eastAsia="zh-CN"/>
              </w:rPr>
              <w:fldChar w:fldCharType="end"/>
            </w:r>
            <w:r w:rsidRPr="009C4265">
              <w:rPr>
                <w:rFonts w:ascii="Arial Narrow" w:hAnsi="Arial Narrow" w:cs="Arial"/>
                <w:sz w:val="22"/>
                <w:szCs w:val="22"/>
                <w:lang w:eastAsia="zh-CN"/>
              </w:rPr>
              <w:t xml:space="preserve"> Continuación de Metas estratégicas de Celeridad Judicial y su cumplimiento para el 2019-2020</w:t>
            </w:r>
          </w:p>
          <w:p w14:paraId="47F5CA1D" w14:textId="77777777" w:rsidR="009C4265" w:rsidRPr="009C4265" w:rsidRDefault="009C4265" w:rsidP="006A146B">
            <w:pPr>
              <w:suppressLineNumbers/>
              <w:spacing w:before="120" w:after="120"/>
              <w:jc w:val="center"/>
              <w:rPr>
                <w:rFonts w:ascii="Arial Narrow" w:eastAsiaTheme="minorHAnsi" w:hAnsi="Arial Narrow" w:cs="Arial"/>
                <w:sz w:val="22"/>
                <w:szCs w:val="22"/>
                <w:lang w:val="es-CR" w:eastAsia="zh-CN"/>
              </w:rPr>
            </w:pPr>
            <w:r w:rsidRPr="009C4265">
              <w:rPr>
                <w:rFonts w:ascii="Arial Narrow" w:hAnsi="Arial Narrow" w:cs="Arial"/>
                <w:i/>
                <w:iCs/>
                <w:sz w:val="22"/>
                <w:szCs w:val="22"/>
                <w:lang w:val="es-CR"/>
              </w:rPr>
              <w:object w:dxaOrig="15240" w:dyaOrig="3780" w14:anchorId="59799C72">
                <v:shape id="_x0000_i1052" type="#_x0000_t75" style="width:170.2pt;height:56.3pt" o:ole="">
                  <v:imagedata r:id="rId218" o:title=""/>
                </v:shape>
                <o:OLEObject Type="Embed" ProgID="PBrush" ShapeID="_x0000_i1052" DrawAspect="Content" ObjectID="_1696768471" r:id="rId219"/>
              </w:object>
            </w:r>
          </w:p>
        </w:tc>
        <w:tc>
          <w:tcPr>
            <w:tcW w:w="956" w:type="pct"/>
            <w:tcBorders>
              <w:top w:val="single" w:sz="4" w:space="0" w:color="auto"/>
              <w:left w:val="nil"/>
              <w:bottom w:val="single" w:sz="4" w:space="0" w:color="auto"/>
              <w:right w:val="single" w:sz="4" w:space="0" w:color="auto"/>
            </w:tcBorders>
            <w:shd w:val="clear" w:color="auto" w:fill="auto"/>
            <w:noWrap/>
          </w:tcPr>
          <w:p w14:paraId="3B5786D0" w14:textId="77777777" w:rsidR="009C4265" w:rsidRPr="009C4265" w:rsidRDefault="009C4265" w:rsidP="00BF6E93">
            <w:pPr>
              <w:jc w:val="both"/>
              <w:rPr>
                <w:rFonts w:ascii="Arial Narrow" w:hAnsi="Arial Narrow" w:cs="Arial"/>
                <w:sz w:val="22"/>
                <w:szCs w:val="22"/>
              </w:rPr>
            </w:pPr>
            <w:r w:rsidRPr="009C4265">
              <w:rPr>
                <w:rFonts w:ascii="Arial Narrow" w:hAnsi="Arial Narrow" w:cs="Arial"/>
                <w:sz w:val="22"/>
                <w:szCs w:val="22"/>
              </w:rPr>
              <w:t>A nivel nacional hay 60 despachos que atienden la materia de tránsito y no 56.</w:t>
            </w:r>
          </w:p>
        </w:tc>
        <w:tc>
          <w:tcPr>
            <w:tcW w:w="889" w:type="pct"/>
            <w:tcBorders>
              <w:top w:val="single" w:sz="4" w:space="0" w:color="auto"/>
              <w:left w:val="nil"/>
              <w:bottom w:val="single" w:sz="4" w:space="0" w:color="auto"/>
              <w:right w:val="single" w:sz="4" w:space="0" w:color="auto"/>
            </w:tcBorders>
            <w:shd w:val="clear" w:color="auto" w:fill="auto"/>
            <w:noWrap/>
            <w:vAlign w:val="bottom"/>
          </w:tcPr>
          <w:p w14:paraId="577224ED" w14:textId="77777777" w:rsidR="00890CB3" w:rsidRPr="00DB4E23" w:rsidRDefault="00890CB3" w:rsidP="00890CB3">
            <w:pPr>
              <w:jc w:val="both"/>
              <w:rPr>
                <w:rFonts w:ascii="Arial Narrow" w:hAnsi="Arial Narrow" w:cs="Calibri"/>
                <w:sz w:val="22"/>
                <w:szCs w:val="22"/>
                <w:lang w:val="es-CR" w:eastAsia="es-CR"/>
              </w:rPr>
            </w:pPr>
            <w:r w:rsidRPr="00DB4E23">
              <w:rPr>
                <w:rFonts w:ascii="Arial Narrow" w:hAnsi="Arial Narrow" w:cs="Calibri"/>
                <w:sz w:val="22"/>
                <w:szCs w:val="22"/>
                <w:lang w:val="es-CR" w:eastAsia="es-CR"/>
              </w:rPr>
              <w:t xml:space="preserve">Se toma nota de la observación y se </w:t>
            </w:r>
            <w:r>
              <w:rPr>
                <w:rFonts w:ascii="Arial Narrow" w:hAnsi="Arial Narrow" w:cs="Calibri"/>
                <w:sz w:val="22"/>
                <w:szCs w:val="22"/>
                <w:lang w:val="es-CR" w:eastAsia="es-CR"/>
              </w:rPr>
              <w:t>aclara que el dato consignado corresponde a la cantidad de oficinas que vincularon su meta a través del PAO, sin embargo, el dato que se calcula para la variable “Cumplimiento acumulado del PEI” sí se tomaron en consideración la totalidad de oficinas de la materia</w:t>
            </w:r>
            <w:r w:rsidRPr="00DB4E23">
              <w:rPr>
                <w:rFonts w:ascii="Arial Narrow" w:hAnsi="Arial Narrow" w:cs="Calibri"/>
                <w:sz w:val="22"/>
                <w:szCs w:val="22"/>
                <w:lang w:val="es-CR" w:eastAsia="es-CR"/>
              </w:rPr>
              <w:t>.</w:t>
            </w:r>
          </w:p>
          <w:p w14:paraId="1D5CD6CD" w14:textId="11AD8B20" w:rsidR="005B6D31" w:rsidRPr="00742454" w:rsidRDefault="005B6D31">
            <w:pPr>
              <w:jc w:val="both"/>
              <w:rPr>
                <w:rFonts w:ascii="Arial Narrow" w:hAnsi="Arial Narrow" w:cs="Calibri"/>
                <w:sz w:val="22"/>
                <w:szCs w:val="22"/>
                <w:lang w:val="es-CR" w:eastAsia="es-CR"/>
              </w:rPr>
            </w:pPr>
            <w:r w:rsidRPr="00742454">
              <w:rPr>
                <w:rFonts w:ascii="Arial Narrow" w:hAnsi="Arial Narrow" w:cs="Calibri"/>
                <w:sz w:val="22"/>
                <w:szCs w:val="22"/>
                <w:lang w:val="es-CR" w:eastAsia="es-CR"/>
              </w:rPr>
              <w:t>.</w:t>
            </w:r>
          </w:p>
          <w:p w14:paraId="60F96CC6" w14:textId="4FFC87A7" w:rsidR="009C4265" w:rsidRPr="009C4265" w:rsidRDefault="009C4265">
            <w:pPr>
              <w:jc w:val="both"/>
              <w:rPr>
                <w:rFonts w:cs="Calibri"/>
                <w:sz w:val="22"/>
                <w:szCs w:val="22"/>
                <w:lang w:val="es-CR" w:eastAsia="es-CR"/>
              </w:rPr>
            </w:pPr>
          </w:p>
          <w:p w14:paraId="5BCECB49" w14:textId="77777777" w:rsidR="009C4265" w:rsidRPr="009C4265" w:rsidRDefault="009C4265">
            <w:pPr>
              <w:jc w:val="center"/>
              <w:rPr>
                <w:rFonts w:ascii="Arial Narrow" w:hAnsi="Arial Narrow" w:cs="Calibri"/>
                <w:sz w:val="22"/>
                <w:szCs w:val="22"/>
                <w:lang w:val="es-CR" w:eastAsia="es-CR"/>
              </w:rPr>
            </w:pPr>
          </w:p>
        </w:tc>
        <w:tc>
          <w:tcPr>
            <w:tcW w:w="77" w:type="pct"/>
            <w:vAlign w:val="center"/>
          </w:tcPr>
          <w:p w14:paraId="275983D1" w14:textId="77777777" w:rsidR="009C4265" w:rsidRPr="009C4265" w:rsidRDefault="009C4265" w:rsidP="009C4265">
            <w:pPr>
              <w:rPr>
                <w:rFonts w:ascii="Arial Narrow" w:hAnsi="Arial Narrow"/>
                <w:sz w:val="22"/>
                <w:szCs w:val="22"/>
                <w:lang w:val="es-CR" w:eastAsia="es-CR"/>
              </w:rPr>
            </w:pPr>
          </w:p>
        </w:tc>
      </w:tr>
      <w:tr w:rsidR="009C4265" w:rsidRPr="009C4265" w14:paraId="51532DF1" w14:textId="77777777" w:rsidTr="00C9711A">
        <w:trPr>
          <w:trHeight w:val="1514"/>
        </w:trPr>
        <w:tc>
          <w:tcPr>
            <w:tcW w:w="924" w:type="pct"/>
            <w:tcBorders>
              <w:top w:val="single" w:sz="4" w:space="0" w:color="auto"/>
              <w:left w:val="single" w:sz="4" w:space="0" w:color="auto"/>
              <w:bottom w:val="single" w:sz="4" w:space="0" w:color="auto"/>
              <w:right w:val="single" w:sz="4" w:space="0" w:color="auto"/>
            </w:tcBorders>
            <w:shd w:val="clear" w:color="auto" w:fill="auto"/>
            <w:noWrap/>
            <w:vAlign w:val="bottom"/>
          </w:tcPr>
          <w:p w14:paraId="3CD3B633" w14:textId="77777777" w:rsidR="009C4265" w:rsidRPr="009C4265" w:rsidRDefault="009C4265" w:rsidP="009C4265">
            <w:pPr>
              <w:jc w:val="center"/>
              <w:rPr>
                <w:rFonts w:ascii="Arial Narrow" w:hAnsi="Arial Narrow" w:cs="Calibri"/>
                <w:sz w:val="22"/>
                <w:szCs w:val="22"/>
                <w:lang w:val="es-CR" w:eastAsia="es-CR"/>
              </w:rPr>
            </w:pPr>
            <w:r w:rsidRPr="009C4265">
              <w:rPr>
                <w:rFonts w:ascii="Arial Narrow" w:hAnsi="Arial Narrow" w:cs="Calibri"/>
                <w:sz w:val="22"/>
                <w:szCs w:val="22"/>
                <w:lang w:val="es-CR" w:eastAsia="es-CR"/>
              </w:rPr>
              <w:lastRenderedPageBreak/>
              <w:t>Centro de Apoyo, Coordinación y Mejoramiento de la función Jurisdiccional</w:t>
            </w:r>
          </w:p>
          <w:p w14:paraId="21019B65" w14:textId="77777777" w:rsidR="009C4265" w:rsidRPr="009C4265" w:rsidRDefault="009C4265" w:rsidP="009C4265">
            <w:pPr>
              <w:jc w:val="center"/>
              <w:rPr>
                <w:rFonts w:ascii="Arial Narrow" w:hAnsi="Arial Narrow" w:cs="Calibri"/>
                <w:sz w:val="22"/>
                <w:szCs w:val="22"/>
                <w:lang w:val="es-CR" w:eastAsia="es-CR"/>
              </w:rPr>
            </w:pPr>
          </w:p>
          <w:p w14:paraId="55B33580" w14:textId="77777777" w:rsidR="009C4265" w:rsidRPr="009C4265" w:rsidRDefault="009C4265" w:rsidP="009C4265">
            <w:pPr>
              <w:jc w:val="center"/>
              <w:rPr>
                <w:rFonts w:ascii="Arial Narrow" w:hAnsi="Arial Narrow" w:cs="Calibri"/>
                <w:sz w:val="22"/>
                <w:szCs w:val="22"/>
                <w:lang w:val="es-CR" w:eastAsia="es-CR"/>
              </w:rPr>
            </w:pPr>
          </w:p>
          <w:p w14:paraId="57185819" w14:textId="77777777" w:rsidR="009C4265" w:rsidRPr="009C4265" w:rsidRDefault="009C4265" w:rsidP="009C4265">
            <w:pPr>
              <w:jc w:val="center"/>
              <w:rPr>
                <w:rFonts w:ascii="Arial Narrow" w:hAnsi="Arial Narrow" w:cs="Calibri"/>
                <w:sz w:val="22"/>
                <w:szCs w:val="22"/>
                <w:lang w:val="es-CR" w:eastAsia="es-CR"/>
              </w:rPr>
            </w:pPr>
          </w:p>
          <w:p w14:paraId="5BF8A6CC" w14:textId="77777777" w:rsidR="009C4265" w:rsidRPr="009C4265" w:rsidRDefault="009C4265" w:rsidP="009C4265">
            <w:pPr>
              <w:jc w:val="center"/>
              <w:rPr>
                <w:rFonts w:ascii="Arial Narrow" w:hAnsi="Arial Narrow" w:cs="Calibri"/>
                <w:sz w:val="22"/>
                <w:szCs w:val="22"/>
                <w:lang w:val="es-CR" w:eastAsia="es-CR"/>
              </w:rPr>
            </w:pPr>
          </w:p>
          <w:p w14:paraId="6D23D9A4" w14:textId="77777777" w:rsidR="009C4265" w:rsidRPr="009C4265" w:rsidRDefault="009C4265" w:rsidP="009C4265">
            <w:pPr>
              <w:jc w:val="center"/>
              <w:rPr>
                <w:rFonts w:ascii="Arial Narrow" w:hAnsi="Arial Narrow" w:cs="Calibri"/>
                <w:sz w:val="22"/>
                <w:szCs w:val="22"/>
                <w:lang w:val="es-CR" w:eastAsia="es-CR"/>
              </w:rPr>
            </w:pPr>
          </w:p>
          <w:p w14:paraId="13615A3F" w14:textId="77777777" w:rsidR="009C4265" w:rsidRPr="009C4265" w:rsidRDefault="009C4265" w:rsidP="009C4265">
            <w:pPr>
              <w:jc w:val="center"/>
              <w:rPr>
                <w:rFonts w:ascii="Arial Narrow" w:hAnsi="Arial Narrow" w:cs="Calibri"/>
                <w:sz w:val="22"/>
                <w:szCs w:val="22"/>
                <w:lang w:val="es-CR" w:eastAsia="es-CR"/>
              </w:rPr>
            </w:pPr>
          </w:p>
          <w:p w14:paraId="18CFEB7F" w14:textId="77777777" w:rsidR="009C4265" w:rsidRPr="009C4265" w:rsidRDefault="009C4265" w:rsidP="009C4265">
            <w:pPr>
              <w:jc w:val="center"/>
              <w:rPr>
                <w:rFonts w:ascii="Arial Narrow" w:hAnsi="Arial Narrow" w:cs="Calibri"/>
                <w:sz w:val="22"/>
                <w:szCs w:val="22"/>
                <w:lang w:val="es-CR" w:eastAsia="es-CR"/>
              </w:rPr>
            </w:pPr>
          </w:p>
          <w:p w14:paraId="7B8A1AFC" w14:textId="77777777" w:rsidR="009C4265" w:rsidRPr="009C4265" w:rsidRDefault="009C4265" w:rsidP="009C4265">
            <w:pPr>
              <w:jc w:val="center"/>
              <w:rPr>
                <w:rFonts w:ascii="Arial Narrow" w:hAnsi="Arial Narrow" w:cs="Calibri"/>
                <w:sz w:val="22"/>
                <w:szCs w:val="22"/>
                <w:lang w:val="es-CR" w:eastAsia="es-CR"/>
              </w:rPr>
            </w:pPr>
          </w:p>
          <w:p w14:paraId="7C3A2A0F" w14:textId="77777777" w:rsidR="009C4265" w:rsidRPr="009C4265" w:rsidRDefault="009C4265" w:rsidP="009C4265">
            <w:pPr>
              <w:jc w:val="center"/>
              <w:rPr>
                <w:rFonts w:ascii="Arial Narrow" w:hAnsi="Arial Narrow" w:cs="Calibri"/>
                <w:sz w:val="22"/>
                <w:szCs w:val="22"/>
                <w:lang w:val="es-CR" w:eastAsia="es-CR"/>
              </w:rPr>
            </w:pPr>
          </w:p>
          <w:p w14:paraId="5E6C6CAC" w14:textId="77777777" w:rsidR="009C4265" w:rsidRPr="009C4265" w:rsidRDefault="009C4265" w:rsidP="009C4265">
            <w:pPr>
              <w:jc w:val="center"/>
              <w:rPr>
                <w:rFonts w:ascii="Arial Narrow" w:hAnsi="Arial Narrow" w:cs="Calibri"/>
                <w:sz w:val="22"/>
                <w:szCs w:val="22"/>
                <w:lang w:val="es-CR" w:eastAsia="es-CR"/>
              </w:rPr>
            </w:pPr>
          </w:p>
          <w:p w14:paraId="0091D9A1" w14:textId="77777777" w:rsidR="009C4265" w:rsidRPr="009C4265" w:rsidRDefault="009C4265" w:rsidP="009C4265">
            <w:pPr>
              <w:jc w:val="center"/>
              <w:rPr>
                <w:rFonts w:ascii="Arial Narrow" w:hAnsi="Arial Narrow" w:cs="Calibri"/>
                <w:sz w:val="22"/>
                <w:szCs w:val="22"/>
                <w:lang w:val="es-CR" w:eastAsia="es-CR"/>
              </w:rPr>
            </w:pPr>
          </w:p>
          <w:p w14:paraId="7656B27A" w14:textId="77777777" w:rsidR="009C4265" w:rsidRPr="009C4265" w:rsidRDefault="009C4265" w:rsidP="009C4265">
            <w:pPr>
              <w:jc w:val="center"/>
              <w:rPr>
                <w:rFonts w:ascii="Arial Narrow" w:hAnsi="Arial Narrow" w:cs="Calibri"/>
                <w:sz w:val="22"/>
                <w:szCs w:val="22"/>
                <w:lang w:val="es-CR" w:eastAsia="es-CR"/>
              </w:rPr>
            </w:pPr>
          </w:p>
          <w:p w14:paraId="7709ECFA" w14:textId="77777777" w:rsidR="009C4265" w:rsidRPr="009C4265" w:rsidRDefault="009C4265" w:rsidP="009C4265">
            <w:pPr>
              <w:jc w:val="center"/>
              <w:rPr>
                <w:rFonts w:ascii="Arial Narrow" w:hAnsi="Arial Narrow" w:cs="Calibri"/>
                <w:sz w:val="22"/>
                <w:szCs w:val="22"/>
                <w:lang w:val="es-CR" w:eastAsia="es-CR"/>
              </w:rPr>
            </w:pPr>
          </w:p>
          <w:p w14:paraId="52D52589" w14:textId="77777777" w:rsidR="009C4265" w:rsidRPr="009C4265" w:rsidRDefault="009C4265" w:rsidP="009C4265">
            <w:pPr>
              <w:jc w:val="center"/>
              <w:rPr>
                <w:rFonts w:ascii="Arial Narrow" w:hAnsi="Arial Narrow" w:cs="Calibri"/>
                <w:sz w:val="22"/>
                <w:szCs w:val="22"/>
                <w:lang w:val="es-CR" w:eastAsia="es-CR"/>
              </w:rPr>
            </w:pPr>
          </w:p>
          <w:p w14:paraId="560DD634" w14:textId="77777777" w:rsidR="009C4265" w:rsidRPr="009C4265" w:rsidRDefault="009C4265" w:rsidP="009C4265">
            <w:pPr>
              <w:jc w:val="center"/>
              <w:rPr>
                <w:rFonts w:ascii="Arial Narrow" w:hAnsi="Arial Narrow" w:cs="Calibri"/>
                <w:sz w:val="22"/>
                <w:szCs w:val="22"/>
                <w:lang w:val="es-CR" w:eastAsia="es-CR"/>
              </w:rPr>
            </w:pPr>
          </w:p>
          <w:p w14:paraId="6BDF7622" w14:textId="77777777" w:rsidR="009C4265" w:rsidRPr="009C4265" w:rsidRDefault="009C4265" w:rsidP="009C4265">
            <w:pPr>
              <w:jc w:val="center"/>
              <w:rPr>
                <w:rFonts w:ascii="Arial Narrow" w:hAnsi="Arial Narrow" w:cs="Calibri"/>
                <w:sz w:val="22"/>
                <w:szCs w:val="22"/>
                <w:lang w:val="es-CR" w:eastAsia="es-CR"/>
              </w:rPr>
            </w:pPr>
          </w:p>
          <w:p w14:paraId="76C3F01B" w14:textId="77777777" w:rsidR="009C4265" w:rsidRPr="009C4265" w:rsidRDefault="009C4265" w:rsidP="009C4265">
            <w:pPr>
              <w:jc w:val="center"/>
              <w:rPr>
                <w:rFonts w:ascii="Arial Narrow" w:hAnsi="Arial Narrow" w:cs="Calibri"/>
                <w:sz w:val="22"/>
                <w:szCs w:val="22"/>
                <w:lang w:val="es-CR" w:eastAsia="es-CR"/>
              </w:rPr>
            </w:pPr>
          </w:p>
          <w:p w14:paraId="55DF4274" w14:textId="77777777" w:rsidR="009C4265" w:rsidRPr="009C4265" w:rsidRDefault="009C4265" w:rsidP="009C4265">
            <w:pPr>
              <w:jc w:val="center"/>
              <w:rPr>
                <w:rFonts w:ascii="Arial Narrow" w:hAnsi="Arial Narrow" w:cs="Calibri"/>
                <w:sz w:val="22"/>
                <w:szCs w:val="22"/>
                <w:lang w:val="es-CR" w:eastAsia="es-CR"/>
              </w:rPr>
            </w:pPr>
          </w:p>
          <w:p w14:paraId="710545B6" w14:textId="77777777" w:rsidR="009C4265" w:rsidRPr="009C4265" w:rsidRDefault="009C4265" w:rsidP="009C4265">
            <w:pPr>
              <w:jc w:val="center"/>
              <w:rPr>
                <w:rFonts w:ascii="Arial Narrow" w:hAnsi="Arial Narrow" w:cs="Calibri"/>
                <w:sz w:val="22"/>
                <w:szCs w:val="22"/>
                <w:lang w:val="es-CR" w:eastAsia="es-CR"/>
              </w:rPr>
            </w:pPr>
          </w:p>
          <w:p w14:paraId="725054B2" w14:textId="77777777" w:rsidR="009C4265" w:rsidRPr="009C4265" w:rsidRDefault="009C4265" w:rsidP="009C4265">
            <w:pPr>
              <w:jc w:val="center"/>
              <w:rPr>
                <w:rFonts w:ascii="Arial Narrow" w:hAnsi="Arial Narrow" w:cs="Calibri"/>
                <w:sz w:val="22"/>
                <w:szCs w:val="22"/>
                <w:lang w:val="es-CR" w:eastAsia="es-CR"/>
              </w:rPr>
            </w:pPr>
          </w:p>
          <w:p w14:paraId="0ECE1AFE" w14:textId="77777777" w:rsidR="009C4265" w:rsidRPr="009C4265" w:rsidRDefault="009C4265" w:rsidP="009C4265">
            <w:pPr>
              <w:jc w:val="center"/>
              <w:rPr>
                <w:rFonts w:ascii="Arial Narrow" w:hAnsi="Arial Narrow" w:cs="Calibri"/>
                <w:sz w:val="22"/>
                <w:szCs w:val="22"/>
                <w:lang w:val="es-CR" w:eastAsia="es-CR"/>
              </w:rPr>
            </w:pPr>
          </w:p>
          <w:p w14:paraId="13EE2C29" w14:textId="77777777" w:rsidR="009C4265" w:rsidRPr="009C4265" w:rsidRDefault="009C4265" w:rsidP="009C4265">
            <w:pPr>
              <w:jc w:val="center"/>
              <w:rPr>
                <w:rFonts w:ascii="Arial Narrow" w:hAnsi="Arial Narrow" w:cs="Calibri"/>
                <w:sz w:val="22"/>
                <w:szCs w:val="22"/>
                <w:lang w:val="es-CR" w:eastAsia="es-CR"/>
              </w:rPr>
            </w:pPr>
          </w:p>
        </w:tc>
        <w:tc>
          <w:tcPr>
            <w:tcW w:w="370" w:type="pct"/>
            <w:tcBorders>
              <w:top w:val="single" w:sz="4" w:space="0" w:color="auto"/>
              <w:left w:val="nil"/>
              <w:bottom w:val="single" w:sz="4" w:space="0" w:color="auto"/>
              <w:right w:val="single" w:sz="4" w:space="0" w:color="auto"/>
            </w:tcBorders>
            <w:shd w:val="clear" w:color="auto" w:fill="auto"/>
            <w:noWrap/>
            <w:vAlign w:val="bottom"/>
          </w:tcPr>
          <w:p w14:paraId="3320E8FA" w14:textId="77777777" w:rsidR="009C4265" w:rsidRPr="009C4265" w:rsidRDefault="009C4265" w:rsidP="009C4265">
            <w:pPr>
              <w:jc w:val="center"/>
              <w:rPr>
                <w:rFonts w:ascii="Arial Narrow" w:hAnsi="Arial Narrow" w:cs="Arial"/>
                <w:sz w:val="22"/>
                <w:szCs w:val="22"/>
              </w:rPr>
            </w:pPr>
            <w:r w:rsidRPr="009C4265">
              <w:rPr>
                <w:rFonts w:ascii="Arial Narrow" w:hAnsi="Arial Narrow" w:cs="Arial"/>
                <w:sz w:val="22"/>
                <w:szCs w:val="22"/>
              </w:rPr>
              <w:t>80</w:t>
            </w:r>
          </w:p>
        </w:tc>
        <w:tc>
          <w:tcPr>
            <w:tcW w:w="1783" w:type="pct"/>
            <w:tcBorders>
              <w:top w:val="single" w:sz="4" w:space="0" w:color="auto"/>
              <w:left w:val="nil"/>
              <w:bottom w:val="single" w:sz="4" w:space="0" w:color="auto"/>
              <w:right w:val="single" w:sz="4" w:space="0" w:color="auto"/>
            </w:tcBorders>
            <w:shd w:val="clear" w:color="auto" w:fill="auto"/>
            <w:noWrap/>
          </w:tcPr>
          <w:p w14:paraId="10968E9F" w14:textId="77777777" w:rsidR="009C4265" w:rsidRPr="009C4265" w:rsidRDefault="009C4265" w:rsidP="00C9711A">
            <w:pPr>
              <w:tabs>
                <w:tab w:val="left" w:pos="2776"/>
              </w:tabs>
              <w:jc w:val="both"/>
              <w:rPr>
                <w:rFonts w:ascii="Arial Narrow" w:hAnsi="Arial Narrow" w:cs="Arial"/>
                <w:sz w:val="22"/>
                <w:szCs w:val="22"/>
                <w:lang w:eastAsia="zh-CN"/>
              </w:rPr>
            </w:pPr>
            <w:r w:rsidRPr="009C4265">
              <w:rPr>
                <w:rFonts w:ascii="Arial Narrow" w:hAnsi="Arial Narrow" w:cs="Arial"/>
                <w:sz w:val="22"/>
                <w:szCs w:val="22"/>
                <w:lang w:eastAsia="zh-CN"/>
              </w:rPr>
              <w:t xml:space="preserve">La meta estratégica Que al finalizar el 2024, se haya incrementado la cantidad de casos terminados, mediante la aplicación de medidas alternas, en materia Contravencional por año, en primera instancia, se tiene que en el 2019 se reporta por parte de los </w:t>
            </w:r>
            <w:r w:rsidRPr="009C4265">
              <w:rPr>
                <w:rFonts w:ascii="Arial Narrow" w:hAnsi="Arial Narrow" w:cs="Arial"/>
                <w:b/>
                <w:bCs/>
                <w:sz w:val="22"/>
                <w:szCs w:val="22"/>
                <w:u w:val="single"/>
                <w:lang w:eastAsia="zh-CN"/>
              </w:rPr>
              <w:t>74 juzgados contravencionales</w:t>
            </w:r>
            <w:r w:rsidRPr="009C4265">
              <w:rPr>
                <w:rFonts w:ascii="Arial Narrow" w:hAnsi="Arial Narrow" w:cs="Arial"/>
                <w:sz w:val="22"/>
                <w:szCs w:val="22"/>
                <w:lang w:eastAsia="zh-CN"/>
              </w:rPr>
              <w:t xml:space="preserve"> registraron un cumplimiento de 98%, al revisar los datos reportados estadísticamente por medio de SIGMA, se tiene que se terminaron 6.564 asuntos mediante medidas alternas, por lo que la meta para ese año registro un cumplimiento alto de 100%, debido a que sobrepaso la meta esperada de 5.155 asuntos con un excedente de 1.409 expedientes.  Para el 2020, se tiene un reporte de cumplimiento por parte de las oficinas de un 92%, al confrontar este dato contra los terminados oficiales para ese año, se registran 4.314 asuntos terminados mediante medidas alternas, dato que, al verificar contra lo esperado para ese año de 5.206 expedientes, se registra un cumplimiento medio (82,9%) debido a que la diferencia de expedientes requeridos para completar la meta fue de 892. (El resaltado y subrayado no corresponde al original)</w:t>
            </w:r>
          </w:p>
        </w:tc>
        <w:tc>
          <w:tcPr>
            <w:tcW w:w="956" w:type="pct"/>
            <w:tcBorders>
              <w:top w:val="single" w:sz="4" w:space="0" w:color="auto"/>
              <w:left w:val="nil"/>
              <w:bottom w:val="single" w:sz="4" w:space="0" w:color="auto"/>
              <w:right w:val="single" w:sz="4" w:space="0" w:color="auto"/>
            </w:tcBorders>
            <w:shd w:val="clear" w:color="auto" w:fill="auto"/>
            <w:noWrap/>
          </w:tcPr>
          <w:p w14:paraId="7AEA2E65" w14:textId="77777777" w:rsidR="009C4265" w:rsidRPr="009C4265" w:rsidRDefault="009C4265" w:rsidP="006A146B">
            <w:pPr>
              <w:jc w:val="both"/>
              <w:rPr>
                <w:rFonts w:ascii="Arial Narrow" w:hAnsi="Arial Narrow" w:cs="Arial"/>
                <w:sz w:val="22"/>
                <w:szCs w:val="22"/>
              </w:rPr>
            </w:pPr>
            <w:r w:rsidRPr="009C4265">
              <w:rPr>
                <w:rFonts w:ascii="Arial Narrow" w:hAnsi="Arial Narrow" w:cs="Arial"/>
                <w:sz w:val="22"/>
                <w:szCs w:val="22"/>
              </w:rPr>
              <w:t>A nivel nacional hay 76 despachos que atienden la materia contravencional y no 74.</w:t>
            </w:r>
          </w:p>
        </w:tc>
        <w:tc>
          <w:tcPr>
            <w:tcW w:w="889" w:type="pct"/>
            <w:tcBorders>
              <w:top w:val="single" w:sz="4" w:space="0" w:color="auto"/>
              <w:left w:val="nil"/>
              <w:bottom w:val="single" w:sz="4" w:space="0" w:color="auto"/>
              <w:right w:val="single" w:sz="4" w:space="0" w:color="auto"/>
            </w:tcBorders>
            <w:shd w:val="clear" w:color="auto" w:fill="auto"/>
            <w:noWrap/>
          </w:tcPr>
          <w:p w14:paraId="0061A354" w14:textId="77777777" w:rsidR="00890CB3" w:rsidRPr="00DB4E23" w:rsidRDefault="00890CB3" w:rsidP="00890CB3">
            <w:pPr>
              <w:jc w:val="both"/>
              <w:rPr>
                <w:rFonts w:ascii="Arial Narrow" w:hAnsi="Arial Narrow" w:cs="Calibri"/>
                <w:sz w:val="22"/>
                <w:szCs w:val="22"/>
                <w:lang w:val="es-CR" w:eastAsia="es-CR"/>
              </w:rPr>
            </w:pPr>
            <w:r w:rsidRPr="00DB4E23">
              <w:rPr>
                <w:rFonts w:ascii="Arial Narrow" w:hAnsi="Arial Narrow" w:cs="Calibri"/>
                <w:sz w:val="22"/>
                <w:szCs w:val="22"/>
                <w:lang w:val="es-CR" w:eastAsia="es-CR"/>
              </w:rPr>
              <w:t xml:space="preserve">Se toma nota de la observación y se </w:t>
            </w:r>
            <w:r>
              <w:rPr>
                <w:rFonts w:ascii="Arial Narrow" w:hAnsi="Arial Narrow" w:cs="Calibri"/>
                <w:sz w:val="22"/>
                <w:szCs w:val="22"/>
                <w:lang w:val="es-CR" w:eastAsia="es-CR"/>
              </w:rPr>
              <w:t>aclara que el dato consignado corresponde a la cantidad de oficinas que vincularon su meta a través del PAO, sin embargo, el dato que se calcula para la variable “Cumplimiento acumulado del PEI” sí se tomaron en consideración la totalidad de oficinas de la materia</w:t>
            </w:r>
            <w:r w:rsidRPr="00DB4E23">
              <w:rPr>
                <w:rFonts w:ascii="Arial Narrow" w:hAnsi="Arial Narrow" w:cs="Calibri"/>
                <w:sz w:val="22"/>
                <w:szCs w:val="22"/>
                <w:lang w:val="es-CR" w:eastAsia="es-CR"/>
              </w:rPr>
              <w:t>.</w:t>
            </w:r>
          </w:p>
          <w:p w14:paraId="0C251419" w14:textId="4E94493F" w:rsidR="009C4265" w:rsidRPr="009C4265" w:rsidRDefault="009C4265">
            <w:pPr>
              <w:jc w:val="both"/>
              <w:rPr>
                <w:rFonts w:cs="Calibri"/>
                <w:sz w:val="22"/>
                <w:szCs w:val="22"/>
                <w:lang w:val="es-CR" w:eastAsia="es-CR"/>
              </w:rPr>
            </w:pPr>
          </w:p>
          <w:p w14:paraId="0580C9E5" w14:textId="77777777" w:rsidR="009C4265" w:rsidRPr="009C4265" w:rsidRDefault="009C4265" w:rsidP="00C9711A">
            <w:pPr>
              <w:jc w:val="both"/>
              <w:rPr>
                <w:rFonts w:ascii="Arial Narrow" w:hAnsi="Arial Narrow" w:cs="Calibri"/>
                <w:sz w:val="22"/>
                <w:szCs w:val="22"/>
                <w:lang w:val="es-CR" w:eastAsia="es-CR"/>
              </w:rPr>
            </w:pPr>
          </w:p>
        </w:tc>
        <w:tc>
          <w:tcPr>
            <w:tcW w:w="77" w:type="pct"/>
            <w:vAlign w:val="center"/>
          </w:tcPr>
          <w:p w14:paraId="38CDFC41" w14:textId="77777777" w:rsidR="009C4265" w:rsidRPr="009C4265" w:rsidRDefault="009C4265" w:rsidP="009C4265">
            <w:pPr>
              <w:rPr>
                <w:rFonts w:ascii="Arial Narrow" w:hAnsi="Arial Narrow"/>
                <w:sz w:val="22"/>
                <w:szCs w:val="22"/>
                <w:lang w:val="es-CR" w:eastAsia="es-CR"/>
              </w:rPr>
            </w:pPr>
          </w:p>
        </w:tc>
      </w:tr>
      <w:tr w:rsidR="009C4265" w:rsidRPr="009C4265" w14:paraId="1C47914D" w14:textId="77777777" w:rsidTr="00C9711A">
        <w:trPr>
          <w:trHeight w:val="1514"/>
        </w:trPr>
        <w:tc>
          <w:tcPr>
            <w:tcW w:w="924" w:type="pct"/>
            <w:tcBorders>
              <w:top w:val="single" w:sz="4" w:space="0" w:color="auto"/>
              <w:left w:val="single" w:sz="4" w:space="0" w:color="auto"/>
              <w:bottom w:val="single" w:sz="4" w:space="0" w:color="auto"/>
              <w:right w:val="single" w:sz="4" w:space="0" w:color="auto"/>
            </w:tcBorders>
            <w:shd w:val="clear" w:color="auto" w:fill="auto"/>
            <w:noWrap/>
            <w:vAlign w:val="bottom"/>
          </w:tcPr>
          <w:p w14:paraId="7F1658B4" w14:textId="77777777" w:rsidR="009C4265" w:rsidRPr="009C4265" w:rsidRDefault="009C4265" w:rsidP="009C4265">
            <w:pPr>
              <w:jc w:val="center"/>
              <w:rPr>
                <w:rFonts w:ascii="Arial Narrow" w:hAnsi="Arial Narrow" w:cs="Calibri"/>
                <w:sz w:val="22"/>
                <w:szCs w:val="22"/>
                <w:lang w:val="es-CR" w:eastAsia="es-CR"/>
              </w:rPr>
            </w:pPr>
            <w:r w:rsidRPr="009C4265">
              <w:rPr>
                <w:rFonts w:ascii="Arial Narrow" w:hAnsi="Arial Narrow" w:cs="Calibri"/>
                <w:sz w:val="22"/>
                <w:szCs w:val="22"/>
                <w:lang w:val="es-CR" w:eastAsia="es-CR"/>
              </w:rPr>
              <w:t>Centro de Apoyo, Coordinación y Mejoramiento de la función Jurisdiccional</w:t>
            </w:r>
          </w:p>
          <w:p w14:paraId="1755EFA6" w14:textId="77777777" w:rsidR="009C4265" w:rsidRPr="009C4265" w:rsidRDefault="009C4265" w:rsidP="009C4265">
            <w:pPr>
              <w:jc w:val="center"/>
              <w:rPr>
                <w:rFonts w:ascii="Arial Narrow" w:hAnsi="Arial Narrow" w:cs="Calibri"/>
                <w:sz w:val="22"/>
                <w:szCs w:val="22"/>
                <w:lang w:val="es-CR" w:eastAsia="es-CR"/>
              </w:rPr>
            </w:pPr>
          </w:p>
          <w:p w14:paraId="56D76954" w14:textId="77777777" w:rsidR="009C4265" w:rsidRPr="009C4265" w:rsidRDefault="009C4265" w:rsidP="009C4265">
            <w:pPr>
              <w:jc w:val="center"/>
              <w:rPr>
                <w:rFonts w:ascii="Arial Narrow" w:hAnsi="Arial Narrow" w:cs="Calibri"/>
                <w:sz w:val="22"/>
                <w:szCs w:val="22"/>
                <w:lang w:val="es-CR" w:eastAsia="es-CR"/>
              </w:rPr>
            </w:pPr>
          </w:p>
          <w:p w14:paraId="20F093EF" w14:textId="77777777" w:rsidR="009C4265" w:rsidRPr="009C4265" w:rsidRDefault="009C4265" w:rsidP="009C4265">
            <w:pPr>
              <w:jc w:val="center"/>
              <w:rPr>
                <w:rFonts w:ascii="Arial Narrow" w:hAnsi="Arial Narrow" w:cs="Calibri"/>
                <w:sz w:val="22"/>
                <w:szCs w:val="22"/>
                <w:lang w:val="es-CR" w:eastAsia="es-CR"/>
              </w:rPr>
            </w:pPr>
          </w:p>
          <w:p w14:paraId="4867F830" w14:textId="77777777" w:rsidR="009C4265" w:rsidRPr="009C4265" w:rsidRDefault="009C4265" w:rsidP="009C4265">
            <w:pPr>
              <w:jc w:val="center"/>
              <w:rPr>
                <w:rFonts w:ascii="Arial Narrow" w:hAnsi="Arial Narrow" w:cs="Calibri"/>
                <w:sz w:val="22"/>
                <w:szCs w:val="22"/>
                <w:lang w:val="es-CR" w:eastAsia="es-CR"/>
              </w:rPr>
            </w:pPr>
          </w:p>
          <w:p w14:paraId="57A92466" w14:textId="77777777" w:rsidR="009C4265" w:rsidRPr="009C4265" w:rsidRDefault="009C4265" w:rsidP="009C4265">
            <w:pPr>
              <w:jc w:val="center"/>
              <w:rPr>
                <w:rFonts w:ascii="Arial Narrow" w:hAnsi="Arial Narrow" w:cs="Calibri"/>
                <w:sz w:val="22"/>
                <w:szCs w:val="22"/>
                <w:lang w:val="es-CR" w:eastAsia="es-CR"/>
              </w:rPr>
            </w:pPr>
          </w:p>
          <w:p w14:paraId="0EE64A87" w14:textId="77777777" w:rsidR="009C4265" w:rsidRPr="009C4265" w:rsidRDefault="009C4265" w:rsidP="009C4265">
            <w:pPr>
              <w:jc w:val="center"/>
              <w:rPr>
                <w:rFonts w:ascii="Arial Narrow" w:hAnsi="Arial Narrow" w:cs="Calibri"/>
                <w:sz w:val="22"/>
                <w:szCs w:val="22"/>
                <w:lang w:val="es-CR" w:eastAsia="es-CR"/>
              </w:rPr>
            </w:pPr>
          </w:p>
          <w:p w14:paraId="33C5DEFB" w14:textId="77777777" w:rsidR="009C4265" w:rsidRPr="009C4265" w:rsidRDefault="009C4265" w:rsidP="009C4265">
            <w:pPr>
              <w:jc w:val="center"/>
              <w:rPr>
                <w:rFonts w:ascii="Arial Narrow" w:hAnsi="Arial Narrow" w:cs="Calibri"/>
                <w:sz w:val="22"/>
                <w:szCs w:val="22"/>
                <w:lang w:val="es-CR" w:eastAsia="es-CR"/>
              </w:rPr>
            </w:pPr>
          </w:p>
          <w:p w14:paraId="49081707" w14:textId="77777777" w:rsidR="009C4265" w:rsidRPr="009C4265" w:rsidRDefault="009C4265" w:rsidP="009C4265">
            <w:pPr>
              <w:jc w:val="center"/>
              <w:rPr>
                <w:rFonts w:ascii="Arial Narrow" w:hAnsi="Arial Narrow" w:cs="Calibri"/>
                <w:sz w:val="22"/>
                <w:szCs w:val="22"/>
                <w:lang w:val="es-CR" w:eastAsia="es-CR"/>
              </w:rPr>
            </w:pPr>
          </w:p>
          <w:p w14:paraId="56684B32" w14:textId="77777777" w:rsidR="009C4265" w:rsidRPr="009C4265" w:rsidRDefault="009C4265" w:rsidP="009C4265">
            <w:pPr>
              <w:jc w:val="center"/>
              <w:rPr>
                <w:rFonts w:ascii="Arial Narrow" w:hAnsi="Arial Narrow" w:cs="Calibri"/>
                <w:sz w:val="22"/>
                <w:szCs w:val="22"/>
                <w:lang w:val="es-CR" w:eastAsia="es-CR"/>
              </w:rPr>
            </w:pPr>
          </w:p>
          <w:p w14:paraId="7A19AD54" w14:textId="77777777" w:rsidR="009C4265" w:rsidRPr="009C4265" w:rsidRDefault="009C4265" w:rsidP="009C4265">
            <w:pPr>
              <w:jc w:val="center"/>
              <w:rPr>
                <w:rFonts w:ascii="Arial Narrow" w:hAnsi="Arial Narrow" w:cs="Calibri"/>
                <w:sz w:val="22"/>
                <w:szCs w:val="22"/>
                <w:lang w:val="es-CR" w:eastAsia="es-CR"/>
              </w:rPr>
            </w:pPr>
          </w:p>
          <w:p w14:paraId="461B6C7F" w14:textId="77777777" w:rsidR="009C4265" w:rsidRPr="009C4265" w:rsidRDefault="009C4265" w:rsidP="009C4265">
            <w:pPr>
              <w:jc w:val="center"/>
              <w:rPr>
                <w:rFonts w:ascii="Arial Narrow" w:hAnsi="Arial Narrow" w:cs="Calibri"/>
                <w:sz w:val="22"/>
                <w:szCs w:val="22"/>
                <w:lang w:val="es-CR" w:eastAsia="es-CR"/>
              </w:rPr>
            </w:pPr>
          </w:p>
          <w:p w14:paraId="251E1D14" w14:textId="77777777" w:rsidR="009C4265" w:rsidRPr="009C4265" w:rsidRDefault="009C4265" w:rsidP="009C4265">
            <w:pPr>
              <w:jc w:val="center"/>
              <w:rPr>
                <w:rFonts w:ascii="Arial Narrow" w:hAnsi="Arial Narrow" w:cs="Calibri"/>
                <w:sz w:val="22"/>
                <w:szCs w:val="22"/>
                <w:lang w:val="es-CR" w:eastAsia="es-CR"/>
              </w:rPr>
            </w:pPr>
          </w:p>
          <w:p w14:paraId="0F4E530C" w14:textId="77777777" w:rsidR="009C4265" w:rsidRPr="009C4265" w:rsidRDefault="009C4265" w:rsidP="009C4265">
            <w:pPr>
              <w:jc w:val="center"/>
              <w:rPr>
                <w:rFonts w:ascii="Arial Narrow" w:hAnsi="Arial Narrow" w:cs="Calibri"/>
                <w:sz w:val="22"/>
                <w:szCs w:val="22"/>
                <w:lang w:val="es-CR" w:eastAsia="es-CR"/>
              </w:rPr>
            </w:pPr>
          </w:p>
          <w:p w14:paraId="4AD4B179" w14:textId="77777777" w:rsidR="009C4265" w:rsidRPr="009C4265" w:rsidRDefault="009C4265" w:rsidP="009C4265">
            <w:pPr>
              <w:jc w:val="center"/>
              <w:rPr>
                <w:rFonts w:ascii="Arial Narrow" w:hAnsi="Arial Narrow" w:cs="Calibri"/>
                <w:sz w:val="22"/>
                <w:szCs w:val="22"/>
                <w:lang w:val="es-CR" w:eastAsia="es-CR"/>
              </w:rPr>
            </w:pPr>
          </w:p>
          <w:p w14:paraId="5CA95F0C" w14:textId="77777777" w:rsidR="009C4265" w:rsidRPr="009C4265" w:rsidRDefault="009C4265" w:rsidP="009C4265">
            <w:pPr>
              <w:jc w:val="center"/>
              <w:rPr>
                <w:rFonts w:ascii="Arial Narrow" w:hAnsi="Arial Narrow" w:cs="Calibri"/>
                <w:sz w:val="22"/>
                <w:szCs w:val="22"/>
                <w:lang w:val="es-CR" w:eastAsia="es-CR"/>
              </w:rPr>
            </w:pPr>
          </w:p>
          <w:p w14:paraId="68B0455F" w14:textId="77777777" w:rsidR="009C4265" w:rsidRPr="009C4265" w:rsidRDefault="009C4265" w:rsidP="009C4265">
            <w:pPr>
              <w:jc w:val="center"/>
              <w:rPr>
                <w:rFonts w:ascii="Arial Narrow" w:hAnsi="Arial Narrow" w:cs="Calibri"/>
                <w:sz w:val="22"/>
                <w:szCs w:val="22"/>
                <w:lang w:val="es-CR" w:eastAsia="es-CR"/>
              </w:rPr>
            </w:pPr>
          </w:p>
          <w:p w14:paraId="4D622A92" w14:textId="77777777" w:rsidR="009C4265" w:rsidRPr="009C4265" w:rsidRDefault="009C4265" w:rsidP="009C4265">
            <w:pPr>
              <w:jc w:val="center"/>
              <w:rPr>
                <w:rFonts w:ascii="Arial Narrow" w:hAnsi="Arial Narrow" w:cs="Calibri"/>
                <w:sz w:val="22"/>
                <w:szCs w:val="22"/>
                <w:lang w:val="es-CR" w:eastAsia="es-CR"/>
              </w:rPr>
            </w:pPr>
          </w:p>
          <w:p w14:paraId="4A0813CE" w14:textId="77777777" w:rsidR="009C4265" w:rsidRPr="009C4265" w:rsidRDefault="009C4265" w:rsidP="009C4265">
            <w:pPr>
              <w:jc w:val="center"/>
              <w:rPr>
                <w:rFonts w:ascii="Arial Narrow" w:hAnsi="Arial Narrow" w:cs="Calibri"/>
                <w:sz w:val="22"/>
                <w:szCs w:val="22"/>
                <w:lang w:val="es-CR" w:eastAsia="es-CR"/>
              </w:rPr>
            </w:pPr>
          </w:p>
          <w:p w14:paraId="32ECADD6" w14:textId="77777777" w:rsidR="009C4265" w:rsidRPr="009C4265" w:rsidRDefault="009C4265" w:rsidP="009C4265">
            <w:pPr>
              <w:jc w:val="center"/>
              <w:rPr>
                <w:rFonts w:ascii="Arial Narrow" w:hAnsi="Arial Narrow" w:cs="Calibri"/>
                <w:sz w:val="22"/>
                <w:szCs w:val="22"/>
                <w:lang w:val="es-CR" w:eastAsia="es-CR"/>
              </w:rPr>
            </w:pPr>
          </w:p>
          <w:p w14:paraId="3CD5C914" w14:textId="77777777" w:rsidR="009C4265" w:rsidRPr="009C4265" w:rsidRDefault="009C4265" w:rsidP="009C4265">
            <w:pPr>
              <w:jc w:val="center"/>
              <w:rPr>
                <w:rFonts w:ascii="Arial Narrow" w:hAnsi="Arial Narrow" w:cs="Calibri"/>
                <w:sz w:val="22"/>
                <w:szCs w:val="22"/>
                <w:lang w:val="es-CR" w:eastAsia="es-CR"/>
              </w:rPr>
            </w:pPr>
          </w:p>
          <w:p w14:paraId="708FD20A" w14:textId="77777777" w:rsidR="009C4265" w:rsidRPr="009C4265" w:rsidRDefault="009C4265" w:rsidP="009C4265">
            <w:pPr>
              <w:jc w:val="center"/>
              <w:rPr>
                <w:rFonts w:ascii="Arial Narrow" w:hAnsi="Arial Narrow" w:cs="Calibri"/>
                <w:sz w:val="22"/>
                <w:szCs w:val="22"/>
                <w:lang w:val="es-CR" w:eastAsia="es-CR"/>
              </w:rPr>
            </w:pPr>
          </w:p>
          <w:p w14:paraId="5879B84D" w14:textId="77777777" w:rsidR="009C4265" w:rsidRPr="009C4265" w:rsidRDefault="009C4265" w:rsidP="009C4265">
            <w:pPr>
              <w:jc w:val="center"/>
              <w:rPr>
                <w:rFonts w:ascii="Arial Narrow" w:hAnsi="Arial Narrow" w:cs="Calibri"/>
                <w:sz w:val="22"/>
                <w:szCs w:val="22"/>
                <w:lang w:val="es-CR" w:eastAsia="es-CR"/>
              </w:rPr>
            </w:pPr>
          </w:p>
        </w:tc>
        <w:tc>
          <w:tcPr>
            <w:tcW w:w="370" w:type="pct"/>
            <w:tcBorders>
              <w:top w:val="single" w:sz="4" w:space="0" w:color="auto"/>
              <w:left w:val="nil"/>
              <w:bottom w:val="single" w:sz="4" w:space="0" w:color="auto"/>
              <w:right w:val="single" w:sz="4" w:space="0" w:color="auto"/>
            </w:tcBorders>
            <w:shd w:val="clear" w:color="auto" w:fill="auto"/>
            <w:noWrap/>
            <w:vAlign w:val="bottom"/>
          </w:tcPr>
          <w:p w14:paraId="50A046C0" w14:textId="77777777" w:rsidR="009C4265" w:rsidRPr="009C4265" w:rsidRDefault="009C4265" w:rsidP="009C4265">
            <w:pPr>
              <w:jc w:val="center"/>
              <w:rPr>
                <w:rFonts w:ascii="Arial Narrow" w:hAnsi="Arial Narrow" w:cs="Arial"/>
                <w:sz w:val="22"/>
                <w:szCs w:val="22"/>
              </w:rPr>
            </w:pPr>
            <w:r w:rsidRPr="009C4265">
              <w:rPr>
                <w:rFonts w:ascii="Arial Narrow" w:hAnsi="Arial Narrow" w:cs="Arial"/>
                <w:sz w:val="22"/>
                <w:szCs w:val="22"/>
              </w:rPr>
              <w:lastRenderedPageBreak/>
              <w:t>86</w:t>
            </w:r>
          </w:p>
        </w:tc>
        <w:tc>
          <w:tcPr>
            <w:tcW w:w="1783" w:type="pct"/>
            <w:tcBorders>
              <w:top w:val="single" w:sz="4" w:space="0" w:color="auto"/>
              <w:left w:val="nil"/>
              <w:bottom w:val="single" w:sz="4" w:space="0" w:color="auto"/>
              <w:right w:val="single" w:sz="4" w:space="0" w:color="auto"/>
            </w:tcBorders>
            <w:shd w:val="clear" w:color="auto" w:fill="auto"/>
            <w:noWrap/>
          </w:tcPr>
          <w:p w14:paraId="2FC7195B" w14:textId="77777777" w:rsidR="009C4265" w:rsidRPr="009C4265" w:rsidRDefault="009C4265" w:rsidP="00C9711A">
            <w:pPr>
              <w:tabs>
                <w:tab w:val="left" w:pos="2776"/>
              </w:tabs>
              <w:jc w:val="both"/>
              <w:rPr>
                <w:rFonts w:ascii="Arial Narrow" w:hAnsi="Arial Narrow" w:cs="Arial"/>
                <w:sz w:val="22"/>
                <w:szCs w:val="22"/>
                <w:lang w:eastAsia="zh-CN"/>
              </w:rPr>
            </w:pPr>
            <w:r w:rsidRPr="009C4265">
              <w:rPr>
                <w:rFonts w:ascii="Arial Narrow" w:hAnsi="Arial Narrow" w:cs="Arial"/>
                <w:sz w:val="22"/>
                <w:szCs w:val="22"/>
                <w:lang w:eastAsia="zh-CN"/>
              </w:rPr>
              <w:t xml:space="preserve">Por otra parte, la meta estratégica </w:t>
            </w:r>
            <w:r w:rsidRPr="009C4265">
              <w:rPr>
                <w:rFonts w:ascii="Arial Narrow" w:hAnsi="Arial Narrow" w:cs="Arial"/>
                <w:b/>
                <w:bCs/>
                <w:sz w:val="22"/>
                <w:szCs w:val="22"/>
                <w:lang w:eastAsia="zh-CN"/>
              </w:rPr>
              <w:t>Que al finalizar el 2024, se haya incrementado la cantidad de casos terminados, mediante la aplicación de medidas alternas, en materia agraria por año, en primera instancia</w:t>
            </w:r>
            <w:r w:rsidRPr="009C4265">
              <w:rPr>
                <w:rFonts w:ascii="Arial Narrow" w:hAnsi="Arial Narrow" w:cs="Arial"/>
                <w:sz w:val="22"/>
                <w:szCs w:val="22"/>
                <w:lang w:eastAsia="zh-CN"/>
              </w:rPr>
              <w:t xml:space="preserve">, se tiene que en el 2019 se reporta por parte de </w:t>
            </w:r>
            <w:r w:rsidRPr="009C4265">
              <w:rPr>
                <w:rFonts w:ascii="Arial Narrow" w:hAnsi="Arial Narrow" w:cs="Arial"/>
                <w:b/>
                <w:bCs/>
                <w:sz w:val="22"/>
                <w:szCs w:val="22"/>
                <w:u w:val="single"/>
                <w:lang w:eastAsia="zh-CN"/>
              </w:rPr>
              <w:t>los 14 despachos</w:t>
            </w:r>
            <w:r w:rsidRPr="009C4265">
              <w:rPr>
                <w:rFonts w:ascii="Arial Narrow" w:hAnsi="Arial Narrow" w:cs="Arial"/>
                <w:sz w:val="22"/>
                <w:szCs w:val="22"/>
                <w:lang w:eastAsia="zh-CN"/>
              </w:rPr>
              <w:t xml:space="preserve"> competentes en agrario registran un cumplimiento de 98%, sin embargo, al revisar los datos reportados estadísticamente por medio de SIGMA, se tiene que se terminaron 353 asuntos mediante medidas alternas, por lo que la meta para ese año registro un cumplimiento alto de 100%, debido a que sobrepaso la meta esperada de 210 casos.  Para el 2020, se tiene un reporte de cumplimiento por parte de las oficinas de un 88%, al confrontar este dato contra los </w:t>
            </w:r>
            <w:r w:rsidRPr="009C4265">
              <w:rPr>
                <w:rFonts w:ascii="Arial Narrow" w:hAnsi="Arial Narrow" w:cs="Arial"/>
                <w:sz w:val="22"/>
                <w:szCs w:val="22"/>
                <w:lang w:eastAsia="zh-CN"/>
              </w:rPr>
              <w:lastRenderedPageBreak/>
              <w:t xml:space="preserve">terminados oficiales para ese año, se registran 248 asuntos terminados mediante medidas alternas, dato que, al verificar contra lo esperado para ese año (212 expedientes), se tiene un cumplimiento </w:t>
            </w:r>
            <w:r w:rsidRPr="009C4265">
              <w:rPr>
                <w:rFonts w:ascii="Arial Narrow" w:hAnsi="Arial Narrow" w:cs="Arial"/>
                <w:b/>
                <w:bCs/>
                <w:sz w:val="22"/>
                <w:szCs w:val="22"/>
                <w:u w:val="single"/>
                <w:lang w:eastAsia="zh-CN"/>
              </w:rPr>
              <w:t>alto (100%).</w:t>
            </w:r>
            <w:r w:rsidRPr="009C4265">
              <w:rPr>
                <w:rFonts w:ascii="Arial Narrow" w:hAnsi="Arial Narrow" w:cs="Arial"/>
                <w:sz w:val="22"/>
                <w:szCs w:val="22"/>
                <w:lang w:eastAsia="zh-CN"/>
              </w:rPr>
              <w:t xml:space="preserve"> (El resaltado y subrayado no corresponde al original)</w:t>
            </w:r>
          </w:p>
        </w:tc>
        <w:tc>
          <w:tcPr>
            <w:tcW w:w="956" w:type="pct"/>
            <w:tcBorders>
              <w:top w:val="single" w:sz="4" w:space="0" w:color="auto"/>
              <w:left w:val="nil"/>
              <w:bottom w:val="single" w:sz="4" w:space="0" w:color="auto"/>
              <w:right w:val="single" w:sz="4" w:space="0" w:color="auto"/>
            </w:tcBorders>
            <w:shd w:val="clear" w:color="auto" w:fill="auto"/>
            <w:noWrap/>
          </w:tcPr>
          <w:p w14:paraId="0424773A" w14:textId="77777777" w:rsidR="009C4265" w:rsidRPr="00113B68" w:rsidRDefault="009C4265" w:rsidP="006A146B">
            <w:pPr>
              <w:widowControl w:val="0"/>
              <w:autoSpaceDE w:val="0"/>
              <w:autoSpaceDN w:val="0"/>
              <w:adjustRightInd w:val="0"/>
              <w:jc w:val="both"/>
              <w:rPr>
                <w:rFonts w:ascii="Arial Narrow" w:hAnsi="Arial Narrow" w:cs="Arial"/>
                <w:sz w:val="22"/>
                <w:szCs w:val="22"/>
                <w:lang w:eastAsia="zh-CN"/>
              </w:rPr>
            </w:pPr>
            <w:r w:rsidRPr="00A07BEA">
              <w:rPr>
                <w:rFonts w:ascii="Arial Narrow" w:hAnsi="Arial Narrow" w:cs="Arial"/>
                <w:sz w:val="22"/>
                <w:szCs w:val="22"/>
                <w:lang w:eastAsia="zh-CN"/>
              </w:rPr>
              <w:lastRenderedPageBreak/>
              <w:t>- En ese momento había 15 despachos agrarios (12 especializados y 3 mixtos).</w:t>
            </w:r>
          </w:p>
          <w:p w14:paraId="05FEA445" w14:textId="77777777" w:rsidR="009C4265" w:rsidRPr="00A07BEA" w:rsidRDefault="009C4265" w:rsidP="00BF6E93">
            <w:pPr>
              <w:widowControl w:val="0"/>
              <w:autoSpaceDE w:val="0"/>
              <w:autoSpaceDN w:val="0"/>
              <w:adjustRightInd w:val="0"/>
              <w:jc w:val="both"/>
              <w:rPr>
                <w:rFonts w:ascii="Arial Narrow" w:hAnsi="Arial Narrow" w:cs="Arial"/>
                <w:sz w:val="22"/>
                <w:szCs w:val="22"/>
                <w:lang w:eastAsia="zh-CN"/>
              </w:rPr>
            </w:pPr>
            <w:r w:rsidRPr="00A07BEA">
              <w:rPr>
                <w:rFonts w:ascii="Arial Narrow" w:hAnsi="Arial Narrow" w:cs="Arial"/>
                <w:sz w:val="22"/>
                <w:szCs w:val="22"/>
                <w:lang w:eastAsia="zh-CN"/>
              </w:rPr>
              <w:t>-Revisar la redacción “cumplimiento alto (100%)”</w:t>
            </w:r>
          </w:p>
          <w:p w14:paraId="14F0A763" w14:textId="77777777" w:rsidR="009C4265" w:rsidRPr="00A07BEA" w:rsidRDefault="009C4265" w:rsidP="00FD024B">
            <w:pPr>
              <w:jc w:val="both"/>
              <w:rPr>
                <w:rFonts w:ascii="Arial Narrow" w:hAnsi="Arial Narrow" w:cs="Arial"/>
                <w:sz w:val="22"/>
                <w:szCs w:val="22"/>
              </w:rPr>
            </w:pPr>
          </w:p>
        </w:tc>
        <w:tc>
          <w:tcPr>
            <w:tcW w:w="889" w:type="pct"/>
            <w:tcBorders>
              <w:top w:val="single" w:sz="4" w:space="0" w:color="auto"/>
              <w:left w:val="nil"/>
              <w:bottom w:val="single" w:sz="4" w:space="0" w:color="auto"/>
              <w:right w:val="single" w:sz="4" w:space="0" w:color="auto"/>
            </w:tcBorders>
            <w:shd w:val="clear" w:color="auto" w:fill="auto"/>
            <w:noWrap/>
          </w:tcPr>
          <w:p w14:paraId="6F37216E" w14:textId="77777777" w:rsidR="005B6D31" w:rsidRPr="00A07BEA" w:rsidRDefault="005B6D31">
            <w:pPr>
              <w:jc w:val="both"/>
              <w:rPr>
                <w:rFonts w:ascii="Arial Narrow" w:hAnsi="Arial Narrow" w:cs="Calibri"/>
                <w:sz w:val="22"/>
                <w:szCs w:val="22"/>
                <w:lang w:val="es-CR" w:eastAsia="es-CR"/>
              </w:rPr>
            </w:pPr>
            <w:r w:rsidRPr="00A07BEA">
              <w:rPr>
                <w:rFonts w:ascii="Arial Narrow" w:hAnsi="Arial Narrow" w:cs="Calibri"/>
                <w:sz w:val="22"/>
                <w:szCs w:val="22"/>
                <w:lang w:val="es-CR" w:eastAsia="es-CR"/>
              </w:rPr>
              <w:t>Se toma nota de la observación.</w:t>
            </w:r>
          </w:p>
          <w:p w14:paraId="310A666F" w14:textId="77777777" w:rsidR="005B6D31" w:rsidRPr="00A07BEA" w:rsidRDefault="005B6D31">
            <w:pPr>
              <w:jc w:val="both"/>
              <w:rPr>
                <w:rFonts w:ascii="Arial Narrow" w:hAnsi="Arial Narrow" w:cs="Calibri"/>
                <w:sz w:val="22"/>
                <w:szCs w:val="22"/>
                <w:lang w:val="es-CR" w:eastAsia="es-CR"/>
              </w:rPr>
            </w:pPr>
          </w:p>
          <w:p w14:paraId="77087255" w14:textId="48BF685E" w:rsidR="005B6D31" w:rsidRPr="00A07BEA" w:rsidRDefault="005B6D31">
            <w:pPr>
              <w:jc w:val="both"/>
              <w:rPr>
                <w:rFonts w:ascii="Arial Narrow" w:hAnsi="Arial Narrow" w:cs="Calibri"/>
                <w:sz w:val="22"/>
                <w:szCs w:val="22"/>
                <w:lang w:val="es-CR" w:eastAsia="es-CR"/>
              </w:rPr>
            </w:pPr>
            <w:r w:rsidRPr="00A07BEA">
              <w:rPr>
                <w:rFonts w:ascii="Arial Narrow" w:hAnsi="Arial Narrow" w:cs="Calibri"/>
                <w:sz w:val="22"/>
                <w:szCs w:val="22"/>
                <w:lang w:val="es-CR" w:eastAsia="es-CR"/>
              </w:rPr>
              <w:t>La observación no modifica el contenido</w:t>
            </w:r>
            <w:r w:rsidR="00A07BEA">
              <w:rPr>
                <w:rFonts w:ascii="Arial Narrow" w:hAnsi="Arial Narrow" w:cs="Calibri"/>
                <w:sz w:val="22"/>
                <w:szCs w:val="22"/>
                <w:lang w:val="es-CR" w:eastAsia="es-CR"/>
              </w:rPr>
              <w:t xml:space="preserve"> debido a que la </w:t>
            </w:r>
            <w:r w:rsidR="00113B68">
              <w:rPr>
                <w:rFonts w:ascii="Arial Narrow" w:hAnsi="Arial Narrow" w:cs="Calibri"/>
                <w:sz w:val="22"/>
                <w:szCs w:val="22"/>
                <w:lang w:val="es-CR" w:eastAsia="es-CR"/>
              </w:rPr>
              <w:t>inauguración</w:t>
            </w:r>
            <w:r w:rsidR="00A07BEA">
              <w:rPr>
                <w:rFonts w:ascii="Arial Narrow" w:hAnsi="Arial Narrow" w:cs="Calibri"/>
                <w:sz w:val="22"/>
                <w:szCs w:val="22"/>
                <w:lang w:val="es-CR" w:eastAsia="es-CR"/>
              </w:rPr>
              <w:t xml:space="preserve"> del Juzgado Agrario de Jicaral se </w:t>
            </w:r>
            <w:r w:rsidR="00113B68">
              <w:rPr>
                <w:rFonts w:ascii="Arial Narrow" w:hAnsi="Arial Narrow" w:cs="Calibri"/>
                <w:sz w:val="22"/>
                <w:szCs w:val="22"/>
                <w:lang w:val="es-CR" w:eastAsia="es-CR"/>
              </w:rPr>
              <w:t>presentó el 3 de</w:t>
            </w:r>
            <w:r w:rsidR="00A07BEA">
              <w:rPr>
                <w:rFonts w:ascii="Arial Narrow" w:hAnsi="Arial Narrow" w:cs="Calibri"/>
                <w:sz w:val="22"/>
                <w:szCs w:val="22"/>
                <w:lang w:val="es-CR" w:eastAsia="es-CR"/>
              </w:rPr>
              <w:t xml:space="preserve"> mayo del 2021, por lo que para los años 2019 y 2020 se mantuvo en 14 despachos.</w:t>
            </w:r>
          </w:p>
          <w:p w14:paraId="4F7010B0" w14:textId="73CF48BE" w:rsidR="009C4265" w:rsidRPr="00113B68" w:rsidRDefault="009C4265">
            <w:pPr>
              <w:jc w:val="both"/>
              <w:rPr>
                <w:rFonts w:cs="Calibri"/>
                <w:sz w:val="22"/>
                <w:szCs w:val="22"/>
                <w:lang w:val="es-CR" w:eastAsia="es-CR"/>
              </w:rPr>
            </w:pPr>
          </w:p>
          <w:p w14:paraId="193D15FE" w14:textId="77777777" w:rsidR="009C4265" w:rsidRPr="00113B68" w:rsidRDefault="009C4265" w:rsidP="00C9711A">
            <w:pPr>
              <w:jc w:val="both"/>
              <w:rPr>
                <w:rFonts w:ascii="Arial Narrow" w:hAnsi="Arial Narrow" w:cs="Calibri"/>
                <w:sz w:val="22"/>
                <w:szCs w:val="22"/>
                <w:lang w:val="es-CR" w:eastAsia="es-CR"/>
              </w:rPr>
            </w:pPr>
          </w:p>
        </w:tc>
        <w:tc>
          <w:tcPr>
            <w:tcW w:w="77" w:type="pct"/>
            <w:vAlign w:val="center"/>
          </w:tcPr>
          <w:p w14:paraId="578173E2" w14:textId="77777777" w:rsidR="009C4265" w:rsidRPr="009C4265" w:rsidRDefault="009C4265" w:rsidP="009C4265">
            <w:pPr>
              <w:rPr>
                <w:rFonts w:ascii="Arial Narrow" w:hAnsi="Arial Narrow"/>
                <w:sz w:val="22"/>
                <w:szCs w:val="22"/>
                <w:lang w:val="es-CR" w:eastAsia="es-CR"/>
              </w:rPr>
            </w:pPr>
          </w:p>
        </w:tc>
      </w:tr>
      <w:tr w:rsidR="009C4265" w:rsidRPr="009C4265" w14:paraId="7573D5A1" w14:textId="77777777" w:rsidTr="00B963AA">
        <w:trPr>
          <w:trHeight w:val="1514"/>
        </w:trPr>
        <w:tc>
          <w:tcPr>
            <w:tcW w:w="924" w:type="pct"/>
            <w:tcBorders>
              <w:top w:val="single" w:sz="4" w:space="0" w:color="auto"/>
              <w:left w:val="single" w:sz="4" w:space="0" w:color="auto"/>
              <w:bottom w:val="single" w:sz="4" w:space="0" w:color="auto"/>
              <w:right w:val="single" w:sz="4" w:space="0" w:color="auto"/>
            </w:tcBorders>
            <w:shd w:val="clear" w:color="auto" w:fill="auto"/>
            <w:noWrap/>
            <w:vAlign w:val="bottom"/>
          </w:tcPr>
          <w:p w14:paraId="009DF58B" w14:textId="77777777" w:rsidR="009C4265" w:rsidRPr="009C4265" w:rsidRDefault="009C4265" w:rsidP="009C4265">
            <w:pPr>
              <w:jc w:val="center"/>
              <w:rPr>
                <w:rFonts w:ascii="Arial Narrow" w:hAnsi="Arial Narrow" w:cs="Calibri"/>
                <w:sz w:val="22"/>
                <w:szCs w:val="22"/>
                <w:lang w:val="es-CR" w:eastAsia="es-CR"/>
              </w:rPr>
            </w:pPr>
            <w:r w:rsidRPr="009C4265">
              <w:rPr>
                <w:rFonts w:ascii="Arial Narrow" w:hAnsi="Arial Narrow" w:cs="Calibri"/>
                <w:sz w:val="22"/>
                <w:szCs w:val="22"/>
                <w:lang w:val="es-CR" w:eastAsia="es-CR"/>
              </w:rPr>
              <w:lastRenderedPageBreak/>
              <w:t>Centro de Apoyo, Coordinación y Mejoramiento de la función Jurisdiccional</w:t>
            </w:r>
          </w:p>
          <w:p w14:paraId="46E17C4F" w14:textId="77777777" w:rsidR="009C4265" w:rsidRPr="009C4265" w:rsidRDefault="009C4265" w:rsidP="009C4265">
            <w:pPr>
              <w:jc w:val="center"/>
              <w:rPr>
                <w:rFonts w:ascii="Arial Narrow" w:hAnsi="Arial Narrow" w:cs="Calibri"/>
                <w:sz w:val="22"/>
                <w:szCs w:val="22"/>
                <w:lang w:val="es-CR" w:eastAsia="es-CR"/>
              </w:rPr>
            </w:pPr>
          </w:p>
          <w:p w14:paraId="536ABFFC" w14:textId="77777777" w:rsidR="009C4265" w:rsidRPr="009C4265" w:rsidRDefault="009C4265" w:rsidP="009C4265">
            <w:pPr>
              <w:jc w:val="center"/>
              <w:rPr>
                <w:rFonts w:ascii="Arial Narrow" w:hAnsi="Arial Narrow" w:cs="Calibri"/>
                <w:sz w:val="22"/>
                <w:szCs w:val="22"/>
                <w:lang w:val="es-CR" w:eastAsia="es-CR"/>
              </w:rPr>
            </w:pPr>
          </w:p>
          <w:p w14:paraId="41541152" w14:textId="77777777" w:rsidR="009C4265" w:rsidRPr="009C4265" w:rsidRDefault="009C4265" w:rsidP="009C4265">
            <w:pPr>
              <w:jc w:val="center"/>
              <w:rPr>
                <w:rFonts w:ascii="Arial Narrow" w:hAnsi="Arial Narrow" w:cs="Calibri"/>
                <w:sz w:val="22"/>
                <w:szCs w:val="22"/>
                <w:lang w:val="es-CR" w:eastAsia="es-CR"/>
              </w:rPr>
            </w:pPr>
          </w:p>
          <w:p w14:paraId="51294A69" w14:textId="77777777" w:rsidR="009C4265" w:rsidRPr="009C4265" w:rsidRDefault="009C4265" w:rsidP="009C4265">
            <w:pPr>
              <w:jc w:val="center"/>
              <w:rPr>
                <w:rFonts w:ascii="Arial Narrow" w:hAnsi="Arial Narrow" w:cs="Calibri"/>
                <w:sz w:val="22"/>
                <w:szCs w:val="22"/>
                <w:lang w:val="es-CR" w:eastAsia="es-CR"/>
              </w:rPr>
            </w:pPr>
          </w:p>
          <w:p w14:paraId="38186CE5" w14:textId="77777777" w:rsidR="009C4265" w:rsidRPr="009C4265" w:rsidRDefault="009C4265" w:rsidP="009C4265">
            <w:pPr>
              <w:jc w:val="center"/>
              <w:rPr>
                <w:rFonts w:ascii="Arial Narrow" w:hAnsi="Arial Narrow" w:cs="Calibri"/>
                <w:sz w:val="22"/>
                <w:szCs w:val="22"/>
                <w:lang w:val="es-CR" w:eastAsia="es-CR"/>
              </w:rPr>
            </w:pPr>
          </w:p>
          <w:p w14:paraId="1C16635D" w14:textId="77777777" w:rsidR="009C4265" w:rsidRPr="009C4265" w:rsidRDefault="009C4265" w:rsidP="009C4265">
            <w:pPr>
              <w:jc w:val="center"/>
              <w:rPr>
                <w:rFonts w:ascii="Arial Narrow" w:hAnsi="Arial Narrow" w:cs="Calibri"/>
                <w:sz w:val="22"/>
                <w:szCs w:val="22"/>
                <w:lang w:val="es-CR" w:eastAsia="es-CR"/>
              </w:rPr>
            </w:pPr>
          </w:p>
          <w:p w14:paraId="21EE95EB" w14:textId="77777777" w:rsidR="009C4265" w:rsidRPr="009C4265" w:rsidRDefault="009C4265" w:rsidP="009C4265">
            <w:pPr>
              <w:jc w:val="center"/>
              <w:rPr>
                <w:rFonts w:ascii="Arial Narrow" w:hAnsi="Arial Narrow" w:cs="Calibri"/>
                <w:sz w:val="22"/>
                <w:szCs w:val="22"/>
                <w:lang w:val="es-CR" w:eastAsia="es-CR"/>
              </w:rPr>
            </w:pPr>
          </w:p>
          <w:p w14:paraId="58FA1583" w14:textId="77777777" w:rsidR="009C4265" w:rsidRPr="009C4265" w:rsidRDefault="009C4265" w:rsidP="009C4265">
            <w:pPr>
              <w:jc w:val="center"/>
              <w:rPr>
                <w:rFonts w:ascii="Arial Narrow" w:hAnsi="Arial Narrow" w:cs="Calibri"/>
                <w:sz w:val="22"/>
                <w:szCs w:val="22"/>
                <w:lang w:val="es-CR" w:eastAsia="es-CR"/>
              </w:rPr>
            </w:pPr>
          </w:p>
          <w:p w14:paraId="0D1824D3" w14:textId="77777777" w:rsidR="009C4265" w:rsidRPr="009C4265" w:rsidRDefault="009C4265" w:rsidP="009C4265">
            <w:pPr>
              <w:jc w:val="center"/>
              <w:rPr>
                <w:rFonts w:ascii="Arial Narrow" w:hAnsi="Arial Narrow" w:cs="Calibri"/>
                <w:sz w:val="22"/>
                <w:szCs w:val="22"/>
                <w:lang w:val="es-CR" w:eastAsia="es-CR"/>
              </w:rPr>
            </w:pPr>
          </w:p>
          <w:p w14:paraId="72496B25" w14:textId="77777777" w:rsidR="009C4265" w:rsidRPr="009C4265" w:rsidRDefault="009C4265" w:rsidP="009C4265">
            <w:pPr>
              <w:jc w:val="center"/>
              <w:rPr>
                <w:rFonts w:ascii="Arial Narrow" w:hAnsi="Arial Narrow" w:cs="Calibri"/>
                <w:sz w:val="22"/>
                <w:szCs w:val="22"/>
                <w:lang w:val="es-CR" w:eastAsia="es-CR"/>
              </w:rPr>
            </w:pPr>
          </w:p>
          <w:p w14:paraId="05A06900" w14:textId="77777777" w:rsidR="009C4265" w:rsidRPr="009C4265" w:rsidRDefault="009C4265" w:rsidP="009C4265">
            <w:pPr>
              <w:jc w:val="center"/>
              <w:rPr>
                <w:rFonts w:ascii="Arial Narrow" w:hAnsi="Arial Narrow" w:cs="Calibri"/>
                <w:sz w:val="22"/>
                <w:szCs w:val="22"/>
                <w:lang w:val="es-CR" w:eastAsia="es-CR"/>
              </w:rPr>
            </w:pPr>
          </w:p>
          <w:p w14:paraId="75E8D088" w14:textId="77777777" w:rsidR="009C4265" w:rsidRPr="009C4265" w:rsidRDefault="009C4265" w:rsidP="009C4265">
            <w:pPr>
              <w:jc w:val="center"/>
              <w:rPr>
                <w:rFonts w:ascii="Arial Narrow" w:hAnsi="Arial Narrow" w:cs="Calibri"/>
                <w:sz w:val="22"/>
                <w:szCs w:val="22"/>
                <w:lang w:val="es-CR" w:eastAsia="es-CR"/>
              </w:rPr>
            </w:pPr>
          </w:p>
          <w:p w14:paraId="7F94DFB2" w14:textId="77777777" w:rsidR="009C4265" w:rsidRPr="009C4265" w:rsidRDefault="009C4265" w:rsidP="009C4265">
            <w:pPr>
              <w:jc w:val="center"/>
              <w:rPr>
                <w:rFonts w:ascii="Arial Narrow" w:hAnsi="Arial Narrow" w:cs="Calibri"/>
                <w:sz w:val="22"/>
                <w:szCs w:val="22"/>
                <w:lang w:val="es-CR" w:eastAsia="es-CR"/>
              </w:rPr>
            </w:pPr>
          </w:p>
        </w:tc>
        <w:tc>
          <w:tcPr>
            <w:tcW w:w="370" w:type="pct"/>
            <w:tcBorders>
              <w:top w:val="single" w:sz="4" w:space="0" w:color="auto"/>
              <w:left w:val="nil"/>
              <w:bottom w:val="single" w:sz="4" w:space="0" w:color="auto"/>
              <w:right w:val="single" w:sz="4" w:space="0" w:color="auto"/>
            </w:tcBorders>
            <w:shd w:val="clear" w:color="auto" w:fill="auto"/>
            <w:noWrap/>
            <w:vAlign w:val="bottom"/>
          </w:tcPr>
          <w:p w14:paraId="0D56BE42" w14:textId="77777777" w:rsidR="009C4265" w:rsidRPr="009C4265" w:rsidRDefault="009C4265" w:rsidP="009C4265">
            <w:pPr>
              <w:jc w:val="center"/>
              <w:rPr>
                <w:rFonts w:ascii="Arial Narrow" w:hAnsi="Arial Narrow" w:cs="Arial"/>
                <w:sz w:val="22"/>
                <w:szCs w:val="22"/>
              </w:rPr>
            </w:pPr>
            <w:r w:rsidRPr="009C4265">
              <w:rPr>
                <w:rFonts w:ascii="Arial Narrow" w:hAnsi="Arial Narrow" w:cs="Arial"/>
                <w:sz w:val="22"/>
                <w:szCs w:val="22"/>
              </w:rPr>
              <w:t>121</w:t>
            </w:r>
          </w:p>
        </w:tc>
        <w:tc>
          <w:tcPr>
            <w:tcW w:w="1783" w:type="pct"/>
            <w:tcBorders>
              <w:top w:val="single" w:sz="4" w:space="0" w:color="auto"/>
              <w:left w:val="nil"/>
              <w:bottom w:val="single" w:sz="4" w:space="0" w:color="auto"/>
              <w:right w:val="single" w:sz="4" w:space="0" w:color="auto"/>
            </w:tcBorders>
            <w:shd w:val="clear" w:color="auto" w:fill="auto"/>
            <w:noWrap/>
            <w:vAlign w:val="center"/>
          </w:tcPr>
          <w:p w14:paraId="53CD9090" w14:textId="3D05EAAE" w:rsidR="009C4265" w:rsidRPr="009C4265" w:rsidRDefault="009C4265" w:rsidP="00C9711A">
            <w:pPr>
              <w:tabs>
                <w:tab w:val="left" w:pos="2776"/>
              </w:tabs>
              <w:jc w:val="both"/>
              <w:rPr>
                <w:rFonts w:ascii="Arial Narrow" w:hAnsi="Arial Narrow" w:cs="Arial"/>
                <w:sz w:val="22"/>
                <w:szCs w:val="22"/>
                <w:lang w:eastAsia="zh-CN"/>
              </w:rPr>
            </w:pPr>
            <w:r w:rsidRPr="009C4265">
              <w:rPr>
                <w:rFonts w:ascii="Arial Narrow" w:hAnsi="Arial Narrow" w:cs="Arial"/>
                <w:color w:val="000000"/>
                <w:sz w:val="22"/>
                <w:szCs w:val="22"/>
                <w:shd w:val="clear" w:color="auto" w:fill="FFFFFF"/>
                <w:lang w:val="es-ES"/>
              </w:rPr>
              <w:t>Sobre esta acción estratégica, se tienen 7 metas estratégicas asociadas en el 2019 y 6 metas estratégicas asociadas en el 2020, </w:t>
            </w:r>
            <w:r w:rsidRPr="009C4265">
              <w:rPr>
                <w:rFonts w:ascii="Arial Narrow" w:hAnsi="Arial Narrow" w:cs="Arial"/>
                <w:b/>
                <w:bCs/>
                <w:color w:val="000000"/>
                <w:sz w:val="22"/>
                <w:szCs w:val="22"/>
                <w:u w:val="single"/>
                <w:shd w:val="clear" w:color="auto" w:fill="FFFFFF"/>
                <w:lang w:val="es-ES"/>
              </w:rPr>
              <w:t>con un cumplimiento bastante alto de 100%,</w:t>
            </w:r>
            <w:r w:rsidRPr="009C4265">
              <w:rPr>
                <w:rFonts w:ascii="Arial Narrow" w:hAnsi="Arial Narrow" w:cs="Arial"/>
                <w:color w:val="000000"/>
                <w:sz w:val="22"/>
                <w:szCs w:val="22"/>
                <w:shd w:val="clear" w:color="auto" w:fill="FFFFFF"/>
                <w:lang w:val="es-ES"/>
              </w:rPr>
              <w:t xml:space="preserve"> a </w:t>
            </w:r>
            <w:r w:rsidRPr="009C4265">
              <w:rPr>
                <w:rFonts w:ascii="Arial Narrow" w:hAnsi="Arial Narrow" w:cs="Arial"/>
                <w:b/>
                <w:bCs/>
                <w:color w:val="000000"/>
                <w:sz w:val="22"/>
                <w:szCs w:val="22"/>
                <w:u w:val="single"/>
                <w:shd w:val="clear" w:color="auto" w:fill="FFFFFF"/>
                <w:lang w:val="es-ES"/>
              </w:rPr>
              <w:t>excepción de la meta Que al finalizar el 2024, se haya aprobado la política de comunicación integral la cual registra un nivel de cumplimiento de 30%(2019)  y 13%(2020), el más bajo de todas las metas en esta categoría</w:t>
            </w:r>
            <w:r w:rsidRPr="009C4265">
              <w:rPr>
                <w:rFonts w:ascii="Arial Narrow" w:hAnsi="Arial Narrow" w:cs="Arial"/>
                <w:color w:val="000000"/>
                <w:sz w:val="22"/>
                <w:szCs w:val="22"/>
                <w:shd w:val="clear" w:color="auto" w:fill="FFFFFF"/>
                <w:lang w:val="es-ES"/>
              </w:rPr>
              <w:t xml:space="preserve">, por lo que la justificación que se brinda por parte del Departamento de Prensa y Comunicación, es que se formularon los requerimientos </w:t>
            </w:r>
            <w:r w:rsidR="00D03D3F">
              <w:rPr>
                <w:rFonts w:ascii="Arial Narrow" w:hAnsi="Arial Narrow" w:cs="Arial"/>
                <w:color w:val="000000"/>
                <w:sz w:val="22"/>
                <w:szCs w:val="22"/>
                <w:shd w:val="clear" w:color="auto" w:fill="FFFFFF"/>
                <w:lang w:val="es-ES"/>
              </w:rPr>
              <w:t>a</w:t>
            </w:r>
            <w:r w:rsidRPr="009C4265">
              <w:rPr>
                <w:rFonts w:ascii="Arial Narrow" w:hAnsi="Arial Narrow" w:cs="Arial"/>
                <w:color w:val="000000"/>
                <w:sz w:val="22"/>
                <w:szCs w:val="22"/>
                <w:shd w:val="clear" w:color="auto" w:fill="FFFFFF"/>
                <w:lang w:val="es-ES"/>
              </w:rPr>
              <w:t>l órgano cooperante para el apoyo financiero.</w:t>
            </w:r>
            <w:r w:rsidRPr="009C4265">
              <w:rPr>
                <w:rFonts w:ascii="Arial Narrow" w:hAnsi="Arial Narrow" w:cs="Arial"/>
                <w:color w:val="000000"/>
                <w:sz w:val="22"/>
                <w:szCs w:val="22"/>
                <w:shd w:val="clear" w:color="auto" w:fill="FFFFFF"/>
              </w:rPr>
              <w:t> </w:t>
            </w:r>
            <w:r w:rsidRPr="009C4265">
              <w:rPr>
                <w:rFonts w:ascii="Arial Narrow" w:hAnsi="Arial Narrow" w:cs="Arial"/>
                <w:sz w:val="22"/>
                <w:szCs w:val="22"/>
                <w:lang w:eastAsia="zh-CN"/>
              </w:rPr>
              <w:t>(El resaltado y subrayado no corresponde al original)</w:t>
            </w:r>
          </w:p>
        </w:tc>
        <w:tc>
          <w:tcPr>
            <w:tcW w:w="956" w:type="pct"/>
            <w:tcBorders>
              <w:top w:val="single" w:sz="4" w:space="0" w:color="auto"/>
              <w:left w:val="nil"/>
              <w:bottom w:val="single" w:sz="4" w:space="0" w:color="auto"/>
              <w:right w:val="single" w:sz="4" w:space="0" w:color="auto"/>
            </w:tcBorders>
            <w:shd w:val="clear" w:color="auto" w:fill="auto"/>
            <w:noWrap/>
            <w:vAlign w:val="center"/>
          </w:tcPr>
          <w:p w14:paraId="102FD30F" w14:textId="77777777" w:rsidR="009C4265" w:rsidRPr="009C4265" w:rsidRDefault="009C4265" w:rsidP="006A146B">
            <w:pPr>
              <w:widowControl w:val="0"/>
              <w:autoSpaceDE w:val="0"/>
              <w:autoSpaceDN w:val="0"/>
              <w:adjustRightInd w:val="0"/>
              <w:jc w:val="both"/>
              <w:rPr>
                <w:rFonts w:ascii="Arial Narrow" w:hAnsi="Arial Narrow" w:cs="Arial"/>
                <w:sz w:val="22"/>
                <w:szCs w:val="22"/>
                <w:lang w:eastAsia="zh-CN"/>
              </w:rPr>
            </w:pPr>
            <w:r w:rsidRPr="009C4265">
              <w:rPr>
                <w:rFonts w:ascii="Arial Narrow" w:hAnsi="Arial Narrow" w:cs="Arial"/>
                <w:color w:val="000000"/>
                <w:sz w:val="22"/>
                <w:szCs w:val="22"/>
                <w:shd w:val="clear" w:color="auto" w:fill="FFFFFF"/>
                <w:lang w:val="es-ES"/>
              </w:rPr>
              <w:t>Se recomienda redactar de una manera más clara este apartado.</w:t>
            </w:r>
          </w:p>
        </w:tc>
        <w:tc>
          <w:tcPr>
            <w:tcW w:w="889" w:type="pct"/>
            <w:tcBorders>
              <w:top w:val="single" w:sz="4" w:space="0" w:color="auto"/>
              <w:left w:val="nil"/>
              <w:bottom w:val="single" w:sz="4" w:space="0" w:color="auto"/>
              <w:right w:val="single" w:sz="4" w:space="0" w:color="auto"/>
            </w:tcBorders>
            <w:shd w:val="clear" w:color="auto" w:fill="auto"/>
            <w:noWrap/>
            <w:vAlign w:val="bottom"/>
          </w:tcPr>
          <w:p w14:paraId="1B8A0BFE" w14:textId="77777777" w:rsidR="009C4265" w:rsidRPr="009C4265" w:rsidRDefault="009C4265" w:rsidP="00FD024B">
            <w:pPr>
              <w:jc w:val="both"/>
              <w:rPr>
                <w:rFonts w:ascii="Arial Narrow" w:hAnsi="Arial Narrow" w:cs="Calibri"/>
                <w:sz w:val="22"/>
                <w:szCs w:val="22"/>
                <w:highlight w:val="yellow"/>
                <w:lang w:val="es-CR" w:eastAsia="es-CR"/>
              </w:rPr>
            </w:pPr>
          </w:p>
          <w:p w14:paraId="19FAD2F0" w14:textId="77777777" w:rsidR="009C4265" w:rsidRPr="00C9711A" w:rsidRDefault="009C4265" w:rsidP="00FD024B">
            <w:pPr>
              <w:jc w:val="both"/>
              <w:rPr>
                <w:rFonts w:ascii="Arial Narrow" w:hAnsi="Arial Narrow" w:cs="Calibri"/>
                <w:sz w:val="22"/>
                <w:szCs w:val="22"/>
                <w:lang w:val="es-CR" w:eastAsia="es-CR"/>
              </w:rPr>
            </w:pPr>
            <w:r w:rsidRPr="00C9711A">
              <w:rPr>
                <w:rFonts w:ascii="Arial Narrow" w:hAnsi="Arial Narrow" w:cs="Calibri"/>
                <w:sz w:val="22"/>
                <w:szCs w:val="22"/>
                <w:lang w:val="es-CR" w:eastAsia="es-CR"/>
              </w:rPr>
              <w:t>Se toma nota de la observación.</w:t>
            </w:r>
          </w:p>
          <w:p w14:paraId="467AF57D" w14:textId="77777777" w:rsidR="009C4265" w:rsidRPr="00C9711A" w:rsidRDefault="009C4265">
            <w:pPr>
              <w:jc w:val="both"/>
              <w:rPr>
                <w:rFonts w:ascii="Arial Narrow" w:hAnsi="Arial Narrow" w:cs="Calibri"/>
                <w:sz w:val="22"/>
                <w:szCs w:val="22"/>
                <w:lang w:val="es-CR" w:eastAsia="es-CR"/>
              </w:rPr>
            </w:pPr>
          </w:p>
          <w:p w14:paraId="76288E01" w14:textId="6D0E63E0" w:rsidR="009C4265" w:rsidRPr="00C9711A" w:rsidRDefault="009C4265">
            <w:pPr>
              <w:jc w:val="both"/>
              <w:rPr>
                <w:rFonts w:ascii="Arial Narrow" w:hAnsi="Arial Narrow" w:cs="Calibri"/>
                <w:sz w:val="22"/>
                <w:szCs w:val="22"/>
                <w:lang w:val="es-CR" w:eastAsia="es-CR"/>
              </w:rPr>
            </w:pPr>
            <w:r w:rsidRPr="00C9711A">
              <w:rPr>
                <w:rFonts w:ascii="Arial Narrow" w:hAnsi="Arial Narrow" w:cs="Calibri"/>
                <w:sz w:val="22"/>
                <w:szCs w:val="22"/>
                <w:lang w:val="es-CR" w:eastAsia="es-CR"/>
              </w:rPr>
              <w:t>La observación modifica el contenido</w:t>
            </w:r>
            <w:r w:rsidR="005B6D31" w:rsidRPr="00D03D3F">
              <w:rPr>
                <w:rFonts w:ascii="Arial Narrow" w:hAnsi="Arial Narrow" w:cs="Calibri"/>
                <w:sz w:val="22"/>
                <w:szCs w:val="22"/>
                <w:lang w:val="es-CR" w:eastAsia="es-CR"/>
              </w:rPr>
              <w:t xml:space="preserve"> y se redacta con mayor claridad. </w:t>
            </w:r>
          </w:p>
          <w:p w14:paraId="0CDCB527" w14:textId="77777777" w:rsidR="009C4265" w:rsidRPr="009C4265" w:rsidRDefault="009C4265" w:rsidP="00C9711A">
            <w:pPr>
              <w:jc w:val="both"/>
              <w:rPr>
                <w:rFonts w:ascii="Arial Narrow" w:hAnsi="Arial Narrow" w:cs="Calibri"/>
                <w:sz w:val="22"/>
                <w:szCs w:val="22"/>
                <w:lang w:val="es-CR" w:eastAsia="es-CR"/>
              </w:rPr>
            </w:pPr>
          </w:p>
          <w:p w14:paraId="0A1E4528" w14:textId="77777777" w:rsidR="009C4265" w:rsidRPr="009C4265" w:rsidRDefault="009C4265" w:rsidP="00C9711A">
            <w:pPr>
              <w:jc w:val="both"/>
              <w:rPr>
                <w:rFonts w:ascii="Arial Narrow" w:hAnsi="Arial Narrow" w:cs="Calibri"/>
                <w:sz w:val="22"/>
                <w:szCs w:val="22"/>
                <w:lang w:val="es-CR" w:eastAsia="es-CR"/>
              </w:rPr>
            </w:pPr>
          </w:p>
          <w:p w14:paraId="464FB48C" w14:textId="77777777" w:rsidR="009C4265" w:rsidRPr="009C4265" w:rsidRDefault="009C4265" w:rsidP="00C9711A">
            <w:pPr>
              <w:jc w:val="both"/>
              <w:rPr>
                <w:rFonts w:ascii="Arial Narrow" w:hAnsi="Arial Narrow" w:cs="Calibri"/>
                <w:sz w:val="22"/>
                <w:szCs w:val="22"/>
                <w:lang w:val="es-CR" w:eastAsia="es-CR"/>
              </w:rPr>
            </w:pPr>
          </w:p>
          <w:p w14:paraId="7ACE2E5B" w14:textId="77777777" w:rsidR="009C4265" w:rsidRPr="009C4265" w:rsidRDefault="009C4265" w:rsidP="00C9711A">
            <w:pPr>
              <w:jc w:val="both"/>
              <w:rPr>
                <w:rFonts w:ascii="Arial Narrow" w:hAnsi="Arial Narrow" w:cs="Calibri"/>
                <w:sz w:val="22"/>
                <w:szCs w:val="22"/>
                <w:lang w:val="es-CR" w:eastAsia="es-CR"/>
              </w:rPr>
            </w:pPr>
          </w:p>
          <w:p w14:paraId="52D54E8C" w14:textId="77777777" w:rsidR="009C4265" w:rsidRPr="009C4265" w:rsidRDefault="009C4265" w:rsidP="00C9711A">
            <w:pPr>
              <w:jc w:val="both"/>
              <w:rPr>
                <w:rFonts w:ascii="Arial Narrow" w:hAnsi="Arial Narrow" w:cs="Calibri"/>
                <w:sz w:val="22"/>
                <w:szCs w:val="22"/>
                <w:lang w:val="es-CR" w:eastAsia="es-CR"/>
              </w:rPr>
            </w:pPr>
          </w:p>
          <w:p w14:paraId="5C332381" w14:textId="77777777" w:rsidR="009C4265" w:rsidRPr="009C4265" w:rsidRDefault="009C4265" w:rsidP="00C9711A">
            <w:pPr>
              <w:jc w:val="both"/>
              <w:rPr>
                <w:rFonts w:ascii="Arial Narrow" w:hAnsi="Arial Narrow" w:cs="Calibri"/>
                <w:sz w:val="22"/>
                <w:szCs w:val="22"/>
                <w:lang w:val="es-CR" w:eastAsia="es-CR"/>
              </w:rPr>
            </w:pPr>
          </w:p>
          <w:p w14:paraId="30E5F31E" w14:textId="77777777" w:rsidR="009C4265" w:rsidRPr="009C4265" w:rsidRDefault="009C4265" w:rsidP="00C9711A">
            <w:pPr>
              <w:jc w:val="both"/>
              <w:rPr>
                <w:rFonts w:ascii="Arial Narrow" w:hAnsi="Arial Narrow" w:cs="Calibri"/>
                <w:sz w:val="22"/>
                <w:szCs w:val="22"/>
                <w:lang w:val="es-CR" w:eastAsia="es-CR"/>
              </w:rPr>
            </w:pPr>
          </w:p>
        </w:tc>
        <w:tc>
          <w:tcPr>
            <w:tcW w:w="77" w:type="pct"/>
            <w:vAlign w:val="center"/>
          </w:tcPr>
          <w:p w14:paraId="00AC84EB" w14:textId="77777777" w:rsidR="009C4265" w:rsidRPr="009C4265" w:rsidRDefault="009C4265" w:rsidP="009C4265">
            <w:pPr>
              <w:rPr>
                <w:rFonts w:ascii="Arial Narrow" w:hAnsi="Arial Narrow"/>
                <w:sz w:val="22"/>
                <w:szCs w:val="22"/>
                <w:lang w:val="es-CR" w:eastAsia="es-CR"/>
              </w:rPr>
            </w:pPr>
          </w:p>
        </w:tc>
      </w:tr>
      <w:tr w:rsidR="009C4265" w:rsidRPr="009C4265" w14:paraId="0862F3BB" w14:textId="77777777" w:rsidTr="00C9711A">
        <w:trPr>
          <w:trHeight w:val="1514"/>
        </w:trPr>
        <w:tc>
          <w:tcPr>
            <w:tcW w:w="924" w:type="pct"/>
            <w:tcBorders>
              <w:top w:val="single" w:sz="4" w:space="0" w:color="auto"/>
              <w:left w:val="single" w:sz="4" w:space="0" w:color="auto"/>
              <w:bottom w:val="single" w:sz="4" w:space="0" w:color="auto"/>
              <w:right w:val="single" w:sz="4" w:space="0" w:color="auto"/>
            </w:tcBorders>
            <w:shd w:val="clear" w:color="auto" w:fill="auto"/>
            <w:noWrap/>
            <w:vAlign w:val="bottom"/>
          </w:tcPr>
          <w:p w14:paraId="77D76C69" w14:textId="77777777" w:rsidR="009C4265" w:rsidRPr="009C4265" w:rsidRDefault="009C4265" w:rsidP="009C4265">
            <w:pPr>
              <w:jc w:val="center"/>
              <w:rPr>
                <w:rFonts w:ascii="Arial Narrow" w:hAnsi="Arial Narrow" w:cs="Calibri"/>
                <w:sz w:val="22"/>
                <w:szCs w:val="22"/>
                <w:lang w:val="es-CR" w:eastAsia="es-CR"/>
              </w:rPr>
            </w:pPr>
            <w:r w:rsidRPr="009C4265">
              <w:rPr>
                <w:rFonts w:ascii="Arial Narrow" w:hAnsi="Arial Narrow" w:cs="Calibri"/>
                <w:sz w:val="22"/>
                <w:szCs w:val="22"/>
                <w:lang w:val="es-CR" w:eastAsia="es-CR"/>
              </w:rPr>
              <w:t>Centro de Apoyo, Coordinación y Mejoramiento de la función Jurisdiccional</w:t>
            </w:r>
          </w:p>
          <w:p w14:paraId="1E66E551" w14:textId="77777777" w:rsidR="009C4265" w:rsidRPr="009C4265" w:rsidRDefault="009C4265" w:rsidP="009C4265">
            <w:pPr>
              <w:jc w:val="center"/>
              <w:rPr>
                <w:rFonts w:ascii="Arial Narrow" w:hAnsi="Arial Narrow" w:cs="Calibri"/>
                <w:sz w:val="22"/>
                <w:szCs w:val="22"/>
                <w:lang w:val="es-CR" w:eastAsia="es-CR"/>
              </w:rPr>
            </w:pPr>
          </w:p>
          <w:p w14:paraId="6C7820ED" w14:textId="77777777" w:rsidR="009C4265" w:rsidRPr="009C4265" w:rsidRDefault="009C4265" w:rsidP="009C4265">
            <w:pPr>
              <w:jc w:val="center"/>
              <w:rPr>
                <w:rFonts w:ascii="Arial Narrow" w:hAnsi="Arial Narrow" w:cs="Calibri"/>
                <w:sz w:val="22"/>
                <w:szCs w:val="22"/>
                <w:lang w:val="es-CR" w:eastAsia="es-CR"/>
              </w:rPr>
            </w:pPr>
          </w:p>
          <w:p w14:paraId="57940F65" w14:textId="77777777" w:rsidR="009C4265" w:rsidRPr="009C4265" w:rsidRDefault="009C4265" w:rsidP="009C4265">
            <w:pPr>
              <w:jc w:val="center"/>
              <w:rPr>
                <w:rFonts w:ascii="Arial Narrow" w:hAnsi="Arial Narrow" w:cs="Calibri"/>
                <w:sz w:val="22"/>
                <w:szCs w:val="22"/>
                <w:lang w:val="es-CR" w:eastAsia="es-CR"/>
              </w:rPr>
            </w:pPr>
          </w:p>
          <w:p w14:paraId="661F73B9" w14:textId="77777777" w:rsidR="009C4265" w:rsidRPr="009C4265" w:rsidRDefault="009C4265" w:rsidP="009C4265">
            <w:pPr>
              <w:jc w:val="center"/>
              <w:rPr>
                <w:rFonts w:ascii="Arial Narrow" w:hAnsi="Arial Narrow" w:cs="Calibri"/>
                <w:sz w:val="22"/>
                <w:szCs w:val="22"/>
                <w:lang w:val="es-CR" w:eastAsia="es-CR"/>
              </w:rPr>
            </w:pPr>
          </w:p>
          <w:p w14:paraId="5FA77ED6" w14:textId="77777777" w:rsidR="009C4265" w:rsidRPr="009C4265" w:rsidRDefault="009C4265" w:rsidP="009C4265">
            <w:pPr>
              <w:jc w:val="center"/>
              <w:rPr>
                <w:rFonts w:ascii="Arial Narrow" w:hAnsi="Arial Narrow" w:cs="Calibri"/>
                <w:sz w:val="22"/>
                <w:szCs w:val="22"/>
                <w:lang w:val="es-CR" w:eastAsia="es-CR"/>
              </w:rPr>
            </w:pPr>
          </w:p>
          <w:p w14:paraId="37B9B088" w14:textId="77777777" w:rsidR="009C4265" w:rsidRPr="009C4265" w:rsidRDefault="009C4265" w:rsidP="009C4265">
            <w:pPr>
              <w:jc w:val="center"/>
              <w:rPr>
                <w:rFonts w:ascii="Arial Narrow" w:hAnsi="Arial Narrow" w:cs="Calibri"/>
                <w:sz w:val="22"/>
                <w:szCs w:val="22"/>
                <w:lang w:val="es-CR" w:eastAsia="es-CR"/>
              </w:rPr>
            </w:pPr>
          </w:p>
          <w:p w14:paraId="69B6349C" w14:textId="77777777" w:rsidR="009C4265" w:rsidRPr="009C4265" w:rsidRDefault="009C4265" w:rsidP="009C4265">
            <w:pPr>
              <w:jc w:val="center"/>
              <w:rPr>
                <w:rFonts w:ascii="Arial Narrow" w:hAnsi="Arial Narrow" w:cs="Calibri"/>
                <w:sz w:val="22"/>
                <w:szCs w:val="22"/>
                <w:lang w:val="es-CR" w:eastAsia="es-CR"/>
              </w:rPr>
            </w:pPr>
          </w:p>
          <w:p w14:paraId="0E0D3165" w14:textId="77777777" w:rsidR="009C4265" w:rsidRPr="009C4265" w:rsidRDefault="009C4265" w:rsidP="009C4265">
            <w:pPr>
              <w:jc w:val="center"/>
              <w:rPr>
                <w:rFonts w:ascii="Arial Narrow" w:hAnsi="Arial Narrow" w:cs="Calibri"/>
                <w:sz w:val="22"/>
                <w:szCs w:val="22"/>
                <w:lang w:val="es-CR" w:eastAsia="es-CR"/>
              </w:rPr>
            </w:pPr>
          </w:p>
          <w:p w14:paraId="2B2CB8AC" w14:textId="77777777" w:rsidR="009C4265" w:rsidRPr="009C4265" w:rsidRDefault="009C4265" w:rsidP="009C4265">
            <w:pPr>
              <w:jc w:val="center"/>
              <w:rPr>
                <w:rFonts w:ascii="Arial Narrow" w:hAnsi="Arial Narrow" w:cs="Calibri"/>
                <w:sz w:val="22"/>
                <w:szCs w:val="22"/>
                <w:lang w:val="es-CR" w:eastAsia="es-CR"/>
              </w:rPr>
            </w:pPr>
          </w:p>
          <w:p w14:paraId="6DB5752D" w14:textId="77777777" w:rsidR="009C4265" w:rsidRPr="009C4265" w:rsidRDefault="009C4265" w:rsidP="009C4265">
            <w:pPr>
              <w:jc w:val="center"/>
              <w:rPr>
                <w:rFonts w:ascii="Arial Narrow" w:hAnsi="Arial Narrow" w:cs="Calibri"/>
                <w:sz w:val="22"/>
                <w:szCs w:val="22"/>
                <w:lang w:val="es-CR" w:eastAsia="es-CR"/>
              </w:rPr>
            </w:pPr>
          </w:p>
          <w:p w14:paraId="655D1F41" w14:textId="77777777" w:rsidR="009C4265" w:rsidRPr="009C4265" w:rsidRDefault="009C4265" w:rsidP="009C4265">
            <w:pPr>
              <w:jc w:val="center"/>
              <w:rPr>
                <w:rFonts w:ascii="Arial Narrow" w:hAnsi="Arial Narrow" w:cs="Calibri"/>
                <w:sz w:val="22"/>
                <w:szCs w:val="22"/>
                <w:lang w:val="es-CR" w:eastAsia="es-CR"/>
              </w:rPr>
            </w:pPr>
          </w:p>
          <w:p w14:paraId="4084EDA2" w14:textId="77777777" w:rsidR="009C4265" w:rsidRPr="009C4265" w:rsidRDefault="009C4265" w:rsidP="009C4265">
            <w:pPr>
              <w:jc w:val="center"/>
              <w:rPr>
                <w:rFonts w:ascii="Arial Narrow" w:hAnsi="Arial Narrow" w:cs="Calibri"/>
                <w:sz w:val="22"/>
                <w:szCs w:val="22"/>
                <w:lang w:val="es-CR" w:eastAsia="es-CR"/>
              </w:rPr>
            </w:pPr>
          </w:p>
          <w:p w14:paraId="469D44B4" w14:textId="77777777" w:rsidR="009C4265" w:rsidRPr="009C4265" w:rsidRDefault="009C4265" w:rsidP="009C4265">
            <w:pPr>
              <w:jc w:val="center"/>
              <w:rPr>
                <w:rFonts w:ascii="Arial Narrow" w:hAnsi="Arial Narrow" w:cs="Calibri"/>
                <w:sz w:val="22"/>
                <w:szCs w:val="22"/>
                <w:lang w:val="es-CR" w:eastAsia="es-CR"/>
              </w:rPr>
            </w:pPr>
          </w:p>
        </w:tc>
        <w:tc>
          <w:tcPr>
            <w:tcW w:w="370" w:type="pct"/>
            <w:tcBorders>
              <w:top w:val="single" w:sz="4" w:space="0" w:color="auto"/>
              <w:left w:val="nil"/>
              <w:bottom w:val="single" w:sz="4" w:space="0" w:color="auto"/>
              <w:right w:val="single" w:sz="4" w:space="0" w:color="auto"/>
            </w:tcBorders>
            <w:shd w:val="clear" w:color="auto" w:fill="auto"/>
            <w:noWrap/>
            <w:vAlign w:val="bottom"/>
          </w:tcPr>
          <w:p w14:paraId="1A6199F7" w14:textId="77777777" w:rsidR="009C4265" w:rsidRPr="009C4265" w:rsidRDefault="009C4265" w:rsidP="009C4265">
            <w:pPr>
              <w:jc w:val="center"/>
              <w:rPr>
                <w:rFonts w:ascii="Arial Narrow" w:hAnsi="Arial Narrow" w:cs="Arial"/>
                <w:sz w:val="22"/>
                <w:szCs w:val="22"/>
              </w:rPr>
            </w:pPr>
            <w:r w:rsidRPr="009C4265">
              <w:rPr>
                <w:rFonts w:ascii="Arial Narrow" w:hAnsi="Arial Narrow" w:cs="Arial"/>
                <w:sz w:val="22"/>
                <w:szCs w:val="22"/>
              </w:rPr>
              <w:t>164</w:t>
            </w:r>
          </w:p>
        </w:tc>
        <w:tc>
          <w:tcPr>
            <w:tcW w:w="1783" w:type="pct"/>
            <w:tcBorders>
              <w:top w:val="single" w:sz="4" w:space="0" w:color="auto"/>
              <w:left w:val="nil"/>
              <w:bottom w:val="single" w:sz="4" w:space="0" w:color="auto"/>
              <w:right w:val="single" w:sz="4" w:space="0" w:color="auto"/>
            </w:tcBorders>
            <w:shd w:val="clear" w:color="auto" w:fill="auto"/>
            <w:noWrap/>
          </w:tcPr>
          <w:p w14:paraId="2D5C53C7" w14:textId="77777777" w:rsidR="009C4265" w:rsidRPr="009C4265" w:rsidRDefault="009C4265" w:rsidP="00C9711A">
            <w:pPr>
              <w:tabs>
                <w:tab w:val="left" w:pos="2776"/>
              </w:tabs>
              <w:jc w:val="both"/>
              <w:rPr>
                <w:rFonts w:ascii="Arial Narrow" w:hAnsi="Arial Narrow" w:cs="Arial"/>
                <w:color w:val="000000"/>
                <w:sz w:val="22"/>
                <w:szCs w:val="22"/>
                <w:shd w:val="clear" w:color="auto" w:fill="FFFFFF"/>
                <w:lang w:val="es-ES"/>
              </w:rPr>
            </w:pPr>
            <w:r w:rsidRPr="009C4265">
              <w:rPr>
                <w:rFonts w:ascii="Arial Narrow" w:hAnsi="Arial Narrow" w:cs="Arial"/>
                <w:sz w:val="22"/>
                <w:szCs w:val="22"/>
                <w:lang w:eastAsia="zh-CN"/>
              </w:rPr>
              <w:t xml:space="preserve">Finalmente, para la meta </w:t>
            </w:r>
            <w:r w:rsidRPr="009C4265">
              <w:rPr>
                <w:rFonts w:ascii="Arial Narrow" w:hAnsi="Arial Narrow" w:cs="Arial"/>
                <w:b/>
                <w:bCs/>
                <w:sz w:val="22"/>
                <w:szCs w:val="22"/>
                <w:lang w:eastAsia="zh-CN"/>
              </w:rPr>
              <w:t>“Que al finalizar el 2024, se haya desarrollado y aprobado el reglamento que rija las funciones y competencias del Centro de Apoyo, Coordinación y Mejoramiento de la Función Jurisdiccional”</w:t>
            </w:r>
            <w:r w:rsidRPr="009C4265">
              <w:rPr>
                <w:rFonts w:ascii="Arial Narrow" w:hAnsi="Arial Narrow" w:cs="Arial"/>
                <w:sz w:val="22"/>
                <w:szCs w:val="22"/>
                <w:lang w:eastAsia="zh-CN"/>
              </w:rPr>
              <w:t xml:space="preserve"> se aclara que el reglamento de las funciones y competencia es resorte de la Dirección Jurídica, pero se trabaja en el proyecto. El Centro a lo interno </w:t>
            </w:r>
            <w:r w:rsidRPr="009C4265">
              <w:rPr>
                <w:rFonts w:ascii="Arial Narrow" w:hAnsi="Arial Narrow" w:cs="Arial"/>
                <w:b/>
                <w:bCs/>
                <w:sz w:val="22"/>
                <w:szCs w:val="22"/>
                <w:u w:val="single"/>
                <w:lang w:eastAsia="zh-CN"/>
              </w:rPr>
              <w:t>confecciona</w:t>
            </w:r>
            <w:r w:rsidRPr="009C4265">
              <w:rPr>
                <w:rFonts w:ascii="Arial Narrow" w:hAnsi="Arial Narrow" w:cs="Arial"/>
                <w:sz w:val="22"/>
                <w:szCs w:val="22"/>
                <w:lang w:eastAsia="zh-CN"/>
              </w:rPr>
              <w:t xml:space="preserve"> el oficio 041-CACMFJ-ACM-2019 (se encuentra en borrador) con la distribución de labores y en reunión se le puso en conocimiento a los colaboradores del Centro, sin embargo, sigo pendiente la aprobación del reglamento. Por su parte para el año 2020 no se cuenta en el sistema PEI con esta meta estratégica </w:t>
            </w:r>
            <w:r w:rsidRPr="009C4265">
              <w:rPr>
                <w:rFonts w:ascii="Arial Narrow" w:hAnsi="Arial Narrow" w:cs="Arial"/>
                <w:sz w:val="22"/>
                <w:szCs w:val="22"/>
                <w:lang w:eastAsia="zh-CN"/>
              </w:rPr>
              <w:lastRenderedPageBreak/>
              <w:t>vinculada a una meta operativa. (El resaltado y subrayando no corresponde al original).</w:t>
            </w:r>
          </w:p>
        </w:tc>
        <w:tc>
          <w:tcPr>
            <w:tcW w:w="956" w:type="pct"/>
            <w:tcBorders>
              <w:top w:val="single" w:sz="4" w:space="0" w:color="auto"/>
              <w:left w:val="nil"/>
              <w:bottom w:val="single" w:sz="4" w:space="0" w:color="auto"/>
              <w:right w:val="single" w:sz="4" w:space="0" w:color="auto"/>
            </w:tcBorders>
            <w:shd w:val="clear" w:color="auto" w:fill="auto"/>
            <w:noWrap/>
          </w:tcPr>
          <w:p w14:paraId="4A06B1DD" w14:textId="77777777" w:rsidR="009C4265" w:rsidRPr="009C4265" w:rsidRDefault="009C4265" w:rsidP="006A146B">
            <w:pPr>
              <w:widowControl w:val="0"/>
              <w:autoSpaceDE w:val="0"/>
              <w:autoSpaceDN w:val="0"/>
              <w:adjustRightInd w:val="0"/>
              <w:jc w:val="both"/>
              <w:rPr>
                <w:rFonts w:ascii="Arial Narrow" w:hAnsi="Arial Narrow" w:cs="Arial"/>
                <w:sz w:val="22"/>
                <w:szCs w:val="22"/>
                <w:lang w:eastAsia="zh-CN"/>
              </w:rPr>
            </w:pPr>
            <w:r w:rsidRPr="009C4265">
              <w:rPr>
                <w:rFonts w:ascii="Arial Narrow" w:hAnsi="Arial Narrow" w:cs="Arial"/>
                <w:sz w:val="22"/>
                <w:szCs w:val="22"/>
                <w:lang w:eastAsia="zh-CN"/>
              </w:rPr>
              <w:lastRenderedPageBreak/>
              <w:t>En el cuadro 51 no se muestra información sobre lo indicado en este párrafo.</w:t>
            </w:r>
          </w:p>
          <w:p w14:paraId="7DE24A71" w14:textId="77777777" w:rsidR="009C4265" w:rsidRPr="009C4265" w:rsidRDefault="009C4265" w:rsidP="00BF6E93">
            <w:pPr>
              <w:widowControl w:val="0"/>
              <w:autoSpaceDE w:val="0"/>
              <w:autoSpaceDN w:val="0"/>
              <w:adjustRightInd w:val="0"/>
              <w:jc w:val="both"/>
              <w:rPr>
                <w:rFonts w:ascii="Arial Narrow" w:hAnsi="Arial Narrow" w:cs="Arial"/>
                <w:sz w:val="22"/>
                <w:szCs w:val="22"/>
                <w:lang w:eastAsia="zh-CN"/>
              </w:rPr>
            </w:pPr>
          </w:p>
          <w:p w14:paraId="6D4EC51D" w14:textId="77777777" w:rsidR="009C4265" w:rsidRPr="009C4265" w:rsidRDefault="009C4265" w:rsidP="00FD024B">
            <w:pPr>
              <w:widowControl w:val="0"/>
              <w:autoSpaceDE w:val="0"/>
              <w:autoSpaceDN w:val="0"/>
              <w:adjustRightInd w:val="0"/>
              <w:jc w:val="both"/>
              <w:rPr>
                <w:rFonts w:ascii="Arial Narrow" w:hAnsi="Arial Narrow" w:cs="Arial"/>
                <w:color w:val="000000"/>
                <w:sz w:val="22"/>
                <w:szCs w:val="22"/>
                <w:shd w:val="clear" w:color="auto" w:fill="FFFFFF"/>
                <w:lang w:val="es-ES"/>
              </w:rPr>
            </w:pPr>
            <w:r w:rsidRPr="009C4265">
              <w:rPr>
                <w:rFonts w:ascii="Arial Narrow" w:hAnsi="Arial Narrow" w:cs="Arial"/>
                <w:sz w:val="22"/>
                <w:szCs w:val="22"/>
                <w:lang w:eastAsia="zh-CN"/>
              </w:rPr>
              <w:t>Por otra parte, se sugiere redactar en pasado lo referente al oficio 041-CACMFJ-ACM-2019.</w:t>
            </w:r>
          </w:p>
        </w:tc>
        <w:tc>
          <w:tcPr>
            <w:tcW w:w="889" w:type="pct"/>
            <w:tcBorders>
              <w:top w:val="single" w:sz="4" w:space="0" w:color="auto"/>
              <w:left w:val="nil"/>
              <w:bottom w:val="single" w:sz="4" w:space="0" w:color="auto"/>
              <w:right w:val="single" w:sz="4" w:space="0" w:color="auto"/>
            </w:tcBorders>
            <w:shd w:val="clear" w:color="auto" w:fill="auto"/>
            <w:noWrap/>
          </w:tcPr>
          <w:p w14:paraId="01ECD151" w14:textId="192CCAE1" w:rsidR="009C4265" w:rsidRPr="009C4265" w:rsidRDefault="009C4265">
            <w:pPr>
              <w:jc w:val="both"/>
              <w:rPr>
                <w:rFonts w:ascii="Arial Narrow" w:hAnsi="Arial Narrow" w:cs="Arial"/>
                <w:sz w:val="22"/>
                <w:szCs w:val="22"/>
                <w:lang w:eastAsia="zh-CN"/>
              </w:rPr>
            </w:pPr>
            <w:r w:rsidRPr="009C4265">
              <w:rPr>
                <w:rFonts w:ascii="Arial Narrow" w:hAnsi="Arial Narrow" w:cs="Arial"/>
                <w:sz w:val="22"/>
                <w:szCs w:val="22"/>
                <w:lang w:eastAsia="zh-CN"/>
              </w:rPr>
              <w:t>Se toma nota de la observación y se incorpora la redacción en pasado con respecto al oficio 041-CACMFJ-ACM-2019.</w:t>
            </w:r>
          </w:p>
          <w:p w14:paraId="7526B390" w14:textId="77777777" w:rsidR="009C4265" w:rsidRPr="009C4265" w:rsidRDefault="009C4265">
            <w:pPr>
              <w:jc w:val="both"/>
              <w:rPr>
                <w:rFonts w:ascii="Arial Narrow" w:hAnsi="Arial Narrow" w:cs="Arial"/>
                <w:sz w:val="22"/>
                <w:szCs w:val="22"/>
                <w:lang w:eastAsia="zh-CN"/>
              </w:rPr>
            </w:pPr>
          </w:p>
          <w:p w14:paraId="68C3A2C8" w14:textId="77777777" w:rsidR="009C4265" w:rsidRPr="009C4265" w:rsidRDefault="009C4265">
            <w:pPr>
              <w:jc w:val="both"/>
              <w:rPr>
                <w:rFonts w:ascii="Arial Narrow" w:hAnsi="Arial Narrow" w:cs="Arial"/>
                <w:sz w:val="22"/>
                <w:szCs w:val="22"/>
                <w:lang w:eastAsia="zh-CN"/>
              </w:rPr>
            </w:pPr>
          </w:p>
          <w:p w14:paraId="3448D329" w14:textId="5C1A8115" w:rsidR="009C4265" w:rsidRPr="009C4265" w:rsidRDefault="009C4265">
            <w:pPr>
              <w:widowControl w:val="0"/>
              <w:autoSpaceDE w:val="0"/>
              <w:autoSpaceDN w:val="0"/>
              <w:adjustRightInd w:val="0"/>
              <w:jc w:val="both"/>
              <w:rPr>
                <w:rFonts w:ascii="Arial Narrow" w:hAnsi="Arial Narrow" w:cs="Arial"/>
                <w:sz w:val="22"/>
                <w:szCs w:val="22"/>
                <w:lang w:eastAsia="zh-CN"/>
              </w:rPr>
            </w:pPr>
            <w:r w:rsidRPr="009C4265">
              <w:rPr>
                <w:rFonts w:ascii="Arial Narrow" w:hAnsi="Arial Narrow" w:cs="Arial"/>
                <w:sz w:val="22"/>
                <w:szCs w:val="22"/>
                <w:lang w:eastAsia="zh-CN"/>
              </w:rPr>
              <w:t xml:space="preserve">Con respecto a que en el cuadro 51 no se muestra información sobre lo indicado en el párrafo se indica que es debido a que en el sistema PEI </w:t>
            </w:r>
            <w:r w:rsidR="005B6D31">
              <w:rPr>
                <w:rFonts w:ascii="Arial Narrow" w:hAnsi="Arial Narrow" w:cs="Arial"/>
                <w:sz w:val="22"/>
                <w:szCs w:val="22"/>
                <w:lang w:eastAsia="zh-CN"/>
              </w:rPr>
              <w:t>no</w:t>
            </w:r>
            <w:r w:rsidRPr="009C4265">
              <w:rPr>
                <w:rFonts w:ascii="Arial Narrow" w:hAnsi="Arial Narrow" w:cs="Arial"/>
                <w:sz w:val="22"/>
                <w:szCs w:val="22"/>
                <w:lang w:eastAsia="zh-CN"/>
              </w:rPr>
              <w:t xml:space="preserve"> </w:t>
            </w:r>
            <w:r w:rsidR="005B6D31" w:rsidRPr="009C4265">
              <w:rPr>
                <w:rFonts w:ascii="Arial Narrow" w:hAnsi="Arial Narrow" w:cs="Arial"/>
                <w:sz w:val="22"/>
                <w:szCs w:val="22"/>
                <w:lang w:eastAsia="zh-CN"/>
              </w:rPr>
              <w:t>está</w:t>
            </w:r>
            <w:r w:rsidRPr="009C4265">
              <w:rPr>
                <w:rFonts w:ascii="Arial Narrow" w:hAnsi="Arial Narrow" w:cs="Arial"/>
                <w:sz w:val="22"/>
                <w:szCs w:val="22"/>
                <w:lang w:eastAsia="zh-CN"/>
              </w:rPr>
              <w:t xml:space="preserve"> </w:t>
            </w:r>
            <w:r w:rsidR="005B6D31">
              <w:rPr>
                <w:rFonts w:ascii="Arial Narrow" w:hAnsi="Arial Narrow" w:cs="Arial"/>
                <w:sz w:val="22"/>
                <w:szCs w:val="22"/>
                <w:lang w:eastAsia="zh-CN"/>
              </w:rPr>
              <w:t xml:space="preserve">la </w:t>
            </w:r>
            <w:r w:rsidRPr="009C4265">
              <w:rPr>
                <w:rFonts w:ascii="Arial Narrow" w:hAnsi="Arial Narrow" w:cs="Arial"/>
                <w:sz w:val="22"/>
                <w:szCs w:val="22"/>
                <w:lang w:eastAsia="zh-CN"/>
              </w:rPr>
              <w:t xml:space="preserve">meta estratégica vinculada a una meta </w:t>
            </w:r>
            <w:r w:rsidRPr="009C4265">
              <w:rPr>
                <w:rFonts w:ascii="Arial Narrow" w:hAnsi="Arial Narrow" w:cs="Arial"/>
                <w:sz w:val="22"/>
                <w:szCs w:val="22"/>
                <w:lang w:eastAsia="zh-CN"/>
              </w:rPr>
              <w:lastRenderedPageBreak/>
              <w:t>operativa.</w:t>
            </w:r>
          </w:p>
          <w:p w14:paraId="68D99313" w14:textId="77777777" w:rsidR="009C4265" w:rsidRPr="009C4265" w:rsidRDefault="009C4265">
            <w:pPr>
              <w:widowControl w:val="0"/>
              <w:autoSpaceDE w:val="0"/>
              <w:autoSpaceDN w:val="0"/>
              <w:adjustRightInd w:val="0"/>
              <w:jc w:val="both"/>
              <w:rPr>
                <w:rFonts w:ascii="Arial Narrow" w:hAnsi="Arial Narrow" w:cs="Arial"/>
                <w:sz w:val="22"/>
                <w:szCs w:val="22"/>
                <w:lang w:eastAsia="zh-CN"/>
              </w:rPr>
            </w:pPr>
          </w:p>
          <w:p w14:paraId="7DEC2F2B" w14:textId="77777777" w:rsidR="009C4265" w:rsidRPr="009C4265" w:rsidRDefault="009C4265">
            <w:pPr>
              <w:jc w:val="both"/>
              <w:rPr>
                <w:rFonts w:ascii="Arial Narrow" w:hAnsi="Arial Narrow" w:cs="Arial"/>
                <w:sz w:val="22"/>
                <w:szCs w:val="22"/>
                <w:lang w:eastAsia="zh-CN"/>
              </w:rPr>
            </w:pPr>
          </w:p>
          <w:p w14:paraId="20A255C9" w14:textId="77777777" w:rsidR="009C4265" w:rsidRPr="009C4265" w:rsidRDefault="009C4265">
            <w:pPr>
              <w:jc w:val="both"/>
              <w:rPr>
                <w:rFonts w:ascii="Arial Narrow" w:hAnsi="Arial Narrow" w:cs="Arial"/>
                <w:sz w:val="22"/>
                <w:szCs w:val="22"/>
                <w:lang w:eastAsia="zh-CN"/>
              </w:rPr>
            </w:pPr>
          </w:p>
          <w:p w14:paraId="0EC1C64E" w14:textId="77777777" w:rsidR="009C4265" w:rsidRPr="009C4265" w:rsidRDefault="009C4265">
            <w:pPr>
              <w:jc w:val="both"/>
              <w:rPr>
                <w:rFonts w:ascii="Arial Narrow" w:hAnsi="Arial Narrow" w:cs="Arial"/>
                <w:sz w:val="22"/>
                <w:szCs w:val="22"/>
                <w:lang w:eastAsia="zh-CN"/>
              </w:rPr>
            </w:pPr>
          </w:p>
          <w:p w14:paraId="3AE16059" w14:textId="77777777" w:rsidR="009C4265" w:rsidRPr="009C4265" w:rsidRDefault="009C4265">
            <w:pPr>
              <w:jc w:val="both"/>
              <w:rPr>
                <w:rFonts w:ascii="Arial Narrow" w:hAnsi="Arial Narrow" w:cs="Arial"/>
                <w:sz w:val="22"/>
                <w:szCs w:val="22"/>
                <w:lang w:eastAsia="zh-CN"/>
              </w:rPr>
            </w:pPr>
          </w:p>
          <w:p w14:paraId="733A1124" w14:textId="77777777" w:rsidR="009C4265" w:rsidRPr="009C4265" w:rsidRDefault="009C4265">
            <w:pPr>
              <w:jc w:val="both"/>
              <w:rPr>
                <w:rFonts w:ascii="Arial Narrow" w:hAnsi="Arial Narrow" w:cs="Arial"/>
                <w:sz w:val="22"/>
                <w:szCs w:val="22"/>
                <w:lang w:eastAsia="zh-CN"/>
              </w:rPr>
            </w:pPr>
          </w:p>
          <w:p w14:paraId="15B097FA" w14:textId="77777777" w:rsidR="009C4265" w:rsidRPr="009C4265" w:rsidRDefault="009C4265">
            <w:pPr>
              <w:jc w:val="both"/>
              <w:rPr>
                <w:rFonts w:ascii="Arial Narrow" w:hAnsi="Arial Narrow" w:cs="Arial"/>
                <w:sz w:val="22"/>
                <w:szCs w:val="22"/>
                <w:lang w:eastAsia="zh-CN"/>
              </w:rPr>
            </w:pPr>
          </w:p>
          <w:p w14:paraId="32C31C13" w14:textId="77777777" w:rsidR="009C4265" w:rsidRPr="009C4265" w:rsidRDefault="009C4265">
            <w:pPr>
              <w:jc w:val="both"/>
              <w:rPr>
                <w:rFonts w:ascii="Arial Narrow" w:hAnsi="Arial Narrow" w:cs="Arial"/>
                <w:sz w:val="22"/>
                <w:szCs w:val="22"/>
                <w:lang w:eastAsia="zh-CN"/>
              </w:rPr>
            </w:pPr>
          </w:p>
          <w:p w14:paraId="0218DEF8" w14:textId="77777777" w:rsidR="009C4265" w:rsidRPr="009C4265" w:rsidRDefault="009C4265" w:rsidP="00C9711A">
            <w:pPr>
              <w:jc w:val="both"/>
              <w:rPr>
                <w:rFonts w:ascii="Arial Narrow" w:hAnsi="Arial Narrow" w:cs="Arial"/>
                <w:sz w:val="22"/>
                <w:szCs w:val="22"/>
                <w:lang w:eastAsia="zh-CN"/>
              </w:rPr>
            </w:pPr>
          </w:p>
        </w:tc>
        <w:tc>
          <w:tcPr>
            <w:tcW w:w="77" w:type="pct"/>
            <w:vAlign w:val="center"/>
          </w:tcPr>
          <w:p w14:paraId="0F2E9050" w14:textId="77777777" w:rsidR="009C4265" w:rsidRPr="009C4265" w:rsidRDefault="009C4265" w:rsidP="009C4265">
            <w:pPr>
              <w:rPr>
                <w:rFonts w:ascii="Arial Narrow" w:hAnsi="Arial Narrow"/>
                <w:sz w:val="22"/>
                <w:szCs w:val="22"/>
                <w:lang w:val="es-CR" w:eastAsia="es-CR"/>
              </w:rPr>
            </w:pPr>
          </w:p>
        </w:tc>
      </w:tr>
      <w:tr w:rsidR="009C4265" w:rsidRPr="009C4265" w14:paraId="56DAF974" w14:textId="77777777" w:rsidTr="00C9711A">
        <w:trPr>
          <w:trHeight w:val="1514"/>
        </w:trPr>
        <w:tc>
          <w:tcPr>
            <w:tcW w:w="924" w:type="pct"/>
            <w:tcBorders>
              <w:top w:val="single" w:sz="4" w:space="0" w:color="auto"/>
              <w:left w:val="single" w:sz="4" w:space="0" w:color="auto"/>
              <w:bottom w:val="single" w:sz="4" w:space="0" w:color="auto"/>
              <w:right w:val="single" w:sz="4" w:space="0" w:color="auto"/>
            </w:tcBorders>
            <w:shd w:val="clear" w:color="auto" w:fill="auto"/>
            <w:noWrap/>
            <w:vAlign w:val="bottom"/>
          </w:tcPr>
          <w:p w14:paraId="572D0CEC" w14:textId="77777777" w:rsidR="009C4265" w:rsidRPr="009C4265" w:rsidRDefault="009C4265" w:rsidP="009C4265">
            <w:pPr>
              <w:jc w:val="both"/>
              <w:rPr>
                <w:rFonts w:ascii="Arial Narrow" w:hAnsi="Arial Narrow" w:cs="Calibri"/>
                <w:sz w:val="22"/>
                <w:szCs w:val="22"/>
                <w:lang w:val="es-CR" w:eastAsia="es-CR"/>
              </w:rPr>
            </w:pPr>
            <w:r w:rsidRPr="009C4265">
              <w:rPr>
                <w:rFonts w:ascii="Arial Narrow" w:hAnsi="Arial Narrow" w:cs="Calibri"/>
                <w:sz w:val="22"/>
                <w:szCs w:val="22"/>
                <w:lang w:val="es-CR" w:eastAsia="es-CR"/>
              </w:rPr>
              <w:lastRenderedPageBreak/>
              <w:t>Centro de Apoyo, Coordinación y Mejoramiento de la función Jurisdiccional</w:t>
            </w:r>
          </w:p>
          <w:p w14:paraId="76559837" w14:textId="77777777" w:rsidR="009C4265" w:rsidRPr="009C4265" w:rsidRDefault="009C4265" w:rsidP="009C4265">
            <w:pPr>
              <w:jc w:val="both"/>
              <w:rPr>
                <w:rFonts w:ascii="Arial Narrow" w:hAnsi="Arial Narrow" w:cs="Calibri"/>
                <w:sz w:val="22"/>
                <w:szCs w:val="22"/>
                <w:lang w:val="es-CR" w:eastAsia="es-CR"/>
              </w:rPr>
            </w:pPr>
          </w:p>
          <w:p w14:paraId="4CBD780E" w14:textId="77777777" w:rsidR="009C4265" w:rsidRPr="009C4265" w:rsidRDefault="009C4265" w:rsidP="009C4265">
            <w:pPr>
              <w:rPr>
                <w:rFonts w:ascii="Arial Narrow" w:hAnsi="Arial Narrow" w:cs="Calibri"/>
                <w:sz w:val="22"/>
                <w:szCs w:val="22"/>
                <w:lang w:val="es-CR" w:eastAsia="es-CR"/>
              </w:rPr>
            </w:pPr>
          </w:p>
        </w:tc>
        <w:tc>
          <w:tcPr>
            <w:tcW w:w="370" w:type="pct"/>
            <w:tcBorders>
              <w:top w:val="single" w:sz="4" w:space="0" w:color="auto"/>
              <w:left w:val="nil"/>
              <w:bottom w:val="single" w:sz="4" w:space="0" w:color="auto"/>
              <w:right w:val="single" w:sz="4" w:space="0" w:color="auto"/>
            </w:tcBorders>
            <w:shd w:val="clear" w:color="auto" w:fill="auto"/>
            <w:noWrap/>
            <w:vAlign w:val="bottom"/>
          </w:tcPr>
          <w:p w14:paraId="1BB39784" w14:textId="77777777" w:rsidR="009C4265" w:rsidRPr="009C4265" w:rsidRDefault="009C4265" w:rsidP="009C4265">
            <w:pPr>
              <w:jc w:val="center"/>
              <w:rPr>
                <w:rFonts w:ascii="Arial Narrow" w:hAnsi="Arial Narrow" w:cs="Arial"/>
                <w:sz w:val="22"/>
                <w:szCs w:val="22"/>
              </w:rPr>
            </w:pPr>
            <w:r w:rsidRPr="009C4265">
              <w:rPr>
                <w:rFonts w:ascii="Arial Narrow" w:hAnsi="Arial Narrow" w:cs="Arial"/>
                <w:sz w:val="22"/>
                <w:szCs w:val="22"/>
              </w:rPr>
              <w:t>255</w:t>
            </w:r>
          </w:p>
        </w:tc>
        <w:tc>
          <w:tcPr>
            <w:tcW w:w="1783" w:type="pct"/>
            <w:tcBorders>
              <w:top w:val="single" w:sz="4" w:space="0" w:color="auto"/>
              <w:bottom w:val="single" w:sz="4" w:space="0" w:color="auto"/>
              <w:right w:val="single" w:sz="4" w:space="0" w:color="auto"/>
            </w:tcBorders>
            <w:shd w:val="clear" w:color="auto" w:fill="auto"/>
            <w:noWrap/>
          </w:tcPr>
          <w:p w14:paraId="53C8620B" w14:textId="77777777" w:rsidR="009C4265" w:rsidRPr="009C4265" w:rsidRDefault="009C4265" w:rsidP="00C9711A">
            <w:pPr>
              <w:tabs>
                <w:tab w:val="left" w:pos="2776"/>
              </w:tabs>
              <w:jc w:val="both"/>
              <w:rPr>
                <w:rFonts w:ascii="Arial Narrow" w:hAnsi="Arial Narrow" w:cs="Arial"/>
                <w:color w:val="000000"/>
                <w:sz w:val="22"/>
                <w:szCs w:val="22"/>
                <w:shd w:val="clear" w:color="auto" w:fill="FFFFFF"/>
                <w:lang w:val="es-ES"/>
              </w:rPr>
            </w:pPr>
            <w:r w:rsidRPr="009C4265">
              <w:rPr>
                <w:rFonts w:ascii="Arial Narrow" w:hAnsi="Arial Narrow" w:cs="Arial"/>
                <w:color w:val="000000"/>
                <w:sz w:val="22"/>
                <w:szCs w:val="22"/>
                <w:shd w:val="clear" w:color="auto" w:fill="FFFFFF"/>
              </w:rPr>
              <w:t xml:space="preserve">Que al finalizar el 2024, se haya incrementado la cantidad de casos terminados en </w:t>
            </w:r>
            <w:r w:rsidRPr="009C4265">
              <w:rPr>
                <w:rFonts w:ascii="Arial Narrow" w:hAnsi="Arial Narrow" w:cs="Arial"/>
                <w:b/>
                <w:bCs/>
                <w:color w:val="000000"/>
                <w:sz w:val="22"/>
                <w:szCs w:val="22"/>
                <w:u w:val="single"/>
                <w:shd w:val="clear" w:color="auto" w:fill="FFFFFF"/>
              </w:rPr>
              <w:t>materia Contenciosa</w:t>
            </w:r>
            <w:r w:rsidRPr="009C4265">
              <w:rPr>
                <w:rFonts w:ascii="Arial Narrow" w:hAnsi="Arial Narrow" w:cs="Arial"/>
                <w:color w:val="000000"/>
                <w:sz w:val="22"/>
                <w:szCs w:val="22"/>
                <w:shd w:val="clear" w:color="auto" w:fill="FFFFFF"/>
              </w:rPr>
              <w:t> por año, en primera instancia.</w:t>
            </w:r>
            <w:r w:rsidRPr="009C4265">
              <w:rPr>
                <w:rFonts w:ascii="Arial Narrow" w:hAnsi="Arial Narrow" w:cs="Arial"/>
                <w:sz w:val="22"/>
                <w:szCs w:val="22"/>
                <w:lang w:eastAsia="zh-CN"/>
              </w:rPr>
              <w:t xml:space="preserve"> El resaltado y subrayando no corresponde al original).</w:t>
            </w:r>
          </w:p>
        </w:tc>
        <w:tc>
          <w:tcPr>
            <w:tcW w:w="956" w:type="pct"/>
            <w:tcBorders>
              <w:top w:val="single" w:sz="4" w:space="0" w:color="auto"/>
              <w:left w:val="single" w:sz="4" w:space="0" w:color="auto"/>
              <w:bottom w:val="single" w:sz="4" w:space="0" w:color="auto"/>
              <w:right w:val="single" w:sz="4" w:space="0" w:color="auto"/>
            </w:tcBorders>
            <w:shd w:val="clear" w:color="auto" w:fill="auto"/>
            <w:noWrap/>
          </w:tcPr>
          <w:p w14:paraId="49661796" w14:textId="77777777" w:rsidR="009C4265" w:rsidRPr="009C4265" w:rsidRDefault="009C4265" w:rsidP="006A146B">
            <w:pPr>
              <w:widowControl w:val="0"/>
              <w:autoSpaceDE w:val="0"/>
              <w:autoSpaceDN w:val="0"/>
              <w:adjustRightInd w:val="0"/>
              <w:jc w:val="both"/>
              <w:rPr>
                <w:rFonts w:ascii="Arial Narrow" w:hAnsi="Arial Narrow" w:cs="Arial"/>
                <w:color w:val="000000"/>
                <w:sz w:val="22"/>
                <w:szCs w:val="22"/>
                <w:shd w:val="clear" w:color="auto" w:fill="FFFFFF"/>
                <w:lang w:val="es-ES"/>
              </w:rPr>
            </w:pPr>
            <w:r w:rsidRPr="009C4265">
              <w:rPr>
                <w:rFonts w:ascii="Arial Narrow" w:hAnsi="Arial Narrow" w:cs="Arial"/>
                <w:sz w:val="22"/>
                <w:szCs w:val="22"/>
                <w:lang w:eastAsia="zh-CN"/>
              </w:rPr>
              <w:t xml:space="preserve">El nombre correcto es </w:t>
            </w:r>
            <w:bookmarkStart w:id="281" w:name="_Hlk84842857"/>
            <w:r w:rsidRPr="009C4265">
              <w:rPr>
                <w:rFonts w:ascii="Arial Narrow" w:hAnsi="Arial Narrow" w:cs="Arial"/>
                <w:sz w:val="22"/>
                <w:szCs w:val="22"/>
                <w:lang w:eastAsia="zh-CN"/>
              </w:rPr>
              <w:t>Contencioso-Administrativa y Civil de Hacienda</w:t>
            </w:r>
            <w:bookmarkEnd w:id="281"/>
            <w:r w:rsidRPr="009C4265">
              <w:rPr>
                <w:rFonts w:ascii="Arial Narrow" w:hAnsi="Arial Narrow" w:cs="Arial"/>
                <w:sz w:val="22"/>
                <w:szCs w:val="22"/>
                <w:lang w:eastAsia="zh-CN"/>
              </w:rPr>
              <w:t>.</w:t>
            </w:r>
          </w:p>
        </w:tc>
        <w:tc>
          <w:tcPr>
            <w:tcW w:w="889" w:type="pct"/>
            <w:tcBorders>
              <w:top w:val="single" w:sz="4" w:space="0" w:color="auto"/>
              <w:left w:val="single" w:sz="4" w:space="0" w:color="auto"/>
              <w:bottom w:val="single" w:sz="4" w:space="0" w:color="auto"/>
              <w:right w:val="single" w:sz="4" w:space="0" w:color="auto"/>
            </w:tcBorders>
            <w:shd w:val="clear" w:color="auto" w:fill="auto"/>
            <w:noWrap/>
          </w:tcPr>
          <w:p w14:paraId="60BEDB9C" w14:textId="77777777" w:rsidR="005B6D31" w:rsidRPr="00742454" w:rsidRDefault="005B6D31" w:rsidP="00BF6E93">
            <w:pPr>
              <w:jc w:val="both"/>
              <w:rPr>
                <w:rFonts w:ascii="Arial Narrow" w:hAnsi="Arial Narrow" w:cs="Calibri"/>
                <w:sz w:val="22"/>
                <w:szCs w:val="22"/>
                <w:lang w:val="es-CR" w:eastAsia="es-CR"/>
              </w:rPr>
            </w:pPr>
            <w:r w:rsidRPr="00742454">
              <w:rPr>
                <w:rFonts w:ascii="Arial Narrow" w:hAnsi="Arial Narrow" w:cs="Calibri"/>
                <w:sz w:val="22"/>
                <w:szCs w:val="22"/>
                <w:lang w:val="es-CR" w:eastAsia="es-CR"/>
              </w:rPr>
              <w:t>Se toma nota de la observación.</w:t>
            </w:r>
          </w:p>
          <w:p w14:paraId="14FBC732" w14:textId="77777777" w:rsidR="005B6D31" w:rsidRPr="00742454" w:rsidRDefault="005B6D31" w:rsidP="00FD024B">
            <w:pPr>
              <w:jc w:val="both"/>
              <w:rPr>
                <w:rFonts w:ascii="Arial Narrow" w:hAnsi="Arial Narrow" w:cs="Calibri"/>
                <w:sz w:val="22"/>
                <w:szCs w:val="22"/>
                <w:lang w:val="es-CR" w:eastAsia="es-CR"/>
              </w:rPr>
            </w:pPr>
          </w:p>
          <w:p w14:paraId="1A157347" w14:textId="250D4EB5" w:rsidR="005B6D31" w:rsidRPr="00742454" w:rsidRDefault="005B6D31">
            <w:pPr>
              <w:jc w:val="both"/>
              <w:rPr>
                <w:rFonts w:ascii="Arial Narrow" w:hAnsi="Arial Narrow" w:cs="Calibri"/>
                <w:sz w:val="22"/>
                <w:szCs w:val="22"/>
                <w:lang w:val="es-CR" w:eastAsia="es-CR"/>
              </w:rPr>
            </w:pPr>
            <w:r w:rsidRPr="00742454">
              <w:rPr>
                <w:rFonts w:ascii="Arial Narrow" w:hAnsi="Arial Narrow" w:cs="Calibri"/>
                <w:sz w:val="22"/>
                <w:szCs w:val="22"/>
                <w:lang w:val="es-CR" w:eastAsia="es-CR"/>
              </w:rPr>
              <w:t>La observación modifica el contenido</w:t>
            </w:r>
          </w:p>
          <w:p w14:paraId="0FFE2336" w14:textId="77777777" w:rsidR="009C4265" w:rsidRPr="009C4265" w:rsidRDefault="009C4265" w:rsidP="00C9711A">
            <w:pPr>
              <w:jc w:val="both"/>
              <w:rPr>
                <w:rFonts w:ascii="Arial Narrow" w:hAnsi="Arial Narrow" w:cs="Calibri"/>
                <w:sz w:val="22"/>
                <w:szCs w:val="22"/>
                <w:lang w:val="es-CR" w:eastAsia="es-CR"/>
              </w:rPr>
            </w:pPr>
          </w:p>
        </w:tc>
        <w:tc>
          <w:tcPr>
            <w:tcW w:w="77" w:type="pct"/>
            <w:vAlign w:val="center"/>
          </w:tcPr>
          <w:p w14:paraId="23999AF9" w14:textId="77777777" w:rsidR="009C4265" w:rsidRPr="009C4265" w:rsidRDefault="009C4265" w:rsidP="009C4265">
            <w:pPr>
              <w:rPr>
                <w:rFonts w:ascii="Arial Narrow" w:hAnsi="Arial Narrow"/>
                <w:sz w:val="22"/>
                <w:szCs w:val="22"/>
                <w:lang w:val="es-CR" w:eastAsia="es-CR"/>
              </w:rPr>
            </w:pPr>
          </w:p>
        </w:tc>
      </w:tr>
      <w:tr w:rsidR="009C4265" w:rsidRPr="009C4265" w14:paraId="4963F165" w14:textId="77777777" w:rsidTr="00C9711A">
        <w:trPr>
          <w:trHeight w:val="1514"/>
        </w:trPr>
        <w:tc>
          <w:tcPr>
            <w:tcW w:w="924" w:type="pct"/>
            <w:tcBorders>
              <w:top w:val="single" w:sz="4" w:space="0" w:color="auto"/>
              <w:left w:val="single" w:sz="4" w:space="0" w:color="auto"/>
              <w:bottom w:val="single" w:sz="4" w:space="0" w:color="auto"/>
              <w:right w:val="single" w:sz="4" w:space="0" w:color="auto"/>
            </w:tcBorders>
            <w:shd w:val="clear" w:color="auto" w:fill="auto"/>
            <w:noWrap/>
            <w:vAlign w:val="bottom"/>
          </w:tcPr>
          <w:p w14:paraId="29A0BD6B" w14:textId="77777777" w:rsidR="009C4265" w:rsidRPr="009C4265" w:rsidRDefault="009C4265" w:rsidP="009C4265">
            <w:pPr>
              <w:jc w:val="center"/>
              <w:rPr>
                <w:rFonts w:ascii="Arial Narrow" w:hAnsi="Arial Narrow" w:cs="Calibri"/>
                <w:sz w:val="22"/>
                <w:szCs w:val="22"/>
                <w:lang w:val="es-CR" w:eastAsia="es-CR"/>
              </w:rPr>
            </w:pPr>
            <w:r w:rsidRPr="009C4265">
              <w:rPr>
                <w:rFonts w:ascii="Arial Narrow" w:hAnsi="Arial Narrow" w:cs="Calibri"/>
                <w:sz w:val="22"/>
                <w:szCs w:val="22"/>
                <w:lang w:val="es-CR" w:eastAsia="es-CR"/>
              </w:rPr>
              <w:t>Centro de Apoyo, Coordinación y Mejoramiento de la función Jurisdiccional</w:t>
            </w:r>
          </w:p>
          <w:p w14:paraId="168F8964" w14:textId="77777777" w:rsidR="009C4265" w:rsidRPr="009C4265" w:rsidRDefault="009C4265" w:rsidP="009C4265">
            <w:pPr>
              <w:rPr>
                <w:rFonts w:ascii="Arial Narrow" w:hAnsi="Arial Narrow" w:cs="Calibri"/>
                <w:sz w:val="22"/>
                <w:szCs w:val="22"/>
                <w:lang w:val="es-CR" w:eastAsia="es-CR"/>
              </w:rPr>
            </w:pPr>
          </w:p>
          <w:p w14:paraId="1B967ACD" w14:textId="77777777" w:rsidR="009C4265" w:rsidRPr="009C4265" w:rsidRDefault="009C4265" w:rsidP="009C4265">
            <w:pPr>
              <w:rPr>
                <w:rFonts w:ascii="Arial Narrow" w:hAnsi="Arial Narrow" w:cs="Calibri"/>
                <w:sz w:val="22"/>
                <w:szCs w:val="22"/>
                <w:lang w:val="es-CR" w:eastAsia="es-CR"/>
              </w:rPr>
            </w:pPr>
          </w:p>
          <w:p w14:paraId="76F1CA29" w14:textId="77777777" w:rsidR="009C4265" w:rsidRPr="009C4265" w:rsidRDefault="009C4265" w:rsidP="009C4265">
            <w:pPr>
              <w:rPr>
                <w:rFonts w:ascii="Arial Narrow" w:hAnsi="Arial Narrow" w:cs="Calibri"/>
                <w:sz w:val="22"/>
                <w:szCs w:val="22"/>
                <w:lang w:val="es-CR" w:eastAsia="es-CR"/>
              </w:rPr>
            </w:pPr>
          </w:p>
          <w:p w14:paraId="34E56FDF" w14:textId="77777777" w:rsidR="009C4265" w:rsidRPr="009C4265" w:rsidRDefault="009C4265" w:rsidP="009C4265">
            <w:pPr>
              <w:rPr>
                <w:rFonts w:ascii="Arial Narrow" w:hAnsi="Arial Narrow" w:cs="Calibri"/>
                <w:sz w:val="22"/>
                <w:szCs w:val="22"/>
                <w:lang w:val="es-CR" w:eastAsia="es-CR"/>
              </w:rPr>
            </w:pPr>
          </w:p>
          <w:p w14:paraId="610183EB" w14:textId="77777777" w:rsidR="009C4265" w:rsidRPr="009C4265" w:rsidRDefault="009C4265" w:rsidP="009C4265">
            <w:pPr>
              <w:rPr>
                <w:rFonts w:ascii="Arial Narrow" w:hAnsi="Arial Narrow" w:cs="Calibri"/>
                <w:sz w:val="22"/>
                <w:szCs w:val="22"/>
                <w:lang w:val="es-CR" w:eastAsia="es-CR"/>
              </w:rPr>
            </w:pPr>
          </w:p>
          <w:p w14:paraId="122EBA45" w14:textId="77777777" w:rsidR="009C4265" w:rsidRPr="009C4265" w:rsidRDefault="009C4265" w:rsidP="009C4265">
            <w:pPr>
              <w:rPr>
                <w:rFonts w:ascii="Arial Narrow" w:hAnsi="Arial Narrow" w:cs="Calibri"/>
                <w:sz w:val="22"/>
                <w:szCs w:val="22"/>
                <w:lang w:val="es-CR" w:eastAsia="es-CR"/>
              </w:rPr>
            </w:pPr>
          </w:p>
          <w:p w14:paraId="25ACB220" w14:textId="77777777" w:rsidR="009C4265" w:rsidRPr="009C4265" w:rsidRDefault="009C4265" w:rsidP="009C4265">
            <w:pPr>
              <w:rPr>
                <w:rFonts w:ascii="Arial Narrow" w:hAnsi="Arial Narrow" w:cs="Calibri"/>
                <w:sz w:val="22"/>
                <w:szCs w:val="22"/>
                <w:lang w:val="es-CR" w:eastAsia="es-CR"/>
              </w:rPr>
            </w:pPr>
          </w:p>
          <w:p w14:paraId="6D3A2CEB" w14:textId="77777777" w:rsidR="009C4265" w:rsidRPr="009C4265" w:rsidRDefault="009C4265" w:rsidP="009C4265">
            <w:pPr>
              <w:rPr>
                <w:rFonts w:ascii="Arial Narrow" w:hAnsi="Arial Narrow" w:cs="Calibri"/>
                <w:sz w:val="22"/>
                <w:szCs w:val="22"/>
                <w:lang w:val="es-CR" w:eastAsia="es-CR"/>
              </w:rPr>
            </w:pPr>
          </w:p>
          <w:p w14:paraId="6BDA3585" w14:textId="77777777" w:rsidR="009C4265" w:rsidRPr="009C4265" w:rsidRDefault="009C4265" w:rsidP="009C4265">
            <w:pPr>
              <w:rPr>
                <w:rFonts w:ascii="Arial Narrow" w:hAnsi="Arial Narrow" w:cs="Calibri"/>
                <w:sz w:val="22"/>
                <w:szCs w:val="22"/>
                <w:lang w:val="es-CR" w:eastAsia="es-CR"/>
              </w:rPr>
            </w:pPr>
          </w:p>
          <w:p w14:paraId="2D441CCA" w14:textId="77777777" w:rsidR="009C4265" w:rsidRPr="009C4265" w:rsidRDefault="009C4265" w:rsidP="009C4265">
            <w:pPr>
              <w:rPr>
                <w:rFonts w:ascii="Arial Narrow" w:hAnsi="Arial Narrow" w:cs="Calibri"/>
                <w:sz w:val="22"/>
                <w:szCs w:val="22"/>
                <w:lang w:val="es-CR" w:eastAsia="es-CR"/>
              </w:rPr>
            </w:pPr>
          </w:p>
          <w:p w14:paraId="29113365" w14:textId="77777777" w:rsidR="009C4265" w:rsidRPr="009C4265" w:rsidRDefault="009C4265" w:rsidP="009C4265">
            <w:pPr>
              <w:rPr>
                <w:rFonts w:ascii="Arial Narrow" w:hAnsi="Arial Narrow" w:cs="Calibri"/>
                <w:sz w:val="22"/>
                <w:szCs w:val="22"/>
                <w:lang w:val="es-CR" w:eastAsia="es-CR"/>
              </w:rPr>
            </w:pPr>
          </w:p>
          <w:p w14:paraId="13ED8482" w14:textId="77777777" w:rsidR="009C4265" w:rsidRPr="009C4265" w:rsidRDefault="009C4265" w:rsidP="009C4265">
            <w:pPr>
              <w:rPr>
                <w:rFonts w:ascii="Arial Narrow" w:hAnsi="Arial Narrow" w:cs="Calibri"/>
                <w:sz w:val="22"/>
                <w:szCs w:val="22"/>
                <w:lang w:val="es-CR" w:eastAsia="es-CR"/>
              </w:rPr>
            </w:pPr>
          </w:p>
          <w:p w14:paraId="1A012866" w14:textId="77777777" w:rsidR="009C4265" w:rsidRPr="009C4265" w:rsidRDefault="009C4265" w:rsidP="009C4265">
            <w:pPr>
              <w:rPr>
                <w:rFonts w:ascii="Arial Narrow" w:hAnsi="Arial Narrow" w:cs="Calibri"/>
                <w:sz w:val="22"/>
                <w:szCs w:val="22"/>
                <w:lang w:val="es-CR" w:eastAsia="es-CR"/>
              </w:rPr>
            </w:pPr>
          </w:p>
        </w:tc>
        <w:tc>
          <w:tcPr>
            <w:tcW w:w="370" w:type="pct"/>
            <w:tcBorders>
              <w:top w:val="single" w:sz="4" w:space="0" w:color="auto"/>
              <w:left w:val="single" w:sz="4" w:space="0" w:color="auto"/>
              <w:bottom w:val="single" w:sz="4" w:space="0" w:color="auto"/>
              <w:right w:val="single" w:sz="4" w:space="0" w:color="auto"/>
            </w:tcBorders>
            <w:shd w:val="clear" w:color="auto" w:fill="auto"/>
            <w:noWrap/>
            <w:vAlign w:val="bottom"/>
          </w:tcPr>
          <w:p w14:paraId="39779B3C" w14:textId="77777777" w:rsidR="009C4265" w:rsidRPr="009C4265" w:rsidRDefault="009C4265" w:rsidP="009C4265">
            <w:pPr>
              <w:jc w:val="center"/>
              <w:rPr>
                <w:rFonts w:ascii="Arial Narrow" w:hAnsi="Arial Narrow" w:cs="Arial"/>
                <w:sz w:val="22"/>
                <w:szCs w:val="22"/>
              </w:rPr>
            </w:pPr>
            <w:r w:rsidRPr="009C4265">
              <w:rPr>
                <w:rFonts w:ascii="Arial Narrow" w:hAnsi="Arial Narrow" w:cs="Arial"/>
                <w:sz w:val="22"/>
                <w:szCs w:val="22"/>
              </w:rPr>
              <w:t>291</w:t>
            </w:r>
          </w:p>
        </w:tc>
        <w:tc>
          <w:tcPr>
            <w:tcW w:w="1783" w:type="pct"/>
            <w:tcBorders>
              <w:top w:val="single" w:sz="4" w:space="0" w:color="auto"/>
              <w:left w:val="single" w:sz="4" w:space="0" w:color="auto"/>
              <w:bottom w:val="single" w:sz="4" w:space="0" w:color="auto"/>
              <w:right w:val="single" w:sz="4" w:space="0" w:color="auto"/>
            </w:tcBorders>
            <w:shd w:val="clear" w:color="auto" w:fill="auto"/>
            <w:noWrap/>
          </w:tcPr>
          <w:p w14:paraId="3C8B1FE5" w14:textId="0A913380" w:rsidR="009C4265" w:rsidRPr="009C4265" w:rsidRDefault="009C4265" w:rsidP="00C9711A">
            <w:pPr>
              <w:tabs>
                <w:tab w:val="left" w:pos="2776"/>
              </w:tabs>
              <w:jc w:val="both"/>
              <w:rPr>
                <w:rFonts w:ascii="Arial Narrow" w:hAnsi="Arial Narrow" w:cs="Arial"/>
                <w:color w:val="000000"/>
                <w:sz w:val="22"/>
                <w:szCs w:val="22"/>
                <w:shd w:val="clear" w:color="auto" w:fill="FFFFFF"/>
              </w:rPr>
            </w:pPr>
            <w:r w:rsidRPr="009C4265">
              <w:rPr>
                <w:rFonts w:ascii="Arial Narrow" w:hAnsi="Arial Narrow" w:cs="Arial"/>
                <w:color w:val="000000"/>
                <w:sz w:val="22"/>
                <w:szCs w:val="22"/>
                <w:lang w:eastAsia="es-CR"/>
              </w:rPr>
              <w:t>El impacto de la pandemia se cuantificó en el informe 1385-PLA-2020 donde se define que e</w:t>
            </w:r>
            <w:r w:rsidRPr="009C4265">
              <w:rPr>
                <w:rFonts w:ascii="Arial Narrow" w:hAnsi="Arial Narrow" w:cs="Arial"/>
                <w:sz w:val="22"/>
                <w:szCs w:val="22"/>
              </w:rPr>
              <w:t>l promedio de entrada de asuntos nuevos disminuyó de 62038 asuntos de enero y febrero a 52835 de marzo a julio, una disminución de un 14.8% lo cual se origina por la afectación que existe a nivel nacional de COVID- 19. Sin embargo, los casos entrados, poco a poco vuelven a la normalidad, el promedio de terminados disminuyó de enero y febrero a marzo a julio, en un 14% en los terminados. Ello puede considerarse a partir del efecto de no poder realizar las audiencias que dieran por terminados muchos de los procesos, el promedio de circulante creció de enero a julio de 68086 a 70334, es decir un crecimiento de un 3%. Este promedio es sumamente positivo, ya que refleja la capacidad de sostenibilidad en la carga de trabajo que se ha realizado.</w:t>
            </w:r>
          </w:p>
        </w:tc>
        <w:tc>
          <w:tcPr>
            <w:tcW w:w="956" w:type="pct"/>
            <w:tcBorders>
              <w:top w:val="single" w:sz="4" w:space="0" w:color="auto"/>
              <w:left w:val="single" w:sz="4" w:space="0" w:color="auto"/>
              <w:bottom w:val="single" w:sz="4" w:space="0" w:color="auto"/>
              <w:right w:val="single" w:sz="4" w:space="0" w:color="auto"/>
            </w:tcBorders>
            <w:shd w:val="clear" w:color="auto" w:fill="auto"/>
            <w:noWrap/>
          </w:tcPr>
          <w:p w14:paraId="40535887" w14:textId="77777777" w:rsidR="009C4265" w:rsidRPr="009C4265" w:rsidRDefault="009C4265" w:rsidP="006A146B">
            <w:pPr>
              <w:widowControl w:val="0"/>
              <w:autoSpaceDE w:val="0"/>
              <w:autoSpaceDN w:val="0"/>
              <w:adjustRightInd w:val="0"/>
              <w:jc w:val="both"/>
              <w:rPr>
                <w:rFonts w:ascii="Arial Narrow" w:hAnsi="Arial Narrow" w:cs="Arial"/>
                <w:sz w:val="22"/>
                <w:szCs w:val="22"/>
                <w:lang w:eastAsia="zh-CN"/>
              </w:rPr>
            </w:pPr>
            <w:r w:rsidRPr="009C4265">
              <w:rPr>
                <w:rFonts w:ascii="Arial Narrow" w:hAnsi="Arial Narrow" w:cs="Arial"/>
                <w:sz w:val="22"/>
                <w:szCs w:val="22"/>
                <w:lang w:eastAsia="zh-CN"/>
              </w:rPr>
              <w:t>Se recomienda revisar la estructura del párrafo, ya que se incluyen muchas variables que tienden a confundir al lector. Además, se suma información de un bimestre y se compara con la información de un cuatrimestre.</w:t>
            </w:r>
          </w:p>
        </w:tc>
        <w:tc>
          <w:tcPr>
            <w:tcW w:w="889" w:type="pct"/>
            <w:tcBorders>
              <w:top w:val="single" w:sz="4" w:space="0" w:color="auto"/>
              <w:left w:val="single" w:sz="4" w:space="0" w:color="auto"/>
              <w:bottom w:val="single" w:sz="4" w:space="0" w:color="auto"/>
              <w:right w:val="single" w:sz="4" w:space="0" w:color="auto"/>
            </w:tcBorders>
            <w:shd w:val="clear" w:color="auto" w:fill="auto"/>
            <w:noWrap/>
          </w:tcPr>
          <w:p w14:paraId="23CEB791" w14:textId="77777777" w:rsidR="009C4265" w:rsidRPr="009C4265" w:rsidRDefault="009C4265" w:rsidP="00C9711A">
            <w:pPr>
              <w:jc w:val="both"/>
              <w:rPr>
                <w:rFonts w:ascii="Arial Narrow" w:hAnsi="Arial Narrow" w:cs="Calibri"/>
                <w:sz w:val="22"/>
                <w:szCs w:val="22"/>
                <w:lang w:val="es-CR" w:eastAsia="es-CR"/>
              </w:rPr>
            </w:pPr>
          </w:p>
          <w:p w14:paraId="4C64E854" w14:textId="77777777" w:rsidR="009C4265" w:rsidRPr="009C4265" w:rsidRDefault="009C4265" w:rsidP="00C9711A">
            <w:pPr>
              <w:jc w:val="both"/>
              <w:rPr>
                <w:rFonts w:ascii="Arial Narrow" w:hAnsi="Arial Narrow" w:cs="Calibri"/>
                <w:sz w:val="22"/>
                <w:szCs w:val="22"/>
                <w:lang w:val="es-CR" w:eastAsia="es-CR"/>
              </w:rPr>
            </w:pPr>
          </w:p>
          <w:p w14:paraId="5631B043" w14:textId="77777777" w:rsidR="009C4265" w:rsidRPr="009C4265" w:rsidRDefault="009C4265" w:rsidP="006A146B">
            <w:pPr>
              <w:jc w:val="both"/>
              <w:rPr>
                <w:rFonts w:ascii="Arial Narrow" w:hAnsi="Arial Narrow" w:cs="Calibri"/>
                <w:sz w:val="22"/>
                <w:szCs w:val="22"/>
                <w:lang w:val="es-CR" w:eastAsia="es-CR"/>
              </w:rPr>
            </w:pPr>
            <w:r w:rsidRPr="009C4265">
              <w:rPr>
                <w:rFonts w:ascii="Arial Narrow" w:hAnsi="Arial Narrow" w:cs="Calibri"/>
                <w:sz w:val="22"/>
                <w:szCs w:val="22"/>
                <w:lang w:val="es-CR" w:eastAsia="es-CR"/>
              </w:rPr>
              <w:t>Se toma nota de la observación.</w:t>
            </w:r>
          </w:p>
          <w:p w14:paraId="4B43DAB2" w14:textId="77777777" w:rsidR="009C4265" w:rsidRPr="009C4265" w:rsidRDefault="009C4265" w:rsidP="00BF6E93">
            <w:pPr>
              <w:jc w:val="both"/>
              <w:rPr>
                <w:rFonts w:ascii="Arial Narrow" w:hAnsi="Arial Narrow" w:cs="Calibri"/>
                <w:sz w:val="22"/>
                <w:szCs w:val="22"/>
                <w:lang w:val="es-CR" w:eastAsia="es-CR"/>
              </w:rPr>
            </w:pPr>
          </w:p>
          <w:p w14:paraId="0529CF23" w14:textId="348A2897" w:rsidR="009C4265" w:rsidRPr="009C4265" w:rsidRDefault="009C4265" w:rsidP="00FD024B">
            <w:pPr>
              <w:jc w:val="both"/>
              <w:rPr>
                <w:rFonts w:cs="Calibri"/>
                <w:sz w:val="22"/>
                <w:szCs w:val="22"/>
                <w:lang w:val="es-CR" w:eastAsia="es-CR"/>
              </w:rPr>
            </w:pPr>
            <w:r w:rsidRPr="009C4265">
              <w:rPr>
                <w:rFonts w:ascii="Arial Narrow" w:hAnsi="Arial Narrow" w:cs="Calibri"/>
                <w:sz w:val="22"/>
                <w:szCs w:val="22"/>
                <w:lang w:val="es-CR" w:eastAsia="es-CR"/>
              </w:rPr>
              <w:t>La observación modifica el contenido</w:t>
            </w:r>
            <w:r w:rsidR="005B6D31">
              <w:rPr>
                <w:rFonts w:ascii="Arial Narrow" w:hAnsi="Arial Narrow" w:cs="Calibri"/>
                <w:sz w:val="22"/>
                <w:szCs w:val="22"/>
                <w:lang w:val="es-CR" w:eastAsia="es-CR"/>
              </w:rPr>
              <w:t xml:space="preserve"> y se amplia y aclara la redacción</w:t>
            </w:r>
            <w:r w:rsidRPr="009C4265">
              <w:rPr>
                <w:rFonts w:ascii="Arial Narrow" w:hAnsi="Arial Narrow" w:cs="Calibri"/>
                <w:sz w:val="22"/>
                <w:szCs w:val="22"/>
                <w:lang w:val="es-CR" w:eastAsia="es-CR"/>
              </w:rPr>
              <w:t>.</w:t>
            </w:r>
          </w:p>
          <w:p w14:paraId="2FFC177B" w14:textId="77777777" w:rsidR="009C4265" w:rsidRPr="009C4265" w:rsidRDefault="009C4265" w:rsidP="00C9711A">
            <w:pPr>
              <w:jc w:val="both"/>
              <w:rPr>
                <w:rFonts w:ascii="Arial Narrow" w:hAnsi="Arial Narrow" w:cs="Calibri"/>
                <w:sz w:val="22"/>
                <w:szCs w:val="22"/>
                <w:lang w:val="es-CR" w:eastAsia="es-CR"/>
              </w:rPr>
            </w:pPr>
          </w:p>
          <w:p w14:paraId="751D9223" w14:textId="77777777" w:rsidR="009C4265" w:rsidRPr="009C4265" w:rsidRDefault="009C4265" w:rsidP="00C9711A">
            <w:pPr>
              <w:jc w:val="both"/>
              <w:rPr>
                <w:rFonts w:ascii="Arial Narrow" w:hAnsi="Arial Narrow" w:cs="Calibri"/>
                <w:sz w:val="22"/>
                <w:szCs w:val="22"/>
                <w:lang w:val="es-CR" w:eastAsia="es-CR"/>
              </w:rPr>
            </w:pPr>
          </w:p>
          <w:p w14:paraId="0A7C3B5C" w14:textId="77777777" w:rsidR="009C4265" w:rsidRPr="009C4265" w:rsidRDefault="009C4265" w:rsidP="00C9711A">
            <w:pPr>
              <w:jc w:val="both"/>
              <w:rPr>
                <w:rFonts w:ascii="Arial Narrow" w:hAnsi="Arial Narrow" w:cs="Calibri"/>
                <w:sz w:val="22"/>
                <w:szCs w:val="22"/>
                <w:lang w:val="es-CR" w:eastAsia="es-CR"/>
              </w:rPr>
            </w:pPr>
          </w:p>
          <w:p w14:paraId="5AFDE899" w14:textId="77777777" w:rsidR="009C4265" w:rsidRPr="009C4265" w:rsidRDefault="009C4265" w:rsidP="00C9711A">
            <w:pPr>
              <w:jc w:val="both"/>
              <w:rPr>
                <w:rFonts w:ascii="Arial Narrow" w:hAnsi="Arial Narrow" w:cs="Calibri"/>
                <w:sz w:val="22"/>
                <w:szCs w:val="22"/>
                <w:lang w:val="es-CR" w:eastAsia="es-CR"/>
              </w:rPr>
            </w:pPr>
          </w:p>
          <w:p w14:paraId="59D12DEA" w14:textId="77777777" w:rsidR="009C4265" w:rsidRPr="009C4265" w:rsidRDefault="009C4265" w:rsidP="00C9711A">
            <w:pPr>
              <w:jc w:val="both"/>
              <w:rPr>
                <w:rFonts w:ascii="Arial Narrow" w:hAnsi="Arial Narrow" w:cs="Calibri"/>
                <w:sz w:val="22"/>
                <w:szCs w:val="22"/>
                <w:lang w:val="es-CR" w:eastAsia="es-CR"/>
              </w:rPr>
            </w:pPr>
          </w:p>
          <w:p w14:paraId="48DB5F45" w14:textId="77777777" w:rsidR="009C4265" w:rsidRPr="009C4265" w:rsidRDefault="009C4265" w:rsidP="00C9711A">
            <w:pPr>
              <w:jc w:val="both"/>
              <w:rPr>
                <w:rFonts w:ascii="Arial Narrow" w:hAnsi="Arial Narrow" w:cs="Calibri"/>
                <w:sz w:val="22"/>
                <w:szCs w:val="22"/>
                <w:lang w:val="es-CR" w:eastAsia="es-CR"/>
              </w:rPr>
            </w:pPr>
          </w:p>
          <w:p w14:paraId="22E2BE2C" w14:textId="77777777" w:rsidR="009C4265" w:rsidRPr="009C4265" w:rsidRDefault="009C4265" w:rsidP="00C9711A">
            <w:pPr>
              <w:jc w:val="both"/>
              <w:rPr>
                <w:rFonts w:ascii="Arial Narrow" w:hAnsi="Arial Narrow" w:cs="Calibri"/>
                <w:sz w:val="22"/>
                <w:szCs w:val="22"/>
                <w:lang w:val="es-CR" w:eastAsia="es-CR"/>
              </w:rPr>
            </w:pPr>
          </w:p>
          <w:p w14:paraId="6FA66B3C" w14:textId="77777777" w:rsidR="009C4265" w:rsidRPr="009C4265" w:rsidRDefault="009C4265" w:rsidP="00C9711A">
            <w:pPr>
              <w:jc w:val="both"/>
              <w:rPr>
                <w:rFonts w:ascii="Arial Narrow" w:hAnsi="Arial Narrow" w:cs="Calibri"/>
                <w:sz w:val="22"/>
                <w:szCs w:val="22"/>
                <w:lang w:val="es-CR" w:eastAsia="es-CR"/>
              </w:rPr>
            </w:pPr>
          </w:p>
          <w:p w14:paraId="5E6CC10D" w14:textId="77777777" w:rsidR="009C4265" w:rsidRPr="009C4265" w:rsidRDefault="009C4265" w:rsidP="00C9711A">
            <w:pPr>
              <w:jc w:val="both"/>
              <w:rPr>
                <w:rFonts w:ascii="Arial Narrow" w:hAnsi="Arial Narrow" w:cs="Calibri"/>
                <w:sz w:val="22"/>
                <w:szCs w:val="22"/>
                <w:lang w:val="es-CR" w:eastAsia="es-CR"/>
              </w:rPr>
            </w:pPr>
          </w:p>
          <w:p w14:paraId="0D36EB10" w14:textId="77777777" w:rsidR="009C4265" w:rsidRPr="009C4265" w:rsidRDefault="009C4265" w:rsidP="00C9711A">
            <w:pPr>
              <w:jc w:val="both"/>
              <w:rPr>
                <w:rFonts w:ascii="Arial Narrow" w:hAnsi="Arial Narrow" w:cs="Calibri"/>
                <w:sz w:val="22"/>
                <w:szCs w:val="22"/>
                <w:lang w:val="es-CR" w:eastAsia="es-CR"/>
              </w:rPr>
            </w:pPr>
          </w:p>
          <w:p w14:paraId="0EE48867" w14:textId="77777777" w:rsidR="009C4265" w:rsidRPr="009C4265" w:rsidRDefault="009C4265" w:rsidP="00C9711A">
            <w:pPr>
              <w:jc w:val="both"/>
              <w:rPr>
                <w:rFonts w:ascii="Arial Narrow" w:hAnsi="Arial Narrow" w:cs="Calibri"/>
                <w:sz w:val="22"/>
                <w:szCs w:val="22"/>
                <w:lang w:val="es-CR" w:eastAsia="es-CR"/>
              </w:rPr>
            </w:pPr>
          </w:p>
          <w:p w14:paraId="705184BF" w14:textId="77777777" w:rsidR="009C4265" w:rsidRPr="009C4265" w:rsidRDefault="009C4265" w:rsidP="00C9711A">
            <w:pPr>
              <w:jc w:val="both"/>
              <w:rPr>
                <w:rFonts w:ascii="Arial Narrow" w:hAnsi="Arial Narrow" w:cs="Calibri"/>
                <w:sz w:val="22"/>
                <w:szCs w:val="22"/>
                <w:lang w:val="es-CR" w:eastAsia="es-CR"/>
              </w:rPr>
            </w:pPr>
          </w:p>
          <w:p w14:paraId="025E8F79" w14:textId="77777777" w:rsidR="009C4265" w:rsidRPr="009C4265" w:rsidRDefault="009C4265" w:rsidP="00C9711A">
            <w:pPr>
              <w:jc w:val="both"/>
              <w:rPr>
                <w:rFonts w:ascii="Arial Narrow" w:hAnsi="Arial Narrow" w:cs="Calibri"/>
                <w:sz w:val="22"/>
                <w:szCs w:val="22"/>
                <w:lang w:val="es-CR" w:eastAsia="es-CR"/>
              </w:rPr>
            </w:pPr>
          </w:p>
          <w:p w14:paraId="00B2C0A5" w14:textId="77777777" w:rsidR="009C4265" w:rsidRPr="009C4265" w:rsidRDefault="009C4265" w:rsidP="00C9711A">
            <w:pPr>
              <w:jc w:val="both"/>
              <w:rPr>
                <w:rFonts w:ascii="Arial Narrow" w:hAnsi="Arial Narrow" w:cs="Calibri"/>
                <w:sz w:val="22"/>
                <w:szCs w:val="22"/>
                <w:lang w:val="es-CR" w:eastAsia="es-CR"/>
              </w:rPr>
            </w:pPr>
          </w:p>
        </w:tc>
        <w:tc>
          <w:tcPr>
            <w:tcW w:w="77" w:type="pct"/>
            <w:vAlign w:val="center"/>
          </w:tcPr>
          <w:p w14:paraId="64952972" w14:textId="77777777" w:rsidR="009C4265" w:rsidRPr="009C4265" w:rsidRDefault="009C4265" w:rsidP="009C4265">
            <w:pPr>
              <w:rPr>
                <w:rFonts w:ascii="Arial Narrow" w:hAnsi="Arial Narrow"/>
                <w:sz w:val="22"/>
                <w:szCs w:val="22"/>
                <w:lang w:val="es-CR" w:eastAsia="es-CR"/>
              </w:rPr>
            </w:pPr>
          </w:p>
        </w:tc>
      </w:tr>
      <w:tr w:rsidR="009C4265" w:rsidRPr="009C4265" w14:paraId="2A20E7EC" w14:textId="77777777" w:rsidTr="00C9711A">
        <w:trPr>
          <w:trHeight w:val="1514"/>
        </w:trPr>
        <w:tc>
          <w:tcPr>
            <w:tcW w:w="924" w:type="pct"/>
            <w:tcBorders>
              <w:top w:val="single" w:sz="4" w:space="0" w:color="auto"/>
              <w:left w:val="single" w:sz="4" w:space="0" w:color="auto"/>
              <w:bottom w:val="single" w:sz="4" w:space="0" w:color="auto"/>
              <w:right w:val="single" w:sz="4" w:space="0" w:color="auto"/>
            </w:tcBorders>
            <w:shd w:val="clear" w:color="auto" w:fill="auto"/>
            <w:noWrap/>
            <w:vAlign w:val="bottom"/>
          </w:tcPr>
          <w:p w14:paraId="1A308783" w14:textId="77777777" w:rsidR="009C4265" w:rsidRPr="009C4265" w:rsidRDefault="009C4265" w:rsidP="009C4265">
            <w:pPr>
              <w:jc w:val="center"/>
              <w:rPr>
                <w:rFonts w:ascii="Arial Narrow" w:hAnsi="Arial Narrow" w:cs="Calibri"/>
                <w:sz w:val="22"/>
                <w:szCs w:val="22"/>
                <w:lang w:val="es-CR" w:eastAsia="es-CR"/>
              </w:rPr>
            </w:pPr>
            <w:r w:rsidRPr="009C4265">
              <w:rPr>
                <w:rFonts w:ascii="Arial Narrow" w:hAnsi="Arial Narrow" w:cs="Calibri"/>
                <w:sz w:val="22"/>
                <w:szCs w:val="22"/>
                <w:lang w:val="es-CR" w:eastAsia="es-CR"/>
              </w:rPr>
              <w:lastRenderedPageBreak/>
              <w:t>Centro de Apoyo, Coordinación y Mejoramiento de la función Jurisdiccional</w:t>
            </w:r>
          </w:p>
          <w:p w14:paraId="52CB5B92" w14:textId="77777777" w:rsidR="009C4265" w:rsidRPr="009C4265" w:rsidRDefault="009C4265" w:rsidP="009C4265">
            <w:pPr>
              <w:rPr>
                <w:rFonts w:ascii="Arial Narrow" w:hAnsi="Arial Narrow" w:cs="Calibri"/>
                <w:sz w:val="22"/>
                <w:szCs w:val="22"/>
                <w:lang w:val="es-CR" w:eastAsia="es-CR"/>
              </w:rPr>
            </w:pPr>
          </w:p>
          <w:p w14:paraId="5E84C59B" w14:textId="77777777" w:rsidR="009C4265" w:rsidRPr="009C4265" w:rsidRDefault="009C4265" w:rsidP="009C4265">
            <w:pPr>
              <w:rPr>
                <w:rFonts w:ascii="Arial Narrow" w:hAnsi="Arial Narrow" w:cs="Calibri"/>
                <w:sz w:val="22"/>
                <w:szCs w:val="22"/>
                <w:lang w:val="es-CR" w:eastAsia="es-CR"/>
              </w:rPr>
            </w:pPr>
          </w:p>
          <w:p w14:paraId="269DB5C9" w14:textId="77777777" w:rsidR="009C4265" w:rsidRPr="009C4265" w:rsidRDefault="009C4265" w:rsidP="009C4265">
            <w:pPr>
              <w:rPr>
                <w:rFonts w:ascii="Arial Narrow" w:hAnsi="Arial Narrow" w:cs="Calibri"/>
                <w:sz w:val="22"/>
                <w:szCs w:val="22"/>
                <w:lang w:val="es-CR" w:eastAsia="es-CR"/>
              </w:rPr>
            </w:pPr>
          </w:p>
          <w:p w14:paraId="0B5397C5" w14:textId="77777777" w:rsidR="009C4265" w:rsidRPr="009C4265" w:rsidRDefault="009C4265" w:rsidP="009C4265">
            <w:pPr>
              <w:rPr>
                <w:rFonts w:ascii="Arial Narrow" w:hAnsi="Arial Narrow" w:cs="Calibri"/>
                <w:sz w:val="22"/>
                <w:szCs w:val="22"/>
                <w:lang w:val="es-CR" w:eastAsia="es-CR"/>
              </w:rPr>
            </w:pPr>
          </w:p>
          <w:p w14:paraId="20F21970" w14:textId="77777777" w:rsidR="009C4265" w:rsidRPr="009C4265" w:rsidRDefault="009C4265" w:rsidP="009C4265">
            <w:pPr>
              <w:rPr>
                <w:rFonts w:ascii="Arial Narrow" w:hAnsi="Arial Narrow" w:cs="Calibri"/>
                <w:sz w:val="22"/>
                <w:szCs w:val="22"/>
                <w:lang w:val="es-CR" w:eastAsia="es-CR"/>
              </w:rPr>
            </w:pPr>
          </w:p>
          <w:p w14:paraId="02C6B25C" w14:textId="77777777" w:rsidR="009C4265" w:rsidRPr="009C4265" w:rsidRDefault="009C4265" w:rsidP="009C4265">
            <w:pPr>
              <w:rPr>
                <w:rFonts w:ascii="Arial Narrow" w:hAnsi="Arial Narrow" w:cs="Calibri"/>
                <w:sz w:val="22"/>
                <w:szCs w:val="22"/>
                <w:lang w:val="es-CR" w:eastAsia="es-CR"/>
              </w:rPr>
            </w:pPr>
          </w:p>
          <w:p w14:paraId="1BB530A4" w14:textId="77777777" w:rsidR="009C4265" w:rsidRPr="009C4265" w:rsidRDefault="009C4265" w:rsidP="009C4265">
            <w:pPr>
              <w:rPr>
                <w:rFonts w:ascii="Arial Narrow" w:hAnsi="Arial Narrow" w:cs="Calibri"/>
                <w:sz w:val="22"/>
                <w:szCs w:val="22"/>
                <w:lang w:val="es-CR" w:eastAsia="es-CR"/>
              </w:rPr>
            </w:pPr>
          </w:p>
          <w:p w14:paraId="1117C66B" w14:textId="77777777" w:rsidR="009C4265" w:rsidRPr="009C4265" w:rsidRDefault="009C4265" w:rsidP="009C4265">
            <w:pPr>
              <w:rPr>
                <w:rFonts w:ascii="Arial Narrow" w:hAnsi="Arial Narrow" w:cs="Calibri"/>
                <w:sz w:val="22"/>
                <w:szCs w:val="22"/>
                <w:lang w:val="es-CR" w:eastAsia="es-CR"/>
              </w:rPr>
            </w:pPr>
          </w:p>
          <w:p w14:paraId="5823C23F" w14:textId="77777777" w:rsidR="009C4265" w:rsidRPr="009C4265" w:rsidRDefault="009C4265" w:rsidP="009C4265">
            <w:pPr>
              <w:rPr>
                <w:rFonts w:ascii="Arial Narrow" w:hAnsi="Arial Narrow" w:cs="Calibri"/>
                <w:sz w:val="22"/>
                <w:szCs w:val="22"/>
                <w:lang w:val="es-CR" w:eastAsia="es-CR"/>
              </w:rPr>
            </w:pPr>
          </w:p>
          <w:p w14:paraId="6EDFE0BF" w14:textId="77777777" w:rsidR="009C4265" w:rsidRPr="009C4265" w:rsidRDefault="009C4265" w:rsidP="009C4265">
            <w:pPr>
              <w:rPr>
                <w:rFonts w:ascii="Arial Narrow" w:hAnsi="Arial Narrow" w:cs="Calibri"/>
                <w:sz w:val="22"/>
                <w:szCs w:val="22"/>
                <w:lang w:val="es-CR" w:eastAsia="es-CR"/>
              </w:rPr>
            </w:pPr>
          </w:p>
        </w:tc>
        <w:tc>
          <w:tcPr>
            <w:tcW w:w="370" w:type="pct"/>
            <w:tcBorders>
              <w:top w:val="single" w:sz="4" w:space="0" w:color="auto"/>
              <w:left w:val="single" w:sz="4" w:space="0" w:color="auto"/>
              <w:bottom w:val="single" w:sz="4" w:space="0" w:color="auto"/>
              <w:right w:val="single" w:sz="4" w:space="0" w:color="auto"/>
            </w:tcBorders>
            <w:shd w:val="clear" w:color="auto" w:fill="auto"/>
            <w:noWrap/>
            <w:vAlign w:val="bottom"/>
          </w:tcPr>
          <w:p w14:paraId="1DBDF4E0" w14:textId="77777777" w:rsidR="009C4265" w:rsidRPr="009C4265" w:rsidRDefault="009C4265" w:rsidP="009C4265">
            <w:pPr>
              <w:jc w:val="center"/>
              <w:rPr>
                <w:rFonts w:ascii="Arial Narrow" w:hAnsi="Arial Narrow" w:cs="Arial"/>
                <w:sz w:val="22"/>
                <w:szCs w:val="22"/>
              </w:rPr>
            </w:pPr>
            <w:r w:rsidRPr="009C4265">
              <w:rPr>
                <w:rFonts w:ascii="Arial Narrow" w:hAnsi="Arial Narrow" w:cs="Arial"/>
                <w:sz w:val="22"/>
                <w:szCs w:val="22"/>
              </w:rPr>
              <w:t>292</w:t>
            </w:r>
          </w:p>
        </w:tc>
        <w:tc>
          <w:tcPr>
            <w:tcW w:w="1783" w:type="pct"/>
            <w:tcBorders>
              <w:top w:val="single" w:sz="4" w:space="0" w:color="auto"/>
              <w:left w:val="single" w:sz="4" w:space="0" w:color="auto"/>
              <w:bottom w:val="single" w:sz="4" w:space="0" w:color="auto"/>
              <w:right w:val="single" w:sz="4" w:space="0" w:color="auto"/>
            </w:tcBorders>
            <w:shd w:val="clear" w:color="auto" w:fill="auto"/>
            <w:noWrap/>
          </w:tcPr>
          <w:p w14:paraId="1B680806" w14:textId="03D89C42" w:rsidR="009C4265" w:rsidRPr="009C4265" w:rsidRDefault="009C4265" w:rsidP="00C9711A">
            <w:pPr>
              <w:jc w:val="both"/>
              <w:rPr>
                <w:rFonts w:ascii="Arial Narrow" w:hAnsi="Arial Narrow" w:cs="Arial"/>
                <w:sz w:val="22"/>
                <w:szCs w:val="22"/>
                <w:lang w:eastAsia="zh-CN"/>
              </w:rPr>
            </w:pPr>
            <w:r w:rsidRPr="009C4265">
              <w:rPr>
                <w:rFonts w:ascii="Arial Narrow" w:hAnsi="Arial Narrow" w:cs="Arial"/>
                <w:sz w:val="22"/>
                <w:szCs w:val="22"/>
                <w:lang w:eastAsia="zh-CN"/>
              </w:rPr>
              <w:t xml:space="preserve">A nivel institucional </w:t>
            </w:r>
            <w:r w:rsidR="00AA5A31">
              <w:rPr>
                <w:rFonts w:ascii="Arial Narrow" w:hAnsi="Arial Narrow" w:cs="Arial"/>
                <w:sz w:val="22"/>
                <w:szCs w:val="22"/>
                <w:lang w:eastAsia="zh-CN"/>
              </w:rPr>
              <w:t>en el periodo de</w:t>
            </w:r>
            <w:r w:rsidRPr="009C4265">
              <w:rPr>
                <w:rFonts w:ascii="Arial Narrow" w:hAnsi="Arial Narrow" w:cs="Arial"/>
                <w:sz w:val="22"/>
                <w:szCs w:val="22"/>
                <w:lang w:eastAsia="zh-CN"/>
              </w:rPr>
              <w:t xml:space="preserve"> enero </w:t>
            </w:r>
            <w:r w:rsidR="00AA5A31">
              <w:rPr>
                <w:rFonts w:ascii="Arial Narrow" w:hAnsi="Arial Narrow" w:cs="Arial"/>
                <w:sz w:val="22"/>
                <w:szCs w:val="22"/>
                <w:lang w:eastAsia="zh-CN"/>
              </w:rPr>
              <w:t>a</w:t>
            </w:r>
            <w:r w:rsidRPr="009C4265">
              <w:rPr>
                <w:rFonts w:ascii="Arial Narrow" w:hAnsi="Arial Narrow" w:cs="Arial"/>
                <w:sz w:val="22"/>
                <w:szCs w:val="22"/>
                <w:lang w:eastAsia="zh-CN"/>
              </w:rPr>
              <w:t xml:space="preserve"> julio del 2020 se efectuaron 56</w:t>
            </w:r>
            <w:r w:rsidR="00AA5A31">
              <w:rPr>
                <w:rFonts w:ascii="Arial Narrow" w:hAnsi="Arial Narrow" w:cs="Arial"/>
                <w:sz w:val="22"/>
                <w:szCs w:val="22"/>
                <w:lang w:eastAsia="zh-CN"/>
              </w:rPr>
              <w:t>.</w:t>
            </w:r>
            <w:r w:rsidRPr="009C4265">
              <w:rPr>
                <w:rFonts w:ascii="Arial Narrow" w:hAnsi="Arial Narrow" w:cs="Arial"/>
                <w:sz w:val="22"/>
                <w:szCs w:val="22"/>
                <w:lang w:eastAsia="zh-CN"/>
              </w:rPr>
              <w:t>147 audiencias, donde se alcanzó el valor más elevado en febrero con 12</w:t>
            </w:r>
            <w:r w:rsidR="00AA5A31">
              <w:rPr>
                <w:rFonts w:ascii="Arial Narrow" w:hAnsi="Arial Narrow" w:cs="Arial"/>
                <w:sz w:val="22"/>
                <w:szCs w:val="22"/>
                <w:lang w:eastAsia="zh-CN"/>
              </w:rPr>
              <w:t>.</w:t>
            </w:r>
            <w:r w:rsidRPr="009C4265">
              <w:rPr>
                <w:rFonts w:ascii="Arial Narrow" w:hAnsi="Arial Narrow" w:cs="Arial"/>
                <w:sz w:val="22"/>
                <w:szCs w:val="22"/>
                <w:lang w:eastAsia="zh-CN"/>
              </w:rPr>
              <w:t>811, en segundo lugar, enero 10</w:t>
            </w:r>
            <w:r w:rsidR="00AA5A31">
              <w:rPr>
                <w:rFonts w:ascii="Arial Narrow" w:hAnsi="Arial Narrow" w:cs="Arial"/>
                <w:sz w:val="22"/>
                <w:szCs w:val="22"/>
                <w:lang w:eastAsia="zh-CN"/>
              </w:rPr>
              <w:t>.</w:t>
            </w:r>
            <w:r w:rsidRPr="009C4265">
              <w:rPr>
                <w:rFonts w:ascii="Arial Narrow" w:hAnsi="Arial Narrow" w:cs="Arial"/>
                <w:sz w:val="22"/>
                <w:szCs w:val="22"/>
                <w:lang w:eastAsia="zh-CN"/>
              </w:rPr>
              <w:t>693 y en tercer lugar junio 10</w:t>
            </w:r>
            <w:r w:rsidR="00AA5A31">
              <w:rPr>
                <w:rFonts w:ascii="Arial Narrow" w:hAnsi="Arial Narrow" w:cs="Arial"/>
                <w:sz w:val="22"/>
                <w:szCs w:val="22"/>
                <w:lang w:eastAsia="zh-CN"/>
              </w:rPr>
              <w:t>.</w:t>
            </w:r>
            <w:r w:rsidRPr="009C4265">
              <w:rPr>
                <w:rFonts w:ascii="Arial Narrow" w:hAnsi="Arial Narrow" w:cs="Arial"/>
                <w:sz w:val="22"/>
                <w:szCs w:val="22"/>
                <w:lang w:eastAsia="zh-CN"/>
              </w:rPr>
              <w:t>187. Lo que evidencia que conforme las aperturas se daban, el personal del Poder Judicial incrementaba su capacidad para realizar las audiencias, al considerar el mes de junio con mayor apertura.</w:t>
            </w:r>
          </w:p>
          <w:p w14:paraId="01088F12" w14:textId="77777777" w:rsidR="009C4265" w:rsidRPr="009C4265" w:rsidRDefault="009C4265" w:rsidP="00C9711A">
            <w:pPr>
              <w:tabs>
                <w:tab w:val="left" w:pos="2776"/>
              </w:tabs>
              <w:jc w:val="both"/>
              <w:rPr>
                <w:rFonts w:ascii="Arial Narrow" w:hAnsi="Arial Narrow" w:cs="Arial"/>
                <w:color w:val="000000"/>
                <w:sz w:val="22"/>
                <w:szCs w:val="22"/>
                <w:shd w:val="clear" w:color="auto" w:fill="FFFFFF"/>
              </w:rPr>
            </w:pPr>
            <w:r w:rsidRPr="009C4265">
              <w:rPr>
                <w:rFonts w:ascii="Arial Narrow" w:hAnsi="Arial Narrow" w:cs="Arial"/>
                <w:sz w:val="22"/>
                <w:szCs w:val="22"/>
                <w:lang w:eastAsia="zh-CN"/>
              </w:rPr>
              <w:t>El mes de abril 2020 es el que tiene menor cantidad de audiencias realizadas, 2765, este mes propuso cierres totales producto de la pandemia, posteriormente ese valor crece en mayo a 6346, luego se incrementa en junio 2020 a 10187, a partir de la implementación de la circular 100-2020 de reactivación paulatina de servicios, sin embargo, baja otra vez en julio a 6648, ya que nuevamente hay un cierre por “alerta naranja”.</w:t>
            </w:r>
          </w:p>
        </w:tc>
        <w:tc>
          <w:tcPr>
            <w:tcW w:w="956" w:type="pct"/>
            <w:tcBorders>
              <w:top w:val="single" w:sz="4" w:space="0" w:color="auto"/>
              <w:left w:val="single" w:sz="4" w:space="0" w:color="auto"/>
              <w:bottom w:val="single" w:sz="4" w:space="0" w:color="auto"/>
              <w:right w:val="single" w:sz="4" w:space="0" w:color="auto"/>
            </w:tcBorders>
            <w:shd w:val="clear" w:color="auto" w:fill="auto"/>
            <w:noWrap/>
          </w:tcPr>
          <w:p w14:paraId="4065648E" w14:textId="77777777" w:rsidR="009C4265" w:rsidRPr="009C4265" w:rsidRDefault="009C4265" w:rsidP="006A146B">
            <w:pPr>
              <w:widowControl w:val="0"/>
              <w:autoSpaceDE w:val="0"/>
              <w:autoSpaceDN w:val="0"/>
              <w:adjustRightInd w:val="0"/>
              <w:jc w:val="both"/>
              <w:rPr>
                <w:rFonts w:ascii="Arial Narrow" w:hAnsi="Arial Narrow" w:cs="Arial"/>
                <w:sz w:val="22"/>
                <w:szCs w:val="22"/>
                <w:lang w:eastAsia="zh-CN"/>
              </w:rPr>
            </w:pPr>
            <w:r w:rsidRPr="00D03D3F">
              <w:rPr>
                <w:rFonts w:ascii="Arial Narrow" w:hAnsi="Arial Narrow" w:cs="Arial"/>
                <w:sz w:val="22"/>
                <w:szCs w:val="22"/>
                <w:lang w:eastAsia="zh-CN"/>
              </w:rPr>
              <w:t>Se sugiere incluir la información del mes de marzo, ya que es el único mes que no se consideró.</w:t>
            </w:r>
          </w:p>
        </w:tc>
        <w:tc>
          <w:tcPr>
            <w:tcW w:w="889" w:type="pct"/>
            <w:tcBorders>
              <w:top w:val="single" w:sz="4" w:space="0" w:color="auto"/>
              <w:left w:val="single" w:sz="4" w:space="0" w:color="auto"/>
              <w:bottom w:val="single" w:sz="4" w:space="0" w:color="auto"/>
              <w:right w:val="single" w:sz="4" w:space="0" w:color="auto"/>
            </w:tcBorders>
            <w:shd w:val="clear" w:color="auto" w:fill="auto"/>
            <w:noWrap/>
          </w:tcPr>
          <w:p w14:paraId="73667C52" w14:textId="77777777" w:rsidR="009C4265" w:rsidRPr="009C4265" w:rsidRDefault="009C4265" w:rsidP="006A146B">
            <w:pPr>
              <w:jc w:val="both"/>
              <w:rPr>
                <w:rFonts w:ascii="Arial Narrow" w:hAnsi="Arial Narrow" w:cs="Calibri"/>
                <w:sz w:val="22"/>
                <w:szCs w:val="22"/>
                <w:lang w:val="es-CR" w:eastAsia="es-CR"/>
              </w:rPr>
            </w:pPr>
            <w:r w:rsidRPr="009C4265">
              <w:rPr>
                <w:rFonts w:ascii="Arial Narrow" w:hAnsi="Arial Narrow" w:cs="Calibri"/>
                <w:sz w:val="22"/>
                <w:szCs w:val="22"/>
                <w:lang w:val="es-CR" w:eastAsia="es-CR"/>
              </w:rPr>
              <w:t>Se toma nota de la observación.</w:t>
            </w:r>
          </w:p>
          <w:p w14:paraId="3DBC48E1" w14:textId="77777777" w:rsidR="009C4265" w:rsidRPr="009C4265" w:rsidRDefault="009C4265" w:rsidP="00BF6E93">
            <w:pPr>
              <w:jc w:val="both"/>
              <w:rPr>
                <w:rFonts w:ascii="Arial Narrow" w:hAnsi="Arial Narrow" w:cs="Calibri"/>
                <w:sz w:val="22"/>
                <w:szCs w:val="22"/>
                <w:lang w:val="es-CR" w:eastAsia="es-CR"/>
              </w:rPr>
            </w:pPr>
          </w:p>
          <w:p w14:paraId="7B44B993" w14:textId="27EF4AA6" w:rsidR="009C4265" w:rsidRPr="009C4265" w:rsidRDefault="009C4265" w:rsidP="00FD024B">
            <w:pPr>
              <w:jc w:val="both"/>
              <w:rPr>
                <w:rFonts w:cs="Calibri"/>
                <w:sz w:val="22"/>
                <w:szCs w:val="22"/>
                <w:lang w:val="es-CR" w:eastAsia="es-CR"/>
              </w:rPr>
            </w:pPr>
            <w:r w:rsidRPr="009C4265">
              <w:rPr>
                <w:rFonts w:ascii="Arial Narrow" w:hAnsi="Arial Narrow" w:cs="Calibri"/>
                <w:sz w:val="22"/>
                <w:szCs w:val="22"/>
                <w:lang w:val="es-CR" w:eastAsia="es-CR"/>
              </w:rPr>
              <w:t>La observación no modifica el contenido</w:t>
            </w:r>
            <w:r w:rsidR="00AA5A31">
              <w:rPr>
                <w:rFonts w:ascii="Arial Narrow" w:hAnsi="Arial Narrow" w:cs="Calibri"/>
                <w:sz w:val="22"/>
                <w:szCs w:val="22"/>
                <w:lang w:val="es-CR" w:eastAsia="es-CR"/>
              </w:rPr>
              <w:t>, dado que el mes de marzo se encuentra contemplado en el periodo de enero a julio</w:t>
            </w:r>
            <w:r w:rsidRPr="009C4265">
              <w:rPr>
                <w:rFonts w:ascii="Arial Narrow" w:hAnsi="Arial Narrow" w:cs="Calibri"/>
                <w:sz w:val="22"/>
                <w:szCs w:val="22"/>
                <w:lang w:val="es-CR" w:eastAsia="es-CR"/>
              </w:rPr>
              <w:t>.</w:t>
            </w:r>
          </w:p>
          <w:p w14:paraId="16903471" w14:textId="77777777" w:rsidR="009C4265" w:rsidRPr="009C4265" w:rsidRDefault="009C4265" w:rsidP="00C9711A">
            <w:pPr>
              <w:jc w:val="both"/>
              <w:rPr>
                <w:rFonts w:ascii="Arial Narrow" w:hAnsi="Arial Narrow" w:cs="Calibri"/>
                <w:sz w:val="22"/>
                <w:szCs w:val="22"/>
                <w:lang w:val="es-CR" w:eastAsia="es-CR"/>
              </w:rPr>
            </w:pPr>
          </w:p>
          <w:p w14:paraId="3538863A" w14:textId="77777777" w:rsidR="009C4265" w:rsidRPr="009C4265" w:rsidRDefault="009C4265" w:rsidP="00C9711A">
            <w:pPr>
              <w:jc w:val="both"/>
              <w:rPr>
                <w:rFonts w:ascii="Arial Narrow" w:hAnsi="Arial Narrow" w:cs="Calibri"/>
                <w:sz w:val="22"/>
                <w:szCs w:val="22"/>
                <w:lang w:val="es-CR" w:eastAsia="es-CR"/>
              </w:rPr>
            </w:pPr>
          </w:p>
          <w:p w14:paraId="54823B3B" w14:textId="77777777" w:rsidR="009C4265" w:rsidRPr="009C4265" w:rsidRDefault="009C4265" w:rsidP="00C9711A">
            <w:pPr>
              <w:jc w:val="both"/>
              <w:rPr>
                <w:rFonts w:ascii="Arial Narrow" w:hAnsi="Arial Narrow" w:cs="Calibri"/>
                <w:sz w:val="22"/>
                <w:szCs w:val="22"/>
                <w:lang w:val="es-CR" w:eastAsia="es-CR"/>
              </w:rPr>
            </w:pPr>
          </w:p>
          <w:p w14:paraId="2327304F" w14:textId="77777777" w:rsidR="009C4265" w:rsidRPr="009C4265" w:rsidRDefault="009C4265" w:rsidP="00C9711A">
            <w:pPr>
              <w:jc w:val="both"/>
              <w:rPr>
                <w:rFonts w:ascii="Arial Narrow" w:hAnsi="Arial Narrow" w:cs="Calibri"/>
                <w:sz w:val="22"/>
                <w:szCs w:val="22"/>
                <w:lang w:val="es-CR" w:eastAsia="es-CR"/>
              </w:rPr>
            </w:pPr>
          </w:p>
          <w:p w14:paraId="3175136D" w14:textId="77777777" w:rsidR="009C4265" w:rsidRPr="009C4265" w:rsidRDefault="009C4265" w:rsidP="00C9711A">
            <w:pPr>
              <w:jc w:val="both"/>
              <w:rPr>
                <w:rFonts w:ascii="Arial Narrow" w:hAnsi="Arial Narrow" w:cs="Calibri"/>
                <w:sz w:val="22"/>
                <w:szCs w:val="22"/>
                <w:lang w:val="es-CR" w:eastAsia="es-CR"/>
              </w:rPr>
            </w:pPr>
          </w:p>
          <w:p w14:paraId="7377166F" w14:textId="77777777" w:rsidR="009C4265" w:rsidRPr="009C4265" w:rsidRDefault="009C4265" w:rsidP="00C9711A">
            <w:pPr>
              <w:jc w:val="both"/>
              <w:rPr>
                <w:rFonts w:ascii="Arial Narrow" w:hAnsi="Arial Narrow" w:cs="Calibri"/>
                <w:sz w:val="22"/>
                <w:szCs w:val="22"/>
                <w:lang w:val="es-CR" w:eastAsia="es-CR"/>
              </w:rPr>
            </w:pPr>
          </w:p>
          <w:p w14:paraId="3AA4985C" w14:textId="77777777" w:rsidR="009C4265" w:rsidRPr="009C4265" w:rsidRDefault="009C4265" w:rsidP="00C9711A">
            <w:pPr>
              <w:jc w:val="both"/>
              <w:rPr>
                <w:rFonts w:ascii="Arial Narrow" w:hAnsi="Arial Narrow" w:cs="Calibri"/>
                <w:sz w:val="22"/>
                <w:szCs w:val="22"/>
                <w:lang w:val="es-CR" w:eastAsia="es-CR"/>
              </w:rPr>
            </w:pPr>
          </w:p>
          <w:p w14:paraId="5775DAF6" w14:textId="77777777" w:rsidR="009C4265" w:rsidRPr="009C4265" w:rsidRDefault="009C4265" w:rsidP="00C9711A">
            <w:pPr>
              <w:jc w:val="both"/>
              <w:rPr>
                <w:rFonts w:ascii="Arial Narrow" w:hAnsi="Arial Narrow" w:cs="Calibri"/>
                <w:sz w:val="22"/>
                <w:szCs w:val="22"/>
                <w:lang w:val="es-CR" w:eastAsia="es-CR"/>
              </w:rPr>
            </w:pPr>
          </w:p>
          <w:p w14:paraId="5F5DEB87" w14:textId="77777777" w:rsidR="009C4265" w:rsidRPr="009C4265" w:rsidRDefault="009C4265" w:rsidP="00C9711A">
            <w:pPr>
              <w:jc w:val="both"/>
              <w:rPr>
                <w:rFonts w:ascii="Arial Narrow" w:hAnsi="Arial Narrow" w:cs="Calibri"/>
                <w:sz w:val="22"/>
                <w:szCs w:val="22"/>
                <w:lang w:val="es-CR" w:eastAsia="es-CR"/>
              </w:rPr>
            </w:pPr>
          </w:p>
          <w:p w14:paraId="312183EB" w14:textId="77777777" w:rsidR="009C4265" w:rsidRPr="009C4265" w:rsidRDefault="009C4265" w:rsidP="00C9711A">
            <w:pPr>
              <w:jc w:val="both"/>
              <w:rPr>
                <w:rFonts w:ascii="Arial Narrow" w:hAnsi="Arial Narrow" w:cs="Calibri"/>
                <w:sz w:val="22"/>
                <w:szCs w:val="22"/>
                <w:lang w:val="es-CR" w:eastAsia="es-CR"/>
              </w:rPr>
            </w:pPr>
          </w:p>
        </w:tc>
        <w:tc>
          <w:tcPr>
            <w:tcW w:w="77" w:type="pct"/>
            <w:vAlign w:val="center"/>
          </w:tcPr>
          <w:p w14:paraId="6DCE9B18" w14:textId="77777777" w:rsidR="009C4265" w:rsidRPr="009C4265" w:rsidRDefault="009C4265" w:rsidP="009C4265">
            <w:pPr>
              <w:rPr>
                <w:rFonts w:ascii="Arial Narrow" w:hAnsi="Arial Narrow"/>
                <w:sz w:val="22"/>
                <w:szCs w:val="22"/>
                <w:lang w:val="es-CR" w:eastAsia="es-CR"/>
              </w:rPr>
            </w:pPr>
          </w:p>
        </w:tc>
      </w:tr>
      <w:tr w:rsidR="009C4265" w:rsidRPr="009C4265" w14:paraId="2B54000C" w14:textId="77777777" w:rsidTr="00C9711A">
        <w:trPr>
          <w:trHeight w:val="1514"/>
        </w:trPr>
        <w:tc>
          <w:tcPr>
            <w:tcW w:w="924" w:type="pct"/>
            <w:tcBorders>
              <w:top w:val="single" w:sz="4" w:space="0" w:color="auto"/>
              <w:left w:val="single" w:sz="4" w:space="0" w:color="auto"/>
              <w:bottom w:val="single" w:sz="4" w:space="0" w:color="auto"/>
              <w:right w:val="single" w:sz="4" w:space="0" w:color="auto"/>
            </w:tcBorders>
            <w:shd w:val="clear" w:color="auto" w:fill="auto"/>
            <w:noWrap/>
            <w:vAlign w:val="bottom"/>
          </w:tcPr>
          <w:p w14:paraId="4B6E1A7B" w14:textId="77777777" w:rsidR="009C4265" w:rsidRPr="009C4265" w:rsidRDefault="009C4265" w:rsidP="009C4265">
            <w:pPr>
              <w:jc w:val="center"/>
              <w:rPr>
                <w:rFonts w:ascii="Arial Narrow" w:hAnsi="Arial Narrow" w:cs="Calibri"/>
                <w:sz w:val="22"/>
                <w:szCs w:val="22"/>
                <w:lang w:val="es-CR" w:eastAsia="es-CR"/>
              </w:rPr>
            </w:pPr>
            <w:r w:rsidRPr="009C4265">
              <w:rPr>
                <w:rFonts w:ascii="Arial Narrow" w:hAnsi="Arial Narrow" w:cs="Calibri"/>
                <w:sz w:val="22"/>
                <w:szCs w:val="22"/>
                <w:lang w:val="es-CR" w:eastAsia="es-CR"/>
              </w:rPr>
              <w:t>Centro de Apoyo, Coordinación y Mejoramiento de la función Jurisdiccional</w:t>
            </w:r>
          </w:p>
          <w:p w14:paraId="59FAC10A" w14:textId="77777777" w:rsidR="009C4265" w:rsidRPr="009C4265" w:rsidRDefault="009C4265" w:rsidP="009C4265">
            <w:pPr>
              <w:rPr>
                <w:rFonts w:ascii="Arial Narrow" w:hAnsi="Arial Narrow" w:cs="Calibri"/>
                <w:sz w:val="22"/>
                <w:szCs w:val="22"/>
                <w:lang w:val="es-CR" w:eastAsia="es-CR"/>
              </w:rPr>
            </w:pPr>
          </w:p>
        </w:tc>
        <w:tc>
          <w:tcPr>
            <w:tcW w:w="370" w:type="pct"/>
            <w:tcBorders>
              <w:top w:val="single" w:sz="4" w:space="0" w:color="auto"/>
              <w:left w:val="single" w:sz="4" w:space="0" w:color="auto"/>
              <w:bottom w:val="single" w:sz="4" w:space="0" w:color="auto"/>
              <w:right w:val="single" w:sz="4" w:space="0" w:color="auto"/>
            </w:tcBorders>
            <w:shd w:val="clear" w:color="auto" w:fill="auto"/>
            <w:noWrap/>
            <w:vAlign w:val="bottom"/>
          </w:tcPr>
          <w:p w14:paraId="03CC8D1B" w14:textId="77777777" w:rsidR="009C4265" w:rsidRPr="009C4265" w:rsidRDefault="009C4265" w:rsidP="009C4265">
            <w:pPr>
              <w:jc w:val="center"/>
              <w:rPr>
                <w:rFonts w:ascii="Arial Narrow" w:hAnsi="Arial Narrow" w:cs="Arial"/>
                <w:sz w:val="22"/>
                <w:szCs w:val="22"/>
              </w:rPr>
            </w:pPr>
            <w:r w:rsidRPr="009C4265">
              <w:rPr>
                <w:rFonts w:ascii="Arial Narrow" w:hAnsi="Arial Narrow" w:cs="Arial"/>
                <w:sz w:val="22"/>
                <w:szCs w:val="22"/>
              </w:rPr>
              <w:t>293</w:t>
            </w:r>
          </w:p>
        </w:tc>
        <w:tc>
          <w:tcPr>
            <w:tcW w:w="1783" w:type="pct"/>
            <w:tcBorders>
              <w:top w:val="single" w:sz="4" w:space="0" w:color="auto"/>
              <w:left w:val="single" w:sz="4" w:space="0" w:color="auto"/>
              <w:bottom w:val="single" w:sz="4" w:space="0" w:color="auto"/>
              <w:right w:val="single" w:sz="4" w:space="0" w:color="auto"/>
            </w:tcBorders>
            <w:shd w:val="clear" w:color="auto" w:fill="auto"/>
            <w:noWrap/>
          </w:tcPr>
          <w:p w14:paraId="594DEA92" w14:textId="76620B67" w:rsidR="009C4265" w:rsidRPr="009C4265" w:rsidRDefault="009C4265" w:rsidP="00C9711A">
            <w:pPr>
              <w:jc w:val="both"/>
              <w:rPr>
                <w:rFonts w:ascii="Arial Narrow" w:hAnsi="Arial Narrow" w:cs="Arial"/>
                <w:sz w:val="22"/>
                <w:szCs w:val="22"/>
                <w:lang w:eastAsia="zh-CN"/>
              </w:rPr>
            </w:pPr>
            <w:r w:rsidRPr="009C4265">
              <w:rPr>
                <w:rFonts w:ascii="Arial Narrow" w:hAnsi="Arial Narrow" w:cs="Arial"/>
                <w:sz w:val="22"/>
                <w:szCs w:val="22"/>
                <w:lang w:eastAsia="zh-CN"/>
              </w:rPr>
              <w:t>Aunado a lo anterior, el COVID-19 ha impactado a la institución en la toma de decisiones y acciones que han afectado la resolución de los casos en aras de adaptarse a la nueva normalidad. Por tanto, se considera necesario el realizar nuevas proyecciones a partir del 2022, utilizando como línea base los datos estadísticos de entrados, terminados y circulante a partir de los datos obtenidos durante el 2019, 2020 y el primer trimestre de 2021, con el fin de establecer nuevas líneas base y adaptar los objetivos y metas a la nueva realidad, en procura de incidir en el logro de la misión de administrar justicia de manera pronta y cumplida</w:t>
            </w:r>
            <w:r w:rsidRPr="009C4265">
              <w:rPr>
                <w:rFonts w:ascii="Arial Narrow" w:hAnsi="Arial Narrow" w:cs="Arial"/>
                <w:color w:val="000000"/>
                <w:sz w:val="22"/>
                <w:szCs w:val="22"/>
                <w:lang w:eastAsia="es-CR"/>
              </w:rPr>
              <w:t>.</w:t>
            </w:r>
          </w:p>
        </w:tc>
        <w:tc>
          <w:tcPr>
            <w:tcW w:w="956" w:type="pct"/>
            <w:tcBorders>
              <w:top w:val="single" w:sz="4" w:space="0" w:color="auto"/>
              <w:left w:val="single" w:sz="4" w:space="0" w:color="auto"/>
              <w:bottom w:val="single" w:sz="4" w:space="0" w:color="auto"/>
              <w:right w:val="single" w:sz="4" w:space="0" w:color="auto"/>
            </w:tcBorders>
            <w:shd w:val="clear" w:color="auto" w:fill="auto"/>
            <w:noWrap/>
          </w:tcPr>
          <w:p w14:paraId="1D2CD1DC" w14:textId="2A5C53F3" w:rsidR="009C4265" w:rsidRPr="009C4265" w:rsidRDefault="009C4265" w:rsidP="006A146B">
            <w:pPr>
              <w:widowControl w:val="0"/>
              <w:autoSpaceDE w:val="0"/>
              <w:autoSpaceDN w:val="0"/>
              <w:adjustRightInd w:val="0"/>
              <w:jc w:val="both"/>
              <w:rPr>
                <w:rFonts w:ascii="Arial Narrow" w:hAnsi="Arial Narrow" w:cs="Arial"/>
                <w:sz w:val="22"/>
                <w:szCs w:val="22"/>
                <w:lang w:eastAsia="zh-CN"/>
              </w:rPr>
            </w:pPr>
            <w:r w:rsidRPr="009C4265">
              <w:rPr>
                <w:rFonts w:ascii="Arial Narrow" w:hAnsi="Arial Narrow" w:cs="Arial"/>
                <w:sz w:val="22"/>
                <w:szCs w:val="22"/>
                <w:lang w:eastAsia="zh-CN"/>
              </w:rPr>
              <w:t>Se sugiere incorporar los argumentos estadísticos necesarios para confeccionar las proyecciones para el 2022 en adelante, considerando que los resultados del 2020 y 2021 son atípicos por el tema de la pandemia.</w:t>
            </w:r>
          </w:p>
        </w:tc>
        <w:tc>
          <w:tcPr>
            <w:tcW w:w="889" w:type="pct"/>
            <w:tcBorders>
              <w:top w:val="single" w:sz="4" w:space="0" w:color="auto"/>
              <w:left w:val="single" w:sz="4" w:space="0" w:color="auto"/>
              <w:bottom w:val="single" w:sz="4" w:space="0" w:color="auto"/>
              <w:right w:val="single" w:sz="4" w:space="0" w:color="auto"/>
            </w:tcBorders>
            <w:shd w:val="clear" w:color="auto" w:fill="auto"/>
            <w:noWrap/>
          </w:tcPr>
          <w:p w14:paraId="566498B5" w14:textId="77777777" w:rsidR="009C4265" w:rsidRPr="009C4265" w:rsidRDefault="009C4265" w:rsidP="00C9711A">
            <w:pPr>
              <w:jc w:val="both"/>
              <w:rPr>
                <w:rFonts w:ascii="Arial Narrow" w:hAnsi="Arial Narrow" w:cs="Calibri"/>
                <w:sz w:val="22"/>
                <w:szCs w:val="22"/>
                <w:lang w:val="es-CR" w:eastAsia="es-CR"/>
              </w:rPr>
            </w:pPr>
          </w:p>
          <w:p w14:paraId="6C433B1B" w14:textId="77777777" w:rsidR="009C4265" w:rsidRPr="009C4265" w:rsidRDefault="009C4265" w:rsidP="006A146B">
            <w:pPr>
              <w:jc w:val="both"/>
              <w:rPr>
                <w:rFonts w:ascii="Arial Narrow" w:hAnsi="Arial Narrow" w:cs="Calibri"/>
                <w:sz w:val="22"/>
                <w:szCs w:val="22"/>
                <w:lang w:val="es-CR" w:eastAsia="es-CR"/>
              </w:rPr>
            </w:pPr>
            <w:r w:rsidRPr="009C4265">
              <w:rPr>
                <w:rFonts w:ascii="Arial Narrow" w:hAnsi="Arial Narrow" w:cs="Calibri"/>
                <w:sz w:val="22"/>
                <w:szCs w:val="22"/>
                <w:lang w:val="es-CR" w:eastAsia="es-CR"/>
              </w:rPr>
              <w:t>Se toma nota de la observación.</w:t>
            </w:r>
          </w:p>
          <w:p w14:paraId="6A3F7577" w14:textId="77777777" w:rsidR="009C4265" w:rsidRPr="009C4265" w:rsidRDefault="009C4265" w:rsidP="00BF6E93">
            <w:pPr>
              <w:jc w:val="both"/>
              <w:rPr>
                <w:rFonts w:ascii="Arial Narrow" w:hAnsi="Arial Narrow" w:cs="Calibri"/>
                <w:sz w:val="22"/>
                <w:szCs w:val="22"/>
                <w:lang w:val="es-CR" w:eastAsia="es-CR"/>
              </w:rPr>
            </w:pPr>
          </w:p>
          <w:p w14:paraId="1F8A3D69" w14:textId="601C027D" w:rsidR="009C4265" w:rsidRPr="009C4265" w:rsidRDefault="00AA5A31" w:rsidP="00FD024B">
            <w:pPr>
              <w:jc w:val="both"/>
              <w:rPr>
                <w:rFonts w:cs="Calibri"/>
                <w:sz w:val="22"/>
                <w:szCs w:val="22"/>
                <w:lang w:val="es-CR" w:eastAsia="es-CR"/>
              </w:rPr>
            </w:pPr>
            <w:r>
              <w:rPr>
                <w:rFonts w:ascii="Arial Narrow" w:hAnsi="Arial Narrow" w:cs="Calibri"/>
                <w:sz w:val="22"/>
                <w:szCs w:val="22"/>
                <w:lang w:val="es-CR" w:eastAsia="es-CR"/>
              </w:rPr>
              <w:t>Se ajusta el contenido y ahora se lee: …”</w:t>
            </w:r>
            <w:r w:rsidRPr="00C9711A">
              <w:rPr>
                <w:rFonts w:ascii="Arial Narrow" w:hAnsi="Arial Narrow" w:cs="Calibri"/>
                <w:i/>
                <w:iCs/>
                <w:sz w:val="22"/>
                <w:szCs w:val="22"/>
                <w:lang w:val="es-CR" w:eastAsia="es-CR"/>
              </w:rPr>
              <w:t>a partir del 2022 con base en argumentos estadísticos y la debida técnica, y también se debe utilizar</w:t>
            </w:r>
            <w:r w:rsidRPr="00C9711A">
              <w:rPr>
                <w:rFonts w:ascii="Arial Narrow" w:hAnsi="Arial Narrow" w:cs="Calibri"/>
                <w:sz w:val="22"/>
                <w:szCs w:val="22"/>
                <w:lang w:val="es-CR" w:eastAsia="es-CR"/>
              </w:rPr>
              <w:t>…”</w:t>
            </w:r>
          </w:p>
          <w:p w14:paraId="15629D32" w14:textId="77777777" w:rsidR="009C4265" w:rsidRPr="009C4265" w:rsidRDefault="009C4265" w:rsidP="00C9711A">
            <w:pPr>
              <w:jc w:val="both"/>
              <w:rPr>
                <w:rFonts w:ascii="Arial Narrow" w:hAnsi="Arial Narrow" w:cs="Calibri"/>
                <w:sz w:val="22"/>
                <w:szCs w:val="22"/>
                <w:lang w:val="es-CR" w:eastAsia="es-CR"/>
              </w:rPr>
            </w:pPr>
          </w:p>
        </w:tc>
        <w:tc>
          <w:tcPr>
            <w:tcW w:w="77" w:type="pct"/>
            <w:vAlign w:val="center"/>
          </w:tcPr>
          <w:p w14:paraId="0335358C" w14:textId="77777777" w:rsidR="009C4265" w:rsidRPr="009C4265" w:rsidRDefault="009C4265" w:rsidP="009C4265">
            <w:pPr>
              <w:rPr>
                <w:rFonts w:ascii="Arial Narrow" w:hAnsi="Arial Narrow"/>
                <w:sz w:val="22"/>
                <w:szCs w:val="22"/>
                <w:lang w:val="es-CR" w:eastAsia="es-CR"/>
              </w:rPr>
            </w:pPr>
          </w:p>
        </w:tc>
      </w:tr>
      <w:tr w:rsidR="009C4265" w:rsidRPr="009C4265" w14:paraId="5BD36F1E" w14:textId="77777777" w:rsidTr="00C9711A">
        <w:trPr>
          <w:trHeight w:val="1514"/>
        </w:trPr>
        <w:tc>
          <w:tcPr>
            <w:tcW w:w="924" w:type="pct"/>
            <w:tcBorders>
              <w:top w:val="single" w:sz="4" w:space="0" w:color="auto"/>
              <w:left w:val="single" w:sz="4" w:space="0" w:color="auto"/>
              <w:bottom w:val="single" w:sz="4" w:space="0" w:color="auto"/>
              <w:right w:val="single" w:sz="4" w:space="0" w:color="auto"/>
            </w:tcBorders>
            <w:shd w:val="clear" w:color="auto" w:fill="auto"/>
            <w:noWrap/>
            <w:vAlign w:val="bottom"/>
          </w:tcPr>
          <w:p w14:paraId="50928B13" w14:textId="77777777" w:rsidR="009C4265" w:rsidRPr="009C4265" w:rsidRDefault="009C4265" w:rsidP="009C4265">
            <w:pPr>
              <w:jc w:val="center"/>
              <w:rPr>
                <w:rFonts w:ascii="Arial Narrow" w:hAnsi="Arial Narrow" w:cs="Calibri"/>
                <w:sz w:val="22"/>
                <w:szCs w:val="22"/>
                <w:lang w:val="es-CR" w:eastAsia="es-CR"/>
              </w:rPr>
            </w:pPr>
            <w:r w:rsidRPr="009C4265">
              <w:rPr>
                <w:rFonts w:ascii="Arial Narrow" w:hAnsi="Arial Narrow" w:cs="Calibri"/>
                <w:sz w:val="22"/>
                <w:szCs w:val="22"/>
                <w:lang w:val="es-CR" w:eastAsia="es-CR"/>
              </w:rPr>
              <w:t>Centro de Apoyo, Coordinación y Mejoramiento de la función Jurisdiccional</w:t>
            </w:r>
          </w:p>
          <w:p w14:paraId="20EE4A05" w14:textId="77777777" w:rsidR="009C4265" w:rsidRPr="009C4265" w:rsidRDefault="009C4265" w:rsidP="009C4265">
            <w:pPr>
              <w:rPr>
                <w:rFonts w:ascii="Arial Narrow" w:hAnsi="Arial Narrow" w:cs="Calibri"/>
                <w:sz w:val="22"/>
                <w:szCs w:val="22"/>
                <w:lang w:val="es-CR" w:eastAsia="es-CR"/>
              </w:rPr>
            </w:pPr>
          </w:p>
        </w:tc>
        <w:tc>
          <w:tcPr>
            <w:tcW w:w="370" w:type="pct"/>
            <w:tcBorders>
              <w:top w:val="single" w:sz="4" w:space="0" w:color="auto"/>
              <w:left w:val="single" w:sz="4" w:space="0" w:color="auto"/>
              <w:bottom w:val="single" w:sz="4" w:space="0" w:color="auto"/>
              <w:right w:val="single" w:sz="4" w:space="0" w:color="auto"/>
            </w:tcBorders>
            <w:shd w:val="clear" w:color="auto" w:fill="auto"/>
            <w:noWrap/>
            <w:vAlign w:val="bottom"/>
          </w:tcPr>
          <w:p w14:paraId="709A6DCB" w14:textId="77777777" w:rsidR="009C4265" w:rsidRPr="009C4265" w:rsidRDefault="009C4265" w:rsidP="009C4265">
            <w:pPr>
              <w:jc w:val="center"/>
              <w:rPr>
                <w:rFonts w:ascii="Arial Narrow" w:hAnsi="Arial Narrow" w:cs="Arial"/>
                <w:sz w:val="22"/>
                <w:szCs w:val="22"/>
              </w:rPr>
            </w:pPr>
            <w:r w:rsidRPr="009C4265">
              <w:rPr>
                <w:rFonts w:ascii="Arial Narrow" w:hAnsi="Arial Narrow" w:cs="Arial"/>
                <w:sz w:val="22"/>
                <w:szCs w:val="22"/>
              </w:rPr>
              <w:t>294</w:t>
            </w:r>
          </w:p>
        </w:tc>
        <w:tc>
          <w:tcPr>
            <w:tcW w:w="1783" w:type="pct"/>
            <w:tcBorders>
              <w:top w:val="single" w:sz="4" w:space="0" w:color="auto"/>
              <w:left w:val="single" w:sz="4" w:space="0" w:color="auto"/>
              <w:bottom w:val="single" w:sz="4" w:space="0" w:color="auto"/>
              <w:right w:val="single" w:sz="4" w:space="0" w:color="auto"/>
            </w:tcBorders>
            <w:shd w:val="clear" w:color="auto" w:fill="auto"/>
            <w:noWrap/>
          </w:tcPr>
          <w:p w14:paraId="6F72E5A0" w14:textId="77777777" w:rsidR="009C4265" w:rsidRPr="009C4265" w:rsidRDefault="009C4265" w:rsidP="00C9711A">
            <w:pPr>
              <w:jc w:val="both"/>
              <w:rPr>
                <w:rFonts w:ascii="Arial Narrow" w:hAnsi="Arial Narrow" w:cs="Arial"/>
                <w:b/>
                <w:bCs/>
                <w:sz w:val="22"/>
                <w:szCs w:val="22"/>
                <w:lang w:eastAsia="zh-CN"/>
              </w:rPr>
            </w:pPr>
            <w:r w:rsidRPr="009C4265">
              <w:rPr>
                <w:rFonts w:ascii="Arial Narrow" w:hAnsi="Arial Narrow" w:cs="Arial"/>
                <w:b/>
                <w:bCs/>
                <w:sz w:val="22"/>
                <w:szCs w:val="22"/>
                <w:lang w:eastAsia="zh-CN"/>
              </w:rPr>
              <w:t>10. Conclusiones</w:t>
            </w:r>
          </w:p>
          <w:p w14:paraId="25E02616" w14:textId="18B84CDE" w:rsidR="009C4265" w:rsidRPr="009C4265" w:rsidRDefault="009C4265" w:rsidP="00C9711A">
            <w:pPr>
              <w:jc w:val="both"/>
              <w:rPr>
                <w:rFonts w:ascii="Arial Narrow" w:hAnsi="Arial Narrow" w:cs="Arial"/>
                <w:sz w:val="22"/>
                <w:szCs w:val="22"/>
                <w:lang w:eastAsia="zh-CN"/>
              </w:rPr>
            </w:pPr>
            <w:r w:rsidRPr="009C4265">
              <w:rPr>
                <w:rFonts w:ascii="Arial Narrow" w:hAnsi="Arial Narrow" w:cs="Arial"/>
                <w:sz w:val="22"/>
                <w:szCs w:val="22"/>
                <w:lang w:eastAsia="zh-CN"/>
              </w:rPr>
              <w:t>Sobre los informes evaluativos estratégicos del PEI anteriores, </w:t>
            </w:r>
            <w:r w:rsidRPr="009C4265">
              <w:rPr>
                <w:rFonts w:ascii="Arial Narrow" w:hAnsi="Arial Narrow" w:cs="Arial"/>
                <w:b/>
                <w:bCs/>
                <w:sz w:val="22"/>
                <w:szCs w:val="22"/>
                <w:u w:val="single"/>
                <w:lang w:eastAsia="zh-CN"/>
              </w:rPr>
              <w:t>se tenían muchas limitaciones</w:t>
            </w:r>
            <w:r w:rsidRPr="009C4265">
              <w:rPr>
                <w:rFonts w:ascii="Arial Narrow" w:hAnsi="Arial Narrow" w:cs="Arial"/>
                <w:sz w:val="22"/>
                <w:szCs w:val="22"/>
                <w:lang w:eastAsia="zh-CN"/>
              </w:rPr>
              <w:t xml:space="preserve"> para acceso a la información. Adicionalmente, las instancias responsables no tenían claros sus compromisos o los olvidaban, entonces las evaluaciones estratégicas aportaban </w:t>
            </w:r>
            <w:r w:rsidRPr="009C4265">
              <w:rPr>
                <w:rFonts w:ascii="Arial Narrow" w:hAnsi="Arial Narrow" w:cs="Arial"/>
                <w:sz w:val="22"/>
                <w:szCs w:val="22"/>
                <w:lang w:eastAsia="zh-CN"/>
              </w:rPr>
              <w:lastRenderedPageBreak/>
              <w:t>incumplimientos más altos que los que se muestran mediante el presente informe de evaluación del PEI 2019-2020.</w:t>
            </w:r>
          </w:p>
        </w:tc>
        <w:tc>
          <w:tcPr>
            <w:tcW w:w="956" w:type="pct"/>
            <w:tcBorders>
              <w:top w:val="single" w:sz="4" w:space="0" w:color="auto"/>
              <w:left w:val="single" w:sz="4" w:space="0" w:color="auto"/>
              <w:bottom w:val="single" w:sz="4" w:space="0" w:color="auto"/>
              <w:right w:val="single" w:sz="4" w:space="0" w:color="auto"/>
            </w:tcBorders>
            <w:shd w:val="clear" w:color="auto" w:fill="auto"/>
            <w:noWrap/>
          </w:tcPr>
          <w:p w14:paraId="2321D051" w14:textId="77777777" w:rsidR="009C4265" w:rsidRPr="009C4265" w:rsidRDefault="009C4265" w:rsidP="006A146B">
            <w:pPr>
              <w:widowControl w:val="0"/>
              <w:autoSpaceDE w:val="0"/>
              <w:autoSpaceDN w:val="0"/>
              <w:adjustRightInd w:val="0"/>
              <w:jc w:val="both"/>
              <w:rPr>
                <w:rFonts w:ascii="Arial Narrow" w:hAnsi="Arial Narrow" w:cs="Arial"/>
                <w:sz w:val="22"/>
                <w:szCs w:val="22"/>
                <w:lang w:eastAsia="zh-CN"/>
              </w:rPr>
            </w:pPr>
            <w:r w:rsidRPr="009C4265">
              <w:rPr>
                <w:rFonts w:ascii="Arial Narrow" w:hAnsi="Arial Narrow" w:cs="Arial"/>
                <w:color w:val="000000"/>
                <w:sz w:val="22"/>
                <w:szCs w:val="22"/>
                <w:shd w:val="clear" w:color="auto" w:fill="FFFFFF"/>
                <w:lang w:val="es-ES"/>
              </w:rPr>
              <w:lastRenderedPageBreak/>
              <w:t xml:space="preserve">En este apartado se informan limitaciones que no se visualizan en la estructura del informe, por lo que se recomienda incorporar un apartado de “Alcance y </w:t>
            </w:r>
            <w:r w:rsidRPr="009C4265">
              <w:rPr>
                <w:rFonts w:ascii="Arial Narrow" w:hAnsi="Arial Narrow" w:cs="Arial"/>
                <w:color w:val="000000"/>
                <w:sz w:val="22"/>
                <w:szCs w:val="22"/>
                <w:shd w:val="clear" w:color="auto" w:fill="FFFFFF"/>
                <w:lang w:val="es-ES"/>
              </w:rPr>
              <w:lastRenderedPageBreak/>
              <w:t>Limitaciones”.</w:t>
            </w:r>
          </w:p>
        </w:tc>
        <w:tc>
          <w:tcPr>
            <w:tcW w:w="889" w:type="pct"/>
            <w:tcBorders>
              <w:top w:val="single" w:sz="4" w:space="0" w:color="auto"/>
              <w:left w:val="single" w:sz="4" w:space="0" w:color="auto"/>
              <w:bottom w:val="single" w:sz="4" w:space="0" w:color="auto"/>
              <w:right w:val="single" w:sz="4" w:space="0" w:color="auto"/>
            </w:tcBorders>
            <w:shd w:val="clear" w:color="auto" w:fill="auto"/>
            <w:noWrap/>
          </w:tcPr>
          <w:p w14:paraId="63418159" w14:textId="77777777" w:rsidR="009C4265" w:rsidRPr="009C4265" w:rsidRDefault="009C4265" w:rsidP="00BF6E93">
            <w:pPr>
              <w:jc w:val="both"/>
              <w:rPr>
                <w:rFonts w:ascii="Arial Narrow" w:hAnsi="Arial Narrow" w:cs="Calibri"/>
                <w:b/>
                <w:bCs/>
                <w:sz w:val="22"/>
                <w:szCs w:val="22"/>
                <w:highlight w:val="yellow"/>
                <w:lang w:val="es-CR" w:eastAsia="es-CR"/>
              </w:rPr>
            </w:pPr>
          </w:p>
          <w:p w14:paraId="0F784DB1" w14:textId="77777777" w:rsidR="009C4265" w:rsidRPr="009C4265" w:rsidRDefault="009C4265" w:rsidP="006A146B">
            <w:pPr>
              <w:jc w:val="both"/>
              <w:rPr>
                <w:rFonts w:ascii="Arial Narrow" w:hAnsi="Arial Narrow" w:cs="Calibri"/>
                <w:sz w:val="22"/>
                <w:szCs w:val="22"/>
                <w:lang w:val="es-CR" w:eastAsia="es-CR"/>
              </w:rPr>
            </w:pPr>
            <w:r w:rsidRPr="009C4265">
              <w:rPr>
                <w:rFonts w:ascii="Arial Narrow" w:hAnsi="Arial Narrow" w:cs="Calibri"/>
                <w:sz w:val="22"/>
                <w:szCs w:val="22"/>
                <w:lang w:val="es-CR" w:eastAsia="es-CR"/>
              </w:rPr>
              <w:t>Se toma nota de la observación.</w:t>
            </w:r>
          </w:p>
          <w:p w14:paraId="15493B8C" w14:textId="77777777" w:rsidR="009C4265" w:rsidRPr="009C4265" w:rsidRDefault="009C4265" w:rsidP="00BF6E93">
            <w:pPr>
              <w:jc w:val="both"/>
              <w:rPr>
                <w:rFonts w:ascii="Arial Narrow" w:hAnsi="Arial Narrow" w:cs="Calibri"/>
                <w:sz w:val="22"/>
                <w:szCs w:val="22"/>
                <w:lang w:val="es-CR" w:eastAsia="es-CR"/>
              </w:rPr>
            </w:pPr>
          </w:p>
          <w:p w14:paraId="4B8582E5" w14:textId="2D98504D" w:rsidR="009B7B0A" w:rsidRDefault="009B7B0A" w:rsidP="00FD024B">
            <w:pPr>
              <w:jc w:val="both"/>
              <w:rPr>
                <w:rFonts w:ascii="Arial Narrow" w:hAnsi="Arial Narrow" w:cs="Calibri"/>
                <w:sz w:val="22"/>
                <w:szCs w:val="22"/>
                <w:lang w:val="es-CR" w:eastAsia="es-CR"/>
              </w:rPr>
            </w:pPr>
          </w:p>
          <w:p w14:paraId="42E5F37E" w14:textId="4437A902" w:rsidR="009B7B0A" w:rsidRDefault="009B7B0A">
            <w:pPr>
              <w:jc w:val="both"/>
              <w:rPr>
                <w:rFonts w:ascii="Arial Narrow" w:hAnsi="Arial Narrow" w:cs="Calibri"/>
                <w:sz w:val="22"/>
                <w:szCs w:val="22"/>
                <w:lang w:val="es-CR" w:eastAsia="es-CR"/>
              </w:rPr>
            </w:pPr>
            <w:r>
              <w:rPr>
                <w:rFonts w:ascii="Arial Narrow" w:hAnsi="Arial Narrow" w:cs="Calibri"/>
                <w:sz w:val="22"/>
                <w:szCs w:val="22"/>
                <w:lang w:val="es-CR" w:eastAsia="es-CR"/>
              </w:rPr>
              <w:t>Se ajusta el contenido y ahora se lee:</w:t>
            </w:r>
          </w:p>
          <w:p w14:paraId="265B88F2" w14:textId="77777777" w:rsidR="009B7B0A" w:rsidRDefault="009B7B0A">
            <w:pPr>
              <w:jc w:val="both"/>
              <w:rPr>
                <w:rFonts w:ascii="Arial Narrow" w:hAnsi="Arial Narrow" w:cs="Calibri"/>
                <w:sz w:val="22"/>
                <w:szCs w:val="22"/>
                <w:lang w:val="es-CR" w:eastAsia="es-CR"/>
              </w:rPr>
            </w:pPr>
          </w:p>
          <w:p w14:paraId="357E1ED6" w14:textId="220F7E66" w:rsidR="009C4265" w:rsidRPr="009C4265" w:rsidRDefault="009B7B0A">
            <w:pPr>
              <w:jc w:val="both"/>
              <w:rPr>
                <w:rFonts w:ascii="Arial Narrow" w:hAnsi="Arial Narrow" w:cs="Calibri"/>
                <w:sz w:val="22"/>
                <w:szCs w:val="22"/>
                <w:lang w:val="es-CR" w:eastAsia="es-CR"/>
              </w:rPr>
            </w:pPr>
            <w:r>
              <w:rPr>
                <w:rFonts w:ascii="Arial Narrow" w:hAnsi="Arial Narrow" w:cs="Calibri"/>
                <w:sz w:val="22"/>
                <w:szCs w:val="22"/>
                <w:lang w:val="es-CR" w:eastAsia="es-CR"/>
              </w:rPr>
              <w:lastRenderedPageBreak/>
              <w:t>“</w:t>
            </w:r>
            <w:r w:rsidRPr="00C9711A">
              <w:rPr>
                <w:rFonts w:ascii="Arial Narrow" w:hAnsi="Arial Narrow" w:cs="Calibri"/>
                <w:i/>
                <w:iCs/>
                <w:sz w:val="22"/>
                <w:szCs w:val="22"/>
                <w:lang w:val="es-CR" w:eastAsia="es-CR"/>
              </w:rPr>
              <w:t>Sobre los informes evaluativos estratégicos del PEI anteriores, se tenían muchas limitaciones para acceso a la información, las cuales han sido debidamente subsanadas por medio de implementación de sistemas informáticos y mejoras al registro de la información”.</w:t>
            </w:r>
          </w:p>
          <w:p w14:paraId="4271BB54" w14:textId="77777777" w:rsidR="009C4265" w:rsidRPr="009C4265" w:rsidRDefault="009C4265">
            <w:pPr>
              <w:jc w:val="both"/>
              <w:rPr>
                <w:rFonts w:cs="Calibri"/>
                <w:sz w:val="22"/>
                <w:szCs w:val="22"/>
                <w:lang w:val="es-CR" w:eastAsia="es-CR"/>
              </w:rPr>
            </w:pPr>
          </w:p>
          <w:p w14:paraId="202C5936" w14:textId="77777777" w:rsidR="009C4265" w:rsidRPr="009C4265" w:rsidRDefault="009C4265">
            <w:pPr>
              <w:jc w:val="both"/>
              <w:rPr>
                <w:rFonts w:cs="Calibri"/>
                <w:sz w:val="22"/>
                <w:szCs w:val="22"/>
                <w:lang w:val="es-CR" w:eastAsia="es-CR"/>
              </w:rPr>
            </w:pPr>
          </w:p>
          <w:p w14:paraId="60674255" w14:textId="77777777" w:rsidR="009C4265" w:rsidRPr="009C4265" w:rsidRDefault="009C4265">
            <w:pPr>
              <w:jc w:val="both"/>
              <w:rPr>
                <w:rFonts w:cs="Calibri"/>
                <w:sz w:val="22"/>
                <w:szCs w:val="22"/>
                <w:lang w:val="es-CR" w:eastAsia="es-CR"/>
              </w:rPr>
            </w:pPr>
          </w:p>
          <w:p w14:paraId="7468AF49" w14:textId="77777777" w:rsidR="009C4265" w:rsidRPr="009C4265" w:rsidRDefault="009C4265">
            <w:pPr>
              <w:jc w:val="both"/>
              <w:rPr>
                <w:rFonts w:cs="Calibri"/>
                <w:sz w:val="22"/>
                <w:szCs w:val="22"/>
                <w:lang w:val="es-CR" w:eastAsia="es-CR"/>
              </w:rPr>
            </w:pPr>
          </w:p>
          <w:p w14:paraId="6F197FC0" w14:textId="77777777" w:rsidR="009C4265" w:rsidRPr="009C4265" w:rsidRDefault="009C4265">
            <w:pPr>
              <w:jc w:val="both"/>
              <w:rPr>
                <w:rFonts w:cs="Calibri"/>
                <w:sz w:val="22"/>
                <w:szCs w:val="22"/>
                <w:lang w:val="es-CR" w:eastAsia="es-CR"/>
              </w:rPr>
            </w:pPr>
          </w:p>
          <w:p w14:paraId="4046C8E2" w14:textId="77777777" w:rsidR="009C4265" w:rsidRPr="009C4265" w:rsidRDefault="009C4265" w:rsidP="00C9711A">
            <w:pPr>
              <w:jc w:val="both"/>
              <w:rPr>
                <w:rFonts w:ascii="Arial Narrow" w:hAnsi="Arial Narrow" w:cs="Calibri"/>
                <w:sz w:val="22"/>
                <w:szCs w:val="22"/>
                <w:lang w:val="es-CR" w:eastAsia="es-CR"/>
              </w:rPr>
            </w:pPr>
          </w:p>
        </w:tc>
        <w:tc>
          <w:tcPr>
            <w:tcW w:w="77" w:type="pct"/>
            <w:vAlign w:val="center"/>
          </w:tcPr>
          <w:p w14:paraId="769561BC" w14:textId="77777777" w:rsidR="009C4265" w:rsidRPr="009C4265" w:rsidRDefault="009C4265" w:rsidP="009C4265">
            <w:pPr>
              <w:rPr>
                <w:rFonts w:ascii="Arial Narrow" w:hAnsi="Arial Narrow"/>
                <w:sz w:val="22"/>
                <w:szCs w:val="22"/>
                <w:lang w:val="es-CR" w:eastAsia="es-CR"/>
              </w:rPr>
            </w:pPr>
          </w:p>
        </w:tc>
      </w:tr>
      <w:tr w:rsidR="009C4265" w:rsidRPr="009C4265" w14:paraId="129F2ED8" w14:textId="77777777" w:rsidTr="00C9711A">
        <w:trPr>
          <w:trHeight w:val="1514"/>
        </w:trPr>
        <w:tc>
          <w:tcPr>
            <w:tcW w:w="924" w:type="pct"/>
            <w:tcBorders>
              <w:top w:val="single" w:sz="4" w:space="0" w:color="auto"/>
              <w:left w:val="single" w:sz="4" w:space="0" w:color="auto"/>
              <w:bottom w:val="single" w:sz="4" w:space="0" w:color="auto"/>
              <w:right w:val="single" w:sz="4" w:space="0" w:color="auto"/>
            </w:tcBorders>
            <w:shd w:val="clear" w:color="auto" w:fill="auto"/>
            <w:noWrap/>
            <w:vAlign w:val="bottom"/>
          </w:tcPr>
          <w:p w14:paraId="595ABB9F" w14:textId="77777777" w:rsidR="009C4265" w:rsidRPr="009C4265" w:rsidRDefault="009C4265" w:rsidP="009C4265">
            <w:pPr>
              <w:jc w:val="center"/>
              <w:rPr>
                <w:rFonts w:ascii="Arial Narrow" w:hAnsi="Arial Narrow" w:cs="Calibri"/>
                <w:sz w:val="22"/>
                <w:szCs w:val="22"/>
                <w:lang w:val="es-CR" w:eastAsia="es-CR"/>
              </w:rPr>
            </w:pPr>
            <w:r w:rsidRPr="009C4265">
              <w:rPr>
                <w:rFonts w:ascii="Arial Narrow" w:hAnsi="Arial Narrow" w:cs="Calibri"/>
                <w:sz w:val="22"/>
                <w:szCs w:val="22"/>
                <w:lang w:val="es-CR" w:eastAsia="es-CR"/>
              </w:rPr>
              <w:lastRenderedPageBreak/>
              <w:t>Centro de Apoyo, Coordinación y Mejoramiento de la función Jurisdiccional</w:t>
            </w:r>
          </w:p>
          <w:p w14:paraId="08DCA7EB" w14:textId="77777777" w:rsidR="009C4265" w:rsidRPr="009C4265" w:rsidRDefault="009C4265" w:rsidP="009C4265">
            <w:pPr>
              <w:rPr>
                <w:rFonts w:ascii="Arial Narrow" w:hAnsi="Arial Narrow" w:cs="Calibri"/>
                <w:sz w:val="22"/>
                <w:szCs w:val="22"/>
                <w:lang w:val="es-CR" w:eastAsia="es-CR"/>
              </w:rPr>
            </w:pPr>
          </w:p>
          <w:p w14:paraId="14229E18" w14:textId="77777777" w:rsidR="009C4265" w:rsidRPr="009C4265" w:rsidRDefault="009C4265" w:rsidP="009C4265">
            <w:pPr>
              <w:rPr>
                <w:rFonts w:ascii="Arial Narrow" w:hAnsi="Arial Narrow" w:cs="Calibri"/>
                <w:sz w:val="22"/>
                <w:szCs w:val="22"/>
                <w:lang w:val="es-CR" w:eastAsia="es-CR"/>
              </w:rPr>
            </w:pPr>
          </w:p>
          <w:p w14:paraId="0F17A948" w14:textId="77777777" w:rsidR="009C4265" w:rsidRPr="009C4265" w:rsidRDefault="009C4265" w:rsidP="009C4265">
            <w:pPr>
              <w:rPr>
                <w:rFonts w:ascii="Arial Narrow" w:hAnsi="Arial Narrow" w:cs="Calibri"/>
                <w:sz w:val="22"/>
                <w:szCs w:val="22"/>
                <w:lang w:val="es-CR" w:eastAsia="es-CR"/>
              </w:rPr>
            </w:pPr>
          </w:p>
          <w:p w14:paraId="19C5E93A" w14:textId="77777777" w:rsidR="009C4265" w:rsidRPr="009C4265" w:rsidRDefault="009C4265" w:rsidP="009C4265">
            <w:pPr>
              <w:rPr>
                <w:rFonts w:ascii="Arial Narrow" w:hAnsi="Arial Narrow" w:cs="Calibri"/>
                <w:sz w:val="22"/>
                <w:szCs w:val="22"/>
                <w:lang w:val="es-CR" w:eastAsia="es-CR"/>
              </w:rPr>
            </w:pPr>
          </w:p>
          <w:p w14:paraId="58912724" w14:textId="77777777" w:rsidR="009C4265" w:rsidRPr="009C4265" w:rsidRDefault="009C4265" w:rsidP="009C4265">
            <w:pPr>
              <w:rPr>
                <w:rFonts w:ascii="Arial Narrow" w:hAnsi="Arial Narrow" w:cs="Calibri"/>
                <w:sz w:val="22"/>
                <w:szCs w:val="22"/>
                <w:lang w:val="es-CR" w:eastAsia="es-CR"/>
              </w:rPr>
            </w:pPr>
          </w:p>
        </w:tc>
        <w:tc>
          <w:tcPr>
            <w:tcW w:w="370" w:type="pct"/>
            <w:tcBorders>
              <w:top w:val="single" w:sz="4" w:space="0" w:color="auto"/>
              <w:left w:val="single" w:sz="4" w:space="0" w:color="auto"/>
              <w:bottom w:val="single" w:sz="4" w:space="0" w:color="auto"/>
              <w:right w:val="single" w:sz="4" w:space="0" w:color="auto"/>
            </w:tcBorders>
            <w:shd w:val="clear" w:color="auto" w:fill="auto"/>
            <w:noWrap/>
            <w:vAlign w:val="bottom"/>
          </w:tcPr>
          <w:p w14:paraId="53977E72" w14:textId="77777777" w:rsidR="009C4265" w:rsidRPr="009C4265" w:rsidRDefault="009C4265" w:rsidP="009C4265">
            <w:pPr>
              <w:jc w:val="center"/>
              <w:rPr>
                <w:rFonts w:ascii="Arial Narrow" w:hAnsi="Arial Narrow" w:cs="Arial"/>
                <w:sz w:val="22"/>
                <w:szCs w:val="22"/>
              </w:rPr>
            </w:pPr>
            <w:r w:rsidRPr="009C4265">
              <w:rPr>
                <w:rFonts w:ascii="Arial Narrow" w:hAnsi="Arial Narrow" w:cs="Arial"/>
                <w:sz w:val="22"/>
                <w:szCs w:val="22"/>
              </w:rPr>
              <w:t>295</w:t>
            </w:r>
          </w:p>
        </w:tc>
        <w:tc>
          <w:tcPr>
            <w:tcW w:w="1783" w:type="pct"/>
            <w:tcBorders>
              <w:top w:val="single" w:sz="4" w:space="0" w:color="auto"/>
              <w:left w:val="single" w:sz="4" w:space="0" w:color="auto"/>
              <w:bottom w:val="single" w:sz="4" w:space="0" w:color="auto"/>
              <w:right w:val="single" w:sz="4" w:space="0" w:color="auto"/>
            </w:tcBorders>
            <w:shd w:val="clear" w:color="auto" w:fill="auto"/>
            <w:noWrap/>
          </w:tcPr>
          <w:p w14:paraId="75DACA9B" w14:textId="77777777" w:rsidR="009C4265" w:rsidRPr="009C4265" w:rsidRDefault="009C4265" w:rsidP="00C9711A">
            <w:pPr>
              <w:jc w:val="both"/>
              <w:rPr>
                <w:rFonts w:ascii="Arial Narrow" w:hAnsi="Arial Narrow" w:cs="Arial"/>
                <w:b/>
                <w:bCs/>
                <w:sz w:val="22"/>
                <w:szCs w:val="22"/>
                <w:lang w:eastAsia="zh-CN"/>
              </w:rPr>
            </w:pPr>
            <w:r w:rsidRPr="009C4265">
              <w:rPr>
                <w:rFonts w:ascii="Arial Narrow" w:hAnsi="Arial Narrow" w:cs="Arial"/>
                <w:sz w:val="22"/>
                <w:szCs w:val="22"/>
                <w:lang w:eastAsia="zh-CN"/>
              </w:rPr>
              <w:t>Sobre los resultados generales del PEI para el 2019 y 2020 se establece un nivel de cumplimiento de manera anual de las metas estratégicas del PEI, al cierre del 2019 de un 96.25% y al cierre del 2020 de un 96.77% Lo anterior con base en el análisis de 187 y 219 metas estratégicas atinentes a los cinco temas estratégicos para el 2019 y 2020 respectivamente</w:t>
            </w:r>
          </w:p>
        </w:tc>
        <w:tc>
          <w:tcPr>
            <w:tcW w:w="956" w:type="pct"/>
            <w:tcBorders>
              <w:top w:val="single" w:sz="4" w:space="0" w:color="auto"/>
              <w:left w:val="single" w:sz="4" w:space="0" w:color="auto"/>
              <w:bottom w:val="single" w:sz="4" w:space="0" w:color="auto"/>
              <w:right w:val="single" w:sz="4" w:space="0" w:color="auto"/>
            </w:tcBorders>
            <w:shd w:val="clear" w:color="auto" w:fill="auto"/>
            <w:noWrap/>
          </w:tcPr>
          <w:p w14:paraId="659B8B6D" w14:textId="47CAB737" w:rsidR="009C4265" w:rsidRPr="009C4265" w:rsidRDefault="009C4265" w:rsidP="006A146B">
            <w:pPr>
              <w:widowControl w:val="0"/>
              <w:autoSpaceDE w:val="0"/>
              <w:autoSpaceDN w:val="0"/>
              <w:adjustRightInd w:val="0"/>
              <w:jc w:val="both"/>
              <w:rPr>
                <w:rFonts w:ascii="Arial Narrow" w:hAnsi="Arial Narrow" w:cs="Arial"/>
                <w:color w:val="000000"/>
                <w:sz w:val="22"/>
                <w:szCs w:val="22"/>
                <w:shd w:val="clear" w:color="auto" w:fill="FFFFFF"/>
                <w:lang w:val="es-ES"/>
              </w:rPr>
            </w:pPr>
            <w:r w:rsidRPr="009C4265">
              <w:rPr>
                <w:rFonts w:ascii="Arial Narrow" w:hAnsi="Arial Narrow" w:cs="Arial"/>
                <w:sz w:val="22"/>
                <w:szCs w:val="22"/>
                <w:lang w:eastAsia="zh-CN"/>
              </w:rPr>
              <w:t xml:space="preserve">Se sugiere que, para la formulación de las conclusiones, se considere que el 2020 fue un año atípico por el </w:t>
            </w:r>
            <w:bookmarkStart w:id="282" w:name="_Hlk84843934"/>
            <w:r w:rsidRPr="009C4265">
              <w:rPr>
                <w:rFonts w:ascii="Arial Narrow" w:hAnsi="Arial Narrow" w:cs="Arial"/>
                <w:sz w:val="22"/>
                <w:szCs w:val="22"/>
                <w:lang w:eastAsia="zh-CN"/>
              </w:rPr>
              <w:t>tema de la pandemia por COVID-19.</w:t>
            </w:r>
            <w:bookmarkEnd w:id="282"/>
          </w:p>
        </w:tc>
        <w:tc>
          <w:tcPr>
            <w:tcW w:w="889" w:type="pct"/>
            <w:tcBorders>
              <w:top w:val="single" w:sz="4" w:space="0" w:color="auto"/>
              <w:left w:val="single" w:sz="4" w:space="0" w:color="auto"/>
              <w:bottom w:val="single" w:sz="4" w:space="0" w:color="auto"/>
              <w:right w:val="single" w:sz="4" w:space="0" w:color="auto"/>
            </w:tcBorders>
            <w:shd w:val="clear" w:color="auto" w:fill="auto"/>
            <w:noWrap/>
          </w:tcPr>
          <w:p w14:paraId="1B40BCD3" w14:textId="77777777" w:rsidR="009C4265" w:rsidRPr="009C4265" w:rsidRDefault="009C4265" w:rsidP="00C9711A">
            <w:pPr>
              <w:jc w:val="both"/>
              <w:rPr>
                <w:rFonts w:ascii="Arial Narrow" w:hAnsi="Arial Narrow" w:cs="Calibri"/>
                <w:sz w:val="22"/>
                <w:szCs w:val="22"/>
                <w:lang w:val="es-CR" w:eastAsia="es-CR"/>
              </w:rPr>
            </w:pPr>
          </w:p>
          <w:p w14:paraId="1D98B788" w14:textId="77777777" w:rsidR="009C4265" w:rsidRPr="009C4265" w:rsidRDefault="009C4265" w:rsidP="006A146B">
            <w:pPr>
              <w:jc w:val="both"/>
              <w:rPr>
                <w:rFonts w:ascii="Arial Narrow" w:hAnsi="Arial Narrow" w:cs="Calibri"/>
                <w:sz w:val="22"/>
                <w:szCs w:val="22"/>
                <w:lang w:val="es-CR" w:eastAsia="es-CR"/>
              </w:rPr>
            </w:pPr>
            <w:r w:rsidRPr="009C4265">
              <w:rPr>
                <w:rFonts w:ascii="Arial Narrow" w:hAnsi="Arial Narrow" w:cs="Calibri"/>
                <w:sz w:val="22"/>
                <w:szCs w:val="22"/>
                <w:lang w:val="es-CR" w:eastAsia="es-CR"/>
              </w:rPr>
              <w:t xml:space="preserve">Se toma nota de la observación </w:t>
            </w:r>
            <w:r w:rsidRPr="009C4265">
              <w:rPr>
                <w:rFonts w:ascii="Arial Narrow" w:hAnsi="Arial Narrow" w:cs="Arial"/>
                <w:sz w:val="22"/>
                <w:szCs w:val="22"/>
                <w:lang w:eastAsia="zh-CN"/>
              </w:rPr>
              <w:t>y se incorpora la redacción.</w:t>
            </w:r>
          </w:p>
          <w:p w14:paraId="06C59DD3" w14:textId="77777777" w:rsidR="009C4265" w:rsidRPr="009C4265" w:rsidRDefault="009C4265" w:rsidP="00BF6E93">
            <w:pPr>
              <w:jc w:val="both"/>
              <w:rPr>
                <w:rFonts w:ascii="Arial Narrow" w:hAnsi="Arial Narrow" w:cs="Calibri"/>
                <w:sz w:val="22"/>
                <w:szCs w:val="22"/>
                <w:lang w:val="es-CR" w:eastAsia="es-CR"/>
              </w:rPr>
            </w:pPr>
          </w:p>
          <w:p w14:paraId="66444AB7" w14:textId="77777777" w:rsidR="009C4265" w:rsidRPr="009C4265" w:rsidRDefault="009C4265" w:rsidP="00FD024B">
            <w:pPr>
              <w:jc w:val="both"/>
              <w:rPr>
                <w:rFonts w:ascii="Arial Narrow" w:hAnsi="Arial Narrow" w:cs="Calibri"/>
                <w:sz w:val="22"/>
                <w:szCs w:val="22"/>
                <w:lang w:val="es-CR" w:eastAsia="es-CR"/>
              </w:rPr>
            </w:pPr>
            <w:r w:rsidRPr="009C4265">
              <w:rPr>
                <w:rFonts w:ascii="Arial Narrow" w:hAnsi="Arial Narrow" w:cs="Calibri"/>
                <w:sz w:val="22"/>
                <w:szCs w:val="22"/>
                <w:lang w:val="es-CR" w:eastAsia="es-CR"/>
              </w:rPr>
              <w:t>La observación modifica el contenido.</w:t>
            </w:r>
          </w:p>
          <w:p w14:paraId="64F34EFB" w14:textId="77777777" w:rsidR="009C4265" w:rsidRPr="009C4265" w:rsidRDefault="009C4265" w:rsidP="00C9711A">
            <w:pPr>
              <w:jc w:val="both"/>
              <w:rPr>
                <w:rFonts w:ascii="Arial Narrow" w:hAnsi="Arial Narrow" w:cs="Calibri"/>
                <w:sz w:val="22"/>
                <w:szCs w:val="22"/>
                <w:lang w:val="es-CR" w:eastAsia="es-CR"/>
              </w:rPr>
            </w:pPr>
          </w:p>
        </w:tc>
        <w:tc>
          <w:tcPr>
            <w:tcW w:w="77" w:type="pct"/>
            <w:vAlign w:val="center"/>
          </w:tcPr>
          <w:p w14:paraId="6529E0BA" w14:textId="77777777" w:rsidR="009C4265" w:rsidRPr="009C4265" w:rsidRDefault="009C4265" w:rsidP="009C4265">
            <w:pPr>
              <w:rPr>
                <w:rFonts w:ascii="Arial Narrow" w:hAnsi="Arial Narrow"/>
                <w:sz w:val="22"/>
                <w:szCs w:val="22"/>
                <w:lang w:val="es-CR" w:eastAsia="es-CR"/>
              </w:rPr>
            </w:pPr>
          </w:p>
        </w:tc>
      </w:tr>
      <w:tr w:rsidR="009C4265" w:rsidRPr="009C4265" w14:paraId="1F85B6B6" w14:textId="77777777" w:rsidTr="00C9711A">
        <w:trPr>
          <w:trHeight w:val="1514"/>
        </w:trPr>
        <w:tc>
          <w:tcPr>
            <w:tcW w:w="924" w:type="pct"/>
            <w:tcBorders>
              <w:top w:val="single" w:sz="4" w:space="0" w:color="auto"/>
              <w:left w:val="single" w:sz="4" w:space="0" w:color="auto"/>
              <w:bottom w:val="single" w:sz="4" w:space="0" w:color="auto"/>
              <w:right w:val="single" w:sz="4" w:space="0" w:color="auto"/>
            </w:tcBorders>
            <w:shd w:val="clear" w:color="auto" w:fill="auto"/>
            <w:noWrap/>
            <w:vAlign w:val="bottom"/>
          </w:tcPr>
          <w:p w14:paraId="7FD4BDD3" w14:textId="77777777" w:rsidR="009C4265" w:rsidRPr="009C4265" w:rsidRDefault="009C4265" w:rsidP="009C4265">
            <w:pPr>
              <w:jc w:val="center"/>
              <w:rPr>
                <w:rFonts w:ascii="Arial Narrow" w:hAnsi="Arial Narrow" w:cs="Calibri"/>
                <w:sz w:val="22"/>
                <w:szCs w:val="22"/>
                <w:lang w:val="es-CR" w:eastAsia="es-CR"/>
              </w:rPr>
            </w:pPr>
            <w:r w:rsidRPr="009C4265">
              <w:rPr>
                <w:rFonts w:ascii="Arial Narrow" w:hAnsi="Arial Narrow" w:cs="Calibri"/>
                <w:sz w:val="22"/>
                <w:szCs w:val="22"/>
                <w:lang w:val="es-CR" w:eastAsia="es-CR"/>
              </w:rPr>
              <w:t>Centro de Apoyo, Coordinación y Mejoramiento de la función Jurisdiccional</w:t>
            </w:r>
          </w:p>
          <w:p w14:paraId="1F83520C" w14:textId="77777777" w:rsidR="009C4265" w:rsidRPr="009C4265" w:rsidRDefault="009C4265" w:rsidP="009C4265">
            <w:pPr>
              <w:rPr>
                <w:rFonts w:ascii="Arial Narrow" w:hAnsi="Arial Narrow" w:cs="Calibri"/>
                <w:sz w:val="22"/>
                <w:szCs w:val="22"/>
                <w:lang w:val="es-CR" w:eastAsia="es-CR"/>
              </w:rPr>
            </w:pPr>
          </w:p>
          <w:p w14:paraId="0BEF5CB8" w14:textId="77777777" w:rsidR="009C4265" w:rsidRPr="009C4265" w:rsidRDefault="009C4265" w:rsidP="009C4265">
            <w:pPr>
              <w:rPr>
                <w:rFonts w:ascii="Arial Narrow" w:hAnsi="Arial Narrow" w:cs="Calibri"/>
                <w:sz w:val="22"/>
                <w:szCs w:val="22"/>
                <w:lang w:val="es-CR" w:eastAsia="es-CR"/>
              </w:rPr>
            </w:pPr>
          </w:p>
          <w:p w14:paraId="78C4C7D2" w14:textId="77777777" w:rsidR="009C4265" w:rsidRPr="009C4265" w:rsidRDefault="009C4265" w:rsidP="009C4265">
            <w:pPr>
              <w:rPr>
                <w:rFonts w:ascii="Arial Narrow" w:hAnsi="Arial Narrow" w:cs="Calibri"/>
                <w:sz w:val="22"/>
                <w:szCs w:val="22"/>
                <w:lang w:val="es-CR" w:eastAsia="es-CR"/>
              </w:rPr>
            </w:pPr>
          </w:p>
          <w:p w14:paraId="3032C058" w14:textId="77777777" w:rsidR="009C4265" w:rsidRPr="009C4265" w:rsidRDefault="009C4265" w:rsidP="009C4265">
            <w:pPr>
              <w:rPr>
                <w:rFonts w:ascii="Arial Narrow" w:hAnsi="Arial Narrow" w:cs="Calibri"/>
                <w:sz w:val="22"/>
                <w:szCs w:val="22"/>
                <w:lang w:val="es-CR" w:eastAsia="es-CR"/>
              </w:rPr>
            </w:pPr>
          </w:p>
          <w:p w14:paraId="2609CFF4" w14:textId="77777777" w:rsidR="009C4265" w:rsidRPr="009C4265" w:rsidRDefault="009C4265" w:rsidP="009C4265">
            <w:pPr>
              <w:rPr>
                <w:rFonts w:ascii="Arial Narrow" w:hAnsi="Arial Narrow" w:cs="Calibri"/>
                <w:sz w:val="22"/>
                <w:szCs w:val="22"/>
                <w:lang w:val="es-CR" w:eastAsia="es-CR"/>
              </w:rPr>
            </w:pPr>
          </w:p>
          <w:p w14:paraId="617B9144" w14:textId="77777777" w:rsidR="009C4265" w:rsidRPr="009C4265" w:rsidRDefault="009C4265" w:rsidP="009C4265">
            <w:pPr>
              <w:rPr>
                <w:rFonts w:ascii="Arial Narrow" w:hAnsi="Arial Narrow" w:cs="Calibri"/>
                <w:sz w:val="22"/>
                <w:szCs w:val="22"/>
                <w:lang w:val="es-CR" w:eastAsia="es-CR"/>
              </w:rPr>
            </w:pPr>
          </w:p>
          <w:p w14:paraId="5C80BE6F" w14:textId="77777777" w:rsidR="009C4265" w:rsidRPr="009C4265" w:rsidRDefault="009C4265" w:rsidP="009C4265">
            <w:pPr>
              <w:rPr>
                <w:rFonts w:ascii="Arial Narrow" w:hAnsi="Arial Narrow" w:cs="Calibri"/>
                <w:sz w:val="22"/>
                <w:szCs w:val="22"/>
                <w:lang w:val="es-CR" w:eastAsia="es-CR"/>
              </w:rPr>
            </w:pPr>
          </w:p>
          <w:p w14:paraId="52169545" w14:textId="77777777" w:rsidR="009C4265" w:rsidRPr="009C4265" w:rsidRDefault="009C4265" w:rsidP="009C4265">
            <w:pPr>
              <w:rPr>
                <w:rFonts w:ascii="Arial Narrow" w:hAnsi="Arial Narrow" w:cs="Calibri"/>
                <w:sz w:val="22"/>
                <w:szCs w:val="22"/>
                <w:lang w:val="es-CR" w:eastAsia="es-CR"/>
              </w:rPr>
            </w:pPr>
          </w:p>
          <w:p w14:paraId="476955F4" w14:textId="77777777" w:rsidR="009C4265" w:rsidRPr="009C4265" w:rsidRDefault="009C4265" w:rsidP="009C4265">
            <w:pPr>
              <w:rPr>
                <w:rFonts w:ascii="Arial Narrow" w:hAnsi="Arial Narrow" w:cs="Calibri"/>
                <w:sz w:val="22"/>
                <w:szCs w:val="22"/>
                <w:lang w:val="es-CR" w:eastAsia="es-CR"/>
              </w:rPr>
            </w:pPr>
          </w:p>
        </w:tc>
        <w:tc>
          <w:tcPr>
            <w:tcW w:w="370" w:type="pct"/>
            <w:tcBorders>
              <w:top w:val="single" w:sz="4" w:space="0" w:color="auto"/>
              <w:left w:val="single" w:sz="4" w:space="0" w:color="auto"/>
              <w:bottom w:val="single" w:sz="4" w:space="0" w:color="auto"/>
              <w:right w:val="single" w:sz="4" w:space="0" w:color="auto"/>
            </w:tcBorders>
            <w:shd w:val="clear" w:color="auto" w:fill="auto"/>
            <w:noWrap/>
            <w:vAlign w:val="bottom"/>
          </w:tcPr>
          <w:p w14:paraId="2F133BF9" w14:textId="77777777" w:rsidR="009C4265" w:rsidRPr="009C4265" w:rsidRDefault="009C4265" w:rsidP="009C4265">
            <w:pPr>
              <w:jc w:val="center"/>
              <w:rPr>
                <w:rFonts w:ascii="Arial Narrow" w:hAnsi="Arial Narrow" w:cs="Arial"/>
                <w:sz w:val="22"/>
                <w:szCs w:val="22"/>
              </w:rPr>
            </w:pPr>
            <w:r w:rsidRPr="009C4265">
              <w:rPr>
                <w:rFonts w:ascii="Arial Narrow" w:hAnsi="Arial Narrow" w:cs="Arial"/>
                <w:sz w:val="22"/>
                <w:szCs w:val="22"/>
              </w:rPr>
              <w:t>301-302-303</w:t>
            </w:r>
          </w:p>
        </w:tc>
        <w:tc>
          <w:tcPr>
            <w:tcW w:w="1783" w:type="pct"/>
            <w:tcBorders>
              <w:top w:val="single" w:sz="4" w:space="0" w:color="auto"/>
              <w:left w:val="single" w:sz="4" w:space="0" w:color="auto"/>
              <w:bottom w:val="single" w:sz="4" w:space="0" w:color="auto"/>
              <w:right w:val="single" w:sz="4" w:space="0" w:color="auto"/>
            </w:tcBorders>
            <w:shd w:val="clear" w:color="auto" w:fill="auto"/>
            <w:noWrap/>
          </w:tcPr>
          <w:p w14:paraId="0FF07A21" w14:textId="77777777" w:rsidR="009C4265" w:rsidRPr="009C4265" w:rsidRDefault="009C4265" w:rsidP="00C9711A">
            <w:pPr>
              <w:suppressLineNumbers/>
              <w:spacing w:before="120" w:after="120"/>
              <w:jc w:val="both"/>
              <w:rPr>
                <w:rFonts w:ascii="Arial Narrow" w:eastAsia="Calibri" w:hAnsi="Arial Narrow" w:cs="Arial"/>
                <w:i/>
                <w:iCs/>
                <w:sz w:val="22"/>
                <w:szCs w:val="22"/>
                <w:lang w:val="es-CR"/>
              </w:rPr>
            </w:pPr>
            <w:r w:rsidRPr="009C4265">
              <w:rPr>
                <w:rFonts w:ascii="Arial Narrow" w:hAnsi="Arial Narrow" w:cs="Arial"/>
                <w:i/>
                <w:iCs/>
                <w:sz w:val="22"/>
                <w:szCs w:val="22"/>
                <w:lang w:val="es-CR"/>
              </w:rPr>
              <w:t xml:space="preserve">Tabla </w:t>
            </w:r>
            <w:r w:rsidRPr="009C4265">
              <w:rPr>
                <w:rFonts w:ascii="Arial Narrow" w:hAnsi="Arial Narrow" w:cs="Arial"/>
                <w:i/>
                <w:iCs/>
                <w:sz w:val="22"/>
                <w:szCs w:val="22"/>
                <w:lang w:val="es-CR"/>
              </w:rPr>
              <w:fldChar w:fldCharType="begin"/>
            </w:r>
            <w:r w:rsidRPr="009C4265">
              <w:rPr>
                <w:rFonts w:ascii="Arial Narrow" w:hAnsi="Arial Narrow" w:cs="Arial"/>
                <w:i/>
                <w:iCs/>
                <w:sz w:val="22"/>
                <w:szCs w:val="22"/>
                <w:lang w:val="es-CR"/>
              </w:rPr>
              <w:instrText xml:space="preserve"> SEQ Tabla \* ARABIC </w:instrText>
            </w:r>
            <w:r w:rsidRPr="009C4265">
              <w:rPr>
                <w:rFonts w:ascii="Arial Narrow" w:hAnsi="Arial Narrow" w:cs="Arial"/>
                <w:i/>
                <w:iCs/>
                <w:sz w:val="22"/>
                <w:szCs w:val="22"/>
                <w:lang w:val="es-CR"/>
              </w:rPr>
              <w:fldChar w:fldCharType="separate"/>
            </w:r>
            <w:r w:rsidRPr="009C4265">
              <w:rPr>
                <w:rFonts w:ascii="Arial Narrow" w:hAnsi="Arial Narrow" w:cs="Arial"/>
                <w:i/>
                <w:iCs/>
                <w:noProof/>
                <w:sz w:val="22"/>
                <w:szCs w:val="22"/>
                <w:lang w:val="es-CR"/>
              </w:rPr>
              <w:t>24</w:t>
            </w:r>
            <w:r w:rsidRPr="009C4265">
              <w:rPr>
                <w:rFonts w:ascii="Arial Narrow" w:hAnsi="Arial Narrow" w:cs="Arial"/>
                <w:i/>
                <w:iCs/>
                <w:sz w:val="22"/>
                <w:szCs w:val="22"/>
                <w:lang w:val="es-CR"/>
              </w:rPr>
              <w:fldChar w:fldCharType="end"/>
            </w:r>
            <w:r w:rsidRPr="009C4265">
              <w:rPr>
                <w:rFonts w:ascii="Arial Narrow" w:hAnsi="Arial Narrow" w:cs="Arial"/>
                <w:i/>
                <w:iCs/>
                <w:sz w:val="22"/>
                <w:szCs w:val="22"/>
                <w:lang w:val="es-CR"/>
              </w:rPr>
              <w:t xml:space="preserve"> Metas estratégicas que reportaron un nivel de cumplimiento medio y bajo</w:t>
            </w:r>
          </w:p>
          <w:p w14:paraId="178A0015" w14:textId="77777777" w:rsidR="009C4265" w:rsidRPr="009C4265" w:rsidRDefault="009C4265" w:rsidP="00C9711A">
            <w:pPr>
              <w:jc w:val="both"/>
              <w:rPr>
                <w:rFonts w:ascii="Arial Narrow" w:hAnsi="Arial Narrow" w:cs="Arial"/>
                <w:sz w:val="22"/>
                <w:szCs w:val="22"/>
                <w:lang w:eastAsia="zh-CN"/>
              </w:rPr>
            </w:pPr>
          </w:p>
        </w:tc>
        <w:tc>
          <w:tcPr>
            <w:tcW w:w="956" w:type="pct"/>
            <w:tcBorders>
              <w:top w:val="single" w:sz="4" w:space="0" w:color="auto"/>
              <w:left w:val="single" w:sz="4" w:space="0" w:color="auto"/>
              <w:bottom w:val="single" w:sz="4" w:space="0" w:color="auto"/>
              <w:right w:val="single" w:sz="4" w:space="0" w:color="auto"/>
            </w:tcBorders>
            <w:shd w:val="clear" w:color="auto" w:fill="auto"/>
            <w:noWrap/>
          </w:tcPr>
          <w:p w14:paraId="2B4545BC" w14:textId="70434D8A" w:rsidR="009C4265" w:rsidRPr="009C4265" w:rsidRDefault="009C4265" w:rsidP="00C9711A">
            <w:pPr>
              <w:widowControl w:val="0"/>
              <w:autoSpaceDE w:val="0"/>
              <w:autoSpaceDN w:val="0"/>
              <w:adjustRightInd w:val="0"/>
              <w:jc w:val="both"/>
              <w:rPr>
                <w:rFonts w:ascii="Arial Narrow" w:eastAsiaTheme="minorHAnsi" w:hAnsi="Arial Narrow" w:cs="Arial"/>
                <w:sz w:val="22"/>
                <w:szCs w:val="22"/>
                <w:lang w:val="es-CR" w:eastAsia="zh-CN"/>
              </w:rPr>
            </w:pPr>
            <w:r w:rsidRPr="009C4265">
              <w:rPr>
                <w:rFonts w:ascii="Arial Narrow" w:hAnsi="Arial Narrow" w:cs="Arial"/>
                <w:sz w:val="22"/>
                <w:szCs w:val="22"/>
                <w:lang w:eastAsia="zh-CN"/>
              </w:rPr>
              <w:t>Se corrigen algunos elementos de los responsables operativos</w:t>
            </w:r>
            <w:r w:rsidR="0099749D">
              <w:rPr>
                <w:rFonts w:ascii="Arial Narrow" w:eastAsiaTheme="minorHAnsi" w:hAnsi="Arial Narrow" w:cs="Arial"/>
                <w:sz w:val="22"/>
                <w:szCs w:val="22"/>
                <w:lang w:val="es-CR" w:eastAsia="zh-CN"/>
              </w:rPr>
              <w:t>.</w:t>
            </w:r>
            <w:r w:rsidR="00E22BED">
              <w:rPr>
                <w:rFonts w:ascii="Arial Narrow" w:eastAsiaTheme="minorHAnsi" w:hAnsi="Arial Narrow" w:cs="Arial"/>
                <w:sz w:val="22"/>
                <w:szCs w:val="22"/>
                <w:lang w:val="es-CR" w:eastAsia="zh-CN"/>
              </w:rPr>
              <w:t xml:space="preserve"> </w:t>
            </w:r>
            <w:r w:rsidRPr="009C4265">
              <w:rPr>
                <w:rFonts w:ascii="Arial Narrow" w:eastAsiaTheme="minorHAnsi" w:hAnsi="Arial Narrow" w:cs="Arial"/>
                <w:sz w:val="22"/>
                <w:szCs w:val="22"/>
                <w:lang w:val="es-CR" w:eastAsia="zh-CN"/>
              </w:rPr>
              <w:t>Son 21 juzgados penales juveniles, no 20.</w:t>
            </w:r>
          </w:p>
          <w:p w14:paraId="1B91103F" w14:textId="77777777" w:rsidR="009C4265" w:rsidRPr="009C4265" w:rsidRDefault="009C4265" w:rsidP="00C9711A">
            <w:pPr>
              <w:widowControl w:val="0"/>
              <w:autoSpaceDE w:val="0"/>
              <w:autoSpaceDN w:val="0"/>
              <w:adjustRightInd w:val="0"/>
              <w:spacing w:after="200"/>
              <w:contextualSpacing/>
              <w:jc w:val="both"/>
              <w:rPr>
                <w:rFonts w:ascii="Arial Narrow" w:eastAsiaTheme="minorHAnsi" w:hAnsi="Arial Narrow" w:cs="Arial"/>
                <w:sz w:val="22"/>
                <w:szCs w:val="22"/>
                <w:lang w:val="es-CR" w:eastAsia="zh-CN"/>
              </w:rPr>
            </w:pPr>
            <w:r w:rsidRPr="009C4265">
              <w:rPr>
                <w:rFonts w:ascii="Arial Narrow" w:eastAsiaTheme="minorHAnsi" w:hAnsi="Arial Narrow" w:cs="Arial"/>
                <w:sz w:val="22"/>
                <w:szCs w:val="22"/>
                <w:lang w:val="es-CR" w:eastAsia="zh-CN"/>
              </w:rPr>
              <w:t>Son 60 juzgados que atienden la materia de tránsito, no 57.</w:t>
            </w:r>
          </w:p>
          <w:p w14:paraId="2728F749" w14:textId="77777777" w:rsidR="009C4265" w:rsidRPr="009C4265" w:rsidRDefault="009C4265" w:rsidP="00C9711A">
            <w:pPr>
              <w:widowControl w:val="0"/>
              <w:autoSpaceDE w:val="0"/>
              <w:autoSpaceDN w:val="0"/>
              <w:adjustRightInd w:val="0"/>
              <w:spacing w:after="200"/>
              <w:contextualSpacing/>
              <w:jc w:val="both"/>
              <w:rPr>
                <w:rFonts w:ascii="Arial Narrow" w:eastAsiaTheme="minorHAnsi" w:hAnsi="Arial Narrow" w:cs="Arial"/>
                <w:sz w:val="22"/>
                <w:szCs w:val="22"/>
                <w:lang w:val="es-CR" w:eastAsia="zh-CN"/>
              </w:rPr>
            </w:pPr>
            <w:r w:rsidRPr="009C4265">
              <w:rPr>
                <w:rFonts w:ascii="Arial Narrow" w:eastAsiaTheme="minorHAnsi" w:hAnsi="Arial Narrow" w:cs="Arial"/>
                <w:sz w:val="22"/>
                <w:szCs w:val="22"/>
                <w:lang w:val="es-CR" w:eastAsia="zh-CN"/>
              </w:rPr>
              <w:t>Es solamente un juzgado contencioso de primera instancia, no 2.</w:t>
            </w:r>
          </w:p>
          <w:p w14:paraId="69A38069" w14:textId="77777777" w:rsidR="009C4265" w:rsidRPr="009C4265" w:rsidRDefault="009C4265" w:rsidP="006A146B">
            <w:pPr>
              <w:widowControl w:val="0"/>
              <w:autoSpaceDE w:val="0"/>
              <w:autoSpaceDN w:val="0"/>
              <w:adjustRightInd w:val="0"/>
              <w:jc w:val="both"/>
              <w:rPr>
                <w:rFonts w:ascii="Arial Narrow" w:hAnsi="Arial Narrow" w:cs="Arial"/>
                <w:sz w:val="22"/>
                <w:szCs w:val="22"/>
                <w:lang w:eastAsia="zh-CN"/>
              </w:rPr>
            </w:pPr>
            <w:r w:rsidRPr="009C4265">
              <w:rPr>
                <w:rFonts w:ascii="Arial Narrow" w:hAnsi="Arial Narrow" w:cs="Arial"/>
                <w:sz w:val="22"/>
                <w:szCs w:val="22"/>
                <w:lang w:eastAsia="zh-CN"/>
              </w:rPr>
              <w:t xml:space="preserve">Son 76 juzgados que </w:t>
            </w:r>
            <w:r w:rsidRPr="009C4265">
              <w:rPr>
                <w:rFonts w:ascii="Arial Narrow" w:hAnsi="Arial Narrow" w:cs="Arial"/>
                <w:sz w:val="22"/>
                <w:szCs w:val="22"/>
                <w:lang w:eastAsia="zh-CN"/>
              </w:rPr>
              <w:lastRenderedPageBreak/>
              <w:t>atienden la materia contravencional, no 74.</w:t>
            </w:r>
          </w:p>
        </w:tc>
        <w:tc>
          <w:tcPr>
            <w:tcW w:w="889" w:type="pct"/>
            <w:tcBorders>
              <w:top w:val="single" w:sz="4" w:space="0" w:color="auto"/>
              <w:left w:val="single" w:sz="4" w:space="0" w:color="auto"/>
              <w:bottom w:val="single" w:sz="4" w:space="0" w:color="auto"/>
              <w:right w:val="single" w:sz="4" w:space="0" w:color="auto"/>
            </w:tcBorders>
            <w:shd w:val="clear" w:color="auto" w:fill="auto"/>
            <w:noWrap/>
          </w:tcPr>
          <w:p w14:paraId="59C8F882" w14:textId="77777777" w:rsidR="0099749D" w:rsidRPr="00833BF7" w:rsidRDefault="0099749D" w:rsidP="0099749D">
            <w:pPr>
              <w:jc w:val="both"/>
              <w:rPr>
                <w:rFonts w:ascii="Arial Narrow" w:hAnsi="Arial Narrow" w:cs="Calibri"/>
                <w:sz w:val="22"/>
                <w:szCs w:val="22"/>
                <w:lang w:val="es-CR" w:eastAsia="es-CR"/>
              </w:rPr>
            </w:pPr>
            <w:r w:rsidRPr="00DB4E23">
              <w:rPr>
                <w:rFonts w:ascii="Arial Narrow" w:hAnsi="Arial Narrow" w:cs="Calibri"/>
                <w:sz w:val="22"/>
                <w:szCs w:val="22"/>
                <w:lang w:val="es-CR" w:eastAsia="es-CR"/>
              </w:rPr>
              <w:lastRenderedPageBreak/>
              <w:t xml:space="preserve">Se toma nota de la observación y se </w:t>
            </w:r>
            <w:r>
              <w:rPr>
                <w:rFonts w:ascii="Arial Narrow" w:hAnsi="Arial Narrow" w:cs="Calibri"/>
                <w:sz w:val="22"/>
                <w:szCs w:val="22"/>
                <w:lang w:val="es-CR" w:eastAsia="es-CR"/>
              </w:rPr>
              <w:t xml:space="preserve">aclara que el dato consignado corresponde a la cantidad de oficinas que vincularon su meta a través del PAO, sin embargo, el dato que se calcula para la variable “Cumplimiento acumulado del PEI” sí </w:t>
            </w:r>
            <w:r>
              <w:rPr>
                <w:rFonts w:ascii="Arial Narrow" w:hAnsi="Arial Narrow" w:cs="Calibri"/>
                <w:sz w:val="22"/>
                <w:szCs w:val="22"/>
                <w:lang w:val="es-CR" w:eastAsia="es-CR"/>
              </w:rPr>
              <w:lastRenderedPageBreak/>
              <w:t xml:space="preserve">se tomaron en consideración la totalidad de oficinas de la </w:t>
            </w:r>
            <w:r w:rsidRPr="00833BF7">
              <w:rPr>
                <w:rFonts w:ascii="Arial Narrow" w:hAnsi="Arial Narrow" w:cs="Calibri"/>
                <w:sz w:val="22"/>
                <w:szCs w:val="22"/>
                <w:lang w:val="es-CR" w:eastAsia="es-CR"/>
              </w:rPr>
              <w:t>materia.</w:t>
            </w:r>
          </w:p>
          <w:p w14:paraId="04064140" w14:textId="0E9B1CD8" w:rsidR="00145CF2" w:rsidRPr="009C4265" w:rsidRDefault="00145CF2" w:rsidP="00145CF2">
            <w:pPr>
              <w:jc w:val="both"/>
              <w:rPr>
                <w:rFonts w:ascii="Arial Narrow" w:hAnsi="Arial Narrow" w:cs="Calibri"/>
                <w:sz w:val="22"/>
                <w:szCs w:val="22"/>
                <w:lang w:val="es-CR" w:eastAsia="es-CR"/>
              </w:rPr>
            </w:pPr>
            <w:r w:rsidRPr="00C9711A">
              <w:rPr>
                <w:rFonts w:ascii="Arial Narrow" w:hAnsi="Arial Narrow" w:cs="Calibri"/>
                <w:sz w:val="22"/>
                <w:szCs w:val="22"/>
                <w:lang w:val="es-CR" w:eastAsia="es-CR"/>
              </w:rPr>
              <w:t>Es importante aclarar que el Tribunal Contencioso si es responsable de asuntos de segunda instancia de aquellos casos atendidos en el juzgado con Ley Reguladora de la Jurisdicción Contenciosa</w:t>
            </w:r>
            <w:r w:rsidR="00795D58">
              <w:rPr>
                <w:rFonts w:ascii="Arial Narrow" w:hAnsi="Arial Narrow" w:cs="Calibri"/>
                <w:sz w:val="22"/>
                <w:szCs w:val="22"/>
                <w:lang w:val="es-CR" w:eastAsia="es-CR"/>
              </w:rPr>
              <w:t>.</w:t>
            </w:r>
          </w:p>
          <w:p w14:paraId="576E5B38" w14:textId="77777777" w:rsidR="009C4265" w:rsidRPr="009C4265" w:rsidRDefault="009C4265" w:rsidP="00C9711A">
            <w:pPr>
              <w:jc w:val="both"/>
              <w:rPr>
                <w:rFonts w:ascii="Arial Narrow" w:hAnsi="Arial Narrow" w:cs="Calibri"/>
                <w:sz w:val="22"/>
                <w:szCs w:val="22"/>
                <w:lang w:val="es-CR" w:eastAsia="es-CR"/>
              </w:rPr>
            </w:pPr>
          </w:p>
        </w:tc>
        <w:tc>
          <w:tcPr>
            <w:tcW w:w="77" w:type="pct"/>
            <w:vAlign w:val="center"/>
          </w:tcPr>
          <w:p w14:paraId="3FAE5F2A" w14:textId="77777777" w:rsidR="009C4265" w:rsidRPr="009C4265" w:rsidRDefault="009C4265" w:rsidP="009C4265">
            <w:pPr>
              <w:rPr>
                <w:rFonts w:ascii="Arial Narrow" w:hAnsi="Arial Narrow"/>
                <w:sz w:val="22"/>
                <w:szCs w:val="22"/>
                <w:lang w:val="es-CR" w:eastAsia="es-CR"/>
              </w:rPr>
            </w:pPr>
          </w:p>
        </w:tc>
      </w:tr>
      <w:tr w:rsidR="009C4265" w:rsidRPr="009C4265" w14:paraId="368C3C52" w14:textId="77777777" w:rsidTr="00B963AA">
        <w:trPr>
          <w:trHeight w:val="1514"/>
        </w:trPr>
        <w:tc>
          <w:tcPr>
            <w:tcW w:w="924" w:type="pct"/>
            <w:tcBorders>
              <w:top w:val="single" w:sz="4" w:space="0" w:color="auto"/>
              <w:left w:val="single" w:sz="4" w:space="0" w:color="auto"/>
              <w:bottom w:val="single" w:sz="4" w:space="0" w:color="auto"/>
              <w:right w:val="single" w:sz="4" w:space="0" w:color="auto"/>
            </w:tcBorders>
            <w:shd w:val="clear" w:color="auto" w:fill="auto"/>
            <w:noWrap/>
            <w:vAlign w:val="bottom"/>
          </w:tcPr>
          <w:p w14:paraId="67BF1F89" w14:textId="77777777" w:rsidR="009C4265" w:rsidRPr="009C4265" w:rsidRDefault="009C4265" w:rsidP="009C4265">
            <w:pPr>
              <w:jc w:val="center"/>
              <w:rPr>
                <w:rFonts w:ascii="Arial Narrow" w:hAnsi="Arial Narrow" w:cs="Calibri"/>
                <w:sz w:val="22"/>
                <w:szCs w:val="22"/>
                <w:lang w:val="es-CR" w:eastAsia="es-CR"/>
              </w:rPr>
            </w:pPr>
            <w:r w:rsidRPr="009C4265">
              <w:rPr>
                <w:rFonts w:ascii="Arial Narrow" w:hAnsi="Arial Narrow" w:cs="Calibri"/>
                <w:sz w:val="22"/>
                <w:szCs w:val="22"/>
                <w:lang w:val="es-CR" w:eastAsia="es-CR"/>
              </w:rPr>
              <w:lastRenderedPageBreak/>
              <w:t>Administración Regional de Turrialba</w:t>
            </w:r>
          </w:p>
          <w:p w14:paraId="2A29A62F" w14:textId="77777777" w:rsidR="009C4265" w:rsidRPr="009C4265" w:rsidRDefault="009C4265" w:rsidP="009C4265">
            <w:pPr>
              <w:jc w:val="center"/>
              <w:rPr>
                <w:rFonts w:ascii="Arial Narrow" w:hAnsi="Arial Narrow" w:cs="Calibri"/>
                <w:sz w:val="22"/>
                <w:szCs w:val="22"/>
                <w:lang w:val="es-CR" w:eastAsia="es-CR"/>
              </w:rPr>
            </w:pPr>
          </w:p>
          <w:p w14:paraId="1AD923A1" w14:textId="77777777" w:rsidR="009C4265" w:rsidRPr="009C4265" w:rsidRDefault="009C4265" w:rsidP="009C4265">
            <w:pPr>
              <w:jc w:val="center"/>
              <w:rPr>
                <w:rFonts w:ascii="Arial Narrow" w:hAnsi="Arial Narrow" w:cs="Calibri"/>
                <w:sz w:val="22"/>
                <w:szCs w:val="22"/>
                <w:lang w:val="es-CR" w:eastAsia="es-CR"/>
              </w:rPr>
            </w:pPr>
          </w:p>
          <w:p w14:paraId="1738A711" w14:textId="77777777" w:rsidR="009C4265" w:rsidRPr="009C4265" w:rsidRDefault="009C4265" w:rsidP="009C4265">
            <w:pPr>
              <w:jc w:val="center"/>
              <w:rPr>
                <w:rFonts w:ascii="Arial Narrow" w:hAnsi="Arial Narrow" w:cs="Calibri"/>
                <w:sz w:val="22"/>
                <w:szCs w:val="22"/>
                <w:lang w:val="es-CR" w:eastAsia="es-CR"/>
              </w:rPr>
            </w:pPr>
          </w:p>
          <w:p w14:paraId="736DE6E7" w14:textId="77777777" w:rsidR="009C4265" w:rsidRPr="009C4265" w:rsidRDefault="009C4265" w:rsidP="009C4265">
            <w:pPr>
              <w:jc w:val="center"/>
              <w:rPr>
                <w:rFonts w:ascii="Arial Narrow" w:hAnsi="Arial Narrow" w:cs="Calibri"/>
                <w:sz w:val="22"/>
                <w:szCs w:val="22"/>
                <w:lang w:val="es-CR" w:eastAsia="es-CR"/>
              </w:rPr>
            </w:pPr>
          </w:p>
          <w:p w14:paraId="5A4020CE" w14:textId="77777777" w:rsidR="009C4265" w:rsidRPr="009C4265" w:rsidRDefault="009C4265" w:rsidP="009C4265">
            <w:pPr>
              <w:jc w:val="center"/>
              <w:rPr>
                <w:rFonts w:ascii="Arial Narrow" w:hAnsi="Arial Narrow" w:cs="Calibri"/>
                <w:sz w:val="22"/>
                <w:szCs w:val="22"/>
                <w:lang w:val="es-CR" w:eastAsia="es-CR"/>
              </w:rPr>
            </w:pPr>
          </w:p>
          <w:p w14:paraId="69376676" w14:textId="77777777" w:rsidR="009C4265" w:rsidRPr="009C4265" w:rsidRDefault="009C4265" w:rsidP="009C4265">
            <w:pPr>
              <w:jc w:val="center"/>
              <w:rPr>
                <w:rFonts w:ascii="Arial Narrow" w:hAnsi="Arial Narrow" w:cs="Calibri"/>
                <w:sz w:val="22"/>
                <w:szCs w:val="22"/>
                <w:lang w:val="es-CR" w:eastAsia="es-CR"/>
              </w:rPr>
            </w:pPr>
          </w:p>
          <w:p w14:paraId="0D629EBA" w14:textId="77777777" w:rsidR="009C4265" w:rsidRPr="009C4265" w:rsidRDefault="009C4265" w:rsidP="009C4265">
            <w:pPr>
              <w:jc w:val="center"/>
              <w:rPr>
                <w:rFonts w:ascii="Arial Narrow" w:hAnsi="Arial Narrow" w:cs="Calibri"/>
                <w:sz w:val="22"/>
                <w:szCs w:val="22"/>
                <w:lang w:val="es-CR" w:eastAsia="es-CR"/>
              </w:rPr>
            </w:pPr>
          </w:p>
          <w:p w14:paraId="1B700197" w14:textId="77777777" w:rsidR="009C4265" w:rsidRPr="009C4265" w:rsidRDefault="009C4265" w:rsidP="009C4265">
            <w:pPr>
              <w:jc w:val="center"/>
              <w:rPr>
                <w:rFonts w:ascii="Arial Narrow" w:hAnsi="Arial Narrow" w:cs="Calibri"/>
                <w:sz w:val="22"/>
                <w:szCs w:val="22"/>
                <w:lang w:val="es-CR" w:eastAsia="es-CR"/>
              </w:rPr>
            </w:pPr>
          </w:p>
          <w:p w14:paraId="32F9C44A" w14:textId="77777777" w:rsidR="009C4265" w:rsidRPr="009C4265" w:rsidRDefault="009C4265" w:rsidP="009C4265">
            <w:pPr>
              <w:jc w:val="center"/>
              <w:rPr>
                <w:rFonts w:ascii="Arial Narrow" w:hAnsi="Arial Narrow" w:cs="Calibri"/>
                <w:sz w:val="22"/>
                <w:szCs w:val="22"/>
                <w:lang w:val="es-CR" w:eastAsia="es-CR"/>
              </w:rPr>
            </w:pPr>
          </w:p>
          <w:p w14:paraId="32EC1AD5" w14:textId="77777777" w:rsidR="009C4265" w:rsidRPr="009C4265" w:rsidRDefault="009C4265" w:rsidP="009C4265">
            <w:pPr>
              <w:jc w:val="center"/>
              <w:rPr>
                <w:rFonts w:ascii="Arial Narrow" w:hAnsi="Arial Narrow" w:cs="Calibri"/>
                <w:sz w:val="22"/>
                <w:szCs w:val="22"/>
                <w:lang w:val="es-CR" w:eastAsia="es-CR"/>
              </w:rPr>
            </w:pPr>
          </w:p>
          <w:p w14:paraId="26CE2FF4" w14:textId="77777777" w:rsidR="009C4265" w:rsidRPr="009C4265" w:rsidRDefault="009C4265" w:rsidP="009C4265">
            <w:pPr>
              <w:jc w:val="center"/>
              <w:rPr>
                <w:rFonts w:ascii="Arial Narrow" w:hAnsi="Arial Narrow" w:cs="Calibri"/>
                <w:sz w:val="22"/>
                <w:szCs w:val="22"/>
                <w:lang w:val="es-CR" w:eastAsia="es-CR"/>
              </w:rPr>
            </w:pPr>
          </w:p>
          <w:p w14:paraId="4F125D8F" w14:textId="77777777" w:rsidR="009C4265" w:rsidRPr="009C4265" w:rsidRDefault="009C4265" w:rsidP="009C4265">
            <w:pPr>
              <w:jc w:val="center"/>
              <w:rPr>
                <w:rFonts w:ascii="Arial Narrow" w:hAnsi="Arial Narrow" w:cs="Calibri"/>
                <w:sz w:val="22"/>
                <w:szCs w:val="22"/>
                <w:lang w:val="es-CR" w:eastAsia="es-CR"/>
              </w:rPr>
            </w:pPr>
          </w:p>
          <w:p w14:paraId="0E9C2074" w14:textId="77777777" w:rsidR="009C4265" w:rsidRPr="009C4265" w:rsidRDefault="009C4265" w:rsidP="009C4265">
            <w:pPr>
              <w:jc w:val="center"/>
              <w:rPr>
                <w:rFonts w:ascii="Arial Narrow" w:hAnsi="Arial Narrow" w:cs="Calibri"/>
                <w:sz w:val="22"/>
                <w:szCs w:val="22"/>
                <w:lang w:val="es-CR" w:eastAsia="es-CR"/>
              </w:rPr>
            </w:pPr>
          </w:p>
          <w:p w14:paraId="1695AC07" w14:textId="77777777" w:rsidR="009C4265" w:rsidRPr="009C4265" w:rsidRDefault="009C4265" w:rsidP="009C4265">
            <w:pPr>
              <w:jc w:val="center"/>
              <w:rPr>
                <w:rFonts w:ascii="Arial Narrow" w:hAnsi="Arial Narrow" w:cs="Calibri"/>
                <w:sz w:val="22"/>
                <w:szCs w:val="22"/>
                <w:lang w:val="es-CR" w:eastAsia="es-CR"/>
              </w:rPr>
            </w:pPr>
          </w:p>
          <w:p w14:paraId="06F550A1" w14:textId="77777777" w:rsidR="009C4265" w:rsidRPr="009C4265" w:rsidRDefault="009C4265" w:rsidP="009C4265">
            <w:pPr>
              <w:jc w:val="center"/>
              <w:rPr>
                <w:rFonts w:ascii="Arial Narrow" w:hAnsi="Arial Narrow" w:cs="Calibri"/>
                <w:sz w:val="22"/>
                <w:szCs w:val="22"/>
                <w:lang w:val="es-CR" w:eastAsia="es-CR"/>
              </w:rPr>
            </w:pPr>
          </w:p>
          <w:p w14:paraId="0C22D9ED" w14:textId="77777777" w:rsidR="009C4265" w:rsidRPr="009C4265" w:rsidRDefault="009C4265" w:rsidP="009C4265">
            <w:pPr>
              <w:jc w:val="center"/>
              <w:rPr>
                <w:rFonts w:ascii="Arial Narrow" w:hAnsi="Arial Narrow" w:cs="Calibri"/>
                <w:sz w:val="22"/>
                <w:szCs w:val="22"/>
                <w:lang w:val="es-CR" w:eastAsia="es-CR"/>
              </w:rPr>
            </w:pPr>
          </w:p>
          <w:p w14:paraId="300F1DBC" w14:textId="77777777" w:rsidR="009C4265" w:rsidRPr="009C4265" w:rsidRDefault="009C4265" w:rsidP="009C4265">
            <w:pPr>
              <w:rPr>
                <w:rFonts w:ascii="Arial Narrow" w:hAnsi="Arial Narrow" w:cs="Calibri"/>
                <w:sz w:val="22"/>
                <w:szCs w:val="22"/>
                <w:lang w:val="es-CR" w:eastAsia="es-CR"/>
              </w:rPr>
            </w:pPr>
          </w:p>
        </w:tc>
        <w:tc>
          <w:tcPr>
            <w:tcW w:w="370" w:type="pct"/>
            <w:tcBorders>
              <w:top w:val="single" w:sz="4" w:space="0" w:color="auto"/>
              <w:left w:val="single" w:sz="4" w:space="0" w:color="auto"/>
              <w:bottom w:val="single" w:sz="4" w:space="0" w:color="auto"/>
              <w:right w:val="single" w:sz="4" w:space="0" w:color="auto"/>
            </w:tcBorders>
            <w:shd w:val="clear" w:color="auto" w:fill="auto"/>
            <w:noWrap/>
            <w:vAlign w:val="bottom"/>
          </w:tcPr>
          <w:p w14:paraId="4EF47775" w14:textId="77777777" w:rsidR="009C4265" w:rsidRPr="009C4265" w:rsidRDefault="009C4265" w:rsidP="009C4265">
            <w:pPr>
              <w:jc w:val="center"/>
              <w:rPr>
                <w:rFonts w:ascii="Arial Narrow" w:hAnsi="Arial Narrow" w:cs="Arial"/>
                <w:sz w:val="22"/>
                <w:szCs w:val="22"/>
              </w:rPr>
            </w:pPr>
            <w:r w:rsidRPr="009C4265">
              <w:rPr>
                <w:rFonts w:ascii="Arial Narrow" w:hAnsi="Arial Narrow" w:cs="Arial"/>
                <w:sz w:val="22"/>
                <w:szCs w:val="22"/>
              </w:rPr>
              <w:t>-</w:t>
            </w:r>
          </w:p>
          <w:p w14:paraId="1397AC42" w14:textId="77777777" w:rsidR="009C4265" w:rsidRPr="009C4265" w:rsidRDefault="009C4265" w:rsidP="009C4265">
            <w:pPr>
              <w:jc w:val="center"/>
              <w:rPr>
                <w:rFonts w:ascii="Arial Narrow" w:hAnsi="Arial Narrow" w:cs="Arial"/>
                <w:sz w:val="22"/>
                <w:szCs w:val="22"/>
              </w:rPr>
            </w:pPr>
          </w:p>
          <w:p w14:paraId="3CB810E8" w14:textId="77777777" w:rsidR="009C4265" w:rsidRPr="009C4265" w:rsidRDefault="009C4265" w:rsidP="009C4265">
            <w:pPr>
              <w:jc w:val="center"/>
              <w:rPr>
                <w:rFonts w:ascii="Arial Narrow" w:hAnsi="Arial Narrow" w:cs="Arial"/>
                <w:sz w:val="22"/>
                <w:szCs w:val="22"/>
              </w:rPr>
            </w:pPr>
          </w:p>
          <w:p w14:paraId="7C6D5F35" w14:textId="77777777" w:rsidR="009C4265" w:rsidRPr="009C4265" w:rsidRDefault="009C4265" w:rsidP="009C4265">
            <w:pPr>
              <w:jc w:val="center"/>
              <w:rPr>
                <w:rFonts w:ascii="Arial Narrow" w:hAnsi="Arial Narrow" w:cs="Arial"/>
                <w:sz w:val="22"/>
                <w:szCs w:val="22"/>
              </w:rPr>
            </w:pPr>
          </w:p>
          <w:p w14:paraId="0AEA66AC" w14:textId="77777777" w:rsidR="009C4265" w:rsidRPr="009C4265" w:rsidRDefault="009C4265" w:rsidP="009C4265">
            <w:pPr>
              <w:jc w:val="center"/>
              <w:rPr>
                <w:rFonts w:ascii="Arial Narrow" w:hAnsi="Arial Narrow" w:cs="Arial"/>
                <w:sz w:val="22"/>
                <w:szCs w:val="22"/>
              </w:rPr>
            </w:pPr>
          </w:p>
          <w:p w14:paraId="5D71960C" w14:textId="77777777" w:rsidR="009C4265" w:rsidRPr="009C4265" w:rsidRDefault="009C4265" w:rsidP="009C4265">
            <w:pPr>
              <w:jc w:val="center"/>
              <w:rPr>
                <w:rFonts w:ascii="Arial Narrow" w:hAnsi="Arial Narrow" w:cs="Arial"/>
                <w:sz w:val="22"/>
                <w:szCs w:val="22"/>
              </w:rPr>
            </w:pPr>
          </w:p>
          <w:p w14:paraId="699621B9" w14:textId="77777777" w:rsidR="009C4265" w:rsidRPr="009C4265" w:rsidRDefault="009C4265" w:rsidP="009C4265">
            <w:pPr>
              <w:jc w:val="center"/>
              <w:rPr>
                <w:rFonts w:ascii="Arial Narrow" w:hAnsi="Arial Narrow" w:cs="Arial"/>
                <w:sz w:val="22"/>
                <w:szCs w:val="22"/>
              </w:rPr>
            </w:pPr>
          </w:p>
          <w:p w14:paraId="3F98AE78" w14:textId="77777777" w:rsidR="009C4265" w:rsidRPr="009C4265" w:rsidRDefault="009C4265" w:rsidP="009C4265">
            <w:pPr>
              <w:jc w:val="center"/>
              <w:rPr>
                <w:rFonts w:ascii="Arial Narrow" w:hAnsi="Arial Narrow" w:cs="Arial"/>
                <w:sz w:val="22"/>
                <w:szCs w:val="22"/>
              </w:rPr>
            </w:pPr>
          </w:p>
          <w:p w14:paraId="5F69F986" w14:textId="77777777" w:rsidR="009C4265" w:rsidRPr="009C4265" w:rsidRDefault="009C4265" w:rsidP="009C4265">
            <w:pPr>
              <w:jc w:val="center"/>
              <w:rPr>
                <w:rFonts w:ascii="Arial Narrow" w:hAnsi="Arial Narrow" w:cs="Arial"/>
                <w:sz w:val="22"/>
                <w:szCs w:val="22"/>
              </w:rPr>
            </w:pPr>
          </w:p>
          <w:p w14:paraId="7F9671E7" w14:textId="77777777" w:rsidR="009C4265" w:rsidRPr="009C4265" w:rsidRDefault="009C4265" w:rsidP="009C4265">
            <w:pPr>
              <w:jc w:val="center"/>
              <w:rPr>
                <w:rFonts w:ascii="Arial Narrow" w:hAnsi="Arial Narrow" w:cs="Arial"/>
                <w:sz w:val="22"/>
                <w:szCs w:val="22"/>
              </w:rPr>
            </w:pPr>
          </w:p>
          <w:p w14:paraId="499C9E28" w14:textId="77777777" w:rsidR="009C4265" w:rsidRPr="009C4265" w:rsidRDefault="009C4265" w:rsidP="009C4265">
            <w:pPr>
              <w:jc w:val="center"/>
              <w:rPr>
                <w:rFonts w:ascii="Arial Narrow" w:hAnsi="Arial Narrow" w:cs="Arial"/>
                <w:sz w:val="22"/>
                <w:szCs w:val="22"/>
              </w:rPr>
            </w:pPr>
          </w:p>
          <w:p w14:paraId="186C4C76" w14:textId="77777777" w:rsidR="009C4265" w:rsidRPr="009C4265" w:rsidRDefault="009C4265" w:rsidP="009C4265">
            <w:pPr>
              <w:jc w:val="center"/>
              <w:rPr>
                <w:rFonts w:ascii="Arial Narrow" w:hAnsi="Arial Narrow" w:cs="Arial"/>
                <w:sz w:val="22"/>
                <w:szCs w:val="22"/>
              </w:rPr>
            </w:pPr>
          </w:p>
          <w:p w14:paraId="0DBDFBE0" w14:textId="77777777" w:rsidR="009C4265" w:rsidRPr="009C4265" w:rsidRDefault="009C4265" w:rsidP="009C4265">
            <w:pPr>
              <w:jc w:val="center"/>
              <w:rPr>
                <w:rFonts w:ascii="Arial Narrow" w:hAnsi="Arial Narrow" w:cs="Arial"/>
                <w:sz w:val="22"/>
                <w:szCs w:val="22"/>
              </w:rPr>
            </w:pPr>
          </w:p>
          <w:p w14:paraId="4C746BE8" w14:textId="77777777" w:rsidR="009C4265" w:rsidRPr="009C4265" w:rsidRDefault="009C4265" w:rsidP="009C4265">
            <w:pPr>
              <w:jc w:val="center"/>
              <w:rPr>
                <w:rFonts w:ascii="Arial Narrow" w:hAnsi="Arial Narrow" w:cs="Arial"/>
                <w:sz w:val="22"/>
                <w:szCs w:val="22"/>
              </w:rPr>
            </w:pPr>
          </w:p>
          <w:p w14:paraId="295C9194" w14:textId="77777777" w:rsidR="009C4265" w:rsidRPr="009C4265" w:rsidRDefault="009C4265" w:rsidP="009C4265">
            <w:pPr>
              <w:jc w:val="center"/>
              <w:rPr>
                <w:rFonts w:ascii="Arial Narrow" w:hAnsi="Arial Narrow" w:cs="Arial"/>
                <w:sz w:val="22"/>
                <w:szCs w:val="22"/>
              </w:rPr>
            </w:pPr>
          </w:p>
          <w:p w14:paraId="5F499CA0" w14:textId="77777777" w:rsidR="009C4265" w:rsidRPr="009C4265" w:rsidRDefault="009C4265" w:rsidP="009C4265">
            <w:pPr>
              <w:jc w:val="center"/>
              <w:rPr>
                <w:rFonts w:ascii="Arial Narrow" w:hAnsi="Arial Narrow" w:cs="Arial"/>
                <w:sz w:val="22"/>
                <w:szCs w:val="22"/>
              </w:rPr>
            </w:pPr>
          </w:p>
        </w:tc>
        <w:tc>
          <w:tcPr>
            <w:tcW w:w="178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60A995E" w14:textId="77777777" w:rsidR="009C4265" w:rsidRPr="009C4265" w:rsidRDefault="009C4265" w:rsidP="009C4265">
            <w:pPr>
              <w:jc w:val="center"/>
              <w:rPr>
                <w:rFonts w:ascii="Arial Narrow" w:eastAsiaTheme="minorHAnsi" w:hAnsi="Arial Narrow" w:cs="Calibri"/>
                <w:sz w:val="22"/>
                <w:szCs w:val="22"/>
                <w:lang w:val="es-CR" w:eastAsia="es-CR"/>
              </w:rPr>
            </w:pPr>
            <w:r w:rsidRPr="009C4265">
              <w:rPr>
                <w:rFonts w:ascii="Arial Narrow" w:eastAsiaTheme="minorHAnsi" w:hAnsi="Arial Narrow" w:cs="Calibri"/>
                <w:sz w:val="22"/>
                <w:szCs w:val="22"/>
                <w:lang w:val="es-CR" w:eastAsia="es-CR"/>
              </w:rPr>
              <w:t>-</w:t>
            </w:r>
          </w:p>
          <w:p w14:paraId="7FAA6C8F" w14:textId="77777777" w:rsidR="009C4265" w:rsidRPr="009C4265" w:rsidRDefault="009C4265" w:rsidP="009C4265">
            <w:pPr>
              <w:jc w:val="center"/>
              <w:rPr>
                <w:rFonts w:ascii="Arial Narrow" w:eastAsiaTheme="minorHAnsi" w:hAnsi="Arial Narrow" w:cs="Calibri"/>
                <w:sz w:val="22"/>
                <w:szCs w:val="22"/>
                <w:lang w:val="es-CR" w:eastAsia="es-CR"/>
              </w:rPr>
            </w:pPr>
          </w:p>
          <w:p w14:paraId="481399BE" w14:textId="77777777" w:rsidR="009C4265" w:rsidRPr="009C4265" w:rsidRDefault="009C4265" w:rsidP="009C4265">
            <w:pPr>
              <w:jc w:val="center"/>
              <w:rPr>
                <w:rFonts w:ascii="Arial Narrow" w:eastAsiaTheme="minorHAnsi" w:hAnsi="Arial Narrow" w:cs="Calibri"/>
                <w:sz w:val="22"/>
                <w:szCs w:val="22"/>
                <w:lang w:val="es-CR" w:eastAsia="es-CR"/>
              </w:rPr>
            </w:pPr>
          </w:p>
          <w:p w14:paraId="32FDE82A" w14:textId="77777777" w:rsidR="009C4265" w:rsidRPr="009C4265" w:rsidRDefault="009C4265" w:rsidP="009C4265">
            <w:pPr>
              <w:jc w:val="center"/>
              <w:rPr>
                <w:rFonts w:ascii="Arial Narrow" w:eastAsiaTheme="minorHAnsi" w:hAnsi="Arial Narrow" w:cs="Calibri"/>
                <w:sz w:val="22"/>
                <w:szCs w:val="22"/>
                <w:lang w:val="es-CR" w:eastAsia="es-CR"/>
              </w:rPr>
            </w:pPr>
          </w:p>
          <w:p w14:paraId="51C05A70" w14:textId="77777777" w:rsidR="009C4265" w:rsidRPr="009C4265" w:rsidRDefault="009C4265" w:rsidP="009C4265">
            <w:pPr>
              <w:jc w:val="center"/>
              <w:rPr>
                <w:rFonts w:ascii="Arial Narrow" w:eastAsiaTheme="minorHAnsi" w:hAnsi="Arial Narrow" w:cs="Calibri"/>
                <w:sz w:val="22"/>
                <w:szCs w:val="22"/>
                <w:lang w:val="es-CR" w:eastAsia="es-CR"/>
              </w:rPr>
            </w:pPr>
          </w:p>
          <w:p w14:paraId="5B5A69F4" w14:textId="77777777" w:rsidR="009C4265" w:rsidRPr="009C4265" w:rsidRDefault="009C4265" w:rsidP="009C4265">
            <w:pPr>
              <w:jc w:val="center"/>
              <w:rPr>
                <w:rFonts w:ascii="Arial Narrow" w:eastAsiaTheme="minorHAnsi" w:hAnsi="Arial Narrow" w:cs="Calibri"/>
                <w:sz w:val="22"/>
                <w:szCs w:val="22"/>
                <w:lang w:val="es-CR" w:eastAsia="es-CR"/>
              </w:rPr>
            </w:pPr>
          </w:p>
          <w:p w14:paraId="369FABBA" w14:textId="77777777" w:rsidR="009C4265" w:rsidRPr="009C4265" w:rsidRDefault="009C4265" w:rsidP="009C4265">
            <w:pPr>
              <w:jc w:val="center"/>
              <w:rPr>
                <w:rFonts w:ascii="Arial Narrow" w:eastAsiaTheme="minorHAnsi" w:hAnsi="Arial Narrow" w:cs="Calibri"/>
                <w:sz w:val="22"/>
                <w:szCs w:val="22"/>
                <w:lang w:val="es-CR" w:eastAsia="es-CR"/>
              </w:rPr>
            </w:pPr>
          </w:p>
        </w:tc>
        <w:tc>
          <w:tcPr>
            <w:tcW w:w="95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68BE29A" w14:textId="3CC321C5" w:rsidR="009C4265" w:rsidRPr="009C4265" w:rsidRDefault="009C4265" w:rsidP="009C4265">
            <w:pPr>
              <w:widowControl w:val="0"/>
              <w:autoSpaceDE w:val="0"/>
              <w:autoSpaceDN w:val="0"/>
              <w:adjustRightInd w:val="0"/>
              <w:jc w:val="both"/>
              <w:rPr>
                <w:rFonts w:ascii="Arial Narrow" w:eastAsiaTheme="minorHAnsi" w:hAnsi="Arial Narrow" w:cs="Arial"/>
                <w:sz w:val="22"/>
                <w:szCs w:val="22"/>
                <w:lang w:val="es-CR" w:eastAsia="zh-CN"/>
              </w:rPr>
            </w:pPr>
            <w:r w:rsidRPr="009C4265">
              <w:rPr>
                <w:rFonts w:ascii="Arial Narrow" w:eastAsiaTheme="minorHAnsi" w:hAnsi="Arial Narrow" w:cs="Arial"/>
                <w:sz w:val="22"/>
                <w:szCs w:val="22"/>
                <w:lang w:val="es-CR" w:eastAsia="zh-CN"/>
              </w:rPr>
              <w:t>En el caso de los planes remediales que se han implementado en el circuito con el Tribunal Penal, por parte de la Administración se le ofrece apoyo con personal Técnico Supernume</w:t>
            </w:r>
            <w:r w:rsidR="00315FFA">
              <w:rPr>
                <w:rFonts w:ascii="Arial Narrow" w:eastAsiaTheme="minorHAnsi" w:hAnsi="Arial Narrow" w:cs="Arial"/>
                <w:sz w:val="22"/>
                <w:szCs w:val="22"/>
                <w:lang w:val="es-CR" w:eastAsia="zh-CN"/>
              </w:rPr>
              <w:t>ra</w:t>
            </w:r>
            <w:r w:rsidRPr="009C4265">
              <w:rPr>
                <w:rFonts w:ascii="Arial Narrow" w:eastAsiaTheme="minorHAnsi" w:hAnsi="Arial Narrow" w:cs="Arial"/>
                <w:sz w:val="22"/>
                <w:szCs w:val="22"/>
                <w:lang w:val="es-CR" w:eastAsia="zh-CN"/>
              </w:rPr>
              <w:t>rio esto con la finalidad de cumplir con las audiencias señaladas, cuando por alguna razón el personal del Tribunal se ausente por incapacidad, vacaciones o se encuentre realizando algunas labores propias del puesto se le ofrece colaboración con el personal Técnico Supernumerario.</w:t>
            </w:r>
          </w:p>
        </w:tc>
        <w:tc>
          <w:tcPr>
            <w:tcW w:w="889" w:type="pct"/>
            <w:tcBorders>
              <w:top w:val="single" w:sz="4" w:space="0" w:color="auto"/>
              <w:left w:val="single" w:sz="4" w:space="0" w:color="auto"/>
              <w:bottom w:val="single" w:sz="4" w:space="0" w:color="auto"/>
              <w:right w:val="single" w:sz="4" w:space="0" w:color="auto"/>
            </w:tcBorders>
            <w:shd w:val="clear" w:color="auto" w:fill="auto"/>
            <w:noWrap/>
            <w:vAlign w:val="bottom"/>
          </w:tcPr>
          <w:p w14:paraId="5F80F43A" w14:textId="77777777" w:rsidR="009C4265" w:rsidRPr="009C4265" w:rsidRDefault="009C4265" w:rsidP="009C4265">
            <w:pPr>
              <w:jc w:val="both"/>
              <w:rPr>
                <w:rFonts w:ascii="Arial Narrow" w:hAnsi="Arial Narrow" w:cs="Calibri"/>
                <w:sz w:val="22"/>
                <w:szCs w:val="22"/>
                <w:lang w:val="es-CR" w:eastAsia="es-CR"/>
              </w:rPr>
            </w:pPr>
            <w:r w:rsidRPr="009C4265">
              <w:rPr>
                <w:rFonts w:ascii="Arial Narrow" w:hAnsi="Arial Narrow" w:cs="Calibri"/>
                <w:sz w:val="22"/>
                <w:szCs w:val="22"/>
                <w:lang w:val="es-CR" w:eastAsia="es-CR"/>
              </w:rPr>
              <w:t>Se toma nota de la observación.</w:t>
            </w:r>
          </w:p>
          <w:p w14:paraId="71263D71" w14:textId="77777777" w:rsidR="009C4265" w:rsidRPr="009C4265" w:rsidRDefault="009C4265" w:rsidP="009C4265">
            <w:pPr>
              <w:jc w:val="both"/>
              <w:rPr>
                <w:rFonts w:ascii="Arial Narrow" w:hAnsi="Arial Narrow" w:cs="Calibri"/>
                <w:sz w:val="22"/>
                <w:szCs w:val="22"/>
                <w:lang w:val="es-CR" w:eastAsia="es-CR"/>
              </w:rPr>
            </w:pPr>
          </w:p>
          <w:p w14:paraId="6310193A" w14:textId="3ECBE75C" w:rsidR="009C4265" w:rsidRPr="009C4265" w:rsidRDefault="009C4265" w:rsidP="009C4265">
            <w:pPr>
              <w:jc w:val="both"/>
              <w:rPr>
                <w:rFonts w:ascii="Arial Narrow" w:hAnsi="Arial Narrow" w:cs="Calibri"/>
                <w:sz w:val="22"/>
                <w:szCs w:val="22"/>
                <w:lang w:val="es-CR" w:eastAsia="es-CR"/>
              </w:rPr>
            </w:pPr>
            <w:r w:rsidRPr="009C4265">
              <w:rPr>
                <w:rFonts w:ascii="Arial Narrow" w:hAnsi="Arial Narrow" w:cs="Calibri"/>
                <w:sz w:val="22"/>
                <w:szCs w:val="22"/>
                <w:lang w:val="es-CR" w:eastAsia="es-CR"/>
              </w:rPr>
              <w:t>La observación no modifica el contenido</w:t>
            </w:r>
            <w:r w:rsidR="005B6D31">
              <w:rPr>
                <w:rFonts w:ascii="Arial Narrow" w:hAnsi="Arial Narrow" w:cs="Calibri"/>
                <w:sz w:val="22"/>
                <w:szCs w:val="22"/>
                <w:lang w:val="es-CR" w:eastAsia="es-CR"/>
              </w:rPr>
              <w:t>, dado que la meta se refiere a nivel general del país y no a nivel especifico por circuitos</w:t>
            </w:r>
            <w:r w:rsidRPr="009C4265">
              <w:rPr>
                <w:rFonts w:ascii="Arial Narrow" w:hAnsi="Arial Narrow" w:cs="Calibri"/>
                <w:sz w:val="22"/>
                <w:szCs w:val="22"/>
                <w:lang w:val="es-CR" w:eastAsia="es-CR"/>
              </w:rPr>
              <w:t>.</w:t>
            </w:r>
          </w:p>
          <w:p w14:paraId="7BA4A59A" w14:textId="77777777" w:rsidR="009C4265" w:rsidRPr="009C4265" w:rsidRDefault="009C4265" w:rsidP="009C4265">
            <w:pPr>
              <w:jc w:val="both"/>
              <w:rPr>
                <w:rFonts w:ascii="Arial Narrow" w:hAnsi="Arial Narrow" w:cs="Calibri"/>
                <w:sz w:val="22"/>
                <w:szCs w:val="22"/>
                <w:lang w:val="es-CR" w:eastAsia="es-CR"/>
              </w:rPr>
            </w:pPr>
          </w:p>
          <w:p w14:paraId="7671F57C" w14:textId="77777777" w:rsidR="009C4265" w:rsidRPr="009C4265" w:rsidRDefault="009C4265" w:rsidP="009C4265">
            <w:pPr>
              <w:jc w:val="both"/>
              <w:rPr>
                <w:rFonts w:ascii="Arial Narrow" w:hAnsi="Arial Narrow" w:cs="Calibri"/>
                <w:sz w:val="22"/>
                <w:szCs w:val="22"/>
                <w:lang w:val="es-CR" w:eastAsia="es-CR"/>
              </w:rPr>
            </w:pPr>
          </w:p>
          <w:p w14:paraId="0CE38FA9" w14:textId="77777777" w:rsidR="009C4265" w:rsidRPr="009C4265" w:rsidRDefault="009C4265" w:rsidP="009C4265">
            <w:pPr>
              <w:jc w:val="both"/>
              <w:rPr>
                <w:rFonts w:ascii="Arial Narrow" w:hAnsi="Arial Narrow" w:cs="Calibri"/>
                <w:sz w:val="22"/>
                <w:szCs w:val="22"/>
                <w:lang w:val="es-CR" w:eastAsia="es-CR"/>
              </w:rPr>
            </w:pPr>
          </w:p>
          <w:p w14:paraId="110AF261" w14:textId="77777777" w:rsidR="009C4265" w:rsidRPr="009C4265" w:rsidRDefault="009C4265" w:rsidP="009C4265">
            <w:pPr>
              <w:jc w:val="both"/>
              <w:rPr>
                <w:rFonts w:ascii="Arial Narrow" w:hAnsi="Arial Narrow" w:cs="Calibri"/>
                <w:sz w:val="22"/>
                <w:szCs w:val="22"/>
                <w:lang w:val="es-CR" w:eastAsia="es-CR"/>
              </w:rPr>
            </w:pPr>
          </w:p>
          <w:p w14:paraId="6C013E9D" w14:textId="77777777" w:rsidR="009C4265" w:rsidRPr="009C4265" w:rsidRDefault="009C4265" w:rsidP="009C4265">
            <w:pPr>
              <w:jc w:val="both"/>
              <w:rPr>
                <w:rFonts w:ascii="Arial Narrow" w:hAnsi="Arial Narrow" w:cs="Calibri"/>
                <w:sz w:val="22"/>
                <w:szCs w:val="22"/>
                <w:lang w:val="es-CR" w:eastAsia="es-CR"/>
              </w:rPr>
            </w:pPr>
          </w:p>
          <w:p w14:paraId="06CC02E7" w14:textId="77777777" w:rsidR="009C4265" w:rsidRPr="009C4265" w:rsidRDefault="009C4265" w:rsidP="009C4265">
            <w:pPr>
              <w:jc w:val="both"/>
              <w:rPr>
                <w:rFonts w:ascii="Arial Narrow" w:hAnsi="Arial Narrow" w:cs="Calibri"/>
                <w:sz w:val="22"/>
                <w:szCs w:val="22"/>
                <w:lang w:val="es-CR" w:eastAsia="es-CR"/>
              </w:rPr>
            </w:pPr>
          </w:p>
          <w:p w14:paraId="5B9800C1" w14:textId="77777777" w:rsidR="009C4265" w:rsidRPr="009C4265" w:rsidRDefault="009C4265" w:rsidP="009C4265">
            <w:pPr>
              <w:jc w:val="both"/>
              <w:rPr>
                <w:rFonts w:ascii="Arial Narrow" w:hAnsi="Arial Narrow" w:cs="Calibri"/>
                <w:sz w:val="22"/>
                <w:szCs w:val="22"/>
                <w:lang w:val="es-CR" w:eastAsia="es-CR"/>
              </w:rPr>
            </w:pPr>
          </w:p>
          <w:p w14:paraId="7161C5BA" w14:textId="77777777" w:rsidR="009C4265" w:rsidRPr="009C4265" w:rsidRDefault="009C4265" w:rsidP="009C4265">
            <w:pPr>
              <w:jc w:val="both"/>
              <w:rPr>
                <w:rFonts w:ascii="Arial Narrow" w:hAnsi="Arial Narrow" w:cs="Calibri"/>
                <w:sz w:val="22"/>
                <w:szCs w:val="22"/>
                <w:lang w:val="es-CR" w:eastAsia="es-CR"/>
              </w:rPr>
            </w:pPr>
          </w:p>
          <w:p w14:paraId="4EEB53B3" w14:textId="77777777" w:rsidR="009C4265" w:rsidRPr="009C4265" w:rsidRDefault="009C4265" w:rsidP="009C4265">
            <w:pPr>
              <w:jc w:val="both"/>
              <w:rPr>
                <w:rFonts w:ascii="Arial Narrow" w:hAnsi="Arial Narrow" w:cs="Calibri"/>
                <w:sz w:val="22"/>
                <w:szCs w:val="22"/>
                <w:lang w:val="es-CR" w:eastAsia="es-CR"/>
              </w:rPr>
            </w:pPr>
          </w:p>
          <w:p w14:paraId="34F6DFDB" w14:textId="77777777" w:rsidR="009C4265" w:rsidRPr="009C4265" w:rsidRDefault="009C4265" w:rsidP="009C4265">
            <w:pPr>
              <w:jc w:val="both"/>
              <w:rPr>
                <w:rFonts w:ascii="Arial Narrow" w:hAnsi="Arial Narrow" w:cs="Calibri"/>
                <w:sz w:val="22"/>
                <w:szCs w:val="22"/>
                <w:lang w:val="es-CR" w:eastAsia="es-CR"/>
              </w:rPr>
            </w:pPr>
          </w:p>
          <w:p w14:paraId="7DF6A8A0" w14:textId="77777777" w:rsidR="009C4265" w:rsidRPr="009C4265" w:rsidRDefault="009C4265" w:rsidP="009C4265">
            <w:pPr>
              <w:jc w:val="both"/>
              <w:rPr>
                <w:rFonts w:ascii="Arial Narrow" w:hAnsi="Arial Narrow" w:cs="Calibri"/>
                <w:sz w:val="22"/>
                <w:szCs w:val="22"/>
                <w:lang w:val="es-CR" w:eastAsia="es-CR"/>
              </w:rPr>
            </w:pPr>
          </w:p>
          <w:p w14:paraId="7AAFFAAE" w14:textId="77777777" w:rsidR="009C4265" w:rsidRPr="009C4265" w:rsidRDefault="009C4265" w:rsidP="009C4265">
            <w:pPr>
              <w:jc w:val="both"/>
              <w:rPr>
                <w:rFonts w:ascii="Arial Narrow" w:hAnsi="Arial Narrow" w:cs="Calibri"/>
                <w:sz w:val="22"/>
                <w:szCs w:val="22"/>
                <w:lang w:val="es-CR" w:eastAsia="es-CR"/>
              </w:rPr>
            </w:pPr>
          </w:p>
          <w:p w14:paraId="4C30EF74" w14:textId="77777777" w:rsidR="009C4265" w:rsidRPr="009C4265" w:rsidRDefault="009C4265" w:rsidP="009C4265">
            <w:pPr>
              <w:jc w:val="both"/>
              <w:rPr>
                <w:rFonts w:ascii="Arial Narrow" w:hAnsi="Arial Narrow" w:cs="Calibri"/>
                <w:sz w:val="22"/>
                <w:szCs w:val="22"/>
                <w:lang w:val="es-CR" w:eastAsia="es-CR"/>
              </w:rPr>
            </w:pPr>
          </w:p>
        </w:tc>
        <w:tc>
          <w:tcPr>
            <w:tcW w:w="77" w:type="pct"/>
            <w:vAlign w:val="center"/>
          </w:tcPr>
          <w:p w14:paraId="0C5F13EE" w14:textId="77777777" w:rsidR="009C4265" w:rsidRPr="009C4265" w:rsidRDefault="009C4265" w:rsidP="009C4265">
            <w:pPr>
              <w:rPr>
                <w:rFonts w:ascii="Arial Narrow" w:hAnsi="Arial Narrow"/>
                <w:sz w:val="22"/>
                <w:szCs w:val="22"/>
                <w:lang w:val="es-CR" w:eastAsia="es-CR"/>
              </w:rPr>
            </w:pPr>
          </w:p>
        </w:tc>
      </w:tr>
      <w:tr w:rsidR="009C4265" w:rsidRPr="009C4265" w14:paraId="0697EB0E" w14:textId="77777777" w:rsidTr="00C9711A">
        <w:trPr>
          <w:trHeight w:val="1514"/>
        </w:trPr>
        <w:tc>
          <w:tcPr>
            <w:tcW w:w="924" w:type="pct"/>
            <w:tcBorders>
              <w:top w:val="single" w:sz="4" w:space="0" w:color="auto"/>
              <w:left w:val="single" w:sz="4" w:space="0" w:color="auto"/>
              <w:bottom w:val="single" w:sz="4" w:space="0" w:color="auto"/>
              <w:right w:val="single" w:sz="4" w:space="0" w:color="auto"/>
            </w:tcBorders>
            <w:shd w:val="clear" w:color="auto" w:fill="auto"/>
            <w:noWrap/>
            <w:vAlign w:val="bottom"/>
          </w:tcPr>
          <w:p w14:paraId="3CF2EBBB" w14:textId="77777777" w:rsidR="009C4265" w:rsidRPr="009C4265" w:rsidRDefault="009C4265" w:rsidP="009C4265">
            <w:pPr>
              <w:jc w:val="center"/>
              <w:rPr>
                <w:rFonts w:ascii="Arial Narrow" w:hAnsi="Arial Narrow" w:cs="Calibri"/>
                <w:sz w:val="22"/>
                <w:szCs w:val="22"/>
                <w:lang w:val="es-CR" w:eastAsia="es-CR"/>
              </w:rPr>
            </w:pPr>
            <w:r w:rsidRPr="009C4265">
              <w:rPr>
                <w:rFonts w:ascii="Arial Narrow" w:hAnsi="Arial Narrow" w:cs="Calibri"/>
                <w:sz w:val="22"/>
                <w:szCs w:val="22"/>
                <w:lang w:val="es-CR" w:eastAsia="es-CR"/>
              </w:rPr>
              <w:lastRenderedPageBreak/>
              <w:t>Administración Regional de Turrialba</w:t>
            </w:r>
          </w:p>
          <w:p w14:paraId="4E4A4BE2" w14:textId="77777777" w:rsidR="009C4265" w:rsidRPr="009C4265" w:rsidRDefault="009C4265" w:rsidP="009C4265">
            <w:pPr>
              <w:jc w:val="center"/>
              <w:rPr>
                <w:rFonts w:ascii="Arial Narrow" w:hAnsi="Arial Narrow" w:cs="Calibri"/>
                <w:sz w:val="22"/>
                <w:szCs w:val="22"/>
                <w:lang w:val="es-CR" w:eastAsia="es-CR"/>
              </w:rPr>
            </w:pPr>
          </w:p>
          <w:p w14:paraId="134E0CF9" w14:textId="77777777" w:rsidR="009C4265" w:rsidRPr="009C4265" w:rsidRDefault="009C4265" w:rsidP="009C4265">
            <w:pPr>
              <w:jc w:val="center"/>
              <w:rPr>
                <w:rFonts w:ascii="Arial Narrow" w:hAnsi="Arial Narrow" w:cs="Calibri"/>
                <w:sz w:val="22"/>
                <w:szCs w:val="22"/>
                <w:lang w:val="es-CR" w:eastAsia="es-CR"/>
              </w:rPr>
            </w:pPr>
          </w:p>
          <w:p w14:paraId="34546734" w14:textId="77777777" w:rsidR="009C4265" w:rsidRPr="009C4265" w:rsidRDefault="009C4265" w:rsidP="009C4265">
            <w:pPr>
              <w:jc w:val="center"/>
              <w:rPr>
                <w:rFonts w:ascii="Arial Narrow" w:hAnsi="Arial Narrow" w:cs="Calibri"/>
                <w:sz w:val="22"/>
                <w:szCs w:val="22"/>
                <w:lang w:val="es-CR" w:eastAsia="es-CR"/>
              </w:rPr>
            </w:pPr>
          </w:p>
          <w:p w14:paraId="2507F8F4" w14:textId="77777777" w:rsidR="009C4265" w:rsidRPr="009C4265" w:rsidRDefault="009C4265" w:rsidP="009C4265">
            <w:pPr>
              <w:jc w:val="center"/>
              <w:rPr>
                <w:rFonts w:ascii="Arial Narrow" w:hAnsi="Arial Narrow" w:cs="Calibri"/>
                <w:sz w:val="22"/>
                <w:szCs w:val="22"/>
                <w:lang w:val="es-CR" w:eastAsia="es-CR"/>
              </w:rPr>
            </w:pPr>
          </w:p>
          <w:p w14:paraId="3DE671EC" w14:textId="77777777" w:rsidR="009C4265" w:rsidRPr="009C4265" w:rsidRDefault="009C4265" w:rsidP="009C4265">
            <w:pPr>
              <w:jc w:val="center"/>
              <w:rPr>
                <w:rFonts w:ascii="Arial Narrow" w:hAnsi="Arial Narrow" w:cs="Calibri"/>
                <w:sz w:val="22"/>
                <w:szCs w:val="22"/>
                <w:lang w:val="es-CR" w:eastAsia="es-CR"/>
              </w:rPr>
            </w:pPr>
          </w:p>
          <w:p w14:paraId="4CAD36F0" w14:textId="77777777" w:rsidR="009C4265" w:rsidRPr="009C4265" w:rsidRDefault="009C4265" w:rsidP="009C4265">
            <w:pPr>
              <w:jc w:val="center"/>
              <w:rPr>
                <w:rFonts w:ascii="Arial Narrow" w:hAnsi="Arial Narrow" w:cs="Calibri"/>
                <w:sz w:val="22"/>
                <w:szCs w:val="22"/>
                <w:lang w:val="es-CR" w:eastAsia="es-CR"/>
              </w:rPr>
            </w:pPr>
          </w:p>
          <w:p w14:paraId="2C21649D" w14:textId="77777777" w:rsidR="009C4265" w:rsidRPr="009C4265" w:rsidRDefault="009C4265" w:rsidP="009C4265">
            <w:pPr>
              <w:jc w:val="center"/>
              <w:rPr>
                <w:rFonts w:ascii="Arial Narrow" w:hAnsi="Arial Narrow" w:cs="Calibri"/>
                <w:sz w:val="22"/>
                <w:szCs w:val="22"/>
                <w:lang w:val="es-CR" w:eastAsia="es-CR"/>
              </w:rPr>
            </w:pPr>
          </w:p>
          <w:p w14:paraId="181DA332" w14:textId="77777777" w:rsidR="009C4265" w:rsidRPr="009C4265" w:rsidRDefault="009C4265" w:rsidP="009C4265">
            <w:pPr>
              <w:jc w:val="center"/>
              <w:rPr>
                <w:rFonts w:ascii="Arial Narrow" w:hAnsi="Arial Narrow" w:cs="Calibri"/>
                <w:sz w:val="22"/>
                <w:szCs w:val="22"/>
                <w:lang w:val="es-CR" w:eastAsia="es-CR"/>
              </w:rPr>
            </w:pPr>
          </w:p>
          <w:p w14:paraId="440A6591" w14:textId="77777777" w:rsidR="009C4265" w:rsidRPr="009C4265" w:rsidRDefault="009C4265" w:rsidP="009C4265">
            <w:pPr>
              <w:jc w:val="center"/>
              <w:rPr>
                <w:rFonts w:ascii="Arial Narrow" w:hAnsi="Arial Narrow" w:cs="Calibri"/>
                <w:sz w:val="22"/>
                <w:szCs w:val="22"/>
                <w:lang w:val="es-CR" w:eastAsia="es-CR"/>
              </w:rPr>
            </w:pPr>
          </w:p>
          <w:p w14:paraId="5DE7528D" w14:textId="77777777" w:rsidR="009C4265" w:rsidRPr="009C4265" w:rsidRDefault="009C4265" w:rsidP="009C4265">
            <w:pPr>
              <w:jc w:val="center"/>
              <w:rPr>
                <w:rFonts w:ascii="Arial Narrow" w:hAnsi="Arial Narrow" w:cs="Calibri"/>
                <w:sz w:val="22"/>
                <w:szCs w:val="22"/>
                <w:lang w:val="es-CR" w:eastAsia="es-CR"/>
              </w:rPr>
            </w:pPr>
          </w:p>
        </w:tc>
        <w:tc>
          <w:tcPr>
            <w:tcW w:w="370" w:type="pct"/>
            <w:tcBorders>
              <w:top w:val="single" w:sz="4" w:space="0" w:color="auto"/>
              <w:left w:val="single" w:sz="4" w:space="0" w:color="auto"/>
              <w:bottom w:val="single" w:sz="4" w:space="0" w:color="auto"/>
              <w:right w:val="single" w:sz="4" w:space="0" w:color="auto"/>
            </w:tcBorders>
            <w:shd w:val="clear" w:color="auto" w:fill="auto"/>
            <w:noWrap/>
            <w:vAlign w:val="bottom"/>
          </w:tcPr>
          <w:p w14:paraId="0E56D420" w14:textId="77777777" w:rsidR="009C4265" w:rsidRPr="009C4265" w:rsidRDefault="009C4265" w:rsidP="009C4265">
            <w:pPr>
              <w:jc w:val="center"/>
              <w:rPr>
                <w:rFonts w:ascii="Arial Narrow" w:hAnsi="Arial Narrow" w:cs="Arial"/>
                <w:sz w:val="22"/>
                <w:szCs w:val="22"/>
              </w:rPr>
            </w:pPr>
            <w:r w:rsidRPr="009C4265">
              <w:rPr>
                <w:rFonts w:ascii="Arial Narrow" w:hAnsi="Arial Narrow" w:cs="Arial"/>
                <w:sz w:val="22"/>
                <w:szCs w:val="22"/>
              </w:rPr>
              <w:t>-</w:t>
            </w:r>
          </w:p>
          <w:p w14:paraId="34148E7E" w14:textId="77777777" w:rsidR="009C4265" w:rsidRPr="009C4265" w:rsidRDefault="009C4265" w:rsidP="009C4265">
            <w:pPr>
              <w:jc w:val="center"/>
              <w:rPr>
                <w:rFonts w:ascii="Arial Narrow" w:hAnsi="Arial Narrow" w:cs="Arial"/>
                <w:sz w:val="22"/>
                <w:szCs w:val="22"/>
              </w:rPr>
            </w:pPr>
          </w:p>
          <w:p w14:paraId="13AB3A76" w14:textId="77777777" w:rsidR="009C4265" w:rsidRPr="009C4265" w:rsidRDefault="009C4265" w:rsidP="009C4265">
            <w:pPr>
              <w:jc w:val="center"/>
              <w:rPr>
                <w:rFonts w:ascii="Arial Narrow" w:hAnsi="Arial Narrow" w:cs="Arial"/>
                <w:sz w:val="22"/>
                <w:szCs w:val="22"/>
              </w:rPr>
            </w:pPr>
          </w:p>
          <w:p w14:paraId="2AEE8DAC" w14:textId="77777777" w:rsidR="009C4265" w:rsidRPr="009C4265" w:rsidRDefault="009C4265" w:rsidP="009C4265">
            <w:pPr>
              <w:jc w:val="center"/>
              <w:rPr>
                <w:rFonts w:ascii="Arial Narrow" w:hAnsi="Arial Narrow" w:cs="Arial"/>
                <w:sz w:val="22"/>
                <w:szCs w:val="22"/>
              </w:rPr>
            </w:pPr>
          </w:p>
          <w:p w14:paraId="1CBDB9EE" w14:textId="77777777" w:rsidR="009C4265" w:rsidRPr="009C4265" w:rsidRDefault="009C4265" w:rsidP="009C4265">
            <w:pPr>
              <w:jc w:val="center"/>
              <w:rPr>
                <w:rFonts w:ascii="Arial Narrow" w:hAnsi="Arial Narrow" w:cs="Arial"/>
                <w:sz w:val="22"/>
                <w:szCs w:val="22"/>
              </w:rPr>
            </w:pPr>
          </w:p>
          <w:p w14:paraId="3592AD03" w14:textId="77777777" w:rsidR="009C4265" w:rsidRPr="009C4265" w:rsidRDefault="009C4265" w:rsidP="009C4265">
            <w:pPr>
              <w:jc w:val="center"/>
              <w:rPr>
                <w:rFonts w:ascii="Arial Narrow" w:hAnsi="Arial Narrow" w:cs="Arial"/>
                <w:sz w:val="22"/>
                <w:szCs w:val="22"/>
              </w:rPr>
            </w:pPr>
          </w:p>
          <w:p w14:paraId="570425DA" w14:textId="77777777" w:rsidR="009C4265" w:rsidRPr="009C4265" w:rsidRDefault="009C4265" w:rsidP="009C4265">
            <w:pPr>
              <w:jc w:val="center"/>
              <w:rPr>
                <w:rFonts w:ascii="Arial Narrow" w:hAnsi="Arial Narrow" w:cs="Arial"/>
                <w:sz w:val="22"/>
                <w:szCs w:val="22"/>
              </w:rPr>
            </w:pPr>
          </w:p>
          <w:p w14:paraId="552D0D43" w14:textId="77777777" w:rsidR="009C4265" w:rsidRPr="009C4265" w:rsidRDefault="009C4265" w:rsidP="009C4265">
            <w:pPr>
              <w:jc w:val="center"/>
              <w:rPr>
                <w:rFonts w:ascii="Arial Narrow" w:hAnsi="Arial Narrow" w:cs="Arial"/>
                <w:sz w:val="22"/>
                <w:szCs w:val="22"/>
              </w:rPr>
            </w:pPr>
          </w:p>
          <w:p w14:paraId="3C62A0DA" w14:textId="77777777" w:rsidR="009C4265" w:rsidRPr="009C4265" w:rsidRDefault="009C4265" w:rsidP="009C4265">
            <w:pPr>
              <w:jc w:val="center"/>
              <w:rPr>
                <w:rFonts w:ascii="Arial Narrow" w:hAnsi="Arial Narrow" w:cs="Arial"/>
                <w:sz w:val="22"/>
                <w:szCs w:val="22"/>
              </w:rPr>
            </w:pPr>
          </w:p>
          <w:p w14:paraId="2EC1990C" w14:textId="77777777" w:rsidR="009C4265" w:rsidRPr="009C4265" w:rsidRDefault="009C4265" w:rsidP="009C4265">
            <w:pPr>
              <w:jc w:val="center"/>
              <w:rPr>
                <w:rFonts w:ascii="Arial Narrow" w:hAnsi="Arial Narrow" w:cs="Arial"/>
                <w:sz w:val="22"/>
                <w:szCs w:val="22"/>
              </w:rPr>
            </w:pPr>
          </w:p>
          <w:p w14:paraId="541930A2" w14:textId="77777777" w:rsidR="009C4265" w:rsidRPr="009C4265" w:rsidRDefault="009C4265" w:rsidP="009C4265">
            <w:pPr>
              <w:rPr>
                <w:rFonts w:ascii="Arial Narrow" w:hAnsi="Arial Narrow" w:cs="Arial"/>
                <w:sz w:val="22"/>
                <w:szCs w:val="22"/>
              </w:rPr>
            </w:pPr>
          </w:p>
        </w:tc>
        <w:tc>
          <w:tcPr>
            <w:tcW w:w="1783" w:type="pct"/>
            <w:tcBorders>
              <w:top w:val="single" w:sz="4" w:space="0" w:color="auto"/>
              <w:left w:val="single" w:sz="4" w:space="0" w:color="auto"/>
              <w:bottom w:val="single" w:sz="4" w:space="0" w:color="auto"/>
              <w:right w:val="single" w:sz="4" w:space="0" w:color="auto"/>
            </w:tcBorders>
            <w:shd w:val="clear" w:color="auto" w:fill="auto"/>
            <w:noWrap/>
          </w:tcPr>
          <w:p w14:paraId="656B976F" w14:textId="77777777" w:rsidR="009C4265" w:rsidRPr="009C4265" w:rsidRDefault="009C4265" w:rsidP="00C9711A">
            <w:pPr>
              <w:suppressLineNumbers/>
              <w:spacing w:before="120" w:after="120"/>
              <w:jc w:val="both"/>
              <w:rPr>
                <w:rFonts w:ascii="Arial Narrow" w:hAnsi="Arial Narrow" w:cs="Arial"/>
                <w:i/>
                <w:iCs/>
                <w:sz w:val="22"/>
                <w:szCs w:val="22"/>
                <w:lang w:val="es-CR"/>
              </w:rPr>
            </w:pPr>
            <w:r w:rsidRPr="009C4265">
              <w:rPr>
                <w:rFonts w:ascii="Arial Narrow" w:hAnsi="Arial Narrow" w:cs="Arial"/>
                <w:i/>
                <w:iCs/>
                <w:sz w:val="22"/>
                <w:szCs w:val="22"/>
                <w:lang w:val="es-CR"/>
              </w:rPr>
              <w:t>-</w:t>
            </w:r>
          </w:p>
        </w:tc>
        <w:tc>
          <w:tcPr>
            <w:tcW w:w="956" w:type="pct"/>
            <w:tcBorders>
              <w:top w:val="single" w:sz="4" w:space="0" w:color="auto"/>
              <w:left w:val="single" w:sz="4" w:space="0" w:color="auto"/>
              <w:bottom w:val="single" w:sz="4" w:space="0" w:color="auto"/>
              <w:right w:val="single" w:sz="4" w:space="0" w:color="auto"/>
            </w:tcBorders>
            <w:shd w:val="clear" w:color="auto" w:fill="auto"/>
            <w:noWrap/>
          </w:tcPr>
          <w:p w14:paraId="6B9D5C55" w14:textId="2F778AF7" w:rsidR="009C4265" w:rsidRPr="009C4265" w:rsidRDefault="009C4265" w:rsidP="00C9711A">
            <w:pPr>
              <w:jc w:val="both"/>
              <w:rPr>
                <w:rFonts w:ascii="Arial Narrow" w:eastAsiaTheme="minorHAnsi" w:hAnsi="Arial Narrow" w:cs="Arial"/>
                <w:sz w:val="22"/>
                <w:szCs w:val="22"/>
                <w:lang w:val="es-CR" w:eastAsia="zh-CN"/>
              </w:rPr>
            </w:pPr>
            <w:r w:rsidRPr="009C4265">
              <w:rPr>
                <w:rFonts w:ascii="Arial Narrow" w:eastAsiaTheme="minorHAnsi" w:hAnsi="Arial Narrow" w:cs="Arial"/>
                <w:sz w:val="22"/>
                <w:szCs w:val="22"/>
                <w:lang w:val="es-CR" w:eastAsia="zh-CN"/>
              </w:rPr>
              <w:t>En el caso del Juzgado Contravencional de Turrialba que el alcance de las metas se estableció en 0-75%, por parte de la Administración voy a coordinar reunión con la jefatura del Despachos para valorar los puntos que influyeron para no lograr un porcentaje más alto en el alcance de las metas, para corregir esta situación y con ello evitar que no se presenten para periodos futuros.</w:t>
            </w:r>
          </w:p>
          <w:p w14:paraId="0EEC0F02" w14:textId="77777777" w:rsidR="009C4265" w:rsidRPr="009C4265" w:rsidRDefault="009C4265" w:rsidP="006A146B">
            <w:pPr>
              <w:widowControl w:val="0"/>
              <w:autoSpaceDE w:val="0"/>
              <w:autoSpaceDN w:val="0"/>
              <w:adjustRightInd w:val="0"/>
              <w:jc w:val="both"/>
              <w:rPr>
                <w:rFonts w:ascii="Arial Narrow" w:eastAsiaTheme="minorHAnsi" w:hAnsi="Arial Narrow" w:cs="Arial"/>
                <w:sz w:val="22"/>
                <w:szCs w:val="22"/>
                <w:lang w:val="es-CR" w:eastAsia="zh-CN"/>
              </w:rPr>
            </w:pPr>
          </w:p>
        </w:tc>
        <w:tc>
          <w:tcPr>
            <w:tcW w:w="889" w:type="pct"/>
            <w:tcBorders>
              <w:top w:val="single" w:sz="4" w:space="0" w:color="auto"/>
              <w:left w:val="single" w:sz="4" w:space="0" w:color="auto"/>
              <w:bottom w:val="single" w:sz="4" w:space="0" w:color="auto"/>
              <w:right w:val="single" w:sz="4" w:space="0" w:color="auto"/>
            </w:tcBorders>
            <w:shd w:val="clear" w:color="auto" w:fill="auto"/>
            <w:noWrap/>
          </w:tcPr>
          <w:p w14:paraId="11088962" w14:textId="77777777" w:rsidR="009C4265" w:rsidRPr="009C4265" w:rsidRDefault="009C4265" w:rsidP="00BF6E93">
            <w:pPr>
              <w:jc w:val="both"/>
              <w:rPr>
                <w:rFonts w:ascii="Arial Narrow" w:hAnsi="Arial Narrow" w:cs="Calibri"/>
                <w:sz w:val="22"/>
                <w:szCs w:val="22"/>
                <w:lang w:val="es-CR" w:eastAsia="es-CR"/>
              </w:rPr>
            </w:pPr>
            <w:r w:rsidRPr="009C4265">
              <w:rPr>
                <w:rFonts w:ascii="Arial Narrow" w:hAnsi="Arial Narrow" w:cs="Calibri"/>
                <w:sz w:val="22"/>
                <w:szCs w:val="22"/>
                <w:lang w:val="es-CR" w:eastAsia="es-CR"/>
              </w:rPr>
              <w:t>Se toma nota de la observación.</w:t>
            </w:r>
          </w:p>
          <w:p w14:paraId="0F8B3D49" w14:textId="77777777" w:rsidR="009C4265" w:rsidRPr="009C4265" w:rsidRDefault="009C4265" w:rsidP="00FD024B">
            <w:pPr>
              <w:jc w:val="both"/>
              <w:rPr>
                <w:rFonts w:ascii="Arial Narrow" w:hAnsi="Arial Narrow" w:cs="Calibri"/>
                <w:sz w:val="22"/>
                <w:szCs w:val="22"/>
                <w:lang w:val="es-CR" w:eastAsia="es-CR"/>
              </w:rPr>
            </w:pPr>
          </w:p>
          <w:p w14:paraId="6BBAD456" w14:textId="77777777" w:rsidR="009C4265" w:rsidRPr="009C4265" w:rsidRDefault="009C4265">
            <w:pPr>
              <w:jc w:val="both"/>
              <w:rPr>
                <w:rFonts w:ascii="Arial Narrow" w:hAnsi="Arial Narrow" w:cs="Calibri"/>
                <w:sz w:val="22"/>
                <w:szCs w:val="22"/>
                <w:lang w:val="es-CR" w:eastAsia="es-CR"/>
              </w:rPr>
            </w:pPr>
            <w:r w:rsidRPr="009C4265">
              <w:rPr>
                <w:rFonts w:ascii="Arial Narrow" w:hAnsi="Arial Narrow" w:cs="Calibri"/>
                <w:sz w:val="22"/>
                <w:szCs w:val="22"/>
                <w:lang w:val="es-CR" w:eastAsia="es-CR"/>
              </w:rPr>
              <w:t>La observación no modifica el contenido.</w:t>
            </w:r>
          </w:p>
          <w:p w14:paraId="7970D7A2" w14:textId="77777777" w:rsidR="009C4265" w:rsidRPr="009C4265" w:rsidRDefault="009C4265">
            <w:pPr>
              <w:jc w:val="both"/>
              <w:rPr>
                <w:rFonts w:ascii="Arial Narrow" w:hAnsi="Arial Narrow" w:cs="Calibri"/>
                <w:sz w:val="22"/>
                <w:szCs w:val="22"/>
                <w:lang w:val="es-CR" w:eastAsia="es-CR"/>
              </w:rPr>
            </w:pPr>
          </w:p>
          <w:p w14:paraId="790D4D5F" w14:textId="77777777" w:rsidR="009C4265" w:rsidRPr="009C4265" w:rsidRDefault="009C4265">
            <w:pPr>
              <w:jc w:val="both"/>
              <w:rPr>
                <w:rFonts w:ascii="Arial Narrow" w:hAnsi="Arial Narrow" w:cs="Calibri"/>
                <w:sz w:val="22"/>
                <w:szCs w:val="22"/>
                <w:lang w:val="es-CR" w:eastAsia="es-CR"/>
              </w:rPr>
            </w:pPr>
          </w:p>
          <w:p w14:paraId="0E5E2888" w14:textId="77777777" w:rsidR="009C4265" w:rsidRPr="009C4265" w:rsidRDefault="009C4265">
            <w:pPr>
              <w:jc w:val="both"/>
              <w:rPr>
                <w:rFonts w:ascii="Arial Narrow" w:hAnsi="Arial Narrow" w:cs="Calibri"/>
                <w:sz w:val="22"/>
                <w:szCs w:val="22"/>
                <w:lang w:val="es-CR" w:eastAsia="es-CR"/>
              </w:rPr>
            </w:pPr>
          </w:p>
          <w:p w14:paraId="4D4595FD" w14:textId="77777777" w:rsidR="009C4265" w:rsidRPr="009C4265" w:rsidRDefault="009C4265">
            <w:pPr>
              <w:jc w:val="both"/>
              <w:rPr>
                <w:rFonts w:ascii="Arial Narrow" w:hAnsi="Arial Narrow" w:cs="Calibri"/>
                <w:sz w:val="22"/>
                <w:szCs w:val="22"/>
                <w:lang w:val="es-CR" w:eastAsia="es-CR"/>
              </w:rPr>
            </w:pPr>
          </w:p>
          <w:p w14:paraId="0197E7AD" w14:textId="77777777" w:rsidR="009C4265" w:rsidRPr="009C4265" w:rsidRDefault="009C4265">
            <w:pPr>
              <w:jc w:val="both"/>
              <w:rPr>
                <w:rFonts w:ascii="Arial Narrow" w:hAnsi="Arial Narrow" w:cs="Calibri"/>
                <w:sz w:val="22"/>
                <w:szCs w:val="22"/>
                <w:lang w:val="es-CR" w:eastAsia="es-CR"/>
              </w:rPr>
            </w:pPr>
          </w:p>
          <w:p w14:paraId="3B9F8661" w14:textId="77777777" w:rsidR="009C4265" w:rsidRPr="009C4265" w:rsidRDefault="009C4265">
            <w:pPr>
              <w:jc w:val="both"/>
              <w:rPr>
                <w:rFonts w:ascii="Arial Narrow" w:hAnsi="Arial Narrow" w:cs="Calibri"/>
                <w:sz w:val="22"/>
                <w:szCs w:val="22"/>
                <w:lang w:val="es-CR" w:eastAsia="es-CR"/>
              </w:rPr>
            </w:pPr>
          </w:p>
          <w:p w14:paraId="71F3095C" w14:textId="77777777" w:rsidR="009C4265" w:rsidRPr="009C4265" w:rsidRDefault="009C4265">
            <w:pPr>
              <w:jc w:val="both"/>
              <w:rPr>
                <w:rFonts w:ascii="Arial Narrow" w:hAnsi="Arial Narrow" w:cs="Calibri"/>
                <w:sz w:val="22"/>
                <w:szCs w:val="22"/>
                <w:lang w:val="es-CR" w:eastAsia="es-CR"/>
              </w:rPr>
            </w:pPr>
          </w:p>
        </w:tc>
        <w:tc>
          <w:tcPr>
            <w:tcW w:w="77" w:type="pct"/>
            <w:vAlign w:val="center"/>
          </w:tcPr>
          <w:p w14:paraId="13BAF6BA" w14:textId="77777777" w:rsidR="009C4265" w:rsidRPr="009C4265" w:rsidRDefault="009C4265" w:rsidP="009C4265">
            <w:pPr>
              <w:rPr>
                <w:rFonts w:ascii="Arial Narrow" w:hAnsi="Arial Narrow"/>
                <w:sz w:val="22"/>
                <w:szCs w:val="22"/>
                <w:lang w:val="es-CR" w:eastAsia="es-CR"/>
              </w:rPr>
            </w:pPr>
          </w:p>
        </w:tc>
      </w:tr>
    </w:tbl>
    <w:p w14:paraId="30743308" w14:textId="77777777" w:rsidR="009C4D33" w:rsidRDefault="009C4D33" w:rsidP="009C4D33">
      <w:pPr>
        <w:jc w:val="both"/>
        <w:rPr>
          <w:rFonts w:ascii="Book Antiqua" w:hAnsi="Book Antiqua"/>
        </w:rPr>
      </w:pPr>
    </w:p>
    <w:p w14:paraId="79E205ED" w14:textId="43E25F4B" w:rsidR="0073766D" w:rsidRPr="00C9711A" w:rsidRDefault="0073766D" w:rsidP="00C9711A">
      <w:pPr>
        <w:pStyle w:val="Prrafodelista"/>
        <w:sectPr w:rsidR="0073766D" w:rsidRPr="00C9711A" w:rsidSect="00314F5D">
          <w:pgSz w:w="12242" w:h="15842" w:code="1"/>
          <w:pgMar w:top="719" w:right="1469" w:bottom="719" w:left="1560" w:header="709" w:footer="709" w:gutter="0"/>
          <w:cols w:space="708"/>
          <w:docGrid w:linePitch="360"/>
        </w:sectPr>
      </w:pPr>
    </w:p>
    <w:p w14:paraId="58802061" w14:textId="65EB266F" w:rsidR="00F84C65" w:rsidRDefault="00F84C65">
      <w:pPr>
        <w:rPr>
          <w:rFonts w:ascii="Arial Narrow" w:eastAsia="Calibri" w:hAnsi="Arial Narrow"/>
          <w:sz w:val="28"/>
          <w:szCs w:val="28"/>
          <w:lang w:eastAsia="en-US"/>
        </w:rPr>
      </w:pPr>
    </w:p>
    <w:p w14:paraId="2457622E" w14:textId="77777777" w:rsidR="004E3F80" w:rsidRPr="000B4845" w:rsidRDefault="004E3F80" w:rsidP="004E3F80">
      <w:pPr>
        <w:rPr>
          <w:rFonts w:ascii="Arial Narrow" w:eastAsia="Calibri" w:hAnsi="Arial Narrow"/>
          <w:sz w:val="28"/>
          <w:szCs w:val="28"/>
          <w:lang w:eastAsia="en-US"/>
        </w:rPr>
      </w:pPr>
    </w:p>
    <w:p w14:paraId="78BEF298" w14:textId="210CD8A7" w:rsidR="0044415C" w:rsidRDefault="001A6496">
      <w:pPr>
        <w:pStyle w:val="Ttulo2"/>
      </w:pPr>
      <w:bookmarkStart w:id="283" w:name="_Toc76061964"/>
      <w:bookmarkStart w:id="284" w:name="_Toc76062192"/>
      <w:bookmarkStart w:id="285" w:name="_Toc76066150"/>
      <w:bookmarkStart w:id="286" w:name="_Toc76069218"/>
      <w:bookmarkStart w:id="287" w:name="_Toc76061965"/>
      <w:bookmarkStart w:id="288" w:name="_Toc76062193"/>
      <w:bookmarkStart w:id="289" w:name="_Toc76066151"/>
      <w:bookmarkStart w:id="290" w:name="_Toc76069219"/>
      <w:bookmarkStart w:id="291" w:name="_Toc76061966"/>
      <w:bookmarkStart w:id="292" w:name="_Toc76062194"/>
      <w:bookmarkStart w:id="293" w:name="_Toc76066152"/>
      <w:bookmarkStart w:id="294" w:name="_Toc76069220"/>
      <w:bookmarkStart w:id="295" w:name="_Toc76061967"/>
      <w:bookmarkStart w:id="296" w:name="_Toc76062195"/>
      <w:bookmarkStart w:id="297" w:name="_Toc76066153"/>
      <w:bookmarkStart w:id="298" w:name="_Toc76069221"/>
      <w:bookmarkStart w:id="299" w:name="_Toc76061968"/>
      <w:bookmarkStart w:id="300" w:name="_Toc76062196"/>
      <w:bookmarkStart w:id="301" w:name="_Toc76066154"/>
      <w:bookmarkStart w:id="302" w:name="_Toc76069222"/>
      <w:bookmarkStart w:id="303" w:name="_Toc76061969"/>
      <w:bookmarkStart w:id="304" w:name="_Toc76062197"/>
      <w:bookmarkStart w:id="305" w:name="_Toc76066155"/>
      <w:bookmarkStart w:id="306" w:name="_Toc76069223"/>
      <w:bookmarkStart w:id="307" w:name="_Toc76061970"/>
      <w:bookmarkStart w:id="308" w:name="_Toc76062198"/>
      <w:bookmarkStart w:id="309" w:name="_Toc76066156"/>
      <w:bookmarkStart w:id="310" w:name="_Toc76069224"/>
      <w:bookmarkStart w:id="311" w:name="_Toc76061971"/>
      <w:bookmarkStart w:id="312" w:name="_Toc76062199"/>
      <w:bookmarkStart w:id="313" w:name="_Toc76066157"/>
      <w:bookmarkStart w:id="314" w:name="_Toc76069225"/>
      <w:bookmarkStart w:id="315" w:name="_Toc76061972"/>
      <w:bookmarkStart w:id="316" w:name="_Toc76062200"/>
      <w:bookmarkStart w:id="317" w:name="_Toc76066158"/>
      <w:bookmarkStart w:id="318" w:name="_Toc76069226"/>
      <w:bookmarkStart w:id="319" w:name="_Toc76061973"/>
      <w:bookmarkStart w:id="320" w:name="_Toc76062201"/>
      <w:bookmarkStart w:id="321" w:name="_Toc76066159"/>
      <w:bookmarkStart w:id="322" w:name="_Toc76069227"/>
      <w:bookmarkStart w:id="323" w:name="_Toc76061974"/>
      <w:bookmarkStart w:id="324" w:name="_Toc76062202"/>
      <w:bookmarkStart w:id="325" w:name="_Toc76066160"/>
      <w:bookmarkStart w:id="326" w:name="_Toc76069228"/>
      <w:bookmarkStart w:id="327" w:name="_Toc76061975"/>
      <w:bookmarkStart w:id="328" w:name="_Toc76062203"/>
      <w:bookmarkStart w:id="329" w:name="_Toc76066161"/>
      <w:bookmarkStart w:id="330" w:name="_Toc76069229"/>
      <w:bookmarkStart w:id="331" w:name="_Toc76061976"/>
      <w:bookmarkStart w:id="332" w:name="_Toc76062204"/>
      <w:bookmarkStart w:id="333" w:name="_Toc76066162"/>
      <w:bookmarkStart w:id="334" w:name="_Toc76069230"/>
      <w:bookmarkStart w:id="335" w:name="_Toc76061977"/>
      <w:bookmarkStart w:id="336" w:name="_Toc76062205"/>
      <w:bookmarkStart w:id="337" w:name="_Toc76066163"/>
      <w:bookmarkStart w:id="338" w:name="_Toc76069231"/>
      <w:bookmarkStart w:id="339" w:name="_Toc76061978"/>
      <w:bookmarkStart w:id="340" w:name="_Toc76062206"/>
      <w:bookmarkStart w:id="341" w:name="_Toc76066164"/>
      <w:bookmarkStart w:id="342" w:name="_Toc76069232"/>
      <w:bookmarkStart w:id="343" w:name="_Toc76061979"/>
      <w:bookmarkStart w:id="344" w:name="_Toc76062207"/>
      <w:bookmarkStart w:id="345" w:name="_Toc76066165"/>
      <w:bookmarkStart w:id="346" w:name="_Toc76069233"/>
      <w:bookmarkStart w:id="347" w:name="_Toc76061980"/>
      <w:bookmarkStart w:id="348" w:name="_Toc76062208"/>
      <w:bookmarkStart w:id="349" w:name="_Toc76066166"/>
      <w:bookmarkStart w:id="350" w:name="_Toc76069234"/>
      <w:bookmarkStart w:id="351" w:name="_Toc76061981"/>
      <w:bookmarkStart w:id="352" w:name="_Toc76062209"/>
      <w:bookmarkStart w:id="353" w:name="_Toc76066167"/>
      <w:bookmarkStart w:id="354" w:name="_Toc76069235"/>
      <w:bookmarkStart w:id="355" w:name="_Toc76061982"/>
      <w:bookmarkStart w:id="356" w:name="_Toc76062210"/>
      <w:bookmarkStart w:id="357" w:name="_Toc76066168"/>
      <w:bookmarkStart w:id="358" w:name="_Toc76069236"/>
      <w:bookmarkStart w:id="359" w:name="_Toc76061983"/>
      <w:bookmarkStart w:id="360" w:name="_Toc76062211"/>
      <w:bookmarkStart w:id="361" w:name="_Toc76066169"/>
      <w:bookmarkStart w:id="362" w:name="_Toc76069237"/>
      <w:bookmarkStart w:id="363" w:name="_Toc76061984"/>
      <w:bookmarkStart w:id="364" w:name="_Toc76062212"/>
      <w:bookmarkStart w:id="365" w:name="_Toc76066170"/>
      <w:bookmarkStart w:id="366" w:name="_Toc76069238"/>
      <w:bookmarkStart w:id="367" w:name="_Toc76061985"/>
      <w:bookmarkStart w:id="368" w:name="_Toc76062213"/>
      <w:bookmarkStart w:id="369" w:name="_Toc76066171"/>
      <w:bookmarkStart w:id="370" w:name="_Toc76069239"/>
      <w:bookmarkStart w:id="371" w:name="_Toc76061986"/>
      <w:bookmarkStart w:id="372" w:name="_Toc76062214"/>
      <w:bookmarkStart w:id="373" w:name="_Toc76066172"/>
      <w:bookmarkStart w:id="374" w:name="_Toc76069240"/>
      <w:bookmarkStart w:id="375" w:name="_Toc76061987"/>
      <w:bookmarkStart w:id="376" w:name="_Toc76062215"/>
      <w:bookmarkStart w:id="377" w:name="_Toc76066173"/>
      <w:bookmarkStart w:id="378" w:name="_Toc76069241"/>
      <w:bookmarkStart w:id="379" w:name="_Toc76061988"/>
      <w:bookmarkStart w:id="380" w:name="_Toc76062216"/>
      <w:bookmarkStart w:id="381" w:name="_Toc76066174"/>
      <w:bookmarkStart w:id="382" w:name="_Toc76069242"/>
      <w:bookmarkStart w:id="383" w:name="_Toc76061989"/>
      <w:bookmarkStart w:id="384" w:name="_Toc76062217"/>
      <w:bookmarkStart w:id="385" w:name="_Toc76066175"/>
      <w:bookmarkStart w:id="386" w:name="_Toc76069243"/>
      <w:bookmarkStart w:id="387" w:name="_Toc76061990"/>
      <w:bookmarkStart w:id="388" w:name="_Toc76062218"/>
      <w:bookmarkStart w:id="389" w:name="_Toc76066176"/>
      <w:bookmarkStart w:id="390" w:name="_Toc76069244"/>
      <w:bookmarkStart w:id="391" w:name="_Toc76061991"/>
      <w:bookmarkStart w:id="392" w:name="_Toc76062219"/>
      <w:bookmarkStart w:id="393" w:name="_Toc76066177"/>
      <w:bookmarkStart w:id="394" w:name="_Toc76069245"/>
      <w:bookmarkStart w:id="395" w:name="_Toc76061992"/>
      <w:bookmarkStart w:id="396" w:name="_Toc76062220"/>
      <w:bookmarkStart w:id="397" w:name="_Toc76066178"/>
      <w:bookmarkStart w:id="398" w:name="_Toc76069246"/>
      <w:bookmarkStart w:id="399" w:name="_Toc83621725"/>
      <w:bookmarkStart w:id="400" w:name="_Toc83621771"/>
      <w:bookmarkStart w:id="401" w:name="_Toc83630192"/>
      <w:bookmarkStart w:id="402" w:name="_Toc84919369"/>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r>
        <w:t>Recomendaciones</w:t>
      </w:r>
      <w:bookmarkEnd w:id="402"/>
    </w:p>
    <w:p w14:paraId="6D3FC999" w14:textId="77777777" w:rsidR="004E3F80" w:rsidRPr="00704B08" w:rsidRDefault="004E3F80" w:rsidP="004E3F80">
      <w:pPr>
        <w:rPr>
          <w:rFonts w:ascii="Arial Narrow" w:eastAsia="Calibri" w:hAnsi="Arial Narrow"/>
          <w:lang w:val="es-CR"/>
        </w:rPr>
      </w:pPr>
    </w:p>
    <w:p w14:paraId="4325E4EC" w14:textId="61028BD6" w:rsidR="004E3F80" w:rsidRPr="00704B08" w:rsidRDefault="00E22BED" w:rsidP="00CC279A">
      <w:pPr>
        <w:pStyle w:val="Ttulo3"/>
        <w:numPr>
          <w:ilvl w:val="1"/>
          <w:numId w:val="76"/>
        </w:numPr>
        <w:rPr>
          <w:rFonts w:ascii="Arial Narrow" w:eastAsia="Calibri" w:hAnsi="Arial Narrow"/>
          <w:b w:val="0"/>
          <w:bCs w:val="0"/>
          <w:lang w:val="es-CR"/>
        </w:rPr>
      </w:pPr>
      <w:bookmarkStart w:id="403" w:name="_Toc84919370"/>
      <w:r>
        <w:rPr>
          <w:rFonts w:ascii="Arial Narrow" w:eastAsia="Calibri" w:hAnsi="Arial Narrow"/>
          <w:lang w:val="es-CR"/>
        </w:rPr>
        <w:t xml:space="preserve"> </w:t>
      </w:r>
      <w:r w:rsidR="00D1475C" w:rsidRPr="00704B08">
        <w:rPr>
          <w:rFonts w:ascii="Arial Narrow" w:eastAsia="Calibri" w:hAnsi="Arial Narrow"/>
          <w:lang w:val="es-CR"/>
        </w:rPr>
        <w:t>Recomendaciones a</w:t>
      </w:r>
      <w:r w:rsidR="004E3F80" w:rsidRPr="00704B08">
        <w:rPr>
          <w:rFonts w:ascii="Arial Narrow" w:eastAsia="Calibri" w:hAnsi="Arial Narrow"/>
          <w:lang w:val="es-CR"/>
        </w:rPr>
        <w:t>l Consejo Superior</w:t>
      </w:r>
      <w:bookmarkEnd w:id="403"/>
      <w:r w:rsidR="004E3F80" w:rsidRPr="00704B08">
        <w:rPr>
          <w:rFonts w:ascii="Arial Narrow" w:eastAsia="Calibri" w:hAnsi="Arial Narrow"/>
          <w:lang w:val="es-CR"/>
        </w:rPr>
        <w:t xml:space="preserve"> </w:t>
      </w:r>
    </w:p>
    <w:p w14:paraId="1FCC12C5" w14:textId="77777777" w:rsidR="004E3F80" w:rsidRPr="00704B08" w:rsidRDefault="004E3F80" w:rsidP="00704B08">
      <w:pPr>
        <w:ind w:left="709" w:hanging="50"/>
        <w:rPr>
          <w:rFonts w:ascii="Arial Narrow" w:eastAsia="Calibri" w:hAnsi="Arial Narrow"/>
          <w:lang w:val="es-CR"/>
        </w:rPr>
      </w:pPr>
    </w:p>
    <w:p w14:paraId="204103BD" w14:textId="6FCF5D4E" w:rsidR="00A65A4C" w:rsidRPr="00704B08" w:rsidRDefault="00C62A16" w:rsidP="00CC279A">
      <w:pPr>
        <w:pStyle w:val="Prrafodelista"/>
        <w:numPr>
          <w:ilvl w:val="2"/>
          <w:numId w:val="76"/>
        </w:numPr>
        <w:spacing w:line="360" w:lineRule="auto"/>
        <w:ind w:left="709" w:hanging="50"/>
        <w:jc w:val="both"/>
        <w:rPr>
          <w:rFonts w:ascii="Arial Narrow" w:eastAsia="Calibri" w:hAnsi="Arial Narrow"/>
          <w:lang w:val="es-CR"/>
        </w:rPr>
      </w:pPr>
      <w:r w:rsidRPr="00704B08">
        <w:rPr>
          <w:rFonts w:ascii="Arial Narrow" w:eastAsia="Calibri" w:hAnsi="Arial Narrow"/>
          <w:lang w:val="es-CR"/>
        </w:rPr>
        <w:t xml:space="preserve">Aprobar </w:t>
      </w:r>
      <w:r w:rsidR="00F84C65">
        <w:rPr>
          <w:rFonts w:ascii="Arial Narrow" w:eastAsia="Calibri" w:hAnsi="Arial Narrow"/>
          <w:lang w:val="es-CR"/>
        </w:rPr>
        <w:t xml:space="preserve">el </w:t>
      </w:r>
      <w:r w:rsidRPr="00704B08">
        <w:rPr>
          <w:rFonts w:ascii="Arial Narrow" w:eastAsia="Calibri" w:hAnsi="Arial Narrow"/>
          <w:lang w:val="es-CR"/>
        </w:rPr>
        <w:t xml:space="preserve">presente </w:t>
      </w:r>
      <w:r w:rsidR="00F84C65">
        <w:rPr>
          <w:rFonts w:ascii="Arial Narrow" w:eastAsia="Calibri" w:hAnsi="Arial Narrow"/>
          <w:lang w:val="es-CR"/>
        </w:rPr>
        <w:t xml:space="preserve">informe de </w:t>
      </w:r>
      <w:r w:rsidRPr="00704B08">
        <w:rPr>
          <w:rFonts w:ascii="Arial Narrow" w:eastAsia="Calibri" w:hAnsi="Arial Narrow"/>
          <w:lang w:val="es-CR"/>
        </w:rPr>
        <w:t>evaluación del Plan Estratégico Institucional de los años 2019-2020</w:t>
      </w:r>
      <w:r w:rsidR="000E3BF1" w:rsidRPr="00704B08">
        <w:rPr>
          <w:rFonts w:ascii="Arial Narrow" w:eastAsia="Calibri" w:hAnsi="Arial Narrow"/>
          <w:lang w:val="es-CR"/>
        </w:rPr>
        <w:t xml:space="preserve"> y sus resultados</w:t>
      </w:r>
      <w:r w:rsidRPr="00704B08">
        <w:rPr>
          <w:rFonts w:ascii="Arial Narrow" w:eastAsia="Calibri" w:hAnsi="Arial Narrow"/>
          <w:lang w:val="es-CR"/>
        </w:rPr>
        <w:t>.</w:t>
      </w:r>
    </w:p>
    <w:p w14:paraId="211982A1" w14:textId="77777777" w:rsidR="00A65A4C" w:rsidRPr="00704B08" w:rsidRDefault="00A65A4C" w:rsidP="00704B08">
      <w:pPr>
        <w:pStyle w:val="Prrafodelista"/>
        <w:spacing w:line="360" w:lineRule="auto"/>
        <w:ind w:left="709" w:hanging="50"/>
        <w:jc w:val="both"/>
        <w:rPr>
          <w:rFonts w:ascii="Arial Narrow" w:eastAsia="Calibri" w:hAnsi="Arial Narrow"/>
          <w:lang w:val="es-CR"/>
        </w:rPr>
      </w:pPr>
    </w:p>
    <w:p w14:paraId="72F8CBA8" w14:textId="772C1A4D" w:rsidR="004E3F80" w:rsidRDefault="004423F9" w:rsidP="00CC279A">
      <w:pPr>
        <w:pStyle w:val="Prrafodelista"/>
        <w:numPr>
          <w:ilvl w:val="2"/>
          <w:numId w:val="76"/>
        </w:numPr>
        <w:spacing w:line="360" w:lineRule="auto"/>
        <w:ind w:left="709" w:hanging="50"/>
        <w:jc w:val="both"/>
        <w:rPr>
          <w:rFonts w:ascii="Arial Narrow" w:eastAsia="Calibri" w:hAnsi="Arial Narrow"/>
          <w:lang w:val="es-CR"/>
        </w:rPr>
      </w:pPr>
      <w:r w:rsidRPr="00F17B33">
        <w:rPr>
          <w:rFonts w:ascii="Arial Narrow" w:eastAsia="Calibri" w:hAnsi="Arial Narrow"/>
          <w:lang w:val="es-CR"/>
        </w:rPr>
        <w:t>Solicitar</w:t>
      </w:r>
      <w:r w:rsidR="004E3F80" w:rsidRPr="00F17B33">
        <w:rPr>
          <w:rFonts w:ascii="Arial Narrow" w:eastAsia="Calibri" w:hAnsi="Arial Narrow"/>
          <w:lang w:val="es-CR"/>
        </w:rPr>
        <w:t xml:space="preserve"> a las oficinas </w:t>
      </w:r>
      <w:r w:rsidR="00261963" w:rsidRPr="00F17B33">
        <w:rPr>
          <w:rFonts w:ascii="Arial Narrow" w:eastAsia="Calibri" w:hAnsi="Arial Narrow"/>
          <w:lang w:val="es-CR"/>
        </w:rPr>
        <w:t xml:space="preserve">y despachos judiciales </w:t>
      </w:r>
      <w:r w:rsidR="004E3F80" w:rsidRPr="00F17B33">
        <w:rPr>
          <w:rFonts w:ascii="Arial Narrow" w:eastAsia="Calibri" w:hAnsi="Arial Narrow"/>
          <w:lang w:val="es-CR"/>
        </w:rPr>
        <w:t>responsables</w:t>
      </w:r>
      <w:r w:rsidR="00261963" w:rsidRPr="00F17B33">
        <w:rPr>
          <w:rFonts w:ascii="Arial Narrow" w:eastAsia="Calibri" w:hAnsi="Arial Narrow"/>
          <w:lang w:val="es-CR"/>
        </w:rPr>
        <w:t xml:space="preserve"> y Centros de Responsabilidad</w:t>
      </w:r>
      <w:r w:rsidR="004E3F80" w:rsidRPr="00704B08">
        <w:rPr>
          <w:rFonts w:ascii="Arial Narrow" w:eastAsia="Calibri" w:hAnsi="Arial Narrow"/>
          <w:lang w:val="es-CR"/>
        </w:rPr>
        <w:t xml:space="preserve"> </w:t>
      </w:r>
      <w:r w:rsidR="00006558" w:rsidRPr="00704B08">
        <w:rPr>
          <w:rFonts w:ascii="Arial Narrow" w:eastAsia="Calibri" w:hAnsi="Arial Narrow"/>
          <w:lang w:val="es-CR"/>
        </w:rPr>
        <w:t>el</w:t>
      </w:r>
      <w:r w:rsidR="004E3F80" w:rsidRPr="00704B08">
        <w:rPr>
          <w:rFonts w:ascii="Arial Narrow" w:eastAsia="Calibri" w:hAnsi="Arial Narrow"/>
          <w:lang w:val="es-CR"/>
        </w:rPr>
        <w:t xml:space="preserve"> cumplir con los avances oportunos </w:t>
      </w:r>
      <w:r w:rsidR="003B3FD3">
        <w:rPr>
          <w:rFonts w:ascii="Arial Narrow" w:eastAsia="Calibri" w:hAnsi="Arial Narrow"/>
          <w:lang w:val="es-CR"/>
        </w:rPr>
        <w:t>de los Planes Anuales Operativos en e</w:t>
      </w:r>
      <w:r w:rsidR="004E3F80" w:rsidRPr="00704B08">
        <w:rPr>
          <w:rFonts w:ascii="Arial Narrow" w:eastAsia="Calibri" w:hAnsi="Arial Narrow"/>
          <w:lang w:val="es-CR"/>
        </w:rPr>
        <w:t>l Sistema PAO y a los objetivos y metas vinculados con la estrategia institucional. Esto con el fin de reportar la información de manera fidedigna, en tiempos adecuados y cumpliendo con las normas institucionales de actualización de sistemas judiciales</w:t>
      </w:r>
      <w:r w:rsidR="00006558" w:rsidRPr="00704B08">
        <w:rPr>
          <w:rFonts w:ascii="Arial Narrow" w:eastAsia="Calibri" w:hAnsi="Arial Narrow"/>
          <w:lang w:val="es-CR"/>
        </w:rPr>
        <w:t>.</w:t>
      </w:r>
      <w:r w:rsidR="004E3F80" w:rsidRPr="00704B08">
        <w:rPr>
          <w:rFonts w:ascii="Arial Narrow" w:eastAsia="Calibri" w:hAnsi="Arial Narrow"/>
          <w:lang w:val="es-CR"/>
        </w:rPr>
        <w:t xml:space="preserve"> </w:t>
      </w:r>
    </w:p>
    <w:p w14:paraId="39CAB7D3" w14:textId="77777777" w:rsidR="00315FFA" w:rsidRDefault="00315FFA" w:rsidP="00315FFA">
      <w:pPr>
        <w:pStyle w:val="Prrafodelista"/>
        <w:rPr>
          <w:rFonts w:ascii="Arial Narrow" w:eastAsia="Calibri" w:hAnsi="Arial Narrow"/>
          <w:lang w:val="es-CR"/>
        </w:rPr>
      </w:pPr>
    </w:p>
    <w:p w14:paraId="0A61A6DD" w14:textId="77777777" w:rsidR="00CF2478" w:rsidRDefault="00CF2478" w:rsidP="00CF2478">
      <w:pPr>
        <w:pStyle w:val="Prrafodelista"/>
        <w:rPr>
          <w:rFonts w:ascii="Arial Narrow" w:eastAsia="Calibri" w:hAnsi="Arial Narrow"/>
          <w:lang w:val="es-CR"/>
        </w:rPr>
      </w:pPr>
    </w:p>
    <w:p w14:paraId="46D6747F" w14:textId="77777777" w:rsidR="00B06079" w:rsidRPr="00CC279A" w:rsidRDefault="00B06079" w:rsidP="00CC279A">
      <w:pPr>
        <w:pStyle w:val="Prrafodelista"/>
        <w:rPr>
          <w:rFonts w:ascii="Arial Narrow" w:eastAsia="Calibri" w:hAnsi="Arial Narrow"/>
          <w:lang w:val="es-CR"/>
        </w:rPr>
      </w:pPr>
    </w:p>
    <w:p w14:paraId="21843AE9" w14:textId="6B497BB6" w:rsidR="00B06079" w:rsidRDefault="00B55372" w:rsidP="00CC279A">
      <w:pPr>
        <w:pStyle w:val="Prrafodelista"/>
        <w:numPr>
          <w:ilvl w:val="2"/>
          <w:numId w:val="76"/>
        </w:numPr>
        <w:spacing w:line="360" w:lineRule="auto"/>
        <w:ind w:left="709" w:hanging="50"/>
        <w:jc w:val="both"/>
        <w:rPr>
          <w:rFonts w:ascii="Arial Narrow" w:eastAsia="Calibri" w:hAnsi="Arial Narrow"/>
          <w:lang w:val="es-CR"/>
        </w:rPr>
      </w:pPr>
      <w:r>
        <w:rPr>
          <w:rFonts w:ascii="Arial Narrow" w:eastAsia="Calibri" w:hAnsi="Arial Narrow"/>
          <w:lang w:val="es-CR"/>
        </w:rPr>
        <w:t>Instar a las oficinas a continuar con la identificación de posibles r</w:t>
      </w:r>
      <w:r w:rsidR="00B06079">
        <w:rPr>
          <w:rFonts w:ascii="Arial Narrow" w:eastAsia="Calibri" w:hAnsi="Arial Narrow"/>
          <w:lang w:val="es-CR"/>
        </w:rPr>
        <w:t>iesgos</w:t>
      </w:r>
      <w:r>
        <w:rPr>
          <w:rFonts w:ascii="Arial Narrow" w:eastAsia="Calibri" w:hAnsi="Arial Narrow"/>
          <w:lang w:val="es-CR"/>
        </w:rPr>
        <w:t xml:space="preserve"> estratégicos y su materialización en el Plan Estratégico Institucional 2019-2024 mediante el SEVRI con el apoyo de la Oficina de </w:t>
      </w:r>
      <w:r w:rsidR="00357B2A">
        <w:rPr>
          <w:rFonts w:ascii="Arial Narrow" w:eastAsia="Calibri" w:hAnsi="Arial Narrow"/>
          <w:lang w:val="es-CR"/>
        </w:rPr>
        <w:t>Control</w:t>
      </w:r>
      <w:r>
        <w:rPr>
          <w:rFonts w:ascii="Arial Narrow" w:eastAsia="Calibri" w:hAnsi="Arial Narrow"/>
          <w:lang w:val="es-CR"/>
        </w:rPr>
        <w:t xml:space="preserve"> Interno, quienes son rectores en la materia de riesgos.</w:t>
      </w:r>
    </w:p>
    <w:p w14:paraId="5F4B14AC" w14:textId="77777777" w:rsidR="00CF2478" w:rsidRDefault="00CF2478" w:rsidP="00CF2478">
      <w:pPr>
        <w:pStyle w:val="Prrafodelista"/>
        <w:rPr>
          <w:rFonts w:ascii="Arial Narrow" w:eastAsia="Calibri" w:hAnsi="Arial Narrow"/>
          <w:lang w:val="es-CR"/>
        </w:rPr>
      </w:pPr>
    </w:p>
    <w:p w14:paraId="0E7D789F" w14:textId="77777777" w:rsidR="00B55372" w:rsidRPr="00CC279A" w:rsidRDefault="00B55372" w:rsidP="00CC279A">
      <w:pPr>
        <w:pStyle w:val="Prrafodelista"/>
        <w:rPr>
          <w:rFonts w:ascii="Arial Narrow" w:eastAsia="Calibri" w:hAnsi="Arial Narrow"/>
          <w:lang w:val="es-CR"/>
        </w:rPr>
      </w:pPr>
    </w:p>
    <w:p w14:paraId="135FDE60" w14:textId="6198C8D5" w:rsidR="00B06079" w:rsidRPr="00CC279A" w:rsidRDefault="00B06079" w:rsidP="00CC279A">
      <w:pPr>
        <w:pStyle w:val="Prrafodelista"/>
        <w:spacing w:line="360" w:lineRule="auto"/>
        <w:ind w:left="709"/>
        <w:jc w:val="both"/>
        <w:rPr>
          <w:rFonts w:ascii="Arial Narrow" w:eastAsia="Calibri" w:hAnsi="Arial Narrow"/>
          <w:lang w:val="es-CR"/>
        </w:rPr>
      </w:pPr>
    </w:p>
    <w:p w14:paraId="2F380183" w14:textId="651B4E83" w:rsidR="00357B2A" w:rsidRDefault="00357B2A">
      <w:pPr>
        <w:pStyle w:val="Prrafodelista"/>
        <w:spacing w:line="360" w:lineRule="auto"/>
        <w:ind w:left="709"/>
        <w:jc w:val="both"/>
        <w:rPr>
          <w:rFonts w:ascii="Arial Narrow" w:eastAsia="Calibri" w:hAnsi="Arial Narrow"/>
          <w:lang w:val="es-CR"/>
        </w:rPr>
      </w:pPr>
    </w:p>
    <w:p w14:paraId="639FF6E4" w14:textId="08C906A4" w:rsidR="0038507F" w:rsidRDefault="0038507F">
      <w:pPr>
        <w:rPr>
          <w:rFonts w:ascii="Arial Narrow" w:eastAsia="Calibri" w:hAnsi="Arial Narrow"/>
          <w:lang w:val="es-CR"/>
        </w:rPr>
      </w:pPr>
      <w:r>
        <w:rPr>
          <w:rFonts w:ascii="Arial Narrow" w:eastAsia="Calibri" w:hAnsi="Arial Narrow"/>
          <w:lang w:val="es-CR"/>
        </w:rPr>
        <w:br w:type="page"/>
      </w:r>
    </w:p>
    <w:p w14:paraId="23107F9F" w14:textId="77777777" w:rsidR="0038507F" w:rsidRPr="00704B08" w:rsidRDefault="0038507F" w:rsidP="00CC279A">
      <w:pPr>
        <w:pStyle w:val="Prrafodelista"/>
        <w:spacing w:line="360" w:lineRule="auto"/>
        <w:ind w:left="709"/>
        <w:jc w:val="both"/>
        <w:rPr>
          <w:rFonts w:ascii="Arial Narrow" w:eastAsia="Calibri" w:hAnsi="Arial Narrow"/>
          <w:lang w:val="es-CR"/>
        </w:rPr>
      </w:pPr>
    </w:p>
    <w:p w14:paraId="5A683A91" w14:textId="4B65E366" w:rsidR="004E3F80" w:rsidRPr="00704B08" w:rsidRDefault="00A65A4C" w:rsidP="00CC279A">
      <w:pPr>
        <w:pStyle w:val="Ttulo3"/>
        <w:numPr>
          <w:ilvl w:val="1"/>
          <w:numId w:val="76"/>
        </w:numPr>
        <w:ind w:left="709" w:hanging="50"/>
        <w:rPr>
          <w:rFonts w:ascii="Arial Narrow" w:eastAsia="Calibri" w:hAnsi="Arial Narrow"/>
          <w:b w:val="0"/>
          <w:bCs w:val="0"/>
          <w:lang w:val="es-CR"/>
        </w:rPr>
      </w:pPr>
      <w:r w:rsidRPr="00704B08">
        <w:rPr>
          <w:rFonts w:ascii="Arial Narrow" w:eastAsia="Calibri" w:hAnsi="Arial Narrow"/>
          <w:lang w:val="es-CR"/>
        </w:rPr>
        <w:t xml:space="preserve"> </w:t>
      </w:r>
      <w:bookmarkStart w:id="404" w:name="_Toc76069249"/>
      <w:bookmarkStart w:id="405" w:name="_Toc76069250"/>
      <w:bookmarkStart w:id="406" w:name="_Toc76069251"/>
      <w:bookmarkStart w:id="407" w:name="_Toc76069252"/>
      <w:bookmarkStart w:id="408" w:name="_Toc84919371"/>
      <w:bookmarkEnd w:id="404"/>
      <w:bookmarkEnd w:id="405"/>
      <w:bookmarkEnd w:id="406"/>
      <w:bookmarkEnd w:id="407"/>
      <w:r w:rsidR="00D1475C" w:rsidRPr="00704B08">
        <w:rPr>
          <w:rFonts w:ascii="Arial Narrow" w:eastAsia="Calibri" w:hAnsi="Arial Narrow"/>
          <w:lang w:val="es-CR"/>
        </w:rPr>
        <w:t>Recomendaciones a</w:t>
      </w:r>
      <w:r w:rsidR="004E3F80" w:rsidRPr="00704B08">
        <w:rPr>
          <w:rFonts w:ascii="Arial Narrow" w:eastAsia="Calibri" w:hAnsi="Arial Narrow"/>
          <w:lang w:val="es-CR"/>
        </w:rPr>
        <w:t xml:space="preserve"> los Responsables Estratégicos</w:t>
      </w:r>
      <w:bookmarkEnd w:id="408"/>
    </w:p>
    <w:p w14:paraId="6A21AF7A" w14:textId="77777777" w:rsidR="004E3F80" w:rsidRPr="00E52F19" w:rsidRDefault="004E3F80" w:rsidP="00704B08">
      <w:pPr>
        <w:pStyle w:val="Prrafodelista"/>
        <w:spacing w:line="360" w:lineRule="auto"/>
        <w:ind w:left="709" w:hanging="50"/>
        <w:jc w:val="both"/>
        <w:rPr>
          <w:rFonts w:ascii="Arial Narrow" w:eastAsia="Calibri" w:hAnsi="Arial Narrow"/>
        </w:rPr>
      </w:pPr>
    </w:p>
    <w:p w14:paraId="445EB84B" w14:textId="20CAFD2B" w:rsidR="00A65A4C" w:rsidRPr="0038507F" w:rsidRDefault="0038507F" w:rsidP="00CC279A">
      <w:pPr>
        <w:pStyle w:val="Prrafodelista"/>
        <w:numPr>
          <w:ilvl w:val="2"/>
          <w:numId w:val="76"/>
        </w:numPr>
        <w:spacing w:line="360" w:lineRule="auto"/>
        <w:jc w:val="both"/>
      </w:pPr>
      <w:r>
        <w:rPr>
          <w:rFonts w:ascii="Arial Narrow" w:eastAsia="Calibri" w:hAnsi="Arial Narrow"/>
        </w:rPr>
        <w:t xml:space="preserve">Revisar </w:t>
      </w:r>
      <w:r w:rsidR="003B3FD3">
        <w:rPr>
          <w:rFonts w:ascii="Arial Narrow" w:eastAsia="Calibri" w:hAnsi="Arial Narrow"/>
        </w:rPr>
        <w:t>las</w:t>
      </w:r>
      <w:r w:rsidR="004E3F80" w:rsidRPr="00E52F19">
        <w:rPr>
          <w:rFonts w:ascii="Arial Narrow" w:eastAsia="Calibri" w:hAnsi="Arial Narrow"/>
        </w:rPr>
        <w:t xml:space="preserve"> metas estratégicas </w:t>
      </w:r>
      <w:r w:rsidR="00006558">
        <w:rPr>
          <w:rFonts w:ascii="Arial Narrow" w:eastAsia="Calibri" w:hAnsi="Arial Narrow"/>
        </w:rPr>
        <w:t xml:space="preserve">propuestas, </w:t>
      </w:r>
      <w:r w:rsidR="004E3F80" w:rsidRPr="00E52F19">
        <w:rPr>
          <w:rFonts w:ascii="Arial Narrow" w:eastAsia="Calibri" w:hAnsi="Arial Narrow"/>
        </w:rPr>
        <w:t xml:space="preserve">con el fin de </w:t>
      </w:r>
      <w:r w:rsidR="00006558">
        <w:rPr>
          <w:rFonts w:ascii="Arial Narrow" w:eastAsia="Calibri" w:hAnsi="Arial Narrow"/>
        </w:rPr>
        <w:t>determinar si se requiere la confección de un plan de mejora que permita su cumplimiento o bien realinear</w:t>
      </w:r>
      <w:r w:rsidR="00A94ACC">
        <w:rPr>
          <w:rFonts w:ascii="Arial Narrow" w:eastAsia="Calibri" w:hAnsi="Arial Narrow"/>
        </w:rPr>
        <w:t>las</w:t>
      </w:r>
      <w:r w:rsidR="00006558">
        <w:rPr>
          <w:rFonts w:ascii="Arial Narrow" w:eastAsia="Calibri" w:hAnsi="Arial Narrow"/>
        </w:rPr>
        <w:t xml:space="preserve"> o reprogramarla</w:t>
      </w:r>
      <w:r w:rsidR="00A94ACC">
        <w:rPr>
          <w:rFonts w:ascii="Arial Narrow" w:eastAsia="Calibri" w:hAnsi="Arial Narrow"/>
        </w:rPr>
        <w:t>s</w:t>
      </w:r>
      <w:r w:rsidR="00006558">
        <w:rPr>
          <w:rFonts w:ascii="Arial Narrow" w:eastAsia="Calibri" w:hAnsi="Arial Narrow"/>
        </w:rPr>
        <w:t xml:space="preserve">, </w:t>
      </w:r>
      <w:r w:rsidR="00A94ACC">
        <w:rPr>
          <w:rFonts w:ascii="Arial Narrow" w:eastAsia="Calibri" w:hAnsi="Arial Narrow"/>
        </w:rPr>
        <w:t>para que</w:t>
      </w:r>
      <w:r w:rsidR="00006558">
        <w:rPr>
          <w:rFonts w:ascii="Arial Narrow" w:eastAsia="Calibri" w:hAnsi="Arial Narrow"/>
        </w:rPr>
        <w:t xml:space="preserve"> </w:t>
      </w:r>
      <w:r w:rsidR="004E3F80" w:rsidRPr="00E52F19">
        <w:rPr>
          <w:rFonts w:ascii="Arial Narrow" w:eastAsia="Calibri" w:hAnsi="Arial Narrow"/>
        </w:rPr>
        <w:t xml:space="preserve">sea factible su cumplimiento para años </w:t>
      </w:r>
      <w:r w:rsidR="000E3BF1">
        <w:rPr>
          <w:rFonts w:ascii="Arial Narrow" w:eastAsia="Calibri" w:hAnsi="Arial Narrow"/>
        </w:rPr>
        <w:t>posteriores</w:t>
      </w:r>
      <w:r w:rsidR="003B3FD3">
        <w:rPr>
          <w:rFonts w:ascii="Arial Narrow" w:eastAsia="Calibri" w:hAnsi="Arial Narrow"/>
        </w:rPr>
        <w:t>, como parte de</w:t>
      </w:r>
      <w:r w:rsidR="00A94ACC">
        <w:rPr>
          <w:rFonts w:ascii="Arial Narrow" w:eastAsia="Calibri" w:hAnsi="Arial Narrow"/>
        </w:rPr>
        <w:t xml:space="preserve"> l</w:t>
      </w:r>
      <w:r w:rsidR="004E3F80" w:rsidRPr="00E52F19">
        <w:rPr>
          <w:rFonts w:ascii="Arial Narrow" w:eastAsia="Calibri" w:hAnsi="Arial Narrow"/>
        </w:rPr>
        <w:t>a ejecución del PEI</w:t>
      </w:r>
      <w:r w:rsidR="00A65A4C">
        <w:rPr>
          <w:rFonts w:ascii="Arial Narrow" w:eastAsia="Calibri" w:hAnsi="Arial Narrow"/>
        </w:rPr>
        <w:t xml:space="preserve">, de acuerdo con los </w:t>
      </w:r>
      <w:r w:rsidR="00A65A4C" w:rsidRPr="003B3FD3">
        <w:rPr>
          <w:rFonts w:ascii="Arial Narrow" w:eastAsia="Calibri" w:hAnsi="Arial Narrow"/>
        </w:rPr>
        <w:t xml:space="preserve">expuesto en el </w:t>
      </w:r>
      <w:r w:rsidR="00A65A4C" w:rsidRPr="00A14152">
        <w:rPr>
          <w:rFonts w:ascii="Arial Narrow" w:eastAsia="Calibri" w:hAnsi="Arial Narrow"/>
        </w:rPr>
        <w:t>apartado</w:t>
      </w:r>
      <w:r w:rsidR="00A65A4C" w:rsidRPr="00CC279A">
        <w:rPr>
          <w:rFonts w:ascii="Arial Narrow" w:eastAsia="Calibri" w:hAnsi="Arial Narrow"/>
          <w:i/>
          <w:iCs/>
        </w:rPr>
        <w:t xml:space="preserve"> 6. Desafíos sobre metas estratégicas con nivel de cumplimiento medio y bajo</w:t>
      </w:r>
      <w:r w:rsidR="00A65A4C" w:rsidRPr="0038507F">
        <w:rPr>
          <w:rFonts w:ascii="Arial Narrow" w:eastAsia="Calibri" w:hAnsi="Arial Narrow"/>
        </w:rPr>
        <w:t>.</w:t>
      </w:r>
    </w:p>
    <w:p w14:paraId="146B18C7" w14:textId="4C15CBDB" w:rsidR="004E3F80" w:rsidRDefault="004E3F80" w:rsidP="004E3F80">
      <w:pPr>
        <w:pStyle w:val="Prrafodelista"/>
        <w:rPr>
          <w:rFonts w:ascii="Arial Narrow" w:eastAsia="Calibri" w:hAnsi="Arial Narrow"/>
        </w:rPr>
      </w:pPr>
    </w:p>
    <w:p w14:paraId="21C861EC" w14:textId="74ABAC25" w:rsidR="00D20BD1" w:rsidRDefault="00D20BD1" w:rsidP="004E3F80">
      <w:pPr>
        <w:pStyle w:val="Prrafodelista"/>
        <w:rPr>
          <w:rFonts w:ascii="Arial Narrow" w:eastAsia="Calibri" w:hAnsi="Arial Narrow"/>
        </w:rPr>
      </w:pPr>
    </w:p>
    <w:p w14:paraId="78F80B16" w14:textId="2C4FD158" w:rsidR="00D20BD1" w:rsidRPr="00F72B7A" w:rsidRDefault="00D20BD1" w:rsidP="00CC279A">
      <w:pPr>
        <w:pStyle w:val="Descripcin"/>
        <w:jc w:val="center"/>
        <w:rPr>
          <w:rFonts w:ascii="Arial Narrow" w:eastAsia="Calibri" w:hAnsi="Arial Narrow"/>
        </w:rPr>
      </w:pPr>
      <w:bookmarkStart w:id="409" w:name="_Toc84919482"/>
      <w:r w:rsidRPr="00CC279A">
        <w:rPr>
          <w:rFonts w:ascii="Arial Narrow" w:hAnsi="Arial Narrow"/>
          <w:sz w:val="24"/>
          <w:szCs w:val="24"/>
        </w:rPr>
        <w:t xml:space="preserve">Tabla </w:t>
      </w:r>
      <w:r w:rsidRPr="00CC279A">
        <w:rPr>
          <w:rFonts w:ascii="Arial Narrow" w:hAnsi="Arial Narrow"/>
          <w:sz w:val="24"/>
          <w:szCs w:val="24"/>
        </w:rPr>
        <w:fldChar w:fldCharType="begin"/>
      </w:r>
      <w:r w:rsidRPr="00CC279A">
        <w:rPr>
          <w:rFonts w:ascii="Arial Narrow" w:hAnsi="Arial Narrow"/>
          <w:sz w:val="24"/>
          <w:szCs w:val="24"/>
        </w:rPr>
        <w:instrText xml:space="preserve"> SEQ Tabla \* ARABIC </w:instrText>
      </w:r>
      <w:r w:rsidRPr="00CC279A">
        <w:rPr>
          <w:rFonts w:ascii="Arial Narrow" w:hAnsi="Arial Narrow"/>
          <w:sz w:val="24"/>
          <w:szCs w:val="24"/>
        </w:rPr>
        <w:fldChar w:fldCharType="separate"/>
      </w:r>
      <w:r w:rsidRPr="00CC279A">
        <w:rPr>
          <w:rFonts w:ascii="Arial Narrow" w:hAnsi="Arial Narrow"/>
          <w:noProof/>
          <w:sz w:val="24"/>
          <w:szCs w:val="24"/>
        </w:rPr>
        <w:t>24</w:t>
      </w:r>
      <w:r w:rsidRPr="00CC279A">
        <w:rPr>
          <w:rFonts w:ascii="Arial Narrow" w:hAnsi="Arial Narrow"/>
          <w:sz w:val="24"/>
          <w:szCs w:val="24"/>
        </w:rPr>
        <w:fldChar w:fldCharType="end"/>
      </w:r>
      <w:r w:rsidRPr="00CC279A">
        <w:rPr>
          <w:rFonts w:ascii="Arial Narrow" w:hAnsi="Arial Narrow"/>
          <w:sz w:val="24"/>
          <w:szCs w:val="24"/>
        </w:rPr>
        <w:t xml:space="preserve"> Metas estratégicas que reportaron un nivel de cumplimiento medio y bajo</w:t>
      </w:r>
      <w:bookmarkEnd w:id="409"/>
    </w:p>
    <w:p w14:paraId="1359B46C" w14:textId="77777777" w:rsidR="00357B2A" w:rsidRDefault="00357B2A" w:rsidP="004E3F80">
      <w:pPr>
        <w:pStyle w:val="Prrafodelista"/>
        <w:rPr>
          <w:rFonts w:ascii="Arial Narrow" w:eastAsia="Calibri" w:hAnsi="Arial Narrow"/>
        </w:rPr>
      </w:pPr>
    </w:p>
    <w:tbl>
      <w:tblPr>
        <w:tblW w:w="0" w:type="auto"/>
        <w:tblLayout w:type="fixed"/>
        <w:tblCellMar>
          <w:left w:w="70" w:type="dxa"/>
          <w:right w:w="70" w:type="dxa"/>
        </w:tblCellMar>
        <w:tblLook w:val="04A0" w:firstRow="1" w:lastRow="0" w:firstColumn="1" w:lastColumn="0" w:noHBand="0" w:noVBand="1"/>
      </w:tblPr>
      <w:tblGrid>
        <w:gridCol w:w="1129"/>
        <w:gridCol w:w="1134"/>
        <w:gridCol w:w="1418"/>
        <w:gridCol w:w="4204"/>
        <w:gridCol w:w="1318"/>
      </w:tblGrid>
      <w:tr w:rsidR="00357B2A" w:rsidRPr="00C83FE6" w14:paraId="4F2E0593" w14:textId="77777777" w:rsidTr="00CC279A">
        <w:trPr>
          <w:trHeight w:val="332"/>
        </w:trPr>
        <w:tc>
          <w:tcPr>
            <w:tcW w:w="1129" w:type="dxa"/>
            <w:tcBorders>
              <w:top w:val="single" w:sz="4" w:space="0" w:color="auto"/>
              <w:left w:val="single" w:sz="4" w:space="0" w:color="auto"/>
              <w:bottom w:val="single" w:sz="4" w:space="0" w:color="auto"/>
              <w:right w:val="single" w:sz="4" w:space="0" w:color="auto"/>
            </w:tcBorders>
            <w:shd w:val="clear" w:color="000000" w:fill="8EA9DB"/>
            <w:noWrap/>
            <w:vAlign w:val="center"/>
            <w:hideMark/>
          </w:tcPr>
          <w:p w14:paraId="5897F62D" w14:textId="78D38B70" w:rsidR="00C83FE6" w:rsidRPr="00704B08" w:rsidRDefault="00C83FE6">
            <w:pPr>
              <w:jc w:val="center"/>
              <w:rPr>
                <w:rFonts w:ascii="Arial Narrow" w:hAnsi="Arial Narrow" w:cs="Calibri"/>
                <w:b/>
                <w:bCs/>
                <w:color w:val="000000"/>
                <w:sz w:val="20"/>
                <w:szCs w:val="20"/>
                <w:lang w:val="es-CR" w:eastAsia="es-CR"/>
              </w:rPr>
            </w:pPr>
            <w:bookmarkStart w:id="410" w:name="_Toc52198689"/>
            <w:bookmarkStart w:id="411" w:name="_Toc52200514"/>
            <w:bookmarkStart w:id="412" w:name="_Toc52198690"/>
            <w:bookmarkStart w:id="413" w:name="_Toc52200515"/>
            <w:bookmarkStart w:id="414" w:name="_Toc52198691"/>
            <w:bookmarkStart w:id="415" w:name="_Toc52200516"/>
            <w:bookmarkStart w:id="416" w:name="_Toc52198692"/>
            <w:bookmarkStart w:id="417" w:name="_Toc52200517"/>
            <w:bookmarkStart w:id="418" w:name="_Toc52198693"/>
            <w:bookmarkStart w:id="419" w:name="_Toc52200518"/>
            <w:bookmarkStart w:id="420" w:name="_Toc52198694"/>
            <w:bookmarkStart w:id="421" w:name="_Toc52200519"/>
            <w:bookmarkStart w:id="422" w:name="_Toc52198695"/>
            <w:bookmarkStart w:id="423" w:name="_Toc52200520"/>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r w:rsidRPr="00704B08">
              <w:rPr>
                <w:rFonts w:ascii="Arial Narrow" w:hAnsi="Arial Narrow" w:cs="Calibri"/>
                <w:b/>
                <w:bCs/>
                <w:color w:val="000000"/>
                <w:sz w:val="20"/>
                <w:szCs w:val="20"/>
                <w:lang w:val="es-CR" w:eastAsia="es-CR"/>
              </w:rPr>
              <w:t>Tema Estratégic</w:t>
            </w:r>
            <w:r w:rsidRPr="00C83FE6">
              <w:rPr>
                <w:rFonts w:ascii="Arial Narrow" w:hAnsi="Arial Narrow" w:cs="Calibri"/>
                <w:b/>
                <w:bCs/>
                <w:color w:val="000000"/>
                <w:sz w:val="20"/>
                <w:szCs w:val="20"/>
                <w:lang w:val="es-CR" w:eastAsia="es-CR"/>
              </w:rPr>
              <w:t>o</w:t>
            </w:r>
          </w:p>
        </w:tc>
        <w:tc>
          <w:tcPr>
            <w:tcW w:w="1134" w:type="dxa"/>
            <w:tcBorders>
              <w:top w:val="single" w:sz="4" w:space="0" w:color="auto"/>
              <w:left w:val="nil"/>
              <w:bottom w:val="single" w:sz="4" w:space="0" w:color="auto"/>
              <w:right w:val="single" w:sz="4" w:space="0" w:color="auto"/>
            </w:tcBorders>
            <w:shd w:val="clear" w:color="000000" w:fill="8EA9DB"/>
            <w:noWrap/>
            <w:vAlign w:val="center"/>
            <w:hideMark/>
          </w:tcPr>
          <w:p w14:paraId="58CBF6EF" w14:textId="77777777" w:rsidR="00C83FE6" w:rsidRPr="00704B08" w:rsidRDefault="00C83FE6">
            <w:pPr>
              <w:jc w:val="center"/>
              <w:rPr>
                <w:rFonts w:ascii="Arial Narrow" w:hAnsi="Arial Narrow" w:cs="Calibri"/>
                <w:b/>
                <w:bCs/>
                <w:color w:val="000000"/>
                <w:sz w:val="20"/>
                <w:szCs w:val="20"/>
                <w:lang w:val="es-CR" w:eastAsia="es-CR"/>
              </w:rPr>
            </w:pPr>
            <w:r w:rsidRPr="00704B08">
              <w:rPr>
                <w:rFonts w:ascii="Arial Narrow" w:hAnsi="Arial Narrow" w:cs="Calibri"/>
                <w:b/>
                <w:bCs/>
                <w:color w:val="000000"/>
                <w:sz w:val="20"/>
                <w:szCs w:val="20"/>
                <w:lang w:val="es-CR" w:eastAsia="es-CR"/>
              </w:rPr>
              <w:t xml:space="preserve">Acción Estratégica </w:t>
            </w:r>
          </w:p>
        </w:tc>
        <w:tc>
          <w:tcPr>
            <w:tcW w:w="1418" w:type="dxa"/>
            <w:tcBorders>
              <w:top w:val="single" w:sz="4" w:space="0" w:color="auto"/>
              <w:left w:val="nil"/>
              <w:bottom w:val="single" w:sz="4" w:space="0" w:color="auto"/>
              <w:right w:val="single" w:sz="4" w:space="0" w:color="auto"/>
            </w:tcBorders>
            <w:shd w:val="clear" w:color="000000" w:fill="8EA9DB"/>
            <w:noWrap/>
            <w:vAlign w:val="center"/>
            <w:hideMark/>
          </w:tcPr>
          <w:p w14:paraId="23CD1FD1" w14:textId="77777777" w:rsidR="00C83FE6" w:rsidRPr="00704B08" w:rsidRDefault="00C83FE6">
            <w:pPr>
              <w:jc w:val="center"/>
              <w:rPr>
                <w:rFonts w:ascii="Arial Narrow" w:hAnsi="Arial Narrow" w:cs="Calibri"/>
                <w:b/>
                <w:bCs/>
                <w:color w:val="000000"/>
                <w:sz w:val="20"/>
                <w:szCs w:val="20"/>
                <w:lang w:val="es-CR" w:eastAsia="es-CR"/>
              </w:rPr>
            </w:pPr>
            <w:r w:rsidRPr="00704B08">
              <w:rPr>
                <w:rFonts w:ascii="Arial Narrow" w:hAnsi="Arial Narrow" w:cs="Calibri"/>
                <w:b/>
                <w:bCs/>
                <w:color w:val="000000"/>
                <w:sz w:val="20"/>
                <w:szCs w:val="20"/>
                <w:lang w:val="es-CR" w:eastAsia="es-CR"/>
              </w:rPr>
              <w:t xml:space="preserve">Responsable estratégico </w:t>
            </w:r>
          </w:p>
        </w:tc>
        <w:tc>
          <w:tcPr>
            <w:tcW w:w="4204" w:type="dxa"/>
            <w:tcBorders>
              <w:top w:val="single" w:sz="4" w:space="0" w:color="auto"/>
              <w:left w:val="nil"/>
              <w:bottom w:val="single" w:sz="4" w:space="0" w:color="auto"/>
              <w:right w:val="single" w:sz="4" w:space="0" w:color="auto"/>
            </w:tcBorders>
            <w:shd w:val="clear" w:color="000000" w:fill="8EA9DB"/>
            <w:noWrap/>
            <w:vAlign w:val="center"/>
            <w:hideMark/>
          </w:tcPr>
          <w:p w14:paraId="0F4A6B79" w14:textId="77777777" w:rsidR="00C83FE6" w:rsidRPr="00704B08" w:rsidRDefault="00C83FE6">
            <w:pPr>
              <w:jc w:val="center"/>
              <w:rPr>
                <w:rFonts w:ascii="Arial Narrow" w:hAnsi="Arial Narrow" w:cs="Calibri"/>
                <w:b/>
                <w:bCs/>
                <w:color w:val="000000"/>
                <w:sz w:val="20"/>
                <w:szCs w:val="20"/>
                <w:lang w:val="es-CR" w:eastAsia="es-CR"/>
              </w:rPr>
            </w:pPr>
            <w:r w:rsidRPr="00704B08">
              <w:rPr>
                <w:rFonts w:ascii="Arial Narrow" w:hAnsi="Arial Narrow" w:cs="Calibri"/>
                <w:b/>
                <w:bCs/>
                <w:color w:val="000000"/>
                <w:sz w:val="20"/>
                <w:szCs w:val="20"/>
                <w:lang w:val="es-CR" w:eastAsia="es-CR"/>
              </w:rPr>
              <w:t xml:space="preserve">Meta estratégica </w:t>
            </w:r>
          </w:p>
        </w:tc>
        <w:tc>
          <w:tcPr>
            <w:tcW w:w="1318" w:type="dxa"/>
            <w:tcBorders>
              <w:top w:val="single" w:sz="4" w:space="0" w:color="auto"/>
              <w:left w:val="nil"/>
              <w:bottom w:val="single" w:sz="4" w:space="0" w:color="auto"/>
              <w:right w:val="single" w:sz="4" w:space="0" w:color="auto"/>
            </w:tcBorders>
            <w:shd w:val="clear" w:color="000000" w:fill="8EA9DB"/>
            <w:noWrap/>
            <w:vAlign w:val="center"/>
            <w:hideMark/>
          </w:tcPr>
          <w:p w14:paraId="3509AC91" w14:textId="77777777" w:rsidR="00C83FE6" w:rsidRPr="00C02363" w:rsidRDefault="00C83FE6">
            <w:pPr>
              <w:jc w:val="center"/>
              <w:rPr>
                <w:rFonts w:ascii="Arial Narrow" w:hAnsi="Arial Narrow" w:cs="Calibri"/>
                <w:b/>
                <w:bCs/>
                <w:color w:val="000000"/>
                <w:sz w:val="20"/>
                <w:szCs w:val="20"/>
                <w:lang w:val="es-CR" w:eastAsia="es-CR"/>
              </w:rPr>
            </w:pPr>
            <w:r w:rsidRPr="00C02363">
              <w:rPr>
                <w:rFonts w:ascii="Arial Narrow" w:hAnsi="Arial Narrow" w:cs="Calibri"/>
                <w:b/>
                <w:bCs/>
                <w:color w:val="000000"/>
                <w:sz w:val="20"/>
                <w:szCs w:val="20"/>
                <w:lang w:val="es-CR" w:eastAsia="es-CR"/>
              </w:rPr>
              <w:t xml:space="preserve">Responsable Operativo </w:t>
            </w:r>
          </w:p>
        </w:tc>
      </w:tr>
      <w:tr w:rsidR="00357B2A" w:rsidRPr="00C83FE6" w14:paraId="614B3964" w14:textId="77777777" w:rsidTr="00CC279A">
        <w:trPr>
          <w:trHeight w:val="332"/>
        </w:trPr>
        <w:tc>
          <w:tcPr>
            <w:tcW w:w="1129"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2B4979A" w14:textId="15053F34" w:rsidR="00C83FE6" w:rsidRPr="00C83FE6" w:rsidRDefault="00C83FE6">
            <w:pPr>
              <w:jc w:val="center"/>
              <w:rPr>
                <w:rFonts w:ascii="Arial Narrow" w:hAnsi="Arial Narrow" w:cs="Calibri"/>
                <w:b/>
                <w:bCs/>
                <w:color w:val="000000"/>
                <w:sz w:val="20"/>
                <w:szCs w:val="20"/>
                <w:lang w:val="es-CR" w:eastAsia="es-CR"/>
              </w:rPr>
            </w:pPr>
            <w:r w:rsidRPr="00C83FE6">
              <w:rPr>
                <w:rFonts w:ascii="Arial Narrow" w:hAnsi="Arial Narrow" w:cs="Calibri"/>
                <w:b/>
                <w:bCs/>
                <w:color w:val="000000"/>
                <w:sz w:val="20"/>
                <w:szCs w:val="20"/>
                <w:lang w:val="es-CR" w:eastAsia="es-CR"/>
              </w:rPr>
              <w:t>Resolución Oportuna de Conflictos</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6528ADCF" w14:textId="7117B276" w:rsidR="00C83FE6" w:rsidRPr="00C83FE6" w:rsidRDefault="00C83FE6">
            <w:pPr>
              <w:jc w:val="center"/>
              <w:rPr>
                <w:rFonts w:ascii="Arial Narrow" w:hAnsi="Arial Narrow" w:cs="Calibri"/>
                <w:b/>
                <w:bCs/>
                <w:color w:val="000000"/>
                <w:sz w:val="20"/>
                <w:szCs w:val="20"/>
                <w:lang w:val="es-CR" w:eastAsia="es-CR"/>
              </w:rPr>
            </w:pPr>
            <w:r w:rsidRPr="00704B08">
              <w:rPr>
                <w:rFonts w:ascii="Arial Narrow" w:eastAsia="Calibri" w:hAnsi="Arial Narrow"/>
                <w:sz w:val="20"/>
                <w:szCs w:val="20"/>
              </w:rPr>
              <w:t>Celeridad Judicial</w:t>
            </w:r>
          </w:p>
        </w:tc>
        <w:tc>
          <w:tcPr>
            <w:tcW w:w="1418" w:type="dxa"/>
            <w:tcBorders>
              <w:top w:val="single" w:sz="4" w:space="0" w:color="auto"/>
              <w:left w:val="nil"/>
              <w:bottom w:val="single" w:sz="4" w:space="0" w:color="auto"/>
              <w:right w:val="single" w:sz="4" w:space="0" w:color="auto"/>
            </w:tcBorders>
            <w:shd w:val="clear" w:color="auto" w:fill="FFFFFF" w:themeFill="background1"/>
            <w:noWrap/>
            <w:vAlign w:val="center"/>
          </w:tcPr>
          <w:p w14:paraId="64A0C740" w14:textId="49B92107" w:rsidR="00C83FE6" w:rsidRPr="00704B08" w:rsidRDefault="00C83FE6">
            <w:pPr>
              <w:jc w:val="center"/>
              <w:rPr>
                <w:rFonts w:ascii="Arial Narrow" w:hAnsi="Arial Narrow" w:cs="Calibri"/>
                <w:color w:val="000000"/>
                <w:sz w:val="20"/>
                <w:szCs w:val="20"/>
                <w:lang w:val="es-CR" w:eastAsia="es-CR"/>
              </w:rPr>
            </w:pPr>
            <w:r w:rsidRPr="00704B08">
              <w:rPr>
                <w:rFonts w:ascii="Arial Narrow" w:hAnsi="Arial Narrow" w:cs="Calibri"/>
                <w:color w:val="000000"/>
                <w:sz w:val="20"/>
                <w:szCs w:val="20"/>
                <w:lang w:val="es-CR" w:eastAsia="es-CR"/>
              </w:rPr>
              <w:t>Centro de Apoyo, Coordinación y Mejoramiento de la función jurisdiccional</w:t>
            </w:r>
          </w:p>
        </w:tc>
        <w:tc>
          <w:tcPr>
            <w:tcW w:w="4204" w:type="dxa"/>
            <w:tcBorders>
              <w:top w:val="single" w:sz="4" w:space="0" w:color="auto"/>
              <w:left w:val="nil"/>
              <w:bottom w:val="single" w:sz="4" w:space="0" w:color="auto"/>
              <w:right w:val="single" w:sz="4" w:space="0" w:color="auto"/>
            </w:tcBorders>
            <w:shd w:val="clear" w:color="auto" w:fill="FFFFFF" w:themeFill="background1"/>
            <w:noWrap/>
            <w:vAlign w:val="center"/>
          </w:tcPr>
          <w:p w14:paraId="0DBBAC79" w14:textId="45FF4051" w:rsidR="00357B2A" w:rsidRDefault="00C83FE6" w:rsidP="00704B08">
            <w:pPr>
              <w:jc w:val="both"/>
              <w:rPr>
                <w:rFonts w:ascii="Arial Narrow" w:hAnsi="Arial Narrow" w:cs="Calibri"/>
                <w:color w:val="000000"/>
                <w:sz w:val="20"/>
                <w:szCs w:val="20"/>
                <w:lang w:val="es-CR" w:eastAsia="es-CR"/>
              </w:rPr>
            </w:pPr>
            <w:r w:rsidRPr="00704B08">
              <w:rPr>
                <w:rFonts w:ascii="Arial Narrow" w:hAnsi="Arial Narrow" w:cs="Calibri"/>
                <w:color w:val="000000"/>
                <w:sz w:val="20"/>
                <w:szCs w:val="20"/>
                <w:lang w:val="es-CR" w:eastAsia="es-CR"/>
              </w:rPr>
              <w:t xml:space="preserve">Las siguientes </w:t>
            </w:r>
            <w:r w:rsidR="00357B2A">
              <w:rPr>
                <w:rFonts w:ascii="Arial Narrow" w:hAnsi="Arial Narrow" w:cs="Calibri"/>
                <w:color w:val="000000"/>
                <w:sz w:val="20"/>
                <w:szCs w:val="20"/>
                <w:lang w:val="es-CR" w:eastAsia="es-CR"/>
              </w:rPr>
              <w:t>12</w:t>
            </w:r>
            <w:r w:rsidR="00357B2A" w:rsidRPr="00704B08">
              <w:rPr>
                <w:rFonts w:ascii="Arial Narrow" w:hAnsi="Arial Narrow" w:cs="Calibri"/>
                <w:color w:val="000000"/>
                <w:sz w:val="20"/>
                <w:szCs w:val="20"/>
                <w:lang w:val="es-CR" w:eastAsia="es-CR"/>
              </w:rPr>
              <w:t xml:space="preserve"> </w:t>
            </w:r>
            <w:r w:rsidRPr="00704B08">
              <w:rPr>
                <w:rFonts w:ascii="Arial Narrow" w:hAnsi="Arial Narrow" w:cs="Calibri"/>
                <w:color w:val="000000"/>
                <w:sz w:val="20"/>
                <w:szCs w:val="20"/>
                <w:lang w:val="es-CR" w:eastAsia="es-CR"/>
              </w:rPr>
              <w:t>metas estratégicas vinculadas con casos terminados se reportan con un cumplimiento medio:</w:t>
            </w:r>
          </w:p>
          <w:p w14:paraId="2F04B666" w14:textId="77777777" w:rsidR="00357B2A" w:rsidRDefault="00357B2A" w:rsidP="00704B08">
            <w:pPr>
              <w:jc w:val="both"/>
              <w:rPr>
                <w:rFonts w:ascii="Arial Narrow" w:hAnsi="Arial Narrow" w:cs="Calibri"/>
                <w:color w:val="000000"/>
                <w:sz w:val="20"/>
                <w:szCs w:val="20"/>
                <w:lang w:val="es-CR" w:eastAsia="es-CR"/>
              </w:rPr>
            </w:pPr>
          </w:p>
          <w:p w14:paraId="0783177A" w14:textId="75C46DD4" w:rsidR="00FE37A1" w:rsidRDefault="00C83FE6" w:rsidP="00357B2A">
            <w:pPr>
              <w:pStyle w:val="Prrafodelista"/>
              <w:numPr>
                <w:ilvl w:val="0"/>
                <w:numId w:val="120"/>
              </w:numPr>
              <w:jc w:val="both"/>
              <w:rPr>
                <w:rFonts w:ascii="Arial Narrow" w:hAnsi="Arial Narrow" w:cs="Calibri"/>
                <w:color w:val="000000"/>
                <w:sz w:val="20"/>
                <w:szCs w:val="20"/>
                <w:lang w:val="es-CR" w:eastAsia="es-CR"/>
              </w:rPr>
            </w:pPr>
            <w:r w:rsidRPr="00CC279A">
              <w:rPr>
                <w:rFonts w:ascii="Arial Narrow" w:hAnsi="Arial Narrow" w:cs="Calibri"/>
                <w:color w:val="000000"/>
                <w:sz w:val="20"/>
                <w:szCs w:val="20"/>
                <w:lang w:val="es-CR" w:eastAsia="es-CR"/>
              </w:rPr>
              <w:t>Que al finalizar el 2024, se haya incrementado la cantidad de casos terminados en materia de Penal juvenil por año, en primera instancia</w:t>
            </w:r>
            <w:r w:rsidR="00357B2A">
              <w:rPr>
                <w:rFonts w:ascii="Arial Narrow" w:hAnsi="Arial Narrow" w:cs="Calibri"/>
                <w:color w:val="000000"/>
                <w:sz w:val="20"/>
                <w:szCs w:val="20"/>
                <w:lang w:val="es-CR" w:eastAsia="es-CR"/>
              </w:rPr>
              <w:t>.</w:t>
            </w:r>
            <w:r w:rsidRPr="00CC279A">
              <w:rPr>
                <w:rFonts w:ascii="Arial Narrow" w:hAnsi="Arial Narrow" w:cs="Calibri"/>
                <w:color w:val="000000"/>
                <w:sz w:val="20"/>
                <w:szCs w:val="20"/>
                <w:lang w:val="es-CR" w:eastAsia="es-CR"/>
              </w:rPr>
              <w:t xml:space="preserve"> </w:t>
            </w:r>
          </w:p>
          <w:p w14:paraId="5587DD53" w14:textId="77777777" w:rsidR="00357B2A" w:rsidRPr="00CC279A" w:rsidRDefault="00357B2A" w:rsidP="00CC279A">
            <w:pPr>
              <w:pStyle w:val="Prrafodelista"/>
              <w:ind w:left="405"/>
              <w:jc w:val="both"/>
              <w:rPr>
                <w:rFonts w:ascii="Arial Narrow" w:hAnsi="Arial Narrow" w:cs="Calibri"/>
                <w:color w:val="000000"/>
                <w:sz w:val="20"/>
                <w:szCs w:val="20"/>
                <w:lang w:val="es-CR" w:eastAsia="es-CR"/>
              </w:rPr>
            </w:pPr>
          </w:p>
          <w:p w14:paraId="64015404" w14:textId="200B503D" w:rsidR="00FE37A1" w:rsidRDefault="00FE37A1" w:rsidP="00704B08">
            <w:pPr>
              <w:jc w:val="both"/>
              <w:rPr>
                <w:rFonts w:ascii="Arial Narrow" w:hAnsi="Arial Narrow" w:cs="Calibri"/>
                <w:color w:val="000000"/>
                <w:sz w:val="20"/>
                <w:szCs w:val="20"/>
                <w:lang w:val="es-CR" w:eastAsia="es-CR"/>
              </w:rPr>
            </w:pPr>
          </w:p>
          <w:p w14:paraId="6D11F785" w14:textId="77777777" w:rsidR="00C02363" w:rsidRDefault="00C02363" w:rsidP="00704B08">
            <w:pPr>
              <w:jc w:val="both"/>
              <w:rPr>
                <w:rFonts w:ascii="Arial Narrow" w:hAnsi="Arial Narrow" w:cs="Calibri"/>
                <w:color w:val="000000"/>
                <w:sz w:val="20"/>
                <w:szCs w:val="20"/>
                <w:lang w:val="es-CR" w:eastAsia="es-CR"/>
              </w:rPr>
            </w:pPr>
          </w:p>
          <w:p w14:paraId="1AE220FF" w14:textId="0BB65382" w:rsidR="00FE37A1" w:rsidRDefault="00C83FE6" w:rsidP="00357B2A">
            <w:pPr>
              <w:pStyle w:val="Prrafodelista"/>
              <w:numPr>
                <w:ilvl w:val="0"/>
                <w:numId w:val="120"/>
              </w:numPr>
              <w:jc w:val="both"/>
              <w:rPr>
                <w:rFonts w:ascii="Arial Narrow" w:hAnsi="Arial Narrow" w:cs="Calibri"/>
                <w:color w:val="000000"/>
                <w:sz w:val="20"/>
                <w:szCs w:val="20"/>
                <w:lang w:val="es-CR" w:eastAsia="es-CR"/>
              </w:rPr>
            </w:pPr>
            <w:r w:rsidRPr="00CC279A">
              <w:rPr>
                <w:rFonts w:ascii="Arial Narrow" w:hAnsi="Arial Narrow" w:cs="Calibri"/>
                <w:color w:val="000000"/>
                <w:sz w:val="20"/>
                <w:szCs w:val="20"/>
                <w:lang w:val="es-CR" w:eastAsia="es-CR"/>
              </w:rPr>
              <w:t>Que al finalizar el 2024, se haya incrementado la cantidad de casos terminados en materia de Tránsito por año, en primera instancia</w:t>
            </w:r>
            <w:r w:rsidR="00357B2A">
              <w:rPr>
                <w:rFonts w:ascii="Arial Narrow" w:hAnsi="Arial Narrow" w:cs="Calibri"/>
                <w:color w:val="000000"/>
                <w:sz w:val="20"/>
                <w:szCs w:val="20"/>
                <w:lang w:val="es-CR" w:eastAsia="es-CR"/>
              </w:rPr>
              <w:t>.</w:t>
            </w:r>
          </w:p>
          <w:p w14:paraId="0311DEFD" w14:textId="620AF2FC" w:rsidR="00357B2A" w:rsidRDefault="00357B2A" w:rsidP="00CC279A">
            <w:pPr>
              <w:pStyle w:val="Prrafodelista"/>
              <w:ind w:left="405"/>
              <w:jc w:val="both"/>
              <w:rPr>
                <w:rFonts w:ascii="Arial Narrow" w:hAnsi="Arial Narrow" w:cs="Calibri"/>
                <w:color w:val="000000"/>
                <w:sz w:val="20"/>
                <w:szCs w:val="20"/>
                <w:lang w:val="es-CR" w:eastAsia="es-CR"/>
              </w:rPr>
            </w:pPr>
          </w:p>
          <w:p w14:paraId="59189B51" w14:textId="77777777" w:rsidR="00C02363" w:rsidRPr="00CC279A" w:rsidRDefault="00C02363" w:rsidP="00CC279A">
            <w:pPr>
              <w:pStyle w:val="Prrafodelista"/>
              <w:ind w:left="405"/>
              <w:jc w:val="both"/>
              <w:rPr>
                <w:rFonts w:ascii="Arial Narrow" w:hAnsi="Arial Narrow" w:cs="Calibri"/>
                <w:color w:val="000000"/>
                <w:sz w:val="20"/>
                <w:szCs w:val="20"/>
                <w:lang w:val="es-CR" w:eastAsia="es-CR"/>
              </w:rPr>
            </w:pPr>
          </w:p>
          <w:p w14:paraId="7BC7460D" w14:textId="77777777" w:rsidR="00FE37A1" w:rsidRDefault="00FE37A1" w:rsidP="00704B08">
            <w:pPr>
              <w:jc w:val="both"/>
              <w:rPr>
                <w:rFonts w:ascii="Arial Narrow" w:hAnsi="Arial Narrow" w:cs="Calibri"/>
                <w:color w:val="000000"/>
                <w:sz w:val="20"/>
                <w:szCs w:val="20"/>
                <w:lang w:val="es-CR" w:eastAsia="es-CR"/>
              </w:rPr>
            </w:pPr>
          </w:p>
          <w:p w14:paraId="3168E1EE" w14:textId="6CAE4E82" w:rsidR="00FE37A1" w:rsidRPr="00CC279A" w:rsidRDefault="00C83FE6" w:rsidP="00CC279A">
            <w:pPr>
              <w:pStyle w:val="Prrafodelista"/>
              <w:numPr>
                <w:ilvl w:val="0"/>
                <w:numId w:val="120"/>
              </w:numPr>
              <w:jc w:val="both"/>
              <w:rPr>
                <w:rFonts w:ascii="Arial Narrow" w:hAnsi="Arial Narrow" w:cs="Calibri"/>
                <w:color w:val="000000"/>
                <w:sz w:val="20"/>
                <w:szCs w:val="20"/>
                <w:lang w:val="es-CR" w:eastAsia="es-CR"/>
              </w:rPr>
            </w:pPr>
            <w:r w:rsidRPr="00CC279A">
              <w:rPr>
                <w:rFonts w:ascii="Arial Narrow" w:hAnsi="Arial Narrow" w:cs="Calibri"/>
                <w:color w:val="000000"/>
                <w:sz w:val="20"/>
                <w:szCs w:val="20"/>
                <w:lang w:val="es-CR" w:eastAsia="es-CR"/>
              </w:rPr>
              <w:t>Que al finalizar el 2024, se haya incrementado la cantidad de casos terminados en materia Notarial anualmente</w:t>
            </w:r>
            <w:r w:rsidR="00357B2A">
              <w:rPr>
                <w:rFonts w:ascii="Arial Narrow" w:hAnsi="Arial Narrow" w:cs="Calibri"/>
                <w:color w:val="000000"/>
                <w:sz w:val="20"/>
                <w:szCs w:val="20"/>
                <w:lang w:val="es-CR" w:eastAsia="es-CR"/>
              </w:rPr>
              <w:t>.</w:t>
            </w:r>
            <w:r w:rsidRPr="00CC279A">
              <w:rPr>
                <w:rFonts w:ascii="Arial Narrow" w:hAnsi="Arial Narrow" w:cs="Calibri"/>
                <w:color w:val="000000"/>
                <w:sz w:val="20"/>
                <w:szCs w:val="20"/>
                <w:lang w:val="es-CR" w:eastAsia="es-CR"/>
              </w:rPr>
              <w:t xml:space="preserve"> </w:t>
            </w:r>
          </w:p>
          <w:p w14:paraId="45A0F159" w14:textId="720CC454" w:rsidR="00FE37A1" w:rsidRDefault="00FE37A1" w:rsidP="00704B08">
            <w:pPr>
              <w:jc w:val="both"/>
              <w:rPr>
                <w:rFonts w:ascii="Arial Narrow" w:hAnsi="Arial Narrow" w:cs="Calibri"/>
                <w:color w:val="000000"/>
                <w:sz w:val="20"/>
                <w:szCs w:val="20"/>
                <w:lang w:val="es-CR" w:eastAsia="es-CR"/>
              </w:rPr>
            </w:pPr>
          </w:p>
          <w:p w14:paraId="6ED4CED6" w14:textId="750FDF8D" w:rsidR="00C02363" w:rsidRDefault="00C02363" w:rsidP="00704B08">
            <w:pPr>
              <w:jc w:val="both"/>
              <w:rPr>
                <w:rFonts w:ascii="Arial Narrow" w:hAnsi="Arial Narrow" w:cs="Calibri"/>
                <w:color w:val="000000"/>
                <w:sz w:val="20"/>
                <w:szCs w:val="20"/>
                <w:lang w:val="es-CR" w:eastAsia="es-CR"/>
              </w:rPr>
            </w:pPr>
          </w:p>
          <w:p w14:paraId="7D000F24" w14:textId="77777777" w:rsidR="00C02363" w:rsidRDefault="00C02363" w:rsidP="00704B08">
            <w:pPr>
              <w:jc w:val="both"/>
              <w:rPr>
                <w:rFonts w:ascii="Arial Narrow" w:hAnsi="Arial Narrow" w:cs="Calibri"/>
                <w:color w:val="000000"/>
                <w:sz w:val="20"/>
                <w:szCs w:val="20"/>
                <w:lang w:val="es-CR" w:eastAsia="es-CR"/>
              </w:rPr>
            </w:pPr>
          </w:p>
          <w:p w14:paraId="3C300A6B" w14:textId="77777777" w:rsidR="00357B2A" w:rsidRDefault="00C83FE6" w:rsidP="00357B2A">
            <w:pPr>
              <w:pStyle w:val="Prrafodelista"/>
              <w:numPr>
                <w:ilvl w:val="0"/>
                <w:numId w:val="120"/>
              </w:numPr>
              <w:jc w:val="both"/>
              <w:rPr>
                <w:rFonts w:ascii="Arial Narrow" w:hAnsi="Arial Narrow" w:cs="Calibri"/>
                <w:color w:val="000000"/>
                <w:sz w:val="20"/>
                <w:szCs w:val="20"/>
                <w:lang w:val="es-CR" w:eastAsia="es-CR"/>
              </w:rPr>
            </w:pPr>
            <w:r w:rsidRPr="00CC279A">
              <w:rPr>
                <w:rFonts w:ascii="Arial Narrow" w:hAnsi="Arial Narrow" w:cs="Calibri"/>
                <w:color w:val="000000"/>
                <w:sz w:val="20"/>
                <w:szCs w:val="20"/>
                <w:lang w:val="es-CR" w:eastAsia="es-CR"/>
              </w:rPr>
              <w:t>Que al finalizar el 2024, se haya incrementado la cantidad de casos terminados en materia Penal Juvenil por año, en segunda instancia</w:t>
            </w:r>
            <w:r w:rsidR="00357B2A">
              <w:rPr>
                <w:rFonts w:ascii="Arial Narrow" w:hAnsi="Arial Narrow" w:cs="Calibri"/>
                <w:color w:val="000000"/>
                <w:sz w:val="20"/>
                <w:szCs w:val="20"/>
                <w:lang w:val="es-CR" w:eastAsia="es-CR"/>
              </w:rPr>
              <w:t>.</w:t>
            </w:r>
          </w:p>
          <w:p w14:paraId="30FAE81A" w14:textId="77777777" w:rsidR="00315FFA" w:rsidRDefault="00315FFA" w:rsidP="00315FFA">
            <w:pPr>
              <w:pStyle w:val="Prrafodelista"/>
              <w:rPr>
                <w:rFonts w:ascii="Arial Narrow" w:hAnsi="Arial Narrow" w:cs="Calibri"/>
                <w:color w:val="000000"/>
                <w:sz w:val="20"/>
                <w:szCs w:val="20"/>
                <w:lang w:val="es-CR" w:eastAsia="es-CR"/>
              </w:rPr>
            </w:pPr>
          </w:p>
          <w:p w14:paraId="4D0FD466" w14:textId="77777777" w:rsidR="00CF2478" w:rsidRDefault="00CF2478" w:rsidP="00CF2478">
            <w:pPr>
              <w:pStyle w:val="Prrafodelista"/>
              <w:rPr>
                <w:rFonts w:ascii="Arial Narrow" w:hAnsi="Arial Narrow" w:cs="Calibri"/>
                <w:color w:val="000000"/>
                <w:sz w:val="20"/>
                <w:szCs w:val="20"/>
                <w:lang w:val="es-CR" w:eastAsia="es-CR"/>
              </w:rPr>
            </w:pPr>
          </w:p>
          <w:p w14:paraId="1A0C8756" w14:textId="29571008" w:rsidR="00357B2A" w:rsidRDefault="00357B2A" w:rsidP="00357B2A">
            <w:pPr>
              <w:pStyle w:val="Prrafodelista"/>
              <w:rPr>
                <w:rFonts w:ascii="Arial Narrow" w:hAnsi="Arial Narrow" w:cs="Calibri"/>
                <w:color w:val="000000"/>
                <w:sz w:val="20"/>
                <w:szCs w:val="20"/>
                <w:lang w:val="es-CR" w:eastAsia="es-CR"/>
              </w:rPr>
            </w:pPr>
          </w:p>
          <w:p w14:paraId="0C0EDD0C" w14:textId="49984405" w:rsidR="00357B2A" w:rsidRDefault="00357B2A" w:rsidP="00357B2A">
            <w:pPr>
              <w:pStyle w:val="Prrafodelista"/>
              <w:rPr>
                <w:rFonts w:ascii="Arial Narrow" w:hAnsi="Arial Narrow" w:cs="Calibri"/>
                <w:color w:val="000000"/>
                <w:sz w:val="20"/>
                <w:szCs w:val="20"/>
                <w:lang w:val="es-CR" w:eastAsia="es-CR"/>
              </w:rPr>
            </w:pPr>
          </w:p>
          <w:p w14:paraId="7176531F" w14:textId="77777777" w:rsidR="00357B2A" w:rsidRPr="00CC279A" w:rsidRDefault="00357B2A" w:rsidP="00CC279A">
            <w:pPr>
              <w:pStyle w:val="Prrafodelista"/>
              <w:rPr>
                <w:rFonts w:ascii="Arial Narrow" w:hAnsi="Arial Narrow" w:cs="Calibri"/>
                <w:color w:val="000000"/>
                <w:sz w:val="20"/>
                <w:szCs w:val="20"/>
                <w:lang w:val="es-CR" w:eastAsia="es-CR"/>
              </w:rPr>
            </w:pPr>
          </w:p>
          <w:p w14:paraId="3D475C4D" w14:textId="7AE005D8" w:rsidR="00357B2A" w:rsidRDefault="00C83FE6" w:rsidP="00357B2A">
            <w:pPr>
              <w:pStyle w:val="Prrafodelista"/>
              <w:numPr>
                <w:ilvl w:val="0"/>
                <w:numId w:val="120"/>
              </w:numPr>
              <w:jc w:val="both"/>
              <w:rPr>
                <w:rFonts w:ascii="Arial Narrow" w:hAnsi="Arial Narrow" w:cs="Calibri"/>
                <w:color w:val="000000"/>
                <w:sz w:val="20"/>
                <w:szCs w:val="20"/>
                <w:lang w:val="es-CR" w:eastAsia="es-CR"/>
              </w:rPr>
            </w:pPr>
            <w:r w:rsidRPr="00CC279A">
              <w:rPr>
                <w:rFonts w:ascii="Arial Narrow" w:hAnsi="Arial Narrow" w:cs="Calibri"/>
                <w:color w:val="000000"/>
                <w:sz w:val="20"/>
                <w:szCs w:val="20"/>
                <w:lang w:val="es-CR" w:eastAsia="es-CR"/>
              </w:rPr>
              <w:lastRenderedPageBreak/>
              <w:t>Que al finalizar el 2024, se haya incrementado la cantidad de casos terminados en materia Agraria por año, en segunda instancia</w:t>
            </w:r>
            <w:r w:rsidR="00357B2A">
              <w:rPr>
                <w:rFonts w:ascii="Arial Narrow" w:hAnsi="Arial Narrow" w:cs="Calibri"/>
                <w:color w:val="000000"/>
                <w:sz w:val="20"/>
                <w:szCs w:val="20"/>
                <w:lang w:val="es-CR" w:eastAsia="es-CR"/>
              </w:rPr>
              <w:t>.</w:t>
            </w:r>
          </w:p>
          <w:p w14:paraId="75ACDD72" w14:textId="63A6530B" w:rsidR="00357B2A" w:rsidRDefault="00357B2A" w:rsidP="00357B2A">
            <w:pPr>
              <w:pStyle w:val="Prrafodelista"/>
              <w:rPr>
                <w:rFonts w:ascii="Arial Narrow" w:hAnsi="Arial Narrow" w:cs="Calibri"/>
                <w:color w:val="000000"/>
                <w:sz w:val="20"/>
                <w:szCs w:val="20"/>
                <w:lang w:val="es-CR" w:eastAsia="es-CR"/>
              </w:rPr>
            </w:pPr>
          </w:p>
          <w:p w14:paraId="7ECCC16E" w14:textId="45D82378" w:rsidR="00357B2A" w:rsidRDefault="00357B2A" w:rsidP="00357B2A">
            <w:pPr>
              <w:pStyle w:val="Prrafodelista"/>
              <w:rPr>
                <w:rFonts w:ascii="Arial Narrow" w:hAnsi="Arial Narrow" w:cs="Calibri"/>
                <w:color w:val="000000"/>
                <w:sz w:val="20"/>
                <w:szCs w:val="20"/>
                <w:lang w:val="es-CR" w:eastAsia="es-CR"/>
              </w:rPr>
            </w:pPr>
          </w:p>
          <w:p w14:paraId="0FD5919B" w14:textId="77777777" w:rsidR="00C02363" w:rsidRDefault="00C02363" w:rsidP="00357B2A">
            <w:pPr>
              <w:pStyle w:val="Prrafodelista"/>
              <w:rPr>
                <w:rFonts w:ascii="Arial Narrow" w:hAnsi="Arial Narrow" w:cs="Calibri"/>
                <w:color w:val="000000"/>
                <w:sz w:val="20"/>
                <w:szCs w:val="20"/>
                <w:lang w:val="es-CR" w:eastAsia="es-CR"/>
              </w:rPr>
            </w:pPr>
          </w:p>
          <w:p w14:paraId="285A5160" w14:textId="77777777" w:rsidR="00357B2A" w:rsidRPr="00CC279A" w:rsidRDefault="00357B2A" w:rsidP="00CC279A">
            <w:pPr>
              <w:pStyle w:val="Prrafodelista"/>
              <w:rPr>
                <w:rFonts w:ascii="Arial Narrow" w:hAnsi="Arial Narrow" w:cs="Calibri"/>
                <w:color w:val="000000"/>
                <w:sz w:val="20"/>
                <w:szCs w:val="20"/>
                <w:lang w:val="es-CR" w:eastAsia="es-CR"/>
              </w:rPr>
            </w:pPr>
          </w:p>
          <w:p w14:paraId="38514A4D" w14:textId="77777777" w:rsidR="00357B2A" w:rsidRDefault="00C83FE6" w:rsidP="00357B2A">
            <w:pPr>
              <w:pStyle w:val="Prrafodelista"/>
              <w:numPr>
                <w:ilvl w:val="0"/>
                <w:numId w:val="120"/>
              </w:numPr>
              <w:jc w:val="both"/>
              <w:rPr>
                <w:rFonts w:ascii="Arial Narrow" w:hAnsi="Arial Narrow" w:cs="Calibri"/>
                <w:color w:val="000000"/>
                <w:sz w:val="20"/>
                <w:szCs w:val="20"/>
                <w:lang w:val="es-CR" w:eastAsia="es-CR"/>
              </w:rPr>
            </w:pPr>
            <w:r w:rsidRPr="00CC279A">
              <w:rPr>
                <w:rFonts w:ascii="Arial Narrow" w:hAnsi="Arial Narrow" w:cs="Calibri"/>
                <w:color w:val="000000"/>
                <w:sz w:val="20"/>
                <w:szCs w:val="20"/>
                <w:lang w:val="es-CR" w:eastAsia="es-CR"/>
              </w:rPr>
              <w:t xml:space="preserve"> Que al finalizar el 2024, se haya incrementado la cantidad de casos terminados en materia Laboral por año, en segunda instancia</w:t>
            </w:r>
            <w:r w:rsidR="00357B2A">
              <w:rPr>
                <w:rFonts w:ascii="Arial Narrow" w:hAnsi="Arial Narrow" w:cs="Calibri"/>
                <w:color w:val="000000"/>
                <w:sz w:val="20"/>
                <w:szCs w:val="20"/>
                <w:lang w:val="es-CR" w:eastAsia="es-CR"/>
              </w:rPr>
              <w:t>.</w:t>
            </w:r>
          </w:p>
          <w:p w14:paraId="219C4A76" w14:textId="116E120F" w:rsidR="00357B2A" w:rsidRDefault="00357B2A" w:rsidP="00357B2A">
            <w:pPr>
              <w:pStyle w:val="Prrafodelista"/>
              <w:rPr>
                <w:rFonts w:ascii="Arial Narrow" w:hAnsi="Arial Narrow" w:cs="Calibri"/>
                <w:color w:val="000000"/>
                <w:sz w:val="20"/>
                <w:szCs w:val="20"/>
                <w:lang w:val="es-CR" w:eastAsia="es-CR"/>
              </w:rPr>
            </w:pPr>
          </w:p>
          <w:p w14:paraId="46B783E5" w14:textId="0F3FA713" w:rsidR="00357B2A" w:rsidRDefault="00357B2A" w:rsidP="00357B2A">
            <w:pPr>
              <w:pStyle w:val="Prrafodelista"/>
              <w:rPr>
                <w:rFonts w:ascii="Arial Narrow" w:hAnsi="Arial Narrow" w:cs="Calibri"/>
                <w:color w:val="000000"/>
                <w:sz w:val="20"/>
                <w:szCs w:val="20"/>
                <w:lang w:val="es-CR" w:eastAsia="es-CR"/>
              </w:rPr>
            </w:pPr>
          </w:p>
          <w:p w14:paraId="17F94D7C" w14:textId="77777777" w:rsidR="00C02363" w:rsidRDefault="00C02363" w:rsidP="00357B2A">
            <w:pPr>
              <w:pStyle w:val="Prrafodelista"/>
              <w:rPr>
                <w:rFonts w:ascii="Arial Narrow" w:hAnsi="Arial Narrow" w:cs="Calibri"/>
                <w:color w:val="000000"/>
                <w:sz w:val="20"/>
                <w:szCs w:val="20"/>
                <w:lang w:val="es-CR" w:eastAsia="es-CR"/>
              </w:rPr>
            </w:pPr>
          </w:p>
          <w:p w14:paraId="6F7D2404" w14:textId="77777777" w:rsidR="00357B2A" w:rsidRPr="00CC279A" w:rsidRDefault="00357B2A" w:rsidP="00CC279A">
            <w:pPr>
              <w:pStyle w:val="Prrafodelista"/>
              <w:rPr>
                <w:rFonts w:ascii="Arial Narrow" w:hAnsi="Arial Narrow" w:cs="Calibri"/>
                <w:color w:val="000000"/>
                <w:sz w:val="20"/>
                <w:szCs w:val="20"/>
                <w:lang w:val="es-CR" w:eastAsia="es-CR"/>
              </w:rPr>
            </w:pPr>
          </w:p>
          <w:p w14:paraId="7FC7B29D" w14:textId="7F4D3477" w:rsidR="00357B2A" w:rsidRDefault="00C83FE6" w:rsidP="00357B2A">
            <w:pPr>
              <w:pStyle w:val="Prrafodelista"/>
              <w:numPr>
                <w:ilvl w:val="0"/>
                <w:numId w:val="120"/>
              </w:numPr>
              <w:jc w:val="both"/>
              <w:rPr>
                <w:rFonts w:ascii="Arial Narrow" w:hAnsi="Arial Narrow" w:cs="Calibri"/>
                <w:color w:val="000000"/>
                <w:sz w:val="20"/>
                <w:szCs w:val="20"/>
                <w:lang w:val="es-CR" w:eastAsia="es-CR"/>
              </w:rPr>
            </w:pPr>
            <w:r w:rsidRPr="00CC279A">
              <w:rPr>
                <w:rFonts w:ascii="Arial Narrow" w:hAnsi="Arial Narrow" w:cs="Calibri"/>
                <w:color w:val="000000"/>
                <w:sz w:val="20"/>
                <w:szCs w:val="20"/>
                <w:lang w:val="es-CR" w:eastAsia="es-CR"/>
              </w:rPr>
              <w:t>Que al finalizar el 2024, se haya incrementado la cantidad de casos terminados en materia de Tránsito por año, en segunda instancia</w:t>
            </w:r>
            <w:r w:rsidR="00357B2A">
              <w:rPr>
                <w:rFonts w:ascii="Arial Narrow" w:hAnsi="Arial Narrow" w:cs="Calibri"/>
                <w:color w:val="000000"/>
                <w:sz w:val="20"/>
                <w:szCs w:val="20"/>
                <w:lang w:val="es-CR" w:eastAsia="es-CR"/>
              </w:rPr>
              <w:t>.</w:t>
            </w:r>
          </w:p>
          <w:p w14:paraId="2B1C2A7F" w14:textId="08C0228D" w:rsidR="00357B2A" w:rsidRDefault="00357B2A" w:rsidP="00357B2A">
            <w:pPr>
              <w:pStyle w:val="Prrafodelista"/>
              <w:rPr>
                <w:rFonts w:ascii="Arial Narrow" w:hAnsi="Arial Narrow" w:cs="Calibri"/>
                <w:color w:val="000000"/>
                <w:sz w:val="20"/>
                <w:szCs w:val="20"/>
                <w:lang w:val="es-CR" w:eastAsia="es-CR"/>
              </w:rPr>
            </w:pPr>
          </w:p>
          <w:p w14:paraId="4DFA3059" w14:textId="521E4FC2" w:rsidR="00357B2A" w:rsidRDefault="00357B2A" w:rsidP="00357B2A">
            <w:pPr>
              <w:pStyle w:val="Prrafodelista"/>
              <w:rPr>
                <w:rFonts w:ascii="Arial Narrow" w:hAnsi="Arial Narrow" w:cs="Calibri"/>
                <w:color w:val="000000"/>
                <w:sz w:val="20"/>
                <w:szCs w:val="20"/>
                <w:lang w:val="es-CR" w:eastAsia="es-CR"/>
              </w:rPr>
            </w:pPr>
          </w:p>
          <w:p w14:paraId="6FE6AAC7" w14:textId="7F32844F" w:rsidR="00C02363" w:rsidRDefault="00C02363" w:rsidP="00357B2A">
            <w:pPr>
              <w:pStyle w:val="Prrafodelista"/>
              <w:rPr>
                <w:rFonts w:ascii="Arial Narrow" w:hAnsi="Arial Narrow" w:cs="Calibri"/>
                <w:color w:val="000000"/>
                <w:sz w:val="20"/>
                <w:szCs w:val="20"/>
                <w:lang w:val="es-CR" w:eastAsia="es-CR"/>
              </w:rPr>
            </w:pPr>
          </w:p>
          <w:p w14:paraId="500AB9D1" w14:textId="77777777" w:rsidR="00C02363" w:rsidRDefault="00C02363" w:rsidP="00357B2A">
            <w:pPr>
              <w:pStyle w:val="Prrafodelista"/>
              <w:rPr>
                <w:rFonts w:ascii="Arial Narrow" w:hAnsi="Arial Narrow" w:cs="Calibri"/>
                <w:color w:val="000000"/>
                <w:sz w:val="20"/>
                <w:szCs w:val="20"/>
                <w:lang w:val="es-CR" w:eastAsia="es-CR"/>
              </w:rPr>
            </w:pPr>
          </w:p>
          <w:p w14:paraId="0230A6BF" w14:textId="77777777" w:rsidR="00357B2A" w:rsidRPr="00CC279A" w:rsidRDefault="00357B2A" w:rsidP="00CC279A">
            <w:pPr>
              <w:pStyle w:val="Prrafodelista"/>
              <w:rPr>
                <w:rFonts w:ascii="Arial Narrow" w:hAnsi="Arial Narrow" w:cs="Calibri"/>
                <w:color w:val="000000"/>
                <w:sz w:val="20"/>
                <w:szCs w:val="20"/>
                <w:lang w:val="es-CR" w:eastAsia="es-CR"/>
              </w:rPr>
            </w:pPr>
          </w:p>
          <w:p w14:paraId="4A6F7F4E" w14:textId="4FE2A2F4" w:rsidR="00357B2A" w:rsidRDefault="00C83FE6" w:rsidP="00357B2A">
            <w:pPr>
              <w:pStyle w:val="Prrafodelista"/>
              <w:numPr>
                <w:ilvl w:val="0"/>
                <w:numId w:val="120"/>
              </w:numPr>
              <w:jc w:val="both"/>
              <w:rPr>
                <w:rFonts w:ascii="Arial Narrow" w:hAnsi="Arial Narrow" w:cs="Calibri"/>
                <w:color w:val="000000"/>
                <w:sz w:val="20"/>
                <w:szCs w:val="20"/>
                <w:lang w:val="es-CR" w:eastAsia="es-CR"/>
              </w:rPr>
            </w:pPr>
            <w:r w:rsidRPr="00CC279A">
              <w:rPr>
                <w:rFonts w:ascii="Arial Narrow" w:hAnsi="Arial Narrow" w:cs="Calibri"/>
                <w:color w:val="000000"/>
                <w:sz w:val="20"/>
                <w:szCs w:val="20"/>
                <w:lang w:val="es-CR" w:eastAsia="es-CR"/>
              </w:rPr>
              <w:t xml:space="preserve"> Que al finalizar el 2024, se haya incrementado la cantidad de casos terminados en materia Familia por año, en primera instancia</w:t>
            </w:r>
            <w:r w:rsidR="00357B2A">
              <w:rPr>
                <w:rFonts w:ascii="Arial Narrow" w:hAnsi="Arial Narrow" w:cs="Calibri"/>
                <w:color w:val="000000"/>
                <w:sz w:val="20"/>
                <w:szCs w:val="20"/>
                <w:lang w:val="es-CR" w:eastAsia="es-CR"/>
              </w:rPr>
              <w:t>.</w:t>
            </w:r>
          </w:p>
          <w:p w14:paraId="3273B771" w14:textId="7FC5CB47" w:rsidR="00357B2A" w:rsidRDefault="00357B2A" w:rsidP="00357B2A">
            <w:pPr>
              <w:pStyle w:val="Prrafodelista"/>
              <w:rPr>
                <w:rFonts w:ascii="Arial Narrow" w:hAnsi="Arial Narrow" w:cs="Calibri"/>
                <w:color w:val="000000"/>
                <w:sz w:val="20"/>
                <w:szCs w:val="20"/>
                <w:lang w:val="es-CR" w:eastAsia="es-CR"/>
              </w:rPr>
            </w:pPr>
          </w:p>
          <w:p w14:paraId="621459B4" w14:textId="7567A449" w:rsidR="00357B2A" w:rsidRDefault="00357B2A" w:rsidP="00357B2A">
            <w:pPr>
              <w:pStyle w:val="Prrafodelista"/>
              <w:rPr>
                <w:rFonts w:ascii="Arial Narrow" w:hAnsi="Arial Narrow" w:cs="Calibri"/>
                <w:color w:val="000000"/>
                <w:sz w:val="20"/>
                <w:szCs w:val="20"/>
                <w:lang w:val="es-CR" w:eastAsia="es-CR"/>
              </w:rPr>
            </w:pPr>
          </w:p>
          <w:p w14:paraId="62B5A218" w14:textId="77777777" w:rsidR="00C02363" w:rsidRDefault="00C02363" w:rsidP="00357B2A">
            <w:pPr>
              <w:pStyle w:val="Prrafodelista"/>
              <w:rPr>
                <w:rFonts w:ascii="Arial Narrow" w:hAnsi="Arial Narrow" w:cs="Calibri"/>
                <w:color w:val="000000"/>
                <w:sz w:val="20"/>
                <w:szCs w:val="20"/>
                <w:lang w:val="es-CR" w:eastAsia="es-CR"/>
              </w:rPr>
            </w:pPr>
          </w:p>
          <w:p w14:paraId="1072463E" w14:textId="096A67A0" w:rsidR="00357B2A" w:rsidRDefault="00357B2A" w:rsidP="00357B2A">
            <w:pPr>
              <w:pStyle w:val="Prrafodelista"/>
              <w:rPr>
                <w:rFonts w:ascii="Arial Narrow" w:hAnsi="Arial Narrow" w:cs="Calibri"/>
                <w:color w:val="000000"/>
                <w:sz w:val="20"/>
                <w:szCs w:val="20"/>
                <w:lang w:val="es-CR" w:eastAsia="es-CR"/>
              </w:rPr>
            </w:pPr>
          </w:p>
          <w:p w14:paraId="52162962" w14:textId="77777777" w:rsidR="00357B2A" w:rsidRPr="00CC279A" w:rsidRDefault="00357B2A" w:rsidP="00CC279A">
            <w:pPr>
              <w:pStyle w:val="Prrafodelista"/>
              <w:rPr>
                <w:rFonts w:ascii="Arial Narrow" w:hAnsi="Arial Narrow" w:cs="Calibri"/>
                <w:color w:val="000000"/>
                <w:sz w:val="20"/>
                <w:szCs w:val="20"/>
                <w:lang w:val="es-CR" w:eastAsia="es-CR"/>
              </w:rPr>
            </w:pPr>
          </w:p>
          <w:p w14:paraId="6253145D" w14:textId="44924FDE" w:rsidR="00357B2A" w:rsidRDefault="00C83FE6" w:rsidP="00357B2A">
            <w:pPr>
              <w:pStyle w:val="Prrafodelista"/>
              <w:numPr>
                <w:ilvl w:val="0"/>
                <w:numId w:val="120"/>
              </w:numPr>
              <w:jc w:val="both"/>
              <w:rPr>
                <w:rFonts w:ascii="Arial Narrow" w:hAnsi="Arial Narrow" w:cs="Calibri"/>
                <w:color w:val="000000"/>
                <w:sz w:val="20"/>
                <w:szCs w:val="20"/>
                <w:lang w:val="es-CR" w:eastAsia="es-CR"/>
              </w:rPr>
            </w:pPr>
            <w:r w:rsidRPr="00CC279A">
              <w:rPr>
                <w:rFonts w:ascii="Arial Narrow" w:hAnsi="Arial Narrow" w:cs="Calibri"/>
                <w:color w:val="000000"/>
                <w:sz w:val="20"/>
                <w:szCs w:val="20"/>
                <w:lang w:val="es-CR" w:eastAsia="es-CR"/>
              </w:rPr>
              <w:t xml:space="preserve"> Que al finalizar el 2024, se haya incrementado la cantidad de casos terminados en materia Contenciosa por año, en primera instancia</w:t>
            </w:r>
            <w:r w:rsidR="00357B2A">
              <w:rPr>
                <w:rFonts w:ascii="Arial Narrow" w:hAnsi="Arial Narrow" w:cs="Calibri"/>
                <w:color w:val="000000"/>
                <w:sz w:val="20"/>
                <w:szCs w:val="20"/>
                <w:lang w:val="es-CR" w:eastAsia="es-CR"/>
              </w:rPr>
              <w:t xml:space="preserve">. </w:t>
            </w:r>
          </w:p>
          <w:p w14:paraId="28413005" w14:textId="7D068FEA" w:rsidR="00357B2A" w:rsidRDefault="00357B2A" w:rsidP="00357B2A">
            <w:pPr>
              <w:pStyle w:val="Prrafodelista"/>
              <w:rPr>
                <w:rFonts w:ascii="Arial Narrow" w:hAnsi="Arial Narrow" w:cs="Calibri"/>
                <w:color w:val="000000"/>
                <w:sz w:val="20"/>
                <w:szCs w:val="20"/>
                <w:lang w:val="es-CR" w:eastAsia="es-CR"/>
              </w:rPr>
            </w:pPr>
          </w:p>
          <w:p w14:paraId="0C106AB5" w14:textId="0709FB33" w:rsidR="00357B2A" w:rsidRDefault="00357B2A" w:rsidP="00CC279A">
            <w:pPr>
              <w:rPr>
                <w:rFonts w:ascii="Arial Narrow" w:hAnsi="Arial Narrow" w:cs="Calibri"/>
                <w:color w:val="000000"/>
                <w:sz w:val="20"/>
                <w:szCs w:val="20"/>
                <w:lang w:val="es-CR" w:eastAsia="es-CR"/>
              </w:rPr>
            </w:pPr>
          </w:p>
          <w:p w14:paraId="24F686B5" w14:textId="6D1865CE" w:rsidR="00C02363" w:rsidRDefault="00C02363" w:rsidP="00CC279A">
            <w:pPr>
              <w:rPr>
                <w:rFonts w:ascii="Arial Narrow" w:hAnsi="Arial Narrow" w:cs="Calibri"/>
                <w:color w:val="000000"/>
                <w:sz w:val="20"/>
                <w:szCs w:val="20"/>
                <w:lang w:val="es-CR" w:eastAsia="es-CR"/>
              </w:rPr>
            </w:pPr>
          </w:p>
          <w:p w14:paraId="5C069009" w14:textId="77777777" w:rsidR="00C02363" w:rsidRPr="00CC279A" w:rsidRDefault="00C02363" w:rsidP="00CC279A">
            <w:pPr>
              <w:rPr>
                <w:rFonts w:ascii="Arial Narrow" w:hAnsi="Arial Narrow" w:cs="Calibri"/>
                <w:color w:val="000000"/>
                <w:sz w:val="20"/>
                <w:szCs w:val="20"/>
                <w:lang w:val="es-CR" w:eastAsia="es-CR"/>
              </w:rPr>
            </w:pPr>
          </w:p>
          <w:p w14:paraId="61E607C9" w14:textId="3C0EE0B3" w:rsidR="00357B2A" w:rsidRDefault="00C83FE6" w:rsidP="00357B2A">
            <w:pPr>
              <w:pStyle w:val="Prrafodelista"/>
              <w:numPr>
                <w:ilvl w:val="0"/>
                <w:numId w:val="120"/>
              </w:numPr>
              <w:jc w:val="both"/>
              <w:rPr>
                <w:rFonts w:ascii="Arial Narrow" w:hAnsi="Arial Narrow" w:cs="Calibri"/>
                <w:color w:val="000000"/>
                <w:sz w:val="20"/>
                <w:szCs w:val="20"/>
                <w:lang w:val="es-CR" w:eastAsia="es-CR"/>
              </w:rPr>
            </w:pPr>
            <w:r w:rsidRPr="00CC279A">
              <w:rPr>
                <w:rFonts w:ascii="Arial Narrow" w:hAnsi="Arial Narrow" w:cs="Calibri"/>
                <w:color w:val="000000"/>
                <w:sz w:val="20"/>
                <w:szCs w:val="20"/>
                <w:lang w:val="es-CR" w:eastAsia="es-CR"/>
              </w:rPr>
              <w:t>Que al finalizar el 2024, se haya incrementado la cantidad de casos terminados en materia Penal por año, en primera instancia por los juzgados penales</w:t>
            </w:r>
            <w:r w:rsidR="00357B2A">
              <w:rPr>
                <w:rFonts w:ascii="Arial Narrow" w:hAnsi="Arial Narrow" w:cs="Calibri"/>
                <w:color w:val="000000"/>
                <w:sz w:val="20"/>
                <w:szCs w:val="20"/>
                <w:lang w:val="es-CR" w:eastAsia="es-CR"/>
              </w:rPr>
              <w:t>.</w:t>
            </w:r>
          </w:p>
          <w:p w14:paraId="66AC484B" w14:textId="77777777" w:rsidR="00357B2A" w:rsidRPr="00CC279A" w:rsidRDefault="00357B2A" w:rsidP="00CC279A">
            <w:pPr>
              <w:pStyle w:val="Prrafodelista"/>
              <w:rPr>
                <w:rFonts w:ascii="Arial Narrow" w:hAnsi="Arial Narrow" w:cs="Calibri"/>
                <w:color w:val="000000"/>
                <w:sz w:val="20"/>
                <w:szCs w:val="20"/>
                <w:lang w:val="es-CR" w:eastAsia="es-CR"/>
              </w:rPr>
            </w:pPr>
          </w:p>
          <w:p w14:paraId="50C58CD9" w14:textId="77777777" w:rsidR="00357B2A" w:rsidRPr="00CC279A" w:rsidRDefault="00357B2A" w:rsidP="00CC279A">
            <w:pPr>
              <w:pStyle w:val="Prrafodelista"/>
              <w:rPr>
                <w:rFonts w:ascii="Arial Narrow" w:hAnsi="Arial Narrow" w:cs="Calibri"/>
                <w:color w:val="000000"/>
                <w:sz w:val="20"/>
                <w:szCs w:val="20"/>
                <w:lang w:val="es-CR" w:eastAsia="es-CR"/>
              </w:rPr>
            </w:pPr>
          </w:p>
          <w:p w14:paraId="2A4120FA" w14:textId="21CEFFD5" w:rsidR="00357B2A" w:rsidRDefault="00C83FE6" w:rsidP="00357B2A">
            <w:pPr>
              <w:pStyle w:val="Prrafodelista"/>
              <w:numPr>
                <w:ilvl w:val="0"/>
                <w:numId w:val="120"/>
              </w:numPr>
              <w:jc w:val="both"/>
              <w:rPr>
                <w:rFonts w:ascii="Arial Narrow" w:hAnsi="Arial Narrow" w:cs="Calibri"/>
                <w:color w:val="000000"/>
                <w:sz w:val="20"/>
                <w:szCs w:val="20"/>
                <w:lang w:val="es-CR" w:eastAsia="es-CR"/>
              </w:rPr>
            </w:pPr>
            <w:r w:rsidRPr="00CC279A">
              <w:rPr>
                <w:rFonts w:ascii="Arial Narrow" w:hAnsi="Arial Narrow" w:cs="Calibri"/>
                <w:color w:val="000000"/>
                <w:sz w:val="20"/>
                <w:szCs w:val="20"/>
                <w:lang w:val="es-CR" w:eastAsia="es-CR"/>
              </w:rPr>
              <w:t xml:space="preserve"> Que al finalizar el 2024, se haya incrementado la cantidad de casos terminados en materia Laboral por año, en primera instancia</w:t>
            </w:r>
            <w:r w:rsidR="00357B2A">
              <w:rPr>
                <w:rFonts w:ascii="Arial Narrow" w:hAnsi="Arial Narrow" w:cs="Calibri"/>
                <w:color w:val="000000"/>
                <w:sz w:val="20"/>
                <w:szCs w:val="20"/>
                <w:lang w:val="es-CR" w:eastAsia="es-CR"/>
              </w:rPr>
              <w:t>.</w:t>
            </w:r>
          </w:p>
          <w:p w14:paraId="1E71CC6D" w14:textId="615A45B0" w:rsidR="00357B2A" w:rsidRDefault="00357B2A" w:rsidP="00CC279A">
            <w:pPr>
              <w:pStyle w:val="Prrafodelista"/>
              <w:ind w:left="405"/>
              <w:jc w:val="both"/>
              <w:rPr>
                <w:rFonts w:ascii="Arial Narrow" w:hAnsi="Arial Narrow" w:cs="Calibri"/>
                <w:color w:val="000000"/>
                <w:sz w:val="20"/>
                <w:szCs w:val="20"/>
                <w:lang w:val="es-CR" w:eastAsia="es-CR"/>
              </w:rPr>
            </w:pPr>
          </w:p>
          <w:p w14:paraId="5F305411" w14:textId="77777777" w:rsidR="00C02363" w:rsidRDefault="00C02363" w:rsidP="00CC279A">
            <w:pPr>
              <w:pStyle w:val="Prrafodelista"/>
              <w:ind w:left="405"/>
              <w:jc w:val="both"/>
              <w:rPr>
                <w:rFonts w:ascii="Arial Narrow" w:hAnsi="Arial Narrow" w:cs="Calibri"/>
                <w:color w:val="000000"/>
                <w:sz w:val="20"/>
                <w:szCs w:val="20"/>
                <w:lang w:val="es-CR" w:eastAsia="es-CR"/>
              </w:rPr>
            </w:pPr>
          </w:p>
          <w:p w14:paraId="1F9AD2FD" w14:textId="77777777" w:rsidR="00357B2A" w:rsidRPr="00CC279A" w:rsidRDefault="00357B2A" w:rsidP="00CC279A">
            <w:pPr>
              <w:pStyle w:val="Prrafodelista"/>
              <w:rPr>
                <w:rFonts w:ascii="Arial Narrow" w:hAnsi="Arial Narrow" w:cs="Calibri"/>
                <w:color w:val="000000"/>
                <w:sz w:val="20"/>
                <w:szCs w:val="20"/>
                <w:lang w:val="es-CR" w:eastAsia="es-CR"/>
              </w:rPr>
            </w:pPr>
          </w:p>
          <w:p w14:paraId="2054F192" w14:textId="1D3948D3" w:rsidR="00C83FE6" w:rsidRDefault="00C83FE6" w:rsidP="00357B2A">
            <w:pPr>
              <w:pStyle w:val="Prrafodelista"/>
              <w:numPr>
                <w:ilvl w:val="0"/>
                <w:numId w:val="120"/>
              </w:numPr>
              <w:jc w:val="both"/>
              <w:rPr>
                <w:rFonts w:ascii="Arial Narrow" w:hAnsi="Arial Narrow" w:cs="Calibri"/>
                <w:color w:val="000000"/>
                <w:sz w:val="20"/>
                <w:szCs w:val="20"/>
                <w:lang w:val="es-CR" w:eastAsia="es-CR"/>
              </w:rPr>
            </w:pPr>
            <w:r w:rsidRPr="00CC279A">
              <w:rPr>
                <w:rFonts w:ascii="Arial Narrow" w:hAnsi="Arial Narrow" w:cs="Calibri"/>
                <w:color w:val="000000"/>
                <w:sz w:val="20"/>
                <w:szCs w:val="20"/>
                <w:lang w:val="es-CR" w:eastAsia="es-CR"/>
              </w:rPr>
              <w:t xml:space="preserve"> Que al finalizar el 2024, se haya incrementado la cantidad de casos terminados en materia Penal </w:t>
            </w:r>
            <w:r w:rsidRPr="00CC279A">
              <w:rPr>
                <w:rFonts w:ascii="Arial Narrow" w:hAnsi="Arial Narrow" w:cs="Calibri"/>
                <w:color w:val="000000"/>
                <w:sz w:val="20"/>
                <w:szCs w:val="20"/>
                <w:lang w:val="es-CR" w:eastAsia="es-CR"/>
              </w:rPr>
              <w:lastRenderedPageBreak/>
              <w:t>por año, en primera instancia por los tribunales de juicio penales</w:t>
            </w:r>
            <w:r w:rsidR="00357B2A">
              <w:rPr>
                <w:rFonts w:ascii="Arial Narrow" w:hAnsi="Arial Narrow" w:cs="Calibri"/>
                <w:color w:val="000000"/>
                <w:sz w:val="20"/>
                <w:szCs w:val="20"/>
                <w:lang w:val="es-CR" w:eastAsia="es-CR"/>
              </w:rPr>
              <w:t>.</w:t>
            </w:r>
          </w:p>
          <w:p w14:paraId="75C41E71" w14:textId="7BE28823" w:rsidR="00357B2A" w:rsidRDefault="00357B2A" w:rsidP="00357B2A">
            <w:pPr>
              <w:pStyle w:val="Prrafodelista"/>
              <w:rPr>
                <w:rFonts w:ascii="Arial Narrow" w:hAnsi="Arial Narrow" w:cs="Calibri"/>
                <w:color w:val="000000"/>
                <w:sz w:val="20"/>
                <w:szCs w:val="20"/>
                <w:lang w:val="es-CR" w:eastAsia="es-CR"/>
              </w:rPr>
            </w:pPr>
          </w:p>
          <w:p w14:paraId="3C8D983B" w14:textId="10548E42" w:rsidR="00357B2A" w:rsidRDefault="00357B2A" w:rsidP="00357B2A">
            <w:pPr>
              <w:pStyle w:val="Prrafodelista"/>
              <w:rPr>
                <w:rFonts w:ascii="Arial Narrow" w:hAnsi="Arial Narrow" w:cs="Calibri"/>
                <w:color w:val="000000"/>
                <w:sz w:val="20"/>
                <w:szCs w:val="20"/>
                <w:lang w:val="es-CR" w:eastAsia="es-CR"/>
              </w:rPr>
            </w:pPr>
          </w:p>
          <w:p w14:paraId="16E23C11" w14:textId="77777777" w:rsidR="00357B2A" w:rsidRPr="00CC279A" w:rsidRDefault="00357B2A" w:rsidP="00CC279A">
            <w:pPr>
              <w:pStyle w:val="Prrafodelista"/>
              <w:rPr>
                <w:rFonts w:ascii="Arial Narrow" w:hAnsi="Arial Narrow" w:cs="Calibri"/>
                <w:color w:val="000000"/>
                <w:sz w:val="20"/>
                <w:szCs w:val="20"/>
                <w:lang w:val="es-CR" w:eastAsia="es-CR"/>
              </w:rPr>
            </w:pPr>
          </w:p>
          <w:p w14:paraId="0708C60F" w14:textId="4A18467C" w:rsidR="00357B2A" w:rsidRPr="00CC279A" w:rsidRDefault="00357B2A" w:rsidP="00CC279A">
            <w:pPr>
              <w:pStyle w:val="Prrafodelista"/>
              <w:ind w:left="405"/>
              <w:jc w:val="both"/>
              <w:rPr>
                <w:rFonts w:ascii="Arial Narrow" w:hAnsi="Arial Narrow" w:cs="Calibri"/>
                <w:color w:val="000000"/>
                <w:sz w:val="20"/>
                <w:szCs w:val="20"/>
                <w:lang w:val="es-CR" w:eastAsia="es-CR"/>
              </w:rPr>
            </w:pPr>
          </w:p>
        </w:tc>
        <w:tc>
          <w:tcPr>
            <w:tcW w:w="1318" w:type="dxa"/>
            <w:tcBorders>
              <w:top w:val="single" w:sz="4" w:space="0" w:color="auto"/>
              <w:left w:val="nil"/>
              <w:bottom w:val="single" w:sz="4" w:space="0" w:color="auto"/>
              <w:right w:val="single" w:sz="4" w:space="0" w:color="auto"/>
            </w:tcBorders>
            <w:shd w:val="clear" w:color="auto" w:fill="FFFFFF" w:themeFill="background1"/>
            <w:noWrap/>
          </w:tcPr>
          <w:p w14:paraId="15E2170F" w14:textId="48DA5B23" w:rsidR="00357B2A" w:rsidRPr="00C02363" w:rsidRDefault="00357B2A" w:rsidP="00357B2A">
            <w:pPr>
              <w:jc w:val="center"/>
              <w:rPr>
                <w:rFonts w:ascii="Arial Narrow" w:hAnsi="Arial Narrow" w:cs="Calibri"/>
                <w:color w:val="000000"/>
                <w:sz w:val="20"/>
                <w:szCs w:val="20"/>
                <w:lang w:val="es-CR" w:eastAsia="es-CR"/>
              </w:rPr>
            </w:pPr>
          </w:p>
          <w:p w14:paraId="7BE716B1" w14:textId="17989104" w:rsidR="00357B2A" w:rsidRDefault="00357B2A" w:rsidP="00357B2A">
            <w:pPr>
              <w:jc w:val="center"/>
              <w:rPr>
                <w:rFonts w:ascii="Arial Narrow" w:hAnsi="Arial Narrow" w:cs="Calibri"/>
                <w:color w:val="000000"/>
                <w:sz w:val="20"/>
                <w:szCs w:val="20"/>
                <w:lang w:val="es-CR" w:eastAsia="es-CR"/>
              </w:rPr>
            </w:pPr>
          </w:p>
          <w:p w14:paraId="52FFF941" w14:textId="77777777" w:rsidR="00C02363" w:rsidRPr="00C02363" w:rsidRDefault="00C02363" w:rsidP="00357B2A">
            <w:pPr>
              <w:jc w:val="center"/>
              <w:rPr>
                <w:rFonts w:ascii="Arial Narrow" w:hAnsi="Arial Narrow" w:cs="Calibri"/>
                <w:color w:val="000000"/>
                <w:sz w:val="20"/>
                <w:szCs w:val="20"/>
                <w:lang w:val="es-CR" w:eastAsia="es-CR"/>
              </w:rPr>
            </w:pPr>
          </w:p>
          <w:p w14:paraId="2E228528" w14:textId="77777777" w:rsidR="00357B2A" w:rsidRPr="00C02363" w:rsidRDefault="00357B2A" w:rsidP="00357B2A">
            <w:pPr>
              <w:jc w:val="center"/>
              <w:rPr>
                <w:rFonts w:ascii="Arial Narrow" w:hAnsi="Arial Narrow" w:cs="Calibri"/>
                <w:color w:val="000000"/>
                <w:sz w:val="20"/>
                <w:szCs w:val="20"/>
                <w:lang w:val="es-CR" w:eastAsia="es-CR"/>
              </w:rPr>
            </w:pPr>
          </w:p>
          <w:p w14:paraId="0C93669B" w14:textId="4C235165" w:rsidR="00357B2A" w:rsidRPr="00C02363" w:rsidRDefault="00357B2A" w:rsidP="00357B2A">
            <w:pPr>
              <w:jc w:val="center"/>
              <w:rPr>
                <w:rFonts w:ascii="Arial Narrow" w:hAnsi="Arial Narrow" w:cs="Calibri"/>
                <w:color w:val="000000"/>
                <w:sz w:val="20"/>
                <w:szCs w:val="20"/>
                <w:lang w:val="es-CR" w:eastAsia="es-CR"/>
              </w:rPr>
            </w:pPr>
            <w:r w:rsidRPr="00C02363">
              <w:rPr>
                <w:rFonts w:ascii="Arial Narrow" w:hAnsi="Arial Narrow" w:cs="Calibri"/>
                <w:color w:val="000000"/>
                <w:sz w:val="20"/>
                <w:szCs w:val="20"/>
                <w:lang w:val="es-CR" w:eastAsia="es-CR"/>
              </w:rPr>
              <w:t xml:space="preserve">Son </w:t>
            </w:r>
            <w:r w:rsidR="00C02363">
              <w:rPr>
                <w:rFonts w:ascii="Arial Narrow" w:hAnsi="Arial Narrow" w:cs="Calibri"/>
                <w:color w:val="000000"/>
                <w:sz w:val="20"/>
                <w:szCs w:val="20"/>
                <w:lang w:val="es-CR" w:eastAsia="es-CR"/>
              </w:rPr>
              <w:t>21</w:t>
            </w:r>
            <w:r w:rsidR="00C02363" w:rsidRPr="00C02363">
              <w:rPr>
                <w:rFonts w:ascii="Arial Narrow" w:hAnsi="Arial Narrow" w:cs="Calibri"/>
                <w:color w:val="000000"/>
                <w:sz w:val="20"/>
                <w:szCs w:val="20"/>
                <w:lang w:val="es-CR" w:eastAsia="es-CR"/>
              </w:rPr>
              <w:t xml:space="preserve"> </w:t>
            </w:r>
            <w:r w:rsidRPr="00C02363">
              <w:rPr>
                <w:rFonts w:ascii="Arial Narrow" w:hAnsi="Arial Narrow" w:cs="Calibri"/>
                <w:color w:val="000000"/>
                <w:sz w:val="20"/>
                <w:szCs w:val="20"/>
                <w:lang w:val="es-CR" w:eastAsia="es-CR"/>
              </w:rPr>
              <w:t xml:space="preserve">Juzgados Penales Juveniles            </w:t>
            </w:r>
          </w:p>
          <w:p w14:paraId="11242EB3" w14:textId="410A124C" w:rsidR="00357B2A" w:rsidRDefault="00357B2A" w:rsidP="00357B2A">
            <w:pPr>
              <w:jc w:val="center"/>
              <w:rPr>
                <w:rFonts w:ascii="Arial Narrow" w:hAnsi="Arial Narrow" w:cs="Calibri"/>
                <w:color w:val="000000"/>
                <w:sz w:val="20"/>
                <w:szCs w:val="20"/>
                <w:lang w:val="es-CR" w:eastAsia="es-CR"/>
              </w:rPr>
            </w:pPr>
          </w:p>
          <w:p w14:paraId="3A6CC5BA" w14:textId="77777777" w:rsidR="00C02363" w:rsidRPr="00C02363" w:rsidRDefault="00C02363" w:rsidP="00357B2A">
            <w:pPr>
              <w:jc w:val="center"/>
              <w:rPr>
                <w:rFonts w:ascii="Arial Narrow" w:hAnsi="Arial Narrow" w:cs="Calibri"/>
                <w:color w:val="000000"/>
                <w:sz w:val="20"/>
                <w:szCs w:val="20"/>
                <w:lang w:val="es-CR" w:eastAsia="es-CR"/>
              </w:rPr>
            </w:pPr>
          </w:p>
          <w:p w14:paraId="1444485C" w14:textId="01F669AF" w:rsidR="00357B2A" w:rsidRPr="00C02363" w:rsidRDefault="00357B2A" w:rsidP="00357B2A">
            <w:pPr>
              <w:jc w:val="center"/>
              <w:rPr>
                <w:rFonts w:ascii="Arial Narrow" w:hAnsi="Arial Narrow" w:cs="Calibri"/>
                <w:color w:val="000000"/>
                <w:sz w:val="20"/>
                <w:szCs w:val="20"/>
                <w:lang w:val="es-CR" w:eastAsia="es-CR"/>
              </w:rPr>
            </w:pPr>
            <w:r w:rsidRPr="00C02363">
              <w:rPr>
                <w:rFonts w:ascii="Arial Narrow" w:hAnsi="Arial Narrow" w:cs="Calibri"/>
                <w:color w:val="000000"/>
                <w:sz w:val="20"/>
                <w:szCs w:val="20"/>
                <w:lang w:val="es-CR" w:eastAsia="es-CR"/>
              </w:rPr>
              <w:t xml:space="preserve">Son </w:t>
            </w:r>
            <w:r w:rsidR="00C02363">
              <w:rPr>
                <w:rFonts w:ascii="Arial Narrow" w:hAnsi="Arial Narrow" w:cs="Calibri"/>
                <w:color w:val="000000"/>
                <w:sz w:val="20"/>
                <w:szCs w:val="20"/>
                <w:lang w:val="es-CR" w:eastAsia="es-CR"/>
              </w:rPr>
              <w:t>60</w:t>
            </w:r>
            <w:r w:rsidR="00C02363" w:rsidRPr="00C02363">
              <w:rPr>
                <w:rFonts w:ascii="Arial Narrow" w:hAnsi="Arial Narrow" w:cs="Calibri"/>
                <w:color w:val="000000"/>
                <w:sz w:val="20"/>
                <w:szCs w:val="20"/>
                <w:lang w:val="es-CR" w:eastAsia="es-CR"/>
              </w:rPr>
              <w:t xml:space="preserve"> </w:t>
            </w:r>
            <w:r w:rsidRPr="00C02363">
              <w:rPr>
                <w:rFonts w:ascii="Arial Narrow" w:hAnsi="Arial Narrow" w:cs="Calibri"/>
                <w:color w:val="000000"/>
                <w:sz w:val="20"/>
                <w:szCs w:val="20"/>
                <w:lang w:val="es-CR" w:eastAsia="es-CR"/>
              </w:rPr>
              <w:t>Juzgados de Tránsito</w:t>
            </w:r>
          </w:p>
          <w:p w14:paraId="17EDDCCE" w14:textId="79EA3B6C" w:rsidR="00357B2A" w:rsidRDefault="00357B2A" w:rsidP="00357B2A">
            <w:pPr>
              <w:jc w:val="center"/>
              <w:rPr>
                <w:rFonts w:ascii="Arial Narrow" w:hAnsi="Arial Narrow" w:cs="Calibri"/>
                <w:color w:val="000000"/>
                <w:sz w:val="20"/>
                <w:szCs w:val="20"/>
                <w:lang w:val="es-CR" w:eastAsia="es-CR"/>
              </w:rPr>
            </w:pPr>
          </w:p>
          <w:p w14:paraId="29F689AF" w14:textId="77777777" w:rsidR="00C02363" w:rsidRPr="00C02363" w:rsidRDefault="00C02363" w:rsidP="00357B2A">
            <w:pPr>
              <w:jc w:val="center"/>
              <w:rPr>
                <w:rFonts w:ascii="Arial Narrow" w:hAnsi="Arial Narrow" w:cs="Calibri"/>
                <w:color w:val="000000"/>
                <w:sz w:val="20"/>
                <w:szCs w:val="20"/>
                <w:lang w:val="es-CR" w:eastAsia="es-CR"/>
              </w:rPr>
            </w:pPr>
          </w:p>
          <w:p w14:paraId="17BA133C" w14:textId="77777777" w:rsidR="00357B2A" w:rsidRPr="00C02363" w:rsidRDefault="00357B2A" w:rsidP="00357B2A">
            <w:pPr>
              <w:jc w:val="center"/>
              <w:rPr>
                <w:rFonts w:ascii="Arial Narrow" w:hAnsi="Arial Narrow" w:cs="Calibri"/>
                <w:color w:val="000000"/>
                <w:sz w:val="20"/>
                <w:szCs w:val="20"/>
                <w:lang w:val="es-CR" w:eastAsia="es-CR"/>
              </w:rPr>
            </w:pPr>
          </w:p>
          <w:p w14:paraId="66BE5AD0" w14:textId="11FF9063" w:rsidR="00357B2A" w:rsidRPr="00C02363" w:rsidRDefault="00357B2A" w:rsidP="00357B2A">
            <w:pPr>
              <w:jc w:val="center"/>
              <w:rPr>
                <w:rFonts w:ascii="Arial Narrow" w:hAnsi="Arial Narrow" w:cs="Calibri"/>
                <w:color w:val="000000"/>
                <w:sz w:val="20"/>
                <w:szCs w:val="20"/>
                <w:lang w:val="es-CR" w:eastAsia="es-CR"/>
              </w:rPr>
            </w:pPr>
            <w:r w:rsidRPr="00C02363">
              <w:rPr>
                <w:rFonts w:ascii="Arial Narrow" w:hAnsi="Arial Narrow" w:cs="Calibri"/>
                <w:color w:val="000000"/>
                <w:sz w:val="20"/>
                <w:szCs w:val="20"/>
                <w:lang w:val="es-CR" w:eastAsia="es-CR"/>
              </w:rPr>
              <w:t>Es 1 juzgado Notarial</w:t>
            </w:r>
          </w:p>
          <w:p w14:paraId="06607FD7" w14:textId="4B4A2EB5" w:rsidR="00357B2A" w:rsidRPr="00C02363" w:rsidRDefault="00357B2A" w:rsidP="00357B2A">
            <w:pPr>
              <w:jc w:val="center"/>
              <w:rPr>
                <w:rFonts w:ascii="Arial Narrow" w:hAnsi="Arial Narrow" w:cs="Calibri"/>
                <w:color w:val="000000"/>
                <w:sz w:val="20"/>
                <w:szCs w:val="20"/>
                <w:lang w:val="es-CR" w:eastAsia="es-CR"/>
              </w:rPr>
            </w:pPr>
          </w:p>
          <w:p w14:paraId="77EEA71F" w14:textId="0E0E0675" w:rsidR="00357B2A" w:rsidRDefault="00357B2A" w:rsidP="00357B2A">
            <w:pPr>
              <w:jc w:val="center"/>
              <w:rPr>
                <w:rFonts w:ascii="Arial Narrow" w:hAnsi="Arial Narrow" w:cs="Calibri"/>
                <w:color w:val="000000"/>
                <w:sz w:val="20"/>
                <w:szCs w:val="20"/>
                <w:lang w:val="es-CR" w:eastAsia="es-CR"/>
              </w:rPr>
            </w:pPr>
          </w:p>
          <w:p w14:paraId="4B1A69E8" w14:textId="77777777" w:rsidR="00C02363" w:rsidRPr="00C02363" w:rsidRDefault="00C02363" w:rsidP="00357B2A">
            <w:pPr>
              <w:jc w:val="center"/>
              <w:rPr>
                <w:rFonts w:ascii="Arial Narrow" w:hAnsi="Arial Narrow" w:cs="Calibri"/>
                <w:color w:val="000000"/>
                <w:sz w:val="20"/>
                <w:szCs w:val="20"/>
                <w:lang w:val="es-CR" w:eastAsia="es-CR"/>
              </w:rPr>
            </w:pPr>
          </w:p>
          <w:p w14:paraId="49AE534D" w14:textId="729E6AC8" w:rsidR="00357B2A" w:rsidRPr="00C02363" w:rsidRDefault="00357B2A" w:rsidP="00357B2A">
            <w:pPr>
              <w:jc w:val="center"/>
              <w:rPr>
                <w:rFonts w:ascii="Arial Narrow" w:hAnsi="Arial Narrow" w:cs="Calibri"/>
                <w:color w:val="000000"/>
                <w:sz w:val="20"/>
                <w:szCs w:val="20"/>
                <w:lang w:val="es-CR" w:eastAsia="es-CR"/>
              </w:rPr>
            </w:pPr>
            <w:r w:rsidRPr="00C02363">
              <w:rPr>
                <w:rFonts w:ascii="Arial Narrow" w:hAnsi="Arial Narrow" w:cs="Calibri"/>
                <w:color w:val="000000"/>
                <w:sz w:val="20"/>
                <w:szCs w:val="20"/>
                <w:lang w:val="es-CR" w:eastAsia="es-CR"/>
              </w:rPr>
              <w:t>Es 1 Tribunal de Penal Juvenil Segunda Instancia</w:t>
            </w:r>
          </w:p>
          <w:p w14:paraId="4E55FB38" w14:textId="0E5E4D83" w:rsidR="00357B2A" w:rsidRPr="00C02363" w:rsidRDefault="00357B2A" w:rsidP="00357B2A">
            <w:pPr>
              <w:jc w:val="center"/>
              <w:rPr>
                <w:rFonts w:ascii="Arial Narrow" w:hAnsi="Arial Narrow" w:cs="Calibri"/>
                <w:color w:val="000000"/>
                <w:sz w:val="20"/>
                <w:szCs w:val="20"/>
                <w:lang w:val="es-CR" w:eastAsia="es-CR"/>
              </w:rPr>
            </w:pPr>
          </w:p>
          <w:p w14:paraId="52D0660B" w14:textId="4F5DB3FC" w:rsidR="00357B2A" w:rsidRDefault="00357B2A" w:rsidP="00CC279A">
            <w:pPr>
              <w:rPr>
                <w:rFonts w:ascii="Arial Narrow" w:hAnsi="Arial Narrow" w:cs="Calibri"/>
                <w:color w:val="000000"/>
                <w:sz w:val="20"/>
                <w:szCs w:val="20"/>
                <w:lang w:val="es-CR" w:eastAsia="es-CR"/>
              </w:rPr>
            </w:pPr>
          </w:p>
          <w:p w14:paraId="58CEA80E" w14:textId="0B12154E" w:rsidR="00C02363" w:rsidRDefault="00C02363" w:rsidP="00CC279A">
            <w:pPr>
              <w:rPr>
                <w:rFonts w:ascii="Arial Narrow" w:hAnsi="Arial Narrow" w:cs="Calibri"/>
                <w:color w:val="000000"/>
                <w:sz w:val="20"/>
                <w:szCs w:val="20"/>
                <w:lang w:val="es-CR" w:eastAsia="es-CR"/>
              </w:rPr>
            </w:pPr>
          </w:p>
          <w:p w14:paraId="4FC7FA3F" w14:textId="77777777" w:rsidR="00C02363" w:rsidRPr="00C02363" w:rsidRDefault="00C02363" w:rsidP="00CC279A">
            <w:pPr>
              <w:rPr>
                <w:rFonts w:ascii="Arial Narrow" w:hAnsi="Arial Narrow" w:cs="Calibri"/>
                <w:color w:val="000000"/>
                <w:sz w:val="20"/>
                <w:szCs w:val="20"/>
                <w:lang w:val="es-CR" w:eastAsia="es-CR"/>
              </w:rPr>
            </w:pPr>
          </w:p>
          <w:p w14:paraId="3CA322FB" w14:textId="541BDCBF" w:rsidR="00357B2A" w:rsidRPr="00C02363" w:rsidRDefault="00357B2A" w:rsidP="00357B2A">
            <w:pPr>
              <w:jc w:val="center"/>
              <w:rPr>
                <w:rFonts w:ascii="Arial Narrow" w:hAnsi="Arial Narrow" w:cs="Calibri"/>
                <w:color w:val="000000"/>
                <w:sz w:val="20"/>
                <w:szCs w:val="20"/>
                <w:lang w:val="es-CR" w:eastAsia="es-CR"/>
              </w:rPr>
            </w:pPr>
            <w:r w:rsidRPr="00C02363">
              <w:rPr>
                <w:rFonts w:ascii="Arial Narrow" w:hAnsi="Arial Narrow" w:cs="Calibri"/>
                <w:color w:val="000000"/>
                <w:sz w:val="20"/>
                <w:szCs w:val="20"/>
                <w:lang w:val="es-CR" w:eastAsia="es-CR"/>
              </w:rPr>
              <w:lastRenderedPageBreak/>
              <w:t>Es 1 Tribunal de Agrario -Segunda Instancia</w:t>
            </w:r>
          </w:p>
          <w:p w14:paraId="64F37377" w14:textId="77777777" w:rsidR="00357B2A" w:rsidRPr="00C02363" w:rsidRDefault="00357B2A" w:rsidP="00357B2A">
            <w:pPr>
              <w:jc w:val="center"/>
              <w:rPr>
                <w:rFonts w:ascii="Arial Narrow" w:hAnsi="Arial Narrow" w:cs="Calibri"/>
                <w:color w:val="000000"/>
                <w:sz w:val="20"/>
                <w:szCs w:val="20"/>
                <w:lang w:val="es-CR" w:eastAsia="es-CR"/>
              </w:rPr>
            </w:pPr>
          </w:p>
          <w:p w14:paraId="48879831" w14:textId="68A3AAD9" w:rsidR="00357B2A" w:rsidRPr="00C02363" w:rsidRDefault="00357B2A" w:rsidP="00357B2A">
            <w:pPr>
              <w:jc w:val="center"/>
              <w:rPr>
                <w:rFonts w:ascii="Arial Narrow" w:hAnsi="Arial Narrow" w:cs="Calibri"/>
                <w:color w:val="000000"/>
                <w:sz w:val="20"/>
                <w:szCs w:val="20"/>
                <w:lang w:val="es-CR" w:eastAsia="es-CR"/>
              </w:rPr>
            </w:pPr>
          </w:p>
          <w:p w14:paraId="04530086" w14:textId="797E63E5" w:rsidR="00357B2A" w:rsidRPr="00C02363" w:rsidRDefault="00357B2A" w:rsidP="00357B2A">
            <w:pPr>
              <w:jc w:val="center"/>
              <w:rPr>
                <w:rFonts w:ascii="Arial Narrow" w:hAnsi="Arial Narrow" w:cs="Calibri"/>
                <w:color w:val="000000"/>
                <w:sz w:val="20"/>
                <w:szCs w:val="20"/>
                <w:lang w:val="es-CR" w:eastAsia="es-CR"/>
              </w:rPr>
            </w:pPr>
            <w:r w:rsidRPr="00C02363">
              <w:rPr>
                <w:rFonts w:ascii="Arial Narrow" w:hAnsi="Arial Narrow" w:cs="Calibri"/>
                <w:color w:val="000000"/>
                <w:sz w:val="20"/>
                <w:szCs w:val="20"/>
                <w:lang w:val="es-CR" w:eastAsia="es-CR"/>
              </w:rPr>
              <w:t>Son 13 Tribunales Laborales Segunda Instancia</w:t>
            </w:r>
          </w:p>
          <w:p w14:paraId="6C436EBE" w14:textId="3EC65F07" w:rsidR="00357B2A" w:rsidRPr="00C02363" w:rsidRDefault="00357B2A" w:rsidP="00357B2A">
            <w:pPr>
              <w:jc w:val="center"/>
              <w:rPr>
                <w:rFonts w:ascii="Arial Narrow" w:hAnsi="Arial Narrow" w:cs="Calibri"/>
                <w:color w:val="000000"/>
                <w:sz w:val="20"/>
                <w:szCs w:val="20"/>
                <w:lang w:val="es-CR" w:eastAsia="es-CR"/>
              </w:rPr>
            </w:pPr>
          </w:p>
          <w:p w14:paraId="5B385A18" w14:textId="77777777" w:rsidR="00357B2A" w:rsidRPr="00C02363" w:rsidRDefault="00357B2A" w:rsidP="00357B2A">
            <w:pPr>
              <w:jc w:val="center"/>
              <w:rPr>
                <w:rFonts w:ascii="Arial Narrow" w:hAnsi="Arial Narrow" w:cs="Calibri"/>
                <w:color w:val="000000"/>
                <w:sz w:val="20"/>
                <w:szCs w:val="20"/>
                <w:lang w:val="es-CR" w:eastAsia="es-CR"/>
              </w:rPr>
            </w:pPr>
          </w:p>
          <w:p w14:paraId="62EB30B6" w14:textId="1F45B375" w:rsidR="00357B2A" w:rsidRPr="00C02363" w:rsidRDefault="00357B2A" w:rsidP="00357B2A">
            <w:pPr>
              <w:jc w:val="center"/>
              <w:rPr>
                <w:rFonts w:ascii="Arial Narrow" w:hAnsi="Arial Narrow" w:cs="Calibri"/>
                <w:color w:val="000000"/>
                <w:sz w:val="20"/>
                <w:szCs w:val="20"/>
                <w:lang w:val="es-CR" w:eastAsia="es-CR"/>
              </w:rPr>
            </w:pPr>
            <w:r w:rsidRPr="00C02363">
              <w:rPr>
                <w:rFonts w:ascii="Arial Narrow" w:hAnsi="Arial Narrow" w:cs="Calibri"/>
                <w:color w:val="000000"/>
                <w:sz w:val="20"/>
                <w:szCs w:val="20"/>
                <w:lang w:val="es-CR" w:eastAsia="es-CR"/>
              </w:rPr>
              <w:t>Son 29 Juzgados Penales competentes en Tránsito Segunda Instancia</w:t>
            </w:r>
          </w:p>
          <w:p w14:paraId="35FD6AD6" w14:textId="7B913152" w:rsidR="00357B2A" w:rsidRPr="00C02363" w:rsidRDefault="00357B2A" w:rsidP="00357B2A">
            <w:pPr>
              <w:jc w:val="center"/>
              <w:rPr>
                <w:rFonts w:ascii="Arial Narrow" w:hAnsi="Arial Narrow" w:cs="Calibri"/>
                <w:color w:val="000000"/>
                <w:sz w:val="20"/>
                <w:szCs w:val="20"/>
                <w:lang w:val="es-CR" w:eastAsia="es-CR"/>
              </w:rPr>
            </w:pPr>
          </w:p>
          <w:p w14:paraId="0C1E0DEE" w14:textId="77777777" w:rsidR="00357B2A" w:rsidRPr="00C02363" w:rsidRDefault="00357B2A" w:rsidP="00357B2A">
            <w:pPr>
              <w:jc w:val="center"/>
              <w:rPr>
                <w:rFonts w:ascii="Arial Narrow" w:hAnsi="Arial Narrow" w:cs="Calibri"/>
                <w:color w:val="000000"/>
                <w:sz w:val="20"/>
                <w:szCs w:val="20"/>
                <w:lang w:val="es-CR" w:eastAsia="es-CR"/>
              </w:rPr>
            </w:pPr>
          </w:p>
          <w:p w14:paraId="44B5CD39" w14:textId="4F604082" w:rsidR="00357B2A" w:rsidRPr="00C02363" w:rsidRDefault="00357B2A" w:rsidP="00357B2A">
            <w:pPr>
              <w:jc w:val="center"/>
              <w:rPr>
                <w:rFonts w:ascii="Arial Narrow" w:hAnsi="Arial Narrow" w:cs="Calibri"/>
                <w:color w:val="000000"/>
                <w:sz w:val="20"/>
                <w:szCs w:val="20"/>
                <w:lang w:val="es-CR" w:eastAsia="es-CR"/>
              </w:rPr>
            </w:pPr>
            <w:r w:rsidRPr="00C02363">
              <w:rPr>
                <w:rFonts w:ascii="Arial Narrow" w:hAnsi="Arial Narrow" w:cs="Calibri"/>
                <w:color w:val="000000"/>
                <w:sz w:val="20"/>
                <w:szCs w:val="20"/>
                <w:lang w:val="es-CR" w:eastAsia="es-CR"/>
              </w:rPr>
              <w:t>Son 28 Juzgados de Familia</w:t>
            </w:r>
          </w:p>
          <w:p w14:paraId="35E4CB3F" w14:textId="3B94A0B2" w:rsidR="00C83FE6" w:rsidRPr="00C02363" w:rsidRDefault="00C83FE6" w:rsidP="00357B2A">
            <w:pPr>
              <w:jc w:val="center"/>
              <w:rPr>
                <w:rFonts w:ascii="Arial Narrow" w:hAnsi="Arial Narrow" w:cs="Calibri"/>
                <w:color w:val="000000"/>
                <w:sz w:val="20"/>
                <w:szCs w:val="20"/>
                <w:lang w:val="es-CR" w:eastAsia="es-CR"/>
              </w:rPr>
            </w:pPr>
          </w:p>
          <w:p w14:paraId="0F243032" w14:textId="77777777" w:rsidR="00357B2A" w:rsidRPr="00C02363" w:rsidRDefault="00357B2A" w:rsidP="00357B2A">
            <w:pPr>
              <w:jc w:val="center"/>
              <w:rPr>
                <w:rFonts w:ascii="Arial Narrow" w:hAnsi="Arial Narrow" w:cs="Calibri"/>
                <w:color w:val="000000"/>
                <w:sz w:val="20"/>
                <w:szCs w:val="20"/>
                <w:lang w:val="es-CR" w:eastAsia="es-CR"/>
              </w:rPr>
            </w:pPr>
          </w:p>
          <w:p w14:paraId="72265427" w14:textId="77777777" w:rsidR="00357B2A" w:rsidRPr="00C02363" w:rsidRDefault="00357B2A" w:rsidP="00357B2A">
            <w:pPr>
              <w:jc w:val="center"/>
              <w:rPr>
                <w:rFonts w:ascii="Arial Narrow" w:hAnsi="Arial Narrow" w:cs="Calibri"/>
                <w:color w:val="000000"/>
                <w:sz w:val="20"/>
                <w:szCs w:val="20"/>
                <w:lang w:val="es-CR" w:eastAsia="es-CR"/>
              </w:rPr>
            </w:pPr>
          </w:p>
          <w:p w14:paraId="0B12AEA0" w14:textId="77777777" w:rsidR="00357B2A" w:rsidRPr="00C02363" w:rsidRDefault="00357B2A" w:rsidP="00357B2A">
            <w:pPr>
              <w:jc w:val="center"/>
              <w:rPr>
                <w:rFonts w:ascii="Arial Narrow" w:hAnsi="Arial Narrow" w:cs="Calibri"/>
                <w:color w:val="000000"/>
                <w:sz w:val="20"/>
                <w:szCs w:val="20"/>
                <w:lang w:val="es-CR" w:eastAsia="es-CR"/>
              </w:rPr>
            </w:pPr>
          </w:p>
          <w:p w14:paraId="367F90A4" w14:textId="1D3B4D1C" w:rsidR="00357B2A" w:rsidRPr="00C02363" w:rsidRDefault="00357B2A" w:rsidP="00357B2A">
            <w:pPr>
              <w:jc w:val="center"/>
              <w:rPr>
                <w:rFonts w:ascii="Arial Narrow" w:hAnsi="Arial Narrow" w:cs="Calibri"/>
                <w:color w:val="000000"/>
                <w:sz w:val="20"/>
                <w:szCs w:val="20"/>
                <w:lang w:val="es-CR" w:eastAsia="es-CR"/>
              </w:rPr>
            </w:pPr>
            <w:r w:rsidRPr="00C02363">
              <w:rPr>
                <w:rFonts w:ascii="Arial Narrow" w:hAnsi="Arial Narrow" w:cs="Calibri"/>
                <w:color w:val="000000"/>
                <w:sz w:val="20"/>
                <w:szCs w:val="20"/>
                <w:lang w:val="es-CR" w:eastAsia="es-CR"/>
              </w:rPr>
              <w:t>Son 2 despachos Contenciosos</w:t>
            </w:r>
            <w:r w:rsidR="00C02363">
              <w:rPr>
                <w:rFonts w:ascii="Arial Narrow" w:hAnsi="Arial Narrow" w:cs="Calibri"/>
                <w:color w:val="000000"/>
                <w:sz w:val="20"/>
                <w:szCs w:val="20"/>
                <w:lang w:val="es-CR" w:eastAsia="es-CR"/>
              </w:rPr>
              <w:t xml:space="preserve"> (Juzgado y Tribunal)</w:t>
            </w:r>
          </w:p>
          <w:p w14:paraId="142F64CB" w14:textId="77777777" w:rsidR="00357B2A" w:rsidRPr="00C02363" w:rsidRDefault="00357B2A" w:rsidP="00357B2A">
            <w:pPr>
              <w:jc w:val="center"/>
              <w:rPr>
                <w:rFonts w:ascii="Arial Narrow" w:hAnsi="Arial Narrow" w:cs="Calibri"/>
                <w:color w:val="000000"/>
                <w:sz w:val="20"/>
                <w:szCs w:val="20"/>
                <w:lang w:val="es-CR" w:eastAsia="es-CR"/>
              </w:rPr>
            </w:pPr>
          </w:p>
          <w:p w14:paraId="42A9B1C6" w14:textId="77777777" w:rsidR="00357B2A" w:rsidRPr="00C02363" w:rsidRDefault="00357B2A" w:rsidP="00357B2A">
            <w:pPr>
              <w:jc w:val="center"/>
              <w:rPr>
                <w:rFonts w:ascii="Arial Narrow" w:hAnsi="Arial Narrow" w:cs="Calibri"/>
                <w:color w:val="000000"/>
                <w:sz w:val="20"/>
                <w:szCs w:val="20"/>
                <w:lang w:val="es-CR" w:eastAsia="es-CR"/>
              </w:rPr>
            </w:pPr>
          </w:p>
          <w:p w14:paraId="5E0EDFCE" w14:textId="77777777" w:rsidR="00357B2A" w:rsidRPr="00C02363" w:rsidRDefault="00357B2A" w:rsidP="00357B2A">
            <w:pPr>
              <w:jc w:val="center"/>
              <w:rPr>
                <w:rFonts w:ascii="Arial Narrow" w:hAnsi="Arial Narrow" w:cs="Calibri"/>
                <w:color w:val="000000"/>
                <w:sz w:val="20"/>
                <w:szCs w:val="20"/>
                <w:lang w:val="es-CR" w:eastAsia="es-CR"/>
              </w:rPr>
            </w:pPr>
          </w:p>
          <w:p w14:paraId="6F5B040F" w14:textId="12A1A3A0" w:rsidR="00357B2A" w:rsidRPr="00C02363" w:rsidRDefault="00357B2A" w:rsidP="00357B2A">
            <w:pPr>
              <w:jc w:val="center"/>
              <w:rPr>
                <w:rFonts w:ascii="Arial Narrow" w:hAnsi="Arial Narrow" w:cs="Calibri"/>
                <w:color w:val="000000"/>
                <w:sz w:val="20"/>
                <w:szCs w:val="20"/>
                <w:lang w:val="es-CR" w:eastAsia="es-CR"/>
              </w:rPr>
            </w:pPr>
            <w:r w:rsidRPr="00C02363">
              <w:rPr>
                <w:rFonts w:ascii="Arial Narrow" w:hAnsi="Arial Narrow" w:cs="Calibri"/>
                <w:color w:val="000000"/>
                <w:sz w:val="20"/>
                <w:szCs w:val="20"/>
                <w:lang w:val="es-CR" w:eastAsia="es-CR"/>
              </w:rPr>
              <w:t>Son 39 Juzgados Penales</w:t>
            </w:r>
          </w:p>
          <w:p w14:paraId="4F6894D9" w14:textId="0C1D2D77" w:rsidR="00357B2A" w:rsidRPr="00C02363" w:rsidRDefault="00357B2A" w:rsidP="00357B2A">
            <w:pPr>
              <w:jc w:val="center"/>
              <w:rPr>
                <w:rFonts w:ascii="Arial Narrow" w:hAnsi="Arial Narrow" w:cs="Calibri"/>
                <w:color w:val="000000"/>
                <w:sz w:val="20"/>
                <w:szCs w:val="20"/>
                <w:lang w:val="es-CR" w:eastAsia="es-CR"/>
              </w:rPr>
            </w:pPr>
          </w:p>
          <w:p w14:paraId="141FCFAE" w14:textId="02D0A162" w:rsidR="00357B2A" w:rsidRDefault="00357B2A" w:rsidP="00357B2A">
            <w:pPr>
              <w:jc w:val="center"/>
              <w:rPr>
                <w:rFonts w:ascii="Arial Narrow" w:hAnsi="Arial Narrow" w:cs="Calibri"/>
                <w:color w:val="000000"/>
                <w:sz w:val="20"/>
                <w:szCs w:val="20"/>
                <w:lang w:val="es-CR" w:eastAsia="es-CR"/>
              </w:rPr>
            </w:pPr>
          </w:p>
          <w:p w14:paraId="18CBE699" w14:textId="77777777" w:rsidR="00C02363" w:rsidRPr="00C02363" w:rsidRDefault="00C02363" w:rsidP="00357B2A">
            <w:pPr>
              <w:jc w:val="center"/>
              <w:rPr>
                <w:rFonts w:ascii="Arial Narrow" w:hAnsi="Arial Narrow" w:cs="Calibri"/>
                <w:color w:val="000000"/>
                <w:sz w:val="20"/>
                <w:szCs w:val="20"/>
                <w:lang w:val="es-CR" w:eastAsia="es-CR"/>
              </w:rPr>
            </w:pPr>
          </w:p>
          <w:p w14:paraId="4DF44204" w14:textId="0F8E7471" w:rsidR="00357B2A" w:rsidRPr="00C02363" w:rsidRDefault="00357B2A" w:rsidP="00357B2A">
            <w:pPr>
              <w:jc w:val="center"/>
              <w:rPr>
                <w:rFonts w:ascii="Arial Narrow" w:hAnsi="Arial Narrow" w:cs="Calibri"/>
                <w:color w:val="000000"/>
                <w:sz w:val="20"/>
                <w:szCs w:val="20"/>
                <w:lang w:val="es-CR" w:eastAsia="es-CR"/>
              </w:rPr>
            </w:pPr>
            <w:r w:rsidRPr="00C02363">
              <w:rPr>
                <w:rFonts w:ascii="Arial Narrow" w:hAnsi="Arial Narrow" w:cs="Calibri"/>
                <w:color w:val="000000"/>
                <w:sz w:val="20"/>
                <w:szCs w:val="20"/>
                <w:lang w:val="es-CR" w:eastAsia="es-CR"/>
              </w:rPr>
              <w:t>Son 48 Juzgados Laborales</w:t>
            </w:r>
          </w:p>
          <w:p w14:paraId="44B94FD2" w14:textId="77777777" w:rsidR="00357B2A" w:rsidRPr="00C02363" w:rsidRDefault="00357B2A" w:rsidP="00357B2A">
            <w:pPr>
              <w:jc w:val="center"/>
              <w:rPr>
                <w:rFonts w:ascii="Arial Narrow" w:hAnsi="Arial Narrow" w:cs="Calibri"/>
                <w:color w:val="000000"/>
                <w:sz w:val="20"/>
                <w:szCs w:val="20"/>
                <w:lang w:val="es-CR" w:eastAsia="es-CR"/>
              </w:rPr>
            </w:pPr>
          </w:p>
          <w:p w14:paraId="4AE75D19" w14:textId="77777777" w:rsidR="00357B2A" w:rsidRPr="00C02363" w:rsidRDefault="00357B2A" w:rsidP="00357B2A">
            <w:pPr>
              <w:jc w:val="center"/>
              <w:rPr>
                <w:rFonts w:ascii="Arial Narrow" w:hAnsi="Arial Narrow" w:cs="Calibri"/>
                <w:color w:val="000000"/>
                <w:sz w:val="20"/>
                <w:szCs w:val="20"/>
                <w:lang w:val="es-CR" w:eastAsia="es-CR"/>
              </w:rPr>
            </w:pPr>
          </w:p>
          <w:p w14:paraId="438BBE17" w14:textId="77777777" w:rsidR="00357B2A" w:rsidRPr="00C02363" w:rsidRDefault="00357B2A" w:rsidP="00357B2A">
            <w:pPr>
              <w:jc w:val="center"/>
              <w:rPr>
                <w:rFonts w:ascii="Arial Narrow" w:hAnsi="Arial Narrow" w:cs="Calibri"/>
                <w:color w:val="000000"/>
                <w:sz w:val="20"/>
                <w:szCs w:val="20"/>
                <w:lang w:val="es-CR" w:eastAsia="es-CR"/>
              </w:rPr>
            </w:pPr>
          </w:p>
          <w:p w14:paraId="22BDF6EF" w14:textId="146D2A87" w:rsidR="00357B2A" w:rsidRPr="00C02363" w:rsidRDefault="00357B2A" w:rsidP="00357B2A">
            <w:pPr>
              <w:jc w:val="center"/>
              <w:rPr>
                <w:rFonts w:ascii="Arial Narrow" w:hAnsi="Arial Narrow" w:cs="Calibri"/>
                <w:color w:val="000000"/>
                <w:sz w:val="20"/>
                <w:szCs w:val="20"/>
                <w:lang w:val="es-CR" w:eastAsia="es-CR"/>
              </w:rPr>
            </w:pPr>
            <w:r w:rsidRPr="00C02363">
              <w:rPr>
                <w:rFonts w:ascii="Arial Narrow" w:hAnsi="Arial Narrow" w:cs="Calibri"/>
                <w:color w:val="000000"/>
                <w:sz w:val="20"/>
                <w:szCs w:val="20"/>
                <w:lang w:val="es-CR" w:eastAsia="es-CR"/>
              </w:rPr>
              <w:t>Son 26 Tribunales Penales</w:t>
            </w:r>
          </w:p>
          <w:p w14:paraId="76A2DED3" w14:textId="66902942" w:rsidR="00357B2A" w:rsidRPr="00C02363" w:rsidRDefault="00357B2A" w:rsidP="00357B2A">
            <w:pPr>
              <w:jc w:val="center"/>
              <w:rPr>
                <w:rFonts w:ascii="Arial Narrow" w:hAnsi="Arial Narrow" w:cs="Calibri"/>
                <w:color w:val="000000"/>
                <w:sz w:val="20"/>
                <w:szCs w:val="20"/>
                <w:lang w:val="es-CR" w:eastAsia="es-CR"/>
              </w:rPr>
            </w:pPr>
          </w:p>
        </w:tc>
      </w:tr>
      <w:tr w:rsidR="00357B2A" w:rsidRPr="00C83FE6" w14:paraId="49797876" w14:textId="77777777" w:rsidTr="00CC279A">
        <w:trPr>
          <w:trHeight w:val="332"/>
        </w:trPr>
        <w:tc>
          <w:tcPr>
            <w:tcW w:w="1129"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B49C52E" w14:textId="47AB65AE" w:rsidR="00C83FE6" w:rsidRPr="00C83FE6" w:rsidRDefault="00C83FE6">
            <w:pPr>
              <w:jc w:val="center"/>
              <w:rPr>
                <w:rFonts w:ascii="Arial Narrow" w:hAnsi="Arial Narrow" w:cs="Calibri"/>
                <w:b/>
                <w:bCs/>
                <w:color w:val="000000"/>
                <w:sz w:val="20"/>
                <w:szCs w:val="20"/>
                <w:lang w:val="es-CR" w:eastAsia="es-CR"/>
              </w:rPr>
            </w:pPr>
            <w:r w:rsidRPr="00C83FE6">
              <w:rPr>
                <w:rFonts w:ascii="Arial Narrow" w:hAnsi="Arial Narrow" w:cs="Calibri"/>
                <w:b/>
                <w:bCs/>
                <w:color w:val="000000"/>
                <w:sz w:val="20"/>
                <w:szCs w:val="20"/>
                <w:lang w:val="es-CR" w:eastAsia="es-CR"/>
              </w:rPr>
              <w:lastRenderedPageBreak/>
              <w:t>Resolución Oportuna de Conflictos</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281E364D" w14:textId="281D73D2" w:rsidR="00C83FE6" w:rsidRPr="00704B08" w:rsidRDefault="00C83FE6">
            <w:pPr>
              <w:jc w:val="center"/>
              <w:rPr>
                <w:rFonts w:ascii="Arial Narrow" w:hAnsi="Arial Narrow" w:cs="Calibri"/>
                <w:color w:val="000000"/>
                <w:sz w:val="20"/>
                <w:szCs w:val="20"/>
                <w:lang w:val="es-CR" w:eastAsia="es-CR"/>
              </w:rPr>
            </w:pPr>
            <w:r w:rsidRPr="00704B08">
              <w:rPr>
                <w:rFonts w:ascii="Arial Narrow" w:hAnsi="Arial Narrow" w:cs="Calibri"/>
                <w:color w:val="000000"/>
                <w:sz w:val="20"/>
                <w:szCs w:val="20"/>
                <w:lang w:val="es-CR" w:eastAsia="es-CR"/>
              </w:rPr>
              <w:t>Medidas Alternas</w:t>
            </w:r>
          </w:p>
        </w:tc>
        <w:tc>
          <w:tcPr>
            <w:tcW w:w="1418" w:type="dxa"/>
            <w:tcBorders>
              <w:top w:val="single" w:sz="4" w:space="0" w:color="auto"/>
              <w:left w:val="nil"/>
              <w:bottom w:val="single" w:sz="4" w:space="0" w:color="auto"/>
              <w:right w:val="single" w:sz="4" w:space="0" w:color="auto"/>
            </w:tcBorders>
            <w:shd w:val="clear" w:color="auto" w:fill="FFFFFF" w:themeFill="background1"/>
            <w:noWrap/>
            <w:vAlign w:val="center"/>
          </w:tcPr>
          <w:p w14:paraId="2A15F17B" w14:textId="6733508A" w:rsidR="00C83FE6" w:rsidRPr="00704B08" w:rsidRDefault="00C83FE6">
            <w:pPr>
              <w:jc w:val="center"/>
              <w:rPr>
                <w:rFonts w:ascii="Arial Narrow" w:hAnsi="Arial Narrow" w:cs="Calibri"/>
                <w:color w:val="000000"/>
                <w:sz w:val="20"/>
                <w:szCs w:val="20"/>
                <w:lang w:val="es-CR" w:eastAsia="es-CR"/>
              </w:rPr>
            </w:pPr>
            <w:r w:rsidRPr="00704B08">
              <w:rPr>
                <w:rFonts w:ascii="Arial Narrow" w:hAnsi="Arial Narrow" w:cs="Calibri"/>
                <w:color w:val="000000"/>
                <w:sz w:val="20"/>
                <w:szCs w:val="20"/>
                <w:lang w:val="es-CR" w:eastAsia="es-CR"/>
              </w:rPr>
              <w:t>Centro de Apoyo, Coordinación y Mejoramiento de la función jurisdiccional</w:t>
            </w:r>
          </w:p>
        </w:tc>
        <w:tc>
          <w:tcPr>
            <w:tcW w:w="4204" w:type="dxa"/>
            <w:tcBorders>
              <w:top w:val="single" w:sz="4" w:space="0" w:color="auto"/>
              <w:left w:val="nil"/>
              <w:bottom w:val="single" w:sz="4" w:space="0" w:color="auto"/>
              <w:right w:val="single" w:sz="4" w:space="0" w:color="auto"/>
            </w:tcBorders>
            <w:shd w:val="clear" w:color="auto" w:fill="FFFFFF" w:themeFill="background1"/>
            <w:noWrap/>
            <w:vAlign w:val="center"/>
          </w:tcPr>
          <w:p w14:paraId="6962D837" w14:textId="09DB65F3" w:rsidR="00357B2A" w:rsidRDefault="00C83FE6" w:rsidP="00357B2A">
            <w:pPr>
              <w:pStyle w:val="Textoindependiente2"/>
              <w:numPr>
                <w:ilvl w:val="0"/>
                <w:numId w:val="121"/>
              </w:numPr>
              <w:spacing w:line="240" w:lineRule="auto"/>
              <w:rPr>
                <w:rFonts w:ascii="Arial Narrow" w:eastAsia="Times New Roman" w:hAnsi="Arial Narrow" w:cs="Calibri"/>
                <w:b w:val="0"/>
                <w:bCs w:val="0"/>
                <w:color w:val="000000"/>
                <w:sz w:val="20"/>
                <w:szCs w:val="20"/>
                <w:lang w:val="es-CR" w:eastAsia="es-CR"/>
              </w:rPr>
            </w:pPr>
            <w:r w:rsidRPr="00704B08">
              <w:rPr>
                <w:rFonts w:ascii="Arial Narrow" w:eastAsia="Times New Roman" w:hAnsi="Arial Narrow" w:cs="Calibri"/>
                <w:b w:val="0"/>
                <w:bCs w:val="0"/>
                <w:color w:val="000000"/>
                <w:sz w:val="20"/>
                <w:szCs w:val="20"/>
                <w:lang w:val="es-CR" w:eastAsia="es-CR"/>
              </w:rPr>
              <w:t>Que al finalizar el 2024, se haya incrementado la cantidad de casos terminados, mediante la aplicación de medidas alternas, en materia Contravencional por año, en primera instancia</w:t>
            </w:r>
            <w:r w:rsidR="00357B2A">
              <w:rPr>
                <w:rFonts w:ascii="Arial Narrow" w:eastAsia="Times New Roman" w:hAnsi="Arial Narrow" w:cs="Calibri"/>
                <w:b w:val="0"/>
                <w:bCs w:val="0"/>
                <w:color w:val="000000"/>
                <w:sz w:val="20"/>
                <w:szCs w:val="20"/>
                <w:lang w:val="es-CR" w:eastAsia="es-CR"/>
              </w:rPr>
              <w:t>.</w:t>
            </w:r>
          </w:p>
          <w:p w14:paraId="40E2C0E4" w14:textId="5C23D939" w:rsidR="00357B2A" w:rsidRDefault="00357B2A" w:rsidP="00357B2A">
            <w:pPr>
              <w:pStyle w:val="Textoindependiente2"/>
              <w:spacing w:line="240" w:lineRule="auto"/>
              <w:ind w:left="720"/>
              <w:rPr>
                <w:rFonts w:ascii="Arial Narrow" w:eastAsia="Times New Roman" w:hAnsi="Arial Narrow" w:cs="Calibri"/>
                <w:b w:val="0"/>
                <w:bCs w:val="0"/>
                <w:color w:val="000000"/>
                <w:sz w:val="20"/>
                <w:szCs w:val="20"/>
                <w:lang w:val="es-CR" w:eastAsia="es-CR"/>
              </w:rPr>
            </w:pPr>
          </w:p>
          <w:p w14:paraId="66513B6B" w14:textId="5FED2306" w:rsidR="00357B2A" w:rsidRDefault="00357B2A" w:rsidP="00357B2A">
            <w:pPr>
              <w:pStyle w:val="Textoindependiente2"/>
              <w:spacing w:line="240" w:lineRule="auto"/>
              <w:ind w:left="720"/>
              <w:rPr>
                <w:rFonts w:ascii="Arial Narrow" w:eastAsia="Times New Roman" w:hAnsi="Arial Narrow" w:cs="Calibri"/>
                <w:b w:val="0"/>
                <w:bCs w:val="0"/>
                <w:color w:val="000000"/>
                <w:sz w:val="20"/>
                <w:szCs w:val="20"/>
                <w:lang w:val="es-CR" w:eastAsia="es-CR"/>
              </w:rPr>
            </w:pPr>
          </w:p>
          <w:p w14:paraId="276593B8" w14:textId="77777777" w:rsidR="00357B2A" w:rsidRDefault="00357B2A" w:rsidP="00CC279A">
            <w:pPr>
              <w:pStyle w:val="Textoindependiente2"/>
              <w:spacing w:line="240" w:lineRule="auto"/>
              <w:ind w:left="720"/>
              <w:rPr>
                <w:rFonts w:ascii="Arial Narrow" w:eastAsia="Times New Roman" w:hAnsi="Arial Narrow" w:cs="Calibri"/>
                <w:b w:val="0"/>
                <w:bCs w:val="0"/>
                <w:color w:val="000000"/>
                <w:sz w:val="20"/>
                <w:szCs w:val="20"/>
                <w:lang w:val="es-CR" w:eastAsia="es-CR"/>
              </w:rPr>
            </w:pPr>
          </w:p>
          <w:p w14:paraId="79074C20" w14:textId="654117D1" w:rsidR="00357B2A" w:rsidRDefault="00C83FE6" w:rsidP="00357B2A">
            <w:pPr>
              <w:pStyle w:val="Textoindependiente2"/>
              <w:numPr>
                <w:ilvl w:val="0"/>
                <w:numId w:val="121"/>
              </w:numPr>
              <w:spacing w:line="240" w:lineRule="auto"/>
              <w:rPr>
                <w:rFonts w:ascii="Arial Narrow" w:eastAsia="Times New Roman" w:hAnsi="Arial Narrow" w:cs="Calibri"/>
                <w:b w:val="0"/>
                <w:bCs w:val="0"/>
                <w:color w:val="000000"/>
                <w:sz w:val="20"/>
                <w:szCs w:val="20"/>
                <w:lang w:val="es-CR" w:eastAsia="es-CR"/>
              </w:rPr>
            </w:pPr>
            <w:r w:rsidRPr="00704B08">
              <w:rPr>
                <w:rFonts w:ascii="Arial Narrow" w:eastAsia="Times New Roman" w:hAnsi="Arial Narrow" w:cs="Calibri"/>
                <w:b w:val="0"/>
                <w:bCs w:val="0"/>
                <w:color w:val="000000"/>
                <w:sz w:val="20"/>
                <w:szCs w:val="20"/>
                <w:lang w:val="es-CR" w:eastAsia="es-CR"/>
              </w:rPr>
              <w:t xml:space="preserve"> Que al finalizar el 2024,</w:t>
            </w:r>
            <w:r w:rsidR="00C02363">
              <w:rPr>
                <w:rFonts w:ascii="Arial Narrow" w:eastAsia="Times New Roman" w:hAnsi="Arial Narrow" w:cs="Calibri"/>
                <w:b w:val="0"/>
                <w:bCs w:val="0"/>
                <w:color w:val="000000"/>
                <w:sz w:val="20"/>
                <w:szCs w:val="20"/>
                <w:lang w:val="es-CR" w:eastAsia="es-CR"/>
              </w:rPr>
              <w:t xml:space="preserve"> </w:t>
            </w:r>
            <w:r w:rsidRPr="00704B08">
              <w:rPr>
                <w:rFonts w:ascii="Arial Narrow" w:eastAsia="Times New Roman" w:hAnsi="Arial Narrow" w:cs="Calibri"/>
                <w:b w:val="0"/>
                <w:bCs w:val="0"/>
                <w:color w:val="000000"/>
                <w:sz w:val="20"/>
                <w:szCs w:val="20"/>
                <w:lang w:val="es-CR" w:eastAsia="es-CR"/>
              </w:rPr>
              <w:t>se haya incrementado anualmente la cantidad de casos terminados por el Centro de Conciliación del Poder Judicial</w:t>
            </w:r>
            <w:r w:rsidR="00357B2A">
              <w:rPr>
                <w:rFonts w:ascii="Arial Narrow" w:eastAsia="Times New Roman" w:hAnsi="Arial Narrow" w:cs="Calibri"/>
                <w:b w:val="0"/>
                <w:bCs w:val="0"/>
                <w:color w:val="000000"/>
                <w:sz w:val="20"/>
                <w:szCs w:val="20"/>
                <w:lang w:val="es-CR" w:eastAsia="es-CR"/>
              </w:rPr>
              <w:t>.</w:t>
            </w:r>
          </w:p>
          <w:p w14:paraId="01049962" w14:textId="111DFA7B" w:rsidR="00357B2A" w:rsidRDefault="00357B2A" w:rsidP="00CC279A">
            <w:pPr>
              <w:pStyle w:val="Textoindependiente2"/>
              <w:spacing w:line="240" w:lineRule="auto"/>
              <w:ind w:left="720"/>
              <w:rPr>
                <w:rFonts w:ascii="Arial Narrow" w:eastAsia="Times New Roman" w:hAnsi="Arial Narrow" w:cs="Calibri"/>
                <w:b w:val="0"/>
                <w:bCs w:val="0"/>
                <w:color w:val="000000"/>
                <w:sz w:val="20"/>
                <w:szCs w:val="20"/>
                <w:lang w:val="es-CR" w:eastAsia="es-CR"/>
              </w:rPr>
            </w:pPr>
          </w:p>
          <w:p w14:paraId="461F0A30" w14:textId="77777777" w:rsidR="00C02363" w:rsidRDefault="00C02363" w:rsidP="00CC279A">
            <w:pPr>
              <w:pStyle w:val="Textoindependiente2"/>
              <w:spacing w:line="240" w:lineRule="auto"/>
              <w:ind w:left="720"/>
              <w:rPr>
                <w:rFonts w:ascii="Arial Narrow" w:eastAsia="Times New Roman" w:hAnsi="Arial Narrow" w:cs="Calibri"/>
                <w:b w:val="0"/>
                <w:bCs w:val="0"/>
                <w:color w:val="000000"/>
                <w:sz w:val="20"/>
                <w:szCs w:val="20"/>
                <w:lang w:val="es-CR" w:eastAsia="es-CR"/>
              </w:rPr>
            </w:pPr>
          </w:p>
          <w:p w14:paraId="2A59B5ED" w14:textId="22BB0F0D" w:rsidR="00C83FE6" w:rsidRPr="00704B08" w:rsidRDefault="00C83FE6" w:rsidP="00CC279A">
            <w:pPr>
              <w:pStyle w:val="Textoindependiente2"/>
              <w:numPr>
                <w:ilvl w:val="0"/>
                <w:numId w:val="121"/>
              </w:numPr>
              <w:spacing w:line="240" w:lineRule="auto"/>
              <w:rPr>
                <w:rFonts w:ascii="Arial Narrow" w:eastAsia="Times New Roman" w:hAnsi="Arial Narrow" w:cs="Calibri"/>
                <w:b w:val="0"/>
                <w:bCs w:val="0"/>
                <w:color w:val="000000"/>
                <w:sz w:val="20"/>
                <w:szCs w:val="20"/>
                <w:lang w:val="es-CR" w:eastAsia="es-CR"/>
              </w:rPr>
            </w:pPr>
            <w:r w:rsidRPr="00704B08">
              <w:rPr>
                <w:rFonts w:ascii="Arial Narrow" w:eastAsia="Times New Roman" w:hAnsi="Arial Narrow" w:cs="Calibri"/>
                <w:b w:val="0"/>
                <w:bCs w:val="0"/>
                <w:color w:val="000000"/>
                <w:sz w:val="20"/>
                <w:szCs w:val="20"/>
                <w:lang w:val="es-CR" w:eastAsia="es-CR"/>
              </w:rPr>
              <w:t xml:space="preserve"> Que al finalizar el 2024, se haya incrementado la cantidad de casos terminados, mediante la aplicación de medidas alternas, en Tribunales penales.</w:t>
            </w:r>
          </w:p>
          <w:p w14:paraId="24A70E1B" w14:textId="77777777" w:rsidR="00315FFA" w:rsidRDefault="00315FFA" w:rsidP="00315FFA">
            <w:pPr>
              <w:pStyle w:val="Prrafodelista"/>
              <w:rPr>
                <w:rFonts w:ascii="Arial Narrow" w:hAnsi="Arial Narrow" w:cs="Calibri"/>
                <w:color w:val="000000"/>
                <w:sz w:val="20"/>
                <w:szCs w:val="20"/>
                <w:lang w:val="es-CR" w:eastAsia="es-CR"/>
              </w:rPr>
            </w:pPr>
          </w:p>
          <w:p w14:paraId="73542F48" w14:textId="77777777" w:rsidR="00CF2478" w:rsidRDefault="00CF2478" w:rsidP="00CC279A">
            <w:pPr>
              <w:pStyle w:val="Prrafodelista"/>
              <w:rPr>
                <w:rFonts w:ascii="Arial Narrow" w:hAnsi="Arial Narrow" w:cs="Calibri"/>
                <w:color w:val="000000"/>
                <w:sz w:val="20"/>
                <w:szCs w:val="20"/>
                <w:lang w:val="es-CR" w:eastAsia="es-CR"/>
              </w:rPr>
            </w:pPr>
          </w:p>
          <w:p w14:paraId="26DDB66E" w14:textId="77777777" w:rsidR="00C83FE6" w:rsidRPr="00704B08" w:rsidRDefault="00C83FE6">
            <w:pPr>
              <w:jc w:val="center"/>
              <w:rPr>
                <w:rFonts w:ascii="Arial Narrow" w:hAnsi="Arial Narrow" w:cs="Calibri"/>
                <w:color w:val="000000"/>
                <w:sz w:val="20"/>
                <w:szCs w:val="20"/>
                <w:lang w:val="es-CR" w:eastAsia="es-CR"/>
              </w:rPr>
            </w:pPr>
          </w:p>
        </w:tc>
        <w:tc>
          <w:tcPr>
            <w:tcW w:w="1318" w:type="dxa"/>
            <w:tcBorders>
              <w:top w:val="single" w:sz="4" w:space="0" w:color="auto"/>
              <w:left w:val="nil"/>
              <w:bottom w:val="single" w:sz="4" w:space="0" w:color="auto"/>
              <w:right w:val="single" w:sz="4" w:space="0" w:color="auto"/>
            </w:tcBorders>
            <w:shd w:val="clear" w:color="auto" w:fill="FFFFFF" w:themeFill="background1"/>
            <w:noWrap/>
          </w:tcPr>
          <w:p w14:paraId="2171B022" w14:textId="77777777" w:rsidR="00357B2A" w:rsidRPr="00C02363" w:rsidRDefault="00357B2A" w:rsidP="00357B2A">
            <w:pPr>
              <w:jc w:val="center"/>
              <w:rPr>
                <w:rFonts w:ascii="Arial Narrow" w:hAnsi="Arial Narrow" w:cs="Calibri"/>
                <w:color w:val="000000"/>
                <w:sz w:val="20"/>
                <w:szCs w:val="20"/>
                <w:lang w:val="es-CR" w:eastAsia="es-CR"/>
              </w:rPr>
            </w:pPr>
          </w:p>
          <w:p w14:paraId="217ED707" w14:textId="0D3BA471" w:rsidR="00357B2A" w:rsidRPr="00C02363" w:rsidRDefault="00357B2A" w:rsidP="00357B2A">
            <w:pPr>
              <w:jc w:val="center"/>
              <w:rPr>
                <w:rFonts w:ascii="Arial Narrow" w:hAnsi="Arial Narrow" w:cs="Calibri"/>
                <w:color w:val="000000"/>
                <w:sz w:val="20"/>
                <w:szCs w:val="20"/>
                <w:lang w:val="es-CR" w:eastAsia="es-CR"/>
              </w:rPr>
            </w:pPr>
            <w:r w:rsidRPr="00C02363">
              <w:rPr>
                <w:rFonts w:ascii="Arial Narrow" w:hAnsi="Arial Narrow" w:cs="Calibri"/>
                <w:color w:val="000000"/>
                <w:sz w:val="20"/>
                <w:szCs w:val="20"/>
                <w:lang w:val="es-CR" w:eastAsia="es-CR"/>
              </w:rPr>
              <w:t xml:space="preserve">Son </w:t>
            </w:r>
            <w:r w:rsidR="00C02363" w:rsidRPr="00C9711A">
              <w:rPr>
                <w:rFonts w:ascii="Arial Narrow" w:hAnsi="Arial Narrow" w:cs="Calibri"/>
                <w:color w:val="000000"/>
                <w:sz w:val="20"/>
                <w:szCs w:val="20"/>
                <w:lang w:val="es-CR" w:eastAsia="es-CR"/>
              </w:rPr>
              <w:t>76</w:t>
            </w:r>
            <w:r w:rsidR="00C02363" w:rsidRPr="00C02363">
              <w:rPr>
                <w:rFonts w:ascii="Arial Narrow" w:hAnsi="Arial Narrow" w:cs="Calibri"/>
                <w:color w:val="000000"/>
                <w:sz w:val="20"/>
                <w:szCs w:val="20"/>
                <w:lang w:val="es-CR" w:eastAsia="es-CR"/>
              </w:rPr>
              <w:t xml:space="preserve"> </w:t>
            </w:r>
            <w:r w:rsidRPr="00C02363">
              <w:rPr>
                <w:rFonts w:ascii="Arial Narrow" w:hAnsi="Arial Narrow" w:cs="Calibri"/>
                <w:color w:val="000000"/>
                <w:sz w:val="20"/>
                <w:szCs w:val="20"/>
                <w:lang w:val="es-CR" w:eastAsia="es-CR"/>
              </w:rPr>
              <w:t>Juzgados Contravencionales</w:t>
            </w:r>
          </w:p>
          <w:p w14:paraId="143CBADD" w14:textId="77777777" w:rsidR="00357B2A" w:rsidRPr="00C02363" w:rsidRDefault="00357B2A" w:rsidP="00357B2A">
            <w:pPr>
              <w:jc w:val="center"/>
              <w:rPr>
                <w:rFonts w:ascii="Arial Narrow" w:hAnsi="Arial Narrow" w:cs="Calibri"/>
                <w:color w:val="000000"/>
                <w:sz w:val="20"/>
                <w:szCs w:val="20"/>
                <w:lang w:val="es-CR" w:eastAsia="es-CR"/>
              </w:rPr>
            </w:pPr>
          </w:p>
          <w:p w14:paraId="6C9C2295" w14:textId="2B580DBE" w:rsidR="00C83FE6" w:rsidRPr="00C02363" w:rsidRDefault="00C83FE6" w:rsidP="00357B2A">
            <w:pPr>
              <w:jc w:val="center"/>
              <w:rPr>
                <w:rFonts w:ascii="Arial Narrow" w:hAnsi="Arial Narrow" w:cs="Calibri"/>
                <w:color w:val="000000"/>
                <w:sz w:val="20"/>
                <w:szCs w:val="20"/>
                <w:lang w:val="es-CR" w:eastAsia="es-CR"/>
              </w:rPr>
            </w:pPr>
          </w:p>
          <w:p w14:paraId="0701D37A" w14:textId="77777777" w:rsidR="00357B2A" w:rsidRPr="00C02363" w:rsidRDefault="00357B2A" w:rsidP="00357B2A">
            <w:pPr>
              <w:jc w:val="center"/>
              <w:rPr>
                <w:rFonts w:ascii="Arial Narrow" w:hAnsi="Arial Narrow" w:cs="Calibri"/>
                <w:color w:val="000000"/>
                <w:sz w:val="20"/>
                <w:szCs w:val="20"/>
                <w:lang w:val="es-CR" w:eastAsia="es-CR"/>
              </w:rPr>
            </w:pPr>
          </w:p>
          <w:p w14:paraId="287678B0" w14:textId="6DB325A7" w:rsidR="00357B2A" w:rsidRPr="00C02363" w:rsidRDefault="00357B2A" w:rsidP="00357B2A">
            <w:pPr>
              <w:jc w:val="center"/>
              <w:rPr>
                <w:rFonts w:ascii="Arial Narrow" w:hAnsi="Arial Narrow" w:cs="Calibri"/>
                <w:color w:val="000000"/>
                <w:sz w:val="20"/>
                <w:szCs w:val="20"/>
                <w:lang w:val="es-CR" w:eastAsia="es-CR"/>
              </w:rPr>
            </w:pPr>
            <w:r w:rsidRPr="00C02363">
              <w:rPr>
                <w:rFonts w:ascii="Arial Narrow" w:hAnsi="Arial Narrow" w:cs="Calibri"/>
                <w:color w:val="000000"/>
                <w:sz w:val="20"/>
                <w:szCs w:val="20"/>
                <w:lang w:val="es-CR" w:eastAsia="es-CR"/>
              </w:rPr>
              <w:t>Son 11 Centros de Conciliación</w:t>
            </w:r>
          </w:p>
          <w:p w14:paraId="0CB85E9F" w14:textId="119ED6DB" w:rsidR="00357B2A" w:rsidRPr="00C02363" w:rsidRDefault="00357B2A" w:rsidP="00357B2A">
            <w:pPr>
              <w:jc w:val="center"/>
              <w:rPr>
                <w:rFonts w:ascii="Arial Narrow" w:hAnsi="Arial Narrow" w:cs="Calibri"/>
                <w:color w:val="000000"/>
                <w:sz w:val="20"/>
                <w:szCs w:val="20"/>
                <w:lang w:val="es-CR" w:eastAsia="es-CR"/>
              </w:rPr>
            </w:pPr>
          </w:p>
          <w:p w14:paraId="15A54D74" w14:textId="77777777" w:rsidR="00357B2A" w:rsidRPr="00C02363" w:rsidRDefault="00357B2A" w:rsidP="00357B2A">
            <w:pPr>
              <w:jc w:val="center"/>
              <w:rPr>
                <w:rFonts w:ascii="Arial Narrow" w:hAnsi="Arial Narrow" w:cs="Calibri"/>
                <w:color w:val="000000"/>
                <w:sz w:val="20"/>
                <w:szCs w:val="20"/>
                <w:lang w:val="es-CR" w:eastAsia="es-CR"/>
              </w:rPr>
            </w:pPr>
          </w:p>
          <w:p w14:paraId="1316B70C" w14:textId="105ED416" w:rsidR="00357B2A" w:rsidRPr="00C02363" w:rsidRDefault="00357B2A" w:rsidP="00357B2A">
            <w:pPr>
              <w:jc w:val="center"/>
              <w:rPr>
                <w:rFonts w:ascii="Arial Narrow" w:hAnsi="Arial Narrow" w:cs="Calibri"/>
                <w:color w:val="000000"/>
                <w:sz w:val="20"/>
                <w:szCs w:val="20"/>
                <w:lang w:val="es-CR" w:eastAsia="es-CR"/>
              </w:rPr>
            </w:pPr>
          </w:p>
          <w:p w14:paraId="165D5F3F" w14:textId="2C5C7804" w:rsidR="00357B2A" w:rsidRPr="00C02363" w:rsidRDefault="00357B2A" w:rsidP="00357B2A">
            <w:pPr>
              <w:jc w:val="center"/>
              <w:rPr>
                <w:rFonts w:ascii="Arial Narrow" w:hAnsi="Arial Narrow" w:cs="Calibri"/>
                <w:color w:val="000000"/>
                <w:sz w:val="20"/>
                <w:szCs w:val="20"/>
                <w:lang w:val="es-CR" w:eastAsia="es-CR"/>
              </w:rPr>
            </w:pPr>
            <w:r w:rsidRPr="00C02363">
              <w:rPr>
                <w:rFonts w:ascii="Arial Narrow" w:hAnsi="Arial Narrow" w:cs="Calibri"/>
                <w:color w:val="000000"/>
                <w:sz w:val="20"/>
                <w:szCs w:val="20"/>
                <w:lang w:val="es-CR" w:eastAsia="es-CR"/>
              </w:rPr>
              <w:t xml:space="preserve">Son </w:t>
            </w:r>
            <w:r w:rsidR="001A6496" w:rsidRPr="00C02363">
              <w:rPr>
                <w:rFonts w:ascii="Arial Narrow" w:hAnsi="Arial Narrow" w:cs="Calibri"/>
                <w:color w:val="000000"/>
                <w:sz w:val="20"/>
                <w:szCs w:val="20"/>
                <w:lang w:val="es-CR" w:eastAsia="es-CR"/>
              </w:rPr>
              <w:t>39</w:t>
            </w:r>
            <w:r w:rsidRPr="00C02363">
              <w:rPr>
                <w:rFonts w:ascii="Arial Narrow" w:hAnsi="Arial Narrow" w:cs="Calibri"/>
                <w:color w:val="000000"/>
                <w:sz w:val="20"/>
                <w:szCs w:val="20"/>
                <w:lang w:val="es-CR" w:eastAsia="es-CR"/>
              </w:rPr>
              <w:t xml:space="preserve"> Tribunales Penales</w:t>
            </w:r>
          </w:p>
          <w:p w14:paraId="20FB0EC9" w14:textId="77777777" w:rsidR="00357B2A" w:rsidRPr="00C9711A" w:rsidRDefault="00357B2A" w:rsidP="00357B2A">
            <w:pPr>
              <w:jc w:val="center"/>
              <w:rPr>
                <w:rFonts w:ascii="Arial Narrow" w:hAnsi="Arial Narrow" w:cs="Calibri"/>
                <w:color w:val="000000"/>
                <w:sz w:val="20"/>
                <w:szCs w:val="20"/>
                <w:highlight w:val="yellow"/>
                <w:lang w:val="es-CR" w:eastAsia="es-CR"/>
              </w:rPr>
            </w:pPr>
          </w:p>
          <w:p w14:paraId="22AC5D06" w14:textId="7DC4EE95" w:rsidR="00357B2A" w:rsidRPr="00C9711A" w:rsidRDefault="00357B2A" w:rsidP="00357B2A">
            <w:pPr>
              <w:jc w:val="center"/>
              <w:rPr>
                <w:rFonts w:ascii="Arial Narrow" w:hAnsi="Arial Narrow" w:cs="Calibri"/>
                <w:color w:val="000000"/>
                <w:sz w:val="20"/>
                <w:szCs w:val="20"/>
                <w:highlight w:val="yellow"/>
                <w:lang w:val="es-CR" w:eastAsia="es-CR"/>
              </w:rPr>
            </w:pPr>
          </w:p>
        </w:tc>
      </w:tr>
      <w:tr w:rsidR="00357B2A" w:rsidRPr="00C83FE6" w14:paraId="677C4E95" w14:textId="77777777" w:rsidTr="00CC279A">
        <w:trPr>
          <w:trHeight w:val="332"/>
        </w:trPr>
        <w:tc>
          <w:tcPr>
            <w:tcW w:w="1129" w:type="dxa"/>
            <w:tcBorders>
              <w:top w:val="nil"/>
              <w:left w:val="single" w:sz="4" w:space="0" w:color="auto"/>
              <w:bottom w:val="single" w:sz="4" w:space="0" w:color="auto"/>
              <w:right w:val="single" w:sz="4" w:space="0" w:color="auto"/>
            </w:tcBorders>
            <w:shd w:val="clear" w:color="auto" w:fill="auto"/>
            <w:vAlign w:val="center"/>
            <w:hideMark/>
          </w:tcPr>
          <w:p w14:paraId="3398BC82" w14:textId="669939CD" w:rsidR="00C83FE6" w:rsidRPr="00704B08" w:rsidRDefault="00C83FE6">
            <w:pPr>
              <w:jc w:val="center"/>
              <w:rPr>
                <w:rFonts w:ascii="Arial Narrow" w:hAnsi="Arial Narrow" w:cs="Calibri"/>
                <w:b/>
                <w:bCs/>
                <w:color w:val="000000"/>
                <w:sz w:val="20"/>
                <w:szCs w:val="20"/>
                <w:lang w:val="es-CR" w:eastAsia="es-CR"/>
              </w:rPr>
            </w:pPr>
            <w:r w:rsidRPr="00704B08">
              <w:rPr>
                <w:rFonts w:ascii="Arial Narrow" w:hAnsi="Arial Narrow" w:cs="Calibri"/>
                <w:b/>
                <w:bCs/>
                <w:color w:val="000000"/>
                <w:sz w:val="20"/>
                <w:szCs w:val="20"/>
                <w:lang w:eastAsia="es-CR"/>
              </w:rPr>
              <w:t>Confianza y Probidad</w:t>
            </w:r>
          </w:p>
        </w:tc>
        <w:tc>
          <w:tcPr>
            <w:tcW w:w="1134" w:type="dxa"/>
            <w:tcBorders>
              <w:top w:val="nil"/>
              <w:left w:val="nil"/>
              <w:bottom w:val="single" w:sz="4" w:space="0" w:color="auto"/>
              <w:right w:val="single" w:sz="4" w:space="0" w:color="auto"/>
            </w:tcBorders>
            <w:shd w:val="clear" w:color="auto" w:fill="auto"/>
            <w:vAlign w:val="center"/>
            <w:hideMark/>
          </w:tcPr>
          <w:p w14:paraId="0584947B" w14:textId="1F4B5FE4" w:rsidR="00C83FE6" w:rsidRPr="00704B08" w:rsidRDefault="00C83FE6" w:rsidP="00704B08">
            <w:pPr>
              <w:jc w:val="center"/>
              <w:rPr>
                <w:rFonts w:ascii="Arial Narrow" w:hAnsi="Arial Narrow" w:cs="Calibri"/>
                <w:color w:val="000000"/>
                <w:sz w:val="20"/>
                <w:szCs w:val="20"/>
                <w:lang w:val="es-CR" w:eastAsia="es-CR"/>
              </w:rPr>
            </w:pPr>
            <w:r w:rsidRPr="00704B08">
              <w:rPr>
                <w:rFonts w:ascii="Arial Narrow" w:hAnsi="Arial Narrow" w:cs="Calibri"/>
                <w:color w:val="000000"/>
                <w:sz w:val="20"/>
                <w:szCs w:val="20"/>
                <w:lang w:eastAsia="es-CR"/>
              </w:rPr>
              <w:t>Colaboración interna y externa</w:t>
            </w:r>
          </w:p>
        </w:tc>
        <w:tc>
          <w:tcPr>
            <w:tcW w:w="1418" w:type="dxa"/>
            <w:tcBorders>
              <w:top w:val="nil"/>
              <w:left w:val="nil"/>
              <w:bottom w:val="single" w:sz="4" w:space="0" w:color="auto"/>
              <w:right w:val="single" w:sz="4" w:space="0" w:color="auto"/>
            </w:tcBorders>
            <w:shd w:val="clear" w:color="auto" w:fill="auto"/>
            <w:vAlign w:val="center"/>
            <w:hideMark/>
          </w:tcPr>
          <w:p w14:paraId="4A40F093" w14:textId="29AA6F51" w:rsidR="00C83FE6" w:rsidRPr="00704B08" w:rsidRDefault="00C83FE6" w:rsidP="00704B08">
            <w:pPr>
              <w:jc w:val="center"/>
              <w:rPr>
                <w:rFonts w:ascii="Arial Narrow" w:hAnsi="Arial Narrow" w:cs="Calibri"/>
                <w:color w:val="000000"/>
                <w:sz w:val="20"/>
                <w:szCs w:val="20"/>
                <w:lang w:val="es-CR" w:eastAsia="es-CR"/>
              </w:rPr>
            </w:pPr>
            <w:r w:rsidRPr="00704B08">
              <w:rPr>
                <w:rFonts w:ascii="Arial Narrow" w:hAnsi="Arial Narrow" w:cs="Calibri"/>
                <w:color w:val="000000"/>
                <w:sz w:val="20"/>
                <w:szCs w:val="20"/>
                <w:lang w:val="es-CR" w:eastAsia="es-CR"/>
              </w:rPr>
              <w:t>Oficina de Atención a la Victima de Delitos</w:t>
            </w:r>
          </w:p>
        </w:tc>
        <w:tc>
          <w:tcPr>
            <w:tcW w:w="4204" w:type="dxa"/>
            <w:tcBorders>
              <w:top w:val="nil"/>
              <w:left w:val="nil"/>
              <w:bottom w:val="single" w:sz="4" w:space="0" w:color="auto"/>
              <w:right w:val="single" w:sz="4" w:space="0" w:color="auto"/>
            </w:tcBorders>
            <w:shd w:val="clear" w:color="auto" w:fill="auto"/>
            <w:vAlign w:val="center"/>
            <w:hideMark/>
          </w:tcPr>
          <w:p w14:paraId="385A1297" w14:textId="77777777" w:rsidR="00C83FE6" w:rsidRPr="00704B08" w:rsidRDefault="00C83FE6" w:rsidP="00704B08">
            <w:pPr>
              <w:jc w:val="both"/>
              <w:rPr>
                <w:rFonts w:ascii="Arial Narrow" w:hAnsi="Arial Narrow" w:cs="Calibri"/>
                <w:color w:val="000000"/>
                <w:sz w:val="20"/>
                <w:szCs w:val="20"/>
                <w:lang w:val="es-CR" w:eastAsia="es-CR"/>
              </w:rPr>
            </w:pPr>
            <w:r w:rsidRPr="00704B08">
              <w:rPr>
                <w:rFonts w:ascii="Arial Narrow" w:hAnsi="Arial Narrow" w:cs="Calibri"/>
                <w:color w:val="000000"/>
                <w:sz w:val="20"/>
                <w:szCs w:val="20"/>
                <w:lang w:eastAsia="es-CR"/>
              </w:rPr>
              <w:t>Que al finalizar el 2024, se hayan implementado las estrategias de coordinación interinstitucional para los servicios de atención y protección de víctimas y testigos</w:t>
            </w:r>
          </w:p>
        </w:tc>
        <w:tc>
          <w:tcPr>
            <w:tcW w:w="1318" w:type="dxa"/>
            <w:tcBorders>
              <w:top w:val="nil"/>
              <w:left w:val="nil"/>
              <w:bottom w:val="single" w:sz="4" w:space="0" w:color="auto"/>
              <w:right w:val="single" w:sz="4" w:space="0" w:color="auto"/>
            </w:tcBorders>
            <w:shd w:val="clear" w:color="auto" w:fill="auto"/>
            <w:vAlign w:val="center"/>
            <w:hideMark/>
          </w:tcPr>
          <w:p w14:paraId="728806DD" w14:textId="634448B6" w:rsidR="00C83FE6" w:rsidRPr="00C02363" w:rsidRDefault="00C83FE6" w:rsidP="00704B08">
            <w:pPr>
              <w:jc w:val="both"/>
              <w:rPr>
                <w:rFonts w:ascii="Arial Narrow" w:hAnsi="Arial Narrow" w:cs="Calibri"/>
                <w:color w:val="000000"/>
                <w:sz w:val="20"/>
                <w:szCs w:val="20"/>
                <w:lang w:val="es-CR" w:eastAsia="es-CR"/>
              </w:rPr>
            </w:pPr>
            <w:r w:rsidRPr="00C02363">
              <w:rPr>
                <w:rFonts w:ascii="Arial Narrow" w:hAnsi="Arial Narrow" w:cs="Calibri"/>
                <w:color w:val="000000"/>
                <w:sz w:val="20"/>
                <w:szCs w:val="20"/>
                <w:lang w:val="es-CR" w:eastAsia="es-CR"/>
              </w:rPr>
              <w:t>Oficina de Atención a la Victima de Delitos</w:t>
            </w:r>
          </w:p>
        </w:tc>
      </w:tr>
      <w:tr w:rsidR="00357B2A" w:rsidRPr="00C83FE6" w14:paraId="4AFEC193" w14:textId="77777777" w:rsidTr="00CC279A">
        <w:trPr>
          <w:trHeight w:val="332"/>
        </w:trPr>
        <w:tc>
          <w:tcPr>
            <w:tcW w:w="1129" w:type="dxa"/>
            <w:tcBorders>
              <w:top w:val="nil"/>
              <w:left w:val="single" w:sz="4" w:space="0" w:color="auto"/>
              <w:bottom w:val="single" w:sz="4" w:space="0" w:color="auto"/>
              <w:right w:val="single" w:sz="4" w:space="0" w:color="auto"/>
            </w:tcBorders>
            <w:shd w:val="clear" w:color="auto" w:fill="auto"/>
            <w:vAlign w:val="center"/>
            <w:hideMark/>
          </w:tcPr>
          <w:p w14:paraId="26DFA58A" w14:textId="0A7D46D4" w:rsidR="00C83FE6" w:rsidRPr="00704B08" w:rsidRDefault="00C83FE6">
            <w:pPr>
              <w:jc w:val="center"/>
              <w:rPr>
                <w:rFonts w:ascii="Arial Narrow" w:hAnsi="Arial Narrow" w:cs="Calibri"/>
                <w:b/>
                <w:bCs/>
                <w:color w:val="000000"/>
                <w:sz w:val="20"/>
                <w:szCs w:val="20"/>
                <w:lang w:val="es-CR" w:eastAsia="es-CR"/>
              </w:rPr>
            </w:pPr>
            <w:r w:rsidRPr="00704B08">
              <w:rPr>
                <w:rFonts w:ascii="Arial Narrow" w:hAnsi="Arial Narrow" w:cs="Calibri"/>
                <w:b/>
                <w:bCs/>
                <w:color w:val="000000"/>
                <w:sz w:val="20"/>
                <w:szCs w:val="20"/>
                <w:lang w:val="es-CR" w:eastAsia="es-CR"/>
              </w:rPr>
              <w:t>Confianza y Probidad</w:t>
            </w:r>
          </w:p>
        </w:tc>
        <w:tc>
          <w:tcPr>
            <w:tcW w:w="1134" w:type="dxa"/>
            <w:tcBorders>
              <w:top w:val="nil"/>
              <w:left w:val="nil"/>
              <w:bottom w:val="single" w:sz="4" w:space="0" w:color="auto"/>
              <w:right w:val="single" w:sz="4" w:space="0" w:color="auto"/>
            </w:tcBorders>
            <w:shd w:val="clear" w:color="auto" w:fill="auto"/>
            <w:vAlign w:val="center"/>
            <w:hideMark/>
          </w:tcPr>
          <w:p w14:paraId="6CDE58D3" w14:textId="77777777" w:rsidR="00C83FE6" w:rsidRPr="00704B08" w:rsidRDefault="00C83FE6" w:rsidP="00704B08">
            <w:pPr>
              <w:jc w:val="center"/>
              <w:rPr>
                <w:rFonts w:ascii="Arial Narrow" w:hAnsi="Arial Narrow" w:cs="Calibri"/>
                <w:color w:val="000000"/>
                <w:sz w:val="20"/>
                <w:szCs w:val="20"/>
                <w:lang w:val="es-CR" w:eastAsia="es-CR"/>
              </w:rPr>
            </w:pPr>
            <w:r w:rsidRPr="00704B08">
              <w:rPr>
                <w:rFonts w:ascii="Arial Narrow" w:hAnsi="Arial Narrow" w:cs="Calibri"/>
                <w:color w:val="000000"/>
                <w:sz w:val="20"/>
                <w:szCs w:val="20"/>
                <w:lang w:eastAsia="es-CR"/>
              </w:rPr>
              <w:t>Comunicación y proyección Institucional</w:t>
            </w:r>
          </w:p>
        </w:tc>
        <w:tc>
          <w:tcPr>
            <w:tcW w:w="1418" w:type="dxa"/>
            <w:tcBorders>
              <w:top w:val="nil"/>
              <w:left w:val="nil"/>
              <w:bottom w:val="single" w:sz="4" w:space="0" w:color="auto"/>
              <w:right w:val="single" w:sz="4" w:space="0" w:color="auto"/>
            </w:tcBorders>
            <w:shd w:val="clear" w:color="auto" w:fill="auto"/>
            <w:vAlign w:val="center"/>
            <w:hideMark/>
          </w:tcPr>
          <w:p w14:paraId="2902919D" w14:textId="0312E2AD" w:rsidR="00C83FE6" w:rsidRPr="00704B08" w:rsidRDefault="00C83FE6" w:rsidP="00704B08">
            <w:pPr>
              <w:jc w:val="center"/>
              <w:rPr>
                <w:rFonts w:ascii="Arial Narrow" w:hAnsi="Arial Narrow" w:cs="Calibri"/>
                <w:color w:val="000000"/>
                <w:sz w:val="20"/>
                <w:szCs w:val="20"/>
                <w:lang w:val="es-CR" w:eastAsia="es-CR"/>
              </w:rPr>
            </w:pPr>
            <w:r w:rsidRPr="00704B08">
              <w:rPr>
                <w:rFonts w:ascii="Arial Narrow" w:hAnsi="Arial Narrow" w:cs="Calibri"/>
                <w:color w:val="000000"/>
                <w:sz w:val="20"/>
                <w:szCs w:val="20"/>
                <w:lang w:val="es-CR" w:eastAsia="es-CR"/>
              </w:rPr>
              <w:t>Departamento de Prensa y Comunicación Institucional</w:t>
            </w:r>
          </w:p>
        </w:tc>
        <w:tc>
          <w:tcPr>
            <w:tcW w:w="4204" w:type="dxa"/>
            <w:tcBorders>
              <w:top w:val="nil"/>
              <w:left w:val="nil"/>
              <w:bottom w:val="single" w:sz="4" w:space="0" w:color="auto"/>
              <w:right w:val="single" w:sz="4" w:space="0" w:color="auto"/>
            </w:tcBorders>
            <w:shd w:val="clear" w:color="auto" w:fill="auto"/>
            <w:noWrap/>
            <w:vAlign w:val="center"/>
            <w:hideMark/>
          </w:tcPr>
          <w:p w14:paraId="6298EA5B" w14:textId="77777777" w:rsidR="00C83FE6" w:rsidRPr="00704B08" w:rsidRDefault="00C83FE6">
            <w:pPr>
              <w:jc w:val="both"/>
              <w:rPr>
                <w:rFonts w:ascii="Arial Narrow" w:hAnsi="Arial Narrow" w:cs="Calibri"/>
                <w:color w:val="000000"/>
                <w:sz w:val="20"/>
                <w:szCs w:val="20"/>
                <w:lang w:val="es-CR" w:eastAsia="es-CR"/>
              </w:rPr>
            </w:pPr>
            <w:r w:rsidRPr="00704B08">
              <w:rPr>
                <w:rFonts w:ascii="Arial Narrow" w:hAnsi="Arial Narrow" w:cs="Calibri"/>
                <w:color w:val="000000"/>
                <w:sz w:val="20"/>
                <w:szCs w:val="20"/>
                <w:lang w:eastAsia="es-CR"/>
              </w:rPr>
              <w:t>Que al finalizar el 2024, se haya aprobado la Política de Comunicación Organizacional.</w:t>
            </w:r>
          </w:p>
        </w:tc>
        <w:tc>
          <w:tcPr>
            <w:tcW w:w="1318" w:type="dxa"/>
            <w:tcBorders>
              <w:top w:val="nil"/>
              <w:left w:val="nil"/>
              <w:bottom w:val="single" w:sz="4" w:space="0" w:color="auto"/>
              <w:right w:val="single" w:sz="4" w:space="0" w:color="auto"/>
            </w:tcBorders>
            <w:shd w:val="clear" w:color="auto" w:fill="auto"/>
            <w:vAlign w:val="center"/>
            <w:hideMark/>
          </w:tcPr>
          <w:p w14:paraId="1F63995A" w14:textId="4DA66211" w:rsidR="00C83FE6" w:rsidRPr="00C02363" w:rsidRDefault="00C83FE6" w:rsidP="00704B08">
            <w:pPr>
              <w:jc w:val="both"/>
              <w:rPr>
                <w:rFonts w:ascii="Arial Narrow" w:hAnsi="Arial Narrow" w:cs="Calibri"/>
                <w:color w:val="000000"/>
                <w:sz w:val="20"/>
                <w:szCs w:val="20"/>
                <w:lang w:val="es-CR" w:eastAsia="es-CR"/>
              </w:rPr>
            </w:pPr>
            <w:r w:rsidRPr="00C02363">
              <w:rPr>
                <w:rFonts w:ascii="Arial Narrow" w:hAnsi="Arial Narrow" w:cs="Calibri"/>
                <w:color w:val="000000"/>
                <w:sz w:val="20"/>
                <w:szCs w:val="20"/>
                <w:lang w:val="es-CR" w:eastAsia="es-CR"/>
              </w:rPr>
              <w:t>Departamento de Prensa y Comunicación Institucional</w:t>
            </w:r>
          </w:p>
        </w:tc>
      </w:tr>
      <w:tr w:rsidR="00357B2A" w:rsidRPr="00C83FE6" w14:paraId="6AE00247" w14:textId="77777777" w:rsidTr="00CC279A">
        <w:trPr>
          <w:trHeight w:val="332"/>
        </w:trPr>
        <w:tc>
          <w:tcPr>
            <w:tcW w:w="1129" w:type="dxa"/>
            <w:tcBorders>
              <w:top w:val="nil"/>
              <w:left w:val="single" w:sz="4" w:space="0" w:color="auto"/>
              <w:bottom w:val="single" w:sz="4" w:space="0" w:color="auto"/>
              <w:right w:val="single" w:sz="4" w:space="0" w:color="auto"/>
            </w:tcBorders>
            <w:shd w:val="clear" w:color="auto" w:fill="auto"/>
            <w:vAlign w:val="center"/>
            <w:hideMark/>
          </w:tcPr>
          <w:p w14:paraId="2A5500DE" w14:textId="77777777" w:rsidR="00C83FE6" w:rsidRPr="00704B08" w:rsidRDefault="00C83FE6">
            <w:pPr>
              <w:jc w:val="center"/>
              <w:rPr>
                <w:rFonts w:ascii="Arial Narrow" w:hAnsi="Arial Narrow" w:cs="Calibri"/>
                <w:b/>
                <w:bCs/>
                <w:color w:val="000000"/>
                <w:sz w:val="20"/>
                <w:szCs w:val="20"/>
                <w:lang w:val="es-CR" w:eastAsia="es-CR"/>
              </w:rPr>
            </w:pPr>
            <w:r w:rsidRPr="00704B08">
              <w:rPr>
                <w:rFonts w:ascii="Arial Narrow" w:hAnsi="Arial Narrow" w:cs="Calibri"/>
                <w:b/>
                <w:bCs/>
                <w:color w:val="000000"/>
                <w:sz w:val="20"/>
                <w:szCs w:val="20"/>
                <w:lang w:val="es-CR" w:eastAsia="es-CR"/>
              </w:rPr>
              <w:t>Optimización e innovación de los servicios judiciales</w:t>
            </w:r>
          </w:p>
        </w:tc>
        <w:tc>
          <w:tcPr>
            <w:tcW w:w="1134" w:type="dxa"/>
            <w:tcBorders>
              <w:top w:val="nil"/>
              <w:left w:val="nil"/>
              <w:bottom w:val="single" w:sz="4" w:space="0" w:color="auto"/>
              <w:right w:val="single" w:sz="4" w:space="0" w:color="auto"/>
            </w:tcBorders>
            <w:shd w:val="clear" w:color="auto" w:fill="auto"/>
            <w:vAlign w:val="center"/>
            <w:hideMark/>
          </w:tcPr>
          <w:p w14:paraId="1A0EFDAC" w14:textId="77777777" w:rsidR="00C83FE6" w:rsidRPr="00704B08" w:rsidRDefault="00C83FE6" w:rsidP="00704B08">
            <w:pPr>
              <w:jc w:val="center"/>
              <w:rPr>
                <w:rFonts w:ascii="Arial Narrow" w:hAnsi="Arial Narrow" w:cs="Calibri"/>
                <w:color w:val="000000"/>
                <w:sz w:val="20"/>
                <w:szCs w:val="20"/>
                <w:lang w:val="es-CR" w:eastAsia="es-CR"/>
              </w:rPr>
            </w:pPr>
            <w:r w:rsidRPr="00704B08">
              <w:rPr>
                <w:rFonts w:ascii="Arial Narrow" w:hAnsi="Arial Narrow" w:cs="Calibri"/>
                <w:color w:val="000000"/>
                <w:sz w:val="20"/>
                <w:szCs w:val="20"/>
                <w:lang w:eastAsia="es-CR"/>
              </w:rPr>
              <w:t>Desarrollo y optimización de servicios y procesos judiciales</w:t>
            </w:r>
          </w:p>
        </w:tc>
        <w:tc>
          <w:tcPr>
            <w:tcW w:w="1418" w:type="dxa"/>
            <w:tcBorders>
              <w:top w:val="nil"/>
              <w:left w:val="nil"/>
              <w:bottom w:val="single" w:sz="4" w:space="0" w:color="auto"/>
              <w:right w:val="single" w:sz="4" w:space="0" w:color="auto"/>
            </w:tcBorders>
            <w:shd w:val="clear" w:color="auto" w:fill="auto"/>
            <w:vAlign w:val="center"/>
            <w:hideMark/>
          </w:tcPr>
          <w:p w14:paraId="4C266BBA" w14:textId="068EA80B" w:rsidR="00C83FE6" w:rsidRPr="00704B08" w:rsidRDefault="00C83FE6" w:rsidP="00704B08">
            <w:pPr>
              <w:jc w:val="center"/>
              <w:rPr>
                <w:rFonts w:ascii="Arial Narrow" w:hAnsi="Arial Narrow" w:cs="Calibri"/>
                <w:color w:val="000000"/>
                <w:sz w:val="20"/>
                <w:szCs w:val="20"/>
                <w:lang w:val="es-CR" w:eastAsia="es-CR"/>
              </w:rPr>
            </w:pPr>
            <w:r w:rsidRPr="00704B08">
              <w:rPr>
                <w:rFonts w:ascii="Arial Narrow" w:hAnsi="Arial Narrow" w:cs="Calibri"/>
                <w:color w:val="000000"/>
                <w:sz w:val="20"/>
                <w:szCs w:val="20"/>
                <w:lang w:val="es-CR" w:eastAsia="es-CR"/>
              </w:rPr>
              <w:t>Organismo de Investigación Judicial</w:t>
            </w:r>
          </w:p>
        </w:tc>
        <w:tc>
          <w:tcPr>
            <w:tcW w:w="4204" w:type="dxa"/>
            <w:tcBorders>
              <w:top w:val="nil"/>
              <w:left w:val="nil"/>
              <w:bottom w:val="single" w:sz="4" w:space="0" w:color="auto"/>
              <w:right w:val="single" w:sz="4" w:space="0" w:color="auto"/>
            </w:tcBorders>
            <w:shd w:val="clear" w:color="auto" w:fill="auto"/>
            <w:noWrap/>
            <w:vAlign w:val="center"/>
            <w:hideMark/>
          </w:tcPr>
          <w:p w14:paraId="78FF99E8" w14:textId="7B3A388E" w:rsidR="00C83FE6" w:rsidRPr="00704B08" w:rsidRDefault="00C83FE6">
            <w:pPr>
              <w:jc w:val="both"/>
              <w:rPr>
                <w:rFonts w:ascii="Arial Narrow" w:hAnsi="Arial Narrow" w:cs="Calibri"/>
                <w:color w:val="000000"/>
                <w:sz w:val="20"/>
                <w:szCs w:val="20"/>
                <w:lang w:val="es-CR" w:eastAsia="es-CR"/>
              </w:rPr>
            </w:pPr>
            <w:r w:rsidRPr="00704B08">
              <w:rPr>
                <w:rFonts w:ascii="Arial Narrow" w:hAnsi="Arial Narrow" w:cs="Calibri"/>
                <w:color w:val="000000"/>
                <w:sz w:val="20"/>
                <w:szCs w:val="20"/>
                <w:lang w:val="es-CR" w:eastAsia="es-CR"/>
              </w:rPr>
              <w:t>Que al finalizar el 2024, se hayan implementado un plan de trabajo para la adquisición de los bienes, muebles e inmuebles, así como los insumos, suministros, herramientas, laboratorios y equipos analítico</w:t>
            </w:r>
            <w:r w:rsidR="00357B2A">
              <w:rPr>
                <w:rFonts w:ascii="Arial Narrow" w:hAnsi="Arial Narrow" w:cs="Calibri"/>
                <w:color w:val="000000"/>
                <w:sz w:val="20"/>
                <w:szCs w:val="20"/>
                <w:lang w:val="es-CR" w:eastAsia="es-CR"/>
              </w:rPr>
              <w:t xml:space="preserve"> </w:t>
            </w:r>
            <w:r w:rsidRPr="00704B08">
              <w:rPr>
                <w:rFonts w:ascii="Arial Narrow" w:hAnsi="Arial Narrow" w:cs="Calibri"/>
                <w:color w:val="000000"/>
                <w:sz w:val="20"/>
                <w:szCs w:val="20"/>
                <w:lang w:val="es-CR" w:eastAsia="es-CR"/>
              </w:rPr>
              <w:t>instrumental, entre otros, para el Organismo de Investigación Judicial</w:t>
            </w:r>
          </w:p>
        </w:tc>
        <w:tc>
          <w:tcPr>
            <w:tcW w:w="1318" w:type="dxa"/>
            <w:tcBorders>
              <w:top w:val="nil"/>
              <w:left w:val="nil"/>
              <w:bottom w:val="single" w:sz="4" w:space="0" w:color="auto"/>
              <w:right w:val="single" w:sz="4" w:space="0" w:color="auto"/>
            </w:tcBorders>
            <w:shd w:val="clear" w:color="auto" w:fill="auto"/>
            <w:vAlign w:val="center"/>
            <w:hideMark/>
          </w:tcPr>
          <w:p w14:paraId="00C0433C" w14:textId="030D1692" w:rsidR="00C83FE6" w:rsidRPr="00C02363" w:rsidRDefault="00C83FE6" w:rsidP="00704B08">
            <w:pPr>
              <w:jc w:val="both"/>
              <w:rPr>
                <w:rFonts w:ascii="Arial Narrow" w:hAnsi="Arial Narrow" w:cs="Calibri"/>
                <w:color w:val="000000"/>
                <w:sz w:val="20"/>
                <w:szCs w:val="20"/>
                <w:lang w:val="es-CR" w:eastAsia="es-CR"/>
              </w:rPr>
            </w:pPr>
            <w:r w:rsidRPr="00C02363">
              <w:rPr>
                <w:rFonts w:ascii="Arial Narrow" w:hAnsi="Arial Narrow" w:cs="Calibri"/>
                <w:color w:val="000000"/>
                <w:sz w:val="20"/>
                <w:szCs w:val="20"/>
                <w:lang w:val="es-CR" w:eastAsia="es-CR"/>
              </w:rPr>
              <w:t>Organismo de Investigación Judicial</w:t>
            </w:r>
          </w:p>
        </w:tc>
      </w:tr>
      <w:tr w:rsidR="00357B2A" w:rsidRPr="00C83FE6" w14:paraId="3D10398D" w14:textId="77777777" w:rsidTr="00CC279A">
        <w:trPr>
          <w:trHeight w:val="332"/>
        </w:trPr>
        <w:tc>
          <w:tcPr>
            <w:tcW w:w="1129" w:type="dxa"/>
            <w:tcBorders>
              <w:top w:val="nil"/>
              <w:left w:val="single" w:sz="4" w:space="0" w:color="auto"/>
              <w:bottom w:val="single" w:sz="4" w:space="0" w:color="auto"/>
              <w:right w:val="single" w:sz="4" w:space="0" w:color="auto"/>
            </w:tcBorders>
            <w:shd w:val="clear" w:color="auto" w:fill="auto"/>
            <w:vAlign w:val="center"/>
            <w:hideMark/>
          </w:tcPr>
          <w:p w14:paraId="2EC44173" w14:textId="77777777" w:rsidR="00C83FE6" w:rsidRPr="00704B08" w:rsidRDefault="00C83FE6">
            <w:pPr>
              <w:jc w:val="center"/>
              <w:rPr>
                <w:rFonts w:ascii="Arial Narrow" w:hAnsi="Arial Narrow" w:cs="Calibri"/>
                <w:b/>
                <w:bCs/>
                <w:color w:val="000000"/>
                <w:sz w:val="20"/>
                <w:szCs w:val="20"/>
                <w:lang w:val="es-CR" w:eastAsia="es-CR"/>
              </w:rPr>
            </w:pPr>
            <w:r w:rsidRPr="00704B08">
              <w:rPr>
                <w:rFonts w:ascii="Arial Narrow" w:hAnsi="Arial Narrow" w:cs="Calibri"/>
                <w:b/>
                <w:bCs/>
                <w:color w:val="000000"/>
                <w:sz w:val="20"/>
                <w:szCs w:val="20"/>
                <w:lang w:val="es-CR" w:eastAsia="es-CR"/>
              </w:rPr>
              <w:t>Optimización e innovación de los servicios judiciales</w:t>
            </w:r>
          </w:p>
        </w:tc>
        <w:tc>
          <w:tcPr>
            <w:tcW w:w="1134" w:type="dxa"/>
            <w:tcBorders>
              <w:top w:val="nil"/>
              <w:left w:val="nil"/>
              <w:bottom w:val="single" w:sz="4" w:space="0" w:color="auto"/>
              <w:right w:val="single" w:sz="4" w:space="0" w:color="auto"/>
            </w:tcBorders>
            <w:shd w:val="clear" w:color="auto" w:fill="auto"/>
            <w:vAlign w:val="center"/>
            <w:hideMark/>
          </w:tcPr>
          <w:p w14:paraId="3A0FAE1F" w14:textId="77777777" w:rsidR="00C83FE6" w:rsidRPr="00704B08" w:rsidRDefault="00C83FE6" w:rsidP="00704B08">
            <w:pPr>
              <w:jc w:val="center"/>
              <w:rPr>
                <w:rFonts w:ascii="Arial Narrow" w:hAnsi="Arial Narrow" w:cs="Calibri"/>
                <w:color w:val="000000"/>
                <w:sz w:val="20"/>
                <w:szCs w:val="20"/>
                <w:lang w:val="es-CR" w:eastAsia="es-CR"/>
              </w:rPr>
            </w:pPr>
            <w:r w:rsidRPr="00704B08">
              <w:rPr>
                <w:rFonts w:ascii="Arial Narrow" w:hAnsi="Arial Narrow" w:cs="Calibri"/>
                <w:color w:val="000000"/>
                <w:sz w:val="20"/>
                <w:szCs w:val="20"/>
                <w:lang w:eastAsia="es-CR"/>
              </w:rPr>
              <w:t>Servicios Tecnológicos</w:t>
            </w:r>
          </w:p>
        </w:tc>
        <w:tc>
          <w:tcPr>
            <w:tcW w:w="1418" w:type="dxa"/>
            <w:tcBorders>
              <w:top w:val="nil"/>
              <w:left w:val="nil"/>
              <w:bottom w:val="single" w:sz="4" w:space="0" w:color="auto"/>
              <w:right w:val="single" w:sz="4" w:space="0" w:color="auto"/>
            </w:tcBorders>
            <w:shd w:val="clear" w:color="auto" w:fill="auto"/>
            <w:vAlign w:val="center"/>
            <w:hideMark/>
          </w:tcPr>
          <w:p w14:paraId="0697B0D5" w14:textId="29D17362" w:rsidR="00C83FE6" w:rsidRPr="00704B08" w:rsidRDefault="00C83FE6" w:rsidP="00704B08">
            <w:pPr>
              <w:jc w:val="both"/>
              <w:rPr>
                <w:rFonts w:ascii="Arial Narrow" w:hAnsi="Arial Narrow" w:cs="Calibri"/>
                <w:color w:val="000000"/>
                <w:sz w:val="20"/>
                <w:szCs w:val="20"/>
                <w:lang w:val="es-CR" w:eastAsia="es-CR"/>
              </w:rPr>
            </w:pPr>
            <w:r w:rsidRPr="00704B08">
              <w:rPr>
                <w:rFonts w:ascii="Arial Narrow" w:hAnsi="Arial Narrow" w:cs="Calibri"/>
                <w:color w:val="000000"/>
                <w:sz w:val="20"/>
                <w:szCs w:val="20"/>
                <w:lang w:val="es-CR" w:eastAsia="es-CR"/>
              </w:rPr>
              <w:t>Comisión Nacional para el Mejoramiento de la Administración de Justicia</w:t>
            </w:r>
          </w:p>
        </w:tc>
        <w:tc>
          <w:tcPr>
            <w:tcW w:w="4204" w:type="dxa"/>
            <w:tcBorders>
              <w:top w:val="nil"/>
              <w:left w:val="nil"/>
              <w:bottom w:val="single" w:sz="4" w:space="0" w:color="auto"/>
              <w:right w:val="single" w:sz="4" w:space="0" w:color="auto"/>
            </w:tcBorders>
            <w:shd w:val="clear" w:color="auto" w:fill="auto"/>
            <w:noWrap/>
            <w:vAlign w:val="center"/>
            <w:hideMark/>
          </w:tcPr>
          <w:p w14:paraId="04679F7E" w14:textId="77777777" w:rsidR="00C83FE6" w:rsidRPr="00704B08" w:rsidRDefault="00C83FE6">
            <w:pPr>
              <w:jc w:val="both"/>
              <w:rPr>
                <w:rFonts w:ascii="Arial Narrow" w:hAnsi="Arial Narrow" w:cs="Calibri"/>
                <w:color w:val="000000"/>
                <w:sz w:val="20"/>
                <w:szCs w:val="20"/>
                <w:lang w:val="es-CR" w:eastAsia="es-CR"/>
              </w:rPr>
            </w:pPr>
            <w:r w:rsidRPr="00704B08">
              <w:rPr>
                <w:rFonts w:ascii="Arial Narrow" w:hAnsi="Arial Narrow" w:cs="Calibri"/>
                <w:color w:val="000000"/>
                <w:sz w:val="20"/>
                <w:szCs w:val="20"/>
                <w:lang w:val="es-CR" w:eastAsia="es-CR"/>
              </w:rPr>
              <w:t>Se haya desarrollado una aplicación móvil para el Servicio Nacional de Facilitadoras y Facilitadores Judiciales, que se integre con el Sistema de Gestión para la recopilación de la información de las acciones realizadas por las personas facilitadoras judiciales y sea una herramienta de autoaprendizaje.</w:t>
            </w:r>
          </w:p>
        </w:tc>
        <w:tc>
          <w:tcPr>
            <w:tcW w:w="1318" w:type="dxa"/>
            <w:tcBorders>
              <w:top w:val="nil"/>
              <w:left w:val="nil"/>
              <w:bottom w:val="single" w:sz="4" w:space="0" w:color="auto"/>
              <w:right w:val="single" w:sz="4" w:space="0" w:color="auto"/>
            </w:tcBorders>
            <w:shd w:val="clear" w:color="auto" w:fill="auto"/>
            <w:vAlign w:val="center"/>
            <w:hideMark/>
          </w:tcPr>
          <w:p w14:paraId="165E5C86" w14:textId="2827A433" w:rsidR="00C83FE6" w:rsidRPr="00C02363" w:rsidRDefault="00C83FE6" w:rsidP="00704B08">
            <w:pPr>
              <w:jc w:val="both"/>
              <w:rPr>
                <w:rFonts w:ascii="Arial Narrow" w:hAnsi="Arial Narrow" w:cs="Calibri"/>
                <w:color w:val="000000"/>
                <w:sz w:val="20"/>
                <w:szCs w:val="20"/>
                <w:lang w:val="es-CR" w:eastAsia="es-CR"/>
              </w:rPr>
            </w:pPr>
            <w:r w:rsidRPr="00C02363">
              <w:rPr>
                <w:rFonts w:ascii="Arial Narrow" w:hAnsi="Arial Narrow" w:cs="Calibri"/>
                <w:color w:val="000000"/>
                <w:sz w:val="20"/>
                <w:szCs w:val="20"/>
                <w:lang w:val="es-CR" w:eastAsia="es-CR"/>
              </w:rPr>
              <w:t>Dirección Ejecutiva, Comisión Nacional para el Mejoramiento de la Administración de Justicia</w:t>
            </w:r>
          </w:p>
        </w:tc>
      </w:tr>
      <w:tr w:rsidR="00357B2A" w:rsidRPr="00C83FE6" w14:paraId="63698B24" w14:textId="77777777" w:rsidTr="00CC279A">
        <w:trPr>
          <w:trHeight w:val="332"/>
        </w:trPr>
        <w:tc>
          <w:tcPr>
            <w:tcW w:w="1129" w:type="dxa"/>
            <w:tcBorders>
              <w:top w:val="nil"/>
              <w:left w:val="single" w:sz="4" w:space="0" w:color="auto"/>
              <w:bottom w:val="single" w:sz="4" w:space="0" w:color="auto"/>
              <w:right w:val="single" w:sz="4" w:space="0" w:color="auto"/>
            </w:tcBorders>
            <w:shd w:val="clear" w:color="auto" w:fill="auto"/>
            <w:vAlign w:val="center"/>
            <w:hideMark/>
          </w:tcPr>
          <w:p w14:paraId="327CAAE5" w14:textId="77777777" w:rsidR="00C83FE6" w:rsidRPr="00704B08" w:rsidRDefault="00C83FE6">
            <w:pPr>
              <w:jc w:val="center"/>
              <w:rPr>
                <w:rFonts w:ascii="Arial Narrow" w:hAnsi="Arial Narrow" w:cs="Calibri"/>
                <w:b/>
                <w:bCs/>
                <w:color w:val="000000"/>
                <w:sz w:val="20"/>
                <w:szCs w:val="20"/>
                <w:lang w:val="es-CR" w:eastAsia="es-CR"/>
              </w:rPr>
            </w:pPr>
            <w:r w:rsidRPr="00704B08">
              <w:rPr>
                <w:rFonts w:ascii="Arial Narrow" w:hAnsi="Arial Narrow" w:cs="Calibri"/>
                <w:b/>
                <w:bCs/>
                <w:color w:val="000000"/>
                <w:sz w:val="20"/>
                <w:szCs w:val="20"/>
                <w:lang w:val="es-CR" w:eastAsia="es-CR"/>
              </w:rPr>
              <w:t xml:space="preserve">Optimización e innovación de los </w:t>
            </w:r>
            <w:r w:rsidRPr="00704B08">
              <w:rPr>
                <w:rFonts w:ascii="Arial Narrow" w:hAnsi="Arial Narrow" w:cs="Calibri"/>
                <w:b/>
                <w:bCs/>
                <w:color w:val="000000"/>
                <w:sz w:val="20"/>
                <w:szCs w:val="20"/>
                <w:lang w:val="es-CR" w:eastAsia="es-CR"/>
              </w:rPr>
              <w:lastRenderedPageBreak/>
              <w:t>servicios judiciales</w:t>
            </w:r>
          </w:p>
        </w:tc>
        <w:tc>
          <w:tcPr>
            <w:tcW w:w="1134" w:type="dxa"/>
            <w:tcBorders>
              <w:top w:val="nil"/>
              <w:left w:val="nil"/>
              <w:bottom w:val="single" w:sz="4" w:space="0" w:color="auto"/>
              <w:right w:val="single" w:sz="4" w:space="0" w:color="auto"/>
            </w:tcBorders>
            <w:shd w:val="clear" w:color="auto" w:fill="auto"/>
            <w:vAlign w:val="center"/>
            <w:hideMark/>
          </w:tcPr>
          <w:p w14:paraId="73B4D068" w14:textId="77777777" w:rsidR="00C83FE6" w:rsidRPr="00704B08" w:rsidRDefault="00C83FE6" w:rsidP="00704B08">
            <w:pPr>
              <w:jc w:val="center"/>
              <w:rPr>
                <w:rFonts w:ascii="Arial Narrow" w:hAnsi="Arial Narrow" w:cs="Calibri"/>
                <w:color w:val="000000"/>
                <w:sz w:val="20"/>
                <w:szCs w:val="20"/>
                <w:lang w:val="es-CR" w:eastAsia="es-CR"/>
              </w:rPr>
            </w:pPr>
            <w:r w:rsidRPr="00704B08">
              <w:rPr>
                <w:rFonts w:ascii="Arial Narrow" w:hAnsi="Arial Narrow" w:cs="Calibri"/>
                <w:color w:val="000000"/>
                <w:sz w:val="20"/>
                <w:szCs w:val="20"/>
                <w:lang w:val="es-CR" w:eastAsia="es-CR"/>
              </w:rPr>
              <w:lastRenderedPageBreak/>
              <w:t>Servicios Tecnológicos</w:t>
            </w:r>
          </w:p>
        </w:tc>
        <w:tc>
          <w:tcPr>
            <w:tcW w:w="1418" w:type="dxa"/>
            <w:tcBorders>
              <w:top w:val="nil"/>
              <w:left w:val="nil"/>
              <w:bottom w:val="single" w:sz="4" w:space="0" w:color="auto"/>
              <w:right w:val="single" w:sz="4" w:space="0" w:color="auto"/>
            </w:tcBorders>
            <w:shd w:val="clear" w:color="auto" w:fill="auto"/>
            <w:vAlign w:val="center"/>
            <w:hideMark/>
          </w:tcPr>
          <w:p w14:paraId="7AAC0EFA" w14:textId="13D3051C" w:rsidR="00C83FE6" w:rsidRPr="00704B08" w:rsidRDefault="00C83FE6" w:rsidP="00704B08">
            <w:pPr>
              <w:jc w:val="both"/>
              <w:rPr>
                <w:rFonts w:ascii="Arial Narrow" w:hAnsi="Arial Narrow" w:cs="Calibri"/>
                <w:color w:val="000000"/>
                <w:sz w:val="20"/>
                <w:szCs w:val="20"/>
                <w:lang w:val="es-CR" w:eastAsia="es-CR"/>
              </w:rPr>
            </w:pPr>
            <w:r w:rsidRPr="00704B08">
              <w:rPr>
                <w:rFonts w:ascii="Arial Narrow" w:hAnsi="Arial Narrow" w:cs="Calibri"/>
                <w:color w:val="000000"/>
                <w:sz w:val="20"/>
                <w:szCs w:val="20"/>
                <w:lang w:val="es-CR" w:eastAsia="es-CR"/>
              </w:rPr>
              <w:t>Organismo de Investigación Judicial</w:t>
            </w:r>
          </w:p>
        </w:tc>
        <w:tc>
          <w:tcPr>
            <w:tcW w:w="4204" w:type="dxa"/>
            <w:tcBorders>
              <w:top w:val="nil"/>
              <w:left w:val="nil"/>
              <w:bottom w:val="single" w:sz="4" w:space="0" w:color="auto"/>
              <w:right w:val="single" w:sz="4" w:space="0" w:color="auto"/>
            </w:tcBorders>
            <w:shd w:val="clear" w:color="auto" w:fill="auto"/>
            <w:noWrap/>
            <w:vAlign w:val="center"/>
            <w:hideMark/>
          </w:tcPr>
          <w:p w14:paraId="35C78DEC" w14:textId="77777777" w:rsidR="00C83FE6" w:rsidRPr="00704B08" w:rsidRDefault="00C83FE6">
            <w:pPr>
              <w:jc w:val="both"/>
              <w:rPr>
                <w:rFonts w:ascii="Arial Narrow" w:hAnsi="Arial Narrow" w:cs="Calibri"/>
                <w:color w:val="000000"/>
                <w:sz w:val="20"/>
                <w:szCs w:val="20"/>
                <w:lang w:val="es-CR" w:eastAsia="es-CR"/>
              </w:rPr>
            </w:pPr>
            <w:r w:rsidRPr="00704B08">
              <w:rPr>
                <w:rFonts w:ascii="Arial Narrow" w:hAnsi="Arial Narrow" w:cs="Calibri"/>
                <w:color w:val="000000"/>
                <w:sz w:val="20"/>
                <w:szCs w:val="20"/>
                <w:lang w:val="es-CR" w:eastAsia="es-CR"/>
              </w:rPr>
              <w:t>Que al finalizar el 2024, se haya ejecutado la estrategia definida que permita contar con sistemas de información innovadores</w:t>
            </w:r>
          </w:p>
        </w:tc>
        <w:tc>
          <w:tcPr>
            <w:tcW w:w="1318" w:type="dxa"/>
            <w:tcBorders>
              <w:top w:val="nil"/>
              <w:left w:val="nil"/>
              <w:bottom w:val="single" w:sz="4" w:space="0" w:color="auto"/>
              <w:right w:val="single" w:sz="4" w:space="0" w:color="auto"/>
            </w:tcBorders>
            <w:shd w:val="clear" w:color="auto" w:fill="auto"/>
            <w:vAlign w:val="center"/>
            <w:hideMark/>
          </w:tcPr>
          <w:p w14:paraId="439C6F60" w14:textId="77777777" w:rsidR="00C83FE6" w:rsidRPr="00C02363" w:rsidRDefault="00C83FE6" w:rsidP="00704B08">
            <w:pPr>
              <w:jc w:val="both"/>
              <w:rPr>
                <w:rFonts w:ascii="Arial Narrow" w:hAnsi="Arial Narrow" w:cs="Calibri"/>
                <w:color w:val="000000"/>
                <w:sz w:val="20"/>
                <w:szCs w:val="20"/>
                <w:lang w:val="es-CR" w:eastAsia="es-CR"/>
              </w:rPr>
            </w:pPr>
            <w:r w:rsidRPr="00C02363">
              <w:rPr>
                <w:rFonts w:ascii="Arial Narrow" w:hAnsi="Arial Narrow" w:cs="Calibri"/>
                <w:color w:val="000000"/>
                <w:sz w:val="20"/>
                <w:szCs w:val="20"/>
                <w:lang w:val="es-CR" w:eastAsia="es-CR"/>
              </w:rPr>
              <w:t xml:space="preserve">Oficina de Depósitos de Objetos, Oficina de Planes y </w:t>
            </w:r>
            <w:r w:rsidRPr="00C02363">
              <w:rPr>
                <w:rFonts w:ascii="Arial Narrow" w:hAnsi="Arial Narrow" w:cs="Calibri"/>
                <w:color w:val="000000"/>
                <w:sz w:val="20"/>
                <w:szCs w:val="20"/>
                <w:lang w:val="es-CR" w:eastAsia="es-CR"/>
              </w:rPr>
              <w:lastRenderedPageBreak/>
              <w:t>Operaciones, Sección de Transportes del O.I.J.</w:t>
            </w:r>
          </w:p>
        </w:tc>
      </w:tr>
      <w:tr w:rsidR="00357B2A" w:rsidRPr="00C83FE6" w14:paraId="1EF8CC01" w14:textId="77777777" w:rsidTr="00CC279A">
        <w:trPr>
          <w:trHeight w:val="332"/>
        </w:trPr>
        <w:tc>
          <w:tcPr>
            <w:tcW w:w="1129" w:type="dxa"/>
            <w:tcBorders>
              <w:top w:val="nil"/>
              <w:left w:val="single" w:sz="4" w:space="0" w:color="auto"/>
              <w:bottom w:val="single" w:sz="4" w:space="0" w:color="auto"/>
              <w:right w:val="single" w:sz="4" w:space="0" w:color="auto"/>
            </w:tcBorders>
            <w:shd w:val="clear" w:color="auto" w:fill="auto"/>
            <w:vAlign w:val="center"/>
          </w:tcPr>
          <w:p w14:paraId="12C47A95" w14:textId="5684A551" w:rsidR="00C83FE6" w:rsidRPr="00C83FE6" w:rsidRDefault="00C83FE6" w:rsidP="00C83FE6">
            <w:pPr>
              <w:jc w:val="center"/>
              <w:rPr>
                <w:rFonts w:ascii="Arial Narrow" w:hAnsi="Arial Narrow" w:cs="Calibri"/>
                <w:b/>
                <w:bCs/>
                <w:color w:val="000000"/>
                <w:sz w:val="20"/>
                <w:szCs w:val="20"/>
                <w:lang w:val="es-CR" w:eastAsia="es-CR"/>
              </w:rPr>
            </w:pPr>
            <w:r>
              <w:rPr>
                <w:rFonts w:ascii="Arial Narrow" w:hAnsi="Arial Narrow" w:cs="Calibri"/>
                <w:b/>
                <w:bCs/>
                <w:color w:val="000000"/>
                <w:sz w:val="20"/>
                <w:szCs w:val="20"/>
                <w:lang w:val="es-CR" w:eastAsia="es-CR"/>
              </w:rPr>
              <w:lastRenderedPageBreak/>
              <w:t>Gestión del Personal</w:t>
            </w:r>
          </w:p>
        </w:tc>
        <w:tc>
          <w:tcPr>
            <w:tcW w:w="1134" w:type="dxa"/>
            <w:tcBorders>
              <w:top w:val="nil"/>
              <w:left w:val="nil"/>
              <w:bottom w:val="single" w:sz="4" w:space="0" w:color="auto"/>
              <w:right w:val="single" w:sz="4" w:space="0" w:color="auto"/>
            </w:tcBorders>
            <w:shd w:val="clear" w:color="auto" w:fill="auto"/>
            <w:vAlign w:val="center"/>
          </w:tcPr>
          <w:p w14:paraId="169F6A9E" w14:textId="6ED34DAB" w:rsidR="00C83FE6" w:rsidRPr="00C83FE6" w:rsidRDefault="00C83FE6" w:rsidP="00C83FE6">
            <w:pPr>
              <w:jc w:val="center"/>
              <w:rPr>
                <w:rFonts w:ascii="Arial Narrow" w:hAnsi="Arial Narrow" w:cs="Calibri"/>
                <w:color w:val="000000"/>
                <w:sz w:val="20"/>
                <w:szCs w:val="20"/>
                <w:lang w:val="es-CR" w:eastAsia="es-CR"/>
              </w:rPr>
            </w:pPr>
            <w:r>
              <w:rPr>
                <w:rFonts w:ascii="Arial Narrow" w:hAnsi="Arial Narrow" w:cs="Calibri"/>
                <w:color w:val="000000"/>
                <w:sz w:val="20"/>
                <w:szCs w:val="20"/>
                <w:lang w:val="es-CR" w:eastAsia="es-CR"/>
              </w:rPr>
              <w:t>Capacitación</w:t>
            </w:r>
          </w:p>
        </w:tc>
        <w:tc>
          <w:tcPr>
            <w:tcW w:w="1418" w:type="dxa"/>
            <w:tcBorders>
              <w:top w:val="nil"/>
              <w:left w:val="nil"/>
              <w:bottom w:val="single" w:sz="4" w:space="0" w:color="auto"/>
              <w:right w:val="single" w:sz="4" w:space="0" w:color="auto"/>
            </w:tcBorders>
            <w:shd w:val="clear" w:color="auto" w:fill="auto"/>
            <w:vAlign w:val="center"/>
          </w:tcPr>
          <w:p w14:paraId="7CC9E39F" w14:textId="34B04787" w:rsidR="00C83FE6" w:rsidRPr="00C83FE6" w:rsidRDefault="00C83FE6" w:rsidP="00C83FE6">
            <w:pPr>
              <w:jc w:val="both"/>
              <w:rPr>
                <w:rFonts w:ascii="Arial Narrow" w:hAnsi="Arial Narrow" w:cs="Calibri"/>
                <w:color w:val="000000"/>
                <w:sz w:val="20"/>
                <w:szCs w:val="20"/>
                <w:lang w:val="es-CR" w:eastAsia="es-CR"/>
              </w:rPr>
            </w:pPr>
            <w:r w:rsidRPr="00C83FE6">
              <w:rPr>
                <w:rFonts w:ascii="Arial Narrow" w:hAnsi="Arial Narrow" w:cs="Calibri"/>
                <w:color w:val="000000"/>
                <w:sz w:val="20"/>
                <w:szCs w:val="20"/>
                <w:lang w:val="es-CR" w:eastAsia="es-CR"/>
              </w:rPr>
              <w:t>Oficina de Atención a la Víctima de Delitos</w:t>
            </w:r>
          </w:p>
        </w:tc>
        <w:tc>
          <w:tcPr>
            <w:tcW w:w="4204" w:type="dxa"/>
            <w:tcBorders>
              <w:top w:val="nil"/>
              <w:left w:val="nil"/>
              <w:bottom w:val="single" w:sz="4" w:space="0" w:color="auto"/>
              <w:right w:val="single" w:sz="4" w:space="0" w:color="auto"/>
            </w:tcBorders>
            <w:shd w:val="clear" w:color="auto" w:fill="auto"/>
            <w:noWrap/>
            <w:vAlign w:val="center"/>
          </w:tcPr>
          <w:p w14:paraId="682E3BC0" w14:textId="4D5B84B8" w:rsidR="00C83FE6" w:rsidRPr="00C83FE6" w:rsidRDefault="00C83FE6" w:rsidP="00C83FE6">
            <w:pPr>
              <w:jc w:val="both"/>
              <w:rPr>
                <w:rFonts w:ascii="Arial Narrow" w:hAnsi="Arial Narrow" w:cs="Calibri"/>
                <w:color w:val="000000"/>
                <w:sz w:val="20"/>
                <w:szCs w:val="20"/>
                <w:lang w:val="es-CR" w:eastAsia="es-CR"/>
              </w:rPr>
            </w:pPr>
            <w:r w:rsidRPr="00704B08">
              <w:rPr>
                <w:rFonts w:ascii="Arial Narrow" w:hAnsi="Arial Narrow" w:cs="Calibri"/>
                <w:color w:val="000000"/>
                <w:sz w:val="20"/>
                <w:szCs w:val="20"/>
                <w:lang w:val="es-CR" w:eastAsia="es-CR"/>
              </w:rPr>
              <w:t>Que al finalizar el 2024, se haya implementado la estrategia de capacitación y actualización para el personal de la Oficina de Atención a la Víctima de Delitos y la Unidad de Protección de Víctimas y Testigos en temas afines.</w:t>
            </w:r>
          </w:p>
        </w:tc>
        <w:tc>
          <w:tcPr>
            <w:tcW w:w="1318" w:type="dxa"/>
            <w:tcBorders>
              <w:top w:val="nil"/>
              <w:left w:val="nil"/>
              <w:bottom w:val="single" w:sz="4" w:space="0" w:color="auto"/>
              <w:right w:val="single" w:sz="4" w:space="0" w:color="auto"/>
            </w:tcBorders>
            <w:shd w:val="clear" w:color="auto" w:fill="auto"/>
            <w:vAlign w:val="center"/>
          </w:tcPr>
          <w:p w14:paraId="50B731A8" w14:textId="031F2986" w:rsidR="00C83FE6" w:rsidRPr="00C02363" w:rsidRDefault="00C83FE6" w:rsidP="00C83FE6">
            <w:pPr>
              <w:jc w:val="both"/>
              <w:rPr>
                <w:rFonts w:ascii="Arial Narrow" w:hAnsi="Arial Narrow" w:cs="Calibri"/>
                <w:color w:val="000000"/>
                <w:sz w:val="20"/>
                <w:szCs w:val="20"/>
                <w:lang w:val="es-CR" w:eastAsia="es-CR"/>
              </w:rPr>
            </w:pPr>
            <w:r w:rsidRPr="00C02363">
              <w:rPr>
                <w:rFonts w:ascii="Arial Narrow" w:hAnsi="Arial Narrow" w:cs="Calibri"/>
                <w:color w:val="000000"/>
                <w:sz w:val="20"/>
                <w:szCs w:val="20"/>
                <w:lang w:val="es-CR" w:eastAsia="es-CR"/>
              </w:rPr>
              <w:t>Oficina de Atención a la Víctima de Delitos</w:t>
            </w:r>
          </w:p>
        </w:tc>
      </w:tr>
      <w:tr w:rsidR="00357B2A" w:rsidRPr="00C83FE6" w14:paraId="79416041" w14:textId="77777777" w:rsidTr="00CC279A">
        <w:trPr>
          <w:trHeight w:val="332"/>
        </w:trPr>
        <w:tc>
          <w:tcPr>
            <w:tcW w:w="1129" w:type="dxa"/>
            <w:tcBorders>
              <w:top w:val="nil"/>
              <w:left w:val="single" w:sz="4" w:space="0" w:color="auto"/>
              <w:bottom w:val="single" w:sz="4" w:space="0" w:color="auto"/>
              <w:right w:val="single" w:sz="4" w:space="0" w:color="auto"/>
            </w:tcBorders>
            <w:shd w:val="clear" w:color="auto" w:fill="auto"/>
            <w:vAlign w:val="center"/>
          </w:tcPr>
          <w:p w14:paraId="56521CAE" w14:textId="21550E5C" w:rsidR="00C83FE6" w:rsidRPr="00C83FE6" w:rsidRDefault="00C83FE6" w:rsidP="00C83FE6">
            <w:pPr>
              <w:jc w:val="center"/>
              <w:rPr>
                <w:rFonts w:ascii="Arial Narrow" w:hAnsi="Arial Narrow" w:cs="Calibri"/>
                <w:b/>
                <w:bCs/>
                <w:color w:val="000000"/>
                <w:sz w:val="20"/>
                <w:szCs w:val="20"/>
                <w:lang w:val="es-CR" w:eastAsia="es-CR"/>
              </w:rPr>
            </w:pPr>
            <w:r>
              <w:rPr>
                <w:rFonts w:ascii="Arial Narrow" w:hAnsi="Arial Narrow" w:cs="Calibri"/>
                <w:b/>
                <w:bCs/>
                <w:color w:val="000000"/>
                <w:sz w:val="20"/>
                <w:szCs w:val="20"/>
                <w:lang w:val="es-CR" w:eastAsia="es-CR"/>
              </w:rPr>
              <w:t>Gestión del Personal</w:t>
            </w:r>
          </w:p>
        </w:tc>
        <w:tc>
          <w:tcPr>
            <w:tcW w:w="1134" w:type="dxa"/>
            <w:tcBorders>
              <w:top w:val="nil"/>
              <w:left w:val="nil"/>
              <w:bottom w:val="single" w:sz="4" w:space="0" w:color="auto"/>
              <w:right w:val="single" w:sz="4" w:space="0" w:color="auto"/>
            </w:tcBorders>
            <w:shd w:val="clear" w:color="auto" w:fill="auto"/>
            <w:vAlign w:val="center"/>
          </w:tcPr>
          <w:p w14:paraId="27233440" w14:textId="5714A508" w:rsidR="00C83FE6" w:rsidRPr="00C83FE6" w:rsidRDefault="00C83FE6" w:rsidP="00C83FE6">
            <w:pPr>
              <w:jc w:val="center"/>
              <w:rPr>
                <w:rFonts w:ascii="Arial Narrow" w:hAnsi="Arial Narrow" w:cs="Calibri"/>
                <w:color w:val="000000"/>
                <w:sz w:val="20"/>
                <w:szCs w:val="20"/>
                <w:lang w:val="es-CR" w:eastAsia="es-CR"/>
              </w:rPr>
            </w:pPr>
            <w:r>
              <w:rPr>
                <w:rFonts w:ascii="Arial Narrow" w:hAnsi="Arial Narrow" w:cs="Calibri"/>
                <w:color w:val="000000"/>
                <w:sz w:val="20"/>
                <w:szCs w:val="20"/>
                <w:lang w:val="es-CR" w:eastAsia="es-CR"/>
              </w:rPr>
              <w:t>Capacitación</w:t>
            </w:r>
          </w:p>
        </w:tc>
        <w:tc>
          <w:tcPr>
            <w:tcW w:w="1418" w:type="dxa"/>
            <w:tcBorders>
              <w:top w:val="nil"/>
              <w:left w:val="nil"/>
              <w:bottom w:val="single" w:sz="4" w:space="0" w:color="auto"/>
              <w:right w:val="single" w:sz="4" w:space="0" w:color="auto"/>
            </w:tcBorders>
            <w:shd w:val="clear" w:color="auto" w:fill="auto"/>
            <w:vAlign w:val="center"/>
          </w:tcPr>
          <w:p w14:paraId="0C984A74" w14:textId="3F0C434C" w:rsidR="00C83FE6" w:rsidRPr="00C83FE6" w:rsidRDefault="00C83FE6" w:rsidP="00C83FE6">
            <w:pPr>
              <w:jc w:val="both"/>
              <w:rPr>
                <w:rFonts w:ascii="Arial Narrow" w:hAnsi="Arial Narrow" w:cs="Calibri"/>
                <w:color w:val="000000"/>
                <w:sz w:val="20"/>
                <w:szCs w:val="20"/>
                <w:lang w:val="es-CR" w:eastAsia="es-CR"/>
              </w:rPr>
            </w:pPr>
            <w:r w:rsidRPr="00C83FE6">
              <w:rPr>
                <w:rFonts w:ascii="Arial Narrow" w:hAnsi="Arial Narrow" w:cs="Calibri"/>
                <w:color w:val="000000"/>
                <w:sz w:val="20"/>
                <w:szCs w:val="20"/>
                <w:lang w:val="es-CR" w:eastAsia="es-CR"/>
              </w:rPr>
              <w:t>Escuela Judicial</w:t>
            </w:r>
          </w:p>
        </w:tc>
        <w:tc>
          <w:tcPr>
            <w:tcW w:w="4204" w:type="dxa"/>
            <w:tcBorders>
              <w:top w:val="nil"/>
              <w:left w:val="nil"/>
              <w:bottom w:val="single" w:sz="4" w:space="0" w:color="auto"/>
              <w:right w:val="single" w:sz="4" w:space="0" w:color="auto"/>
            </w:tcBorders>
            <w:shd w:val="clear" w:color="auto" w:fill="auto"/>
            <w:noWrap/>
            <w:vAlign w:val="center"/>
          </w:tcPr>
          <w:p w14:paraId="496CF764" w14:textId="0A911CF9" w:rsidR="00C83FE6" w:rsidRPr="00C83FE6" w:rsidRDefault="00C83FE6" w:rsidP="00C83FE6">
            <w:pPr>
              <w:jc w:val="both"/>
              <w:rPr>
                <w:rFonts w:ascii="Arial Narrow" w:hAnsi="Arial Narrow" w:cs="Calibri"/>
                <w:color w:val="000000"/>
                <w:sz w:val="20"/>
                <w:szCs w:val="20"/>
                <w:lang w:val="es-CR" w:eastAsia="es-CR"/>
              </w:rPr>
            </w:pPr>
            <w:r w:rsidRPr="00C83FE6">
              <w:rPr>
                <w:rFonts w:ascii="Arial Narrow" w:hAnsi="Arial Narrow" w:cs="Calibri"/>
                <w:color w:val="000000"/>
                <w:sz w:val="20"/>
                <w:szCs w:val="20"/>
                <w:lang w:val="es-CR" w:eastAsia="es-CR"/>
              </w:rPr>
              <w:t>Que al finalizar el 2024, se haya incorporado el módulo de los Servicios de Atención y Protección a la Víctima, en los programas de capacitación de la Escuela Judicial.</w:t>
            </w:r>
          </w:p>
        </w:tc>
        <w:tc>
          <w:tcPr>
            <w:tcW w:w="1318" w:type="dxa"/>
            <w:tcBorders>
              <w:top w:val="nil"/>
              <w:left w:val="nil"/>
              <w:bottom w:val="single" w:sz="4" w:space="0" w:color="auto"/>
              <w:right w:val="single" w:sz="4" w:space="0" w:color="auto"/>
            </w:tcBorders>
            <w:shd w:val="clear" w:color="auto" w:fill="auto"/>
            <w:vAlign w:val="center"/>
          </w:tcPr>
          <w:p w14:paraId="745B9A75" w14:textId="671FDC41" w:rsidR="00C83FE6" w:rsidRPr="00C02363" w:rsidRDefault="00C83FE6" w:rsidP="00C83FE6">
            <w:pPr>
              <w:jc w:val="both"/>
              <w:rPr>
                <w:rFonts w:ascii="Arial Narrow" w:hAnsi="Arial Narrow" w:cs="Calibri"/>
                <w:color w:val="000000"/>
                <w:sz w:val="20"/>
                <w:szCs w:val="20"/>
                <w:lang w:val="es-CR" w:eastAsia="es-CR"/>
              </w:rPr>
            </w:pPr>
            <w:r w:rsidRPr="00C02363">
              <w:rPr>
                <w:rFonts w:ascii="Arial Narrow" w:hAnsi="Arial Narrow" w:cs="Calibri"/>
                <w:color w:val="000000"/>
                <w:sz w:val="20"/>
                <w:szCs w:val="20"/>
                <w:lang w:val="es-CR" w:eastAsia="es-CR"/>
              </w:rPr>
              <w:t>Escuela Judicial y Oficina de Atención a la Víctima de Delitos</w:t>
            </w:r>
          </w:p>
        </w:tc>
      </w:tr>
      <w:tr w:rsidR="00357B2A" w:rsidRPr="00C83FE6" w14:paraId="7ECFB8B5" w14:textId="77777777" w:rsidTr="00CC279A">
        <w:trPr>
          <w:trHeight w:val="332"/>
        </w:trPr>
        <w:tc>
          <w:tcPr>
            <w:tcW w:w="1129" w:type="dxa"/>
            <w:tcBorders>
              <w:top w:val="nil"/>
              <w:left w:val="single" w:sz="4" w:space="0" w:color="auto"/>
              <w:bottom w:val="single" w:sz="4" w:space="0" w:color="auto"/>
              <w:right w:val="single" w:sz="4" w:space="0" w:color="auto"/>
            </w:tcBorders>
            <w:shd w:val="clear" w:color="auto" w:fill="auto"/>
            <w:vAlign w:val="center"/>
          </w:tcPr>
          <w:p w14:paraId="7E233E24" w14:textId="3840C6E8" w:rsidR="00C83FE6" w:rsidRPr="00C83FE6" w:rsidRDefault="00C83FE6" w:rsidP="00C83FE6">
            <w:pPr>
              <w:jc w:val="center"/>
              <w:rPr>
                <w:rFonts w:ascii="Arial Narrow" w:hAnsi="Arial Narrow" w:cs="Calibri"/>
                <w:b/>
                <w:bCs/>
                <w:color w:val="000000"/>
                <w:sz w:val="20"/>
                <w:szCs w:val="20"/>
                <w:lang w:val="es-CR" w:eastAsia="es-CR"/>
              </w:rPr>
            </w:pPr>
            <w:r>
              <w:rPr>
                <w:rFonts w:ascii="Arial Narrow" w:hAnsi="Arial Narrow" w:cs="Calibri"/>
                <w:b/>
                <w:bCs/>
                <w:color w:val="000000"/>
                <w:sz w:val="20"/>
                <w:szCs w:val="20"/>
                <w:lang w:val="es-CR" w:eastAsia="es-CR"/>
              </w:rPr>
              <w:t>Gestión del Personal</w:t>
            </w:r>
          </w:p>
        </w:tc>
        <w:tc>
          <w:tcPr>
            <w:tcW w:w="1134" w:type="dxa"/>
            <w:tcBorders>
              <w:top w:val="nil"/>
              <w:left w:val="nil"/>
              <w:bottom w:val="single" w:sz="4" w:space="0" w:color="auto"/>
              <w:right w:val="single" w:sz="4" w:space="0" w:color="auto"/>
            </w:tcBorders>
            <w:shd w:val="clear" w:color="auto" w:fill="auto"/>
            <w:vAlign w:val="center"/>
          </w:tcPr>
          <w:p w14:paraId="2913ECB5" w14:textId="281B8E85" w:rsidR="00C83FE6" w:rsidRPr="00C83FE6" w:rsidRDefault="00C83FE6" w:rsidP="00C83FE6">
            <w:pPr>
              <w:jc w:val="center"/>
              <w:rPr>
                <w:rFonts w:ascii="Arial Narrow" w:hAnsi="Arial Narrow" w:cs="Calibri"/>
                <w:color w:val="000000"/>
                <w:sz w:val="20"/>
                <w:szCs w:val="20"/>
                <w:lang w:val="es-CR" w:eastAsia="es-CR"/>
              </w:rPr>
            </w:pPr>
            <w:r>
              <w:rPr>
                <w:rFonts w:ascii="Arial Narrow" w:hAnsi="Arial Narrow" w:cs="Calibri"/>
                <w:color w:val="000000"/>
                <w:sz w:val="20"/>
                <w:szCs w:val="20"/>
                <w:lang w:val="es-CR" w:eastAsia="es-CR"/>
              </w:rPr>
              <w:t>Capacitación</w:t>
            </w:r>
          </w:p>
        </w:tc>
        <w:tc>
          <w:tcPr>
            <w:tcW w:w="1418" w:type="dxa"/>
            <w:tcBorders>
              <w:top w:val="nil"/>
              <w:left w:val="nil"/>
              <w:bottom w:val="single" w:sz="4" w:space="0" w:color="auto"/>
              <w:right w:val="single" w:sz="4" w:space="0" w:color="auto"/>
            </w:tcBorders>
            <w:shd w:val="clear" w:color="auto" w:fill="auto"/>
            <w:vAlign w:val="center"/>
          </w:tcPr>
          <w:p w14:paraId="7C6C9884" w14:textId="18D6B0B8" w:rsidR="00C83FE6" w:rsidRPr="00C83FE6" w:rsidRDefault="00C83FE6" w:rsidP="00C83FE6">
            <w:pPr>
              <w:jc w:val="both"/>
              <w:rPr>
                <w:rFonts w:ascii="Arial Narrow" w:hAnsi="Arial Narrow" w:cs="Calibri"/>
                <w:color w:val="000000"/>
                <w:sz w:val="20"/>
                <w:szCs w:val="20"/>
                <w:lang w:val="es-CR" w:eastAsia="es-CR"/>
              </w:rPr>
            </w:pPr>
            <w:r w:rsidRPr="00C83FE6">
              <w:rPr>
                <w:rFonts w:ascii="Arial Narrow" w:hAnsi="Arial Narrow" w:cs="Calibri"/>
                <w:color w:val="000000"/>
                <w:sz w:val="20"/>
                <w:szCs w:val="20"/>
                <w:lang w:val="es-CR" w:eastAsia="es-CR"/>
              </w:rPr>
              <w:t>Organismo de Investigación Judicial</w:t>
            </w:r>
          </w:p>
        </w:tc>
        <w:tc>
          <w:tcPr>
            <w:tcW w:w="4204" w:type="dxa"/>
            <w:tcBorders>
              <w:top w:val="nil"/>
              <w:left w:val="nil"/>
              <w:bottom w:val="single" w:sz="4" w:space="0" w:color="auto"/>
              <w:right w:val="single" w:sz="4" w:space="0" w:color="auto"/>
            </w:tcBorders>
            <w:shd w:val="clear" w:color="auto" w:fill="auto"/>
            <w:noWrap/>
            <w:vAlign w:val="center"/>
          </w:tcPr>
          <w:p w14:paraId="6D240C11" w14:textId="77D3784B" w:rsidR="00C83FE6" w:rsidRPr="00C83FE6" w:rsidRDefault="00C83FE6" w:rsidP="00C83FE6">
            <w:pPr>
              <w:jc w:val="both"/>
              <w:rPr>
                <w:rFonts w:ascii="Arial Narrow" w:hAnsi="Arial Narrow" w:cs="Calibri"/>
                <w:color w:val="000000"/>
                <w:sz w:val="20"/>
                <w:szCs w:val="20"/>
                <w:lang w:val="es-CR" w:eastAsia="es-CR"/>
              </w:rPr>
            </w:pPr>
            <w:r w:rsidRPr="00C83FE6">
              <w:rPr>
                <w:rFonts w:ascii="Arial Narrow" w:hAnsi="Arial Narrow" w:cs="Calibri"/>
                <w:color w:val="000000"/>
                <w:sz w:val="20"/>
                <w:szCs w:val="20"/>
                <w:lang w:val="es-CR" w:eastAsia="es-CR"/>
              </w:rPr>
              <w:t>Que al finalizar el 2024 se haya incorporado de manera integral los valores y ejes transversales institucionales, en al menos 10 actividades de capacitación de la Unidad de Capacitación del Organismo de Investigación Judicial.</w:t>
            </w:r>
          </w:p>
        </w:tc>
        <w:tc>
          <w:tcPr>
            <w:tcW w:w="1318" w:type="dxa"/>
            <w:tcBorders>
              <w:top w:val="nil"/>
              <w:left w:val="nil"/>
              <w:bottom w:val="single" w:sz="4" w:space="0" w:color="auto"/>
              <w:right w:val="single" w:sz="4" w:space="0" w:color="auto"/>
            </w:tcBorders>
            <w:shd w:val="clear" w:color="auto" w:fill="auto"/>
            <w:vAlign w:val="center"/>
          </w:tcPr>
          <w:p w14:paraId="1AEFDBCB" w14:textId="1D4D54E9" w:rsidR="00C83FE6" w:rsidRPr="00C02363" w:rsidRDefault="00C83FE6" w:rsidP="00C83FE6">
            <w:pPr>
              <w:jc w:val="both"/>
              <w:rPr>
                <w:rFonts w:ascii="Arial Narrow" w:hAnsi="Arial Narrow" w:cs="Calibri"/>
                <w:color w:val="000000"/>
                <w:sz w:val="20"/>
                <w:szCs w:val="20"/>
                <w:lang w:val="es-CR" w:eastAsia="es-CR"/>
              </w:rPr>
            </w:pPr>
            <w:r w:rsidRPr="00C02363">
              <w:rPr>
                <w:rFonts w:ascii="Arial Narrow" w:hAnsi="Arial Narrow" w:cs="Calibri"/>
                <w:color w:val="000000"/>
                <w:sz w:val="20"/>
                <w:szCs w:val="20"/>
                <w:lang w:val="es-CR" w:eastAsia="es-CR"/>
              </w:rPr>
              <w:t>Unidad de Adiestramiento</w:t>
            </w:r>
          </w:p>
        </w:tc>
      </w:tr>
      <w:tr w:rsidR="00357B2A" w:rsidRPr="00C83FE6" w14:paraId="59DDC693" w14:textId="77777777" w:rsidTr="00CC279A">
        <w:trPr>
          <w:trHeight w:val="332"/>
        </w:trPr>
        <w:tc>
          <w:tcPr>
            <w:tcW w:w="1129" w:type="dxa"/>
            <w:tcBorders>
              <w:top w:val="nil"/>
              <w:left w:val="single" w:sz="4" w:space="0" w:color="auto"/>
              <w:bottom w:val="single" w:sz="4" w:space="0" w:color="auto"/>
              <w:right w:val="single" w:sz="4" w:space="0" w:color="auto"/>
            </w:tcBorders>
            <w:shd w:val="clear" w:color="auto" w:fill="auto"/>
            <w:vAlign w:val="center"/>
          </w:tcPr>
          <w:p w14:paraId="3A75F61E" w14:textId="6A677AC9" w:rsidR="00C83FE6" w:rsidRDefault="00C83FE6" w:rsidP="00C83FE6">
            <w:pPr>
              <w:jc w:val="center"/>
              <w:rPr>
                <w:rFonts w:ascii="Arial Narrow" w:hAnsi="Arial Narrow" w:cs="Calibri"/>
                <w:b/>
                <w:bCs/>
                <w:color w:val="000000"/>
                <w:sz w:val="20"/>
                <w:szCs w:val="20"/>
                <w:lang w:val="es-CR" w:eastAsia="es-CR"/>
              </w:rPr>
            </w:pPr>
            <w:r>
              <w:rPr>
                <w:rFonts w:ascii="Arial Narrow" w:hAnsi="Arial Narrow" w:cs="Calibri"/>
                <w:b/>
                <w:bCs/>
                <w:color w:val="000000"/>
                <w:sz w:val="20"/>
                <w:szCs w:val="20"/>
                <w:lang w:val="es-CR" w:eastAsia="es-CR"/>
              </w:rPr>
              <w:t>Gestión del Personal</w:t>
            </w:r>
          </w:p>
        </w:tc>
        <w:tc>
          <w:tcPr>
            <w:tcW w:w="1134" w:type="dxa"/>
            <w:tcBorders>
              <w:top w:val="nil"/>
              <w:left w:val="nil"/>
              <w:bottom w:val="single" w:sz="4" w:space="0" w:color="auto"/>
              <w:right w:val="single" w:sz="4" w:space="0" w:color="auto"/>
            </w:tcBorders>
            <w:shd w:val="clear" w:color="auto" w:fill="auto"/>
            <w:vAlign w:val="center"/>
          </w:tcPr>
          <w:p w14:paraId="5A6FAF8B" w14:textId="1EDE5ECB" w:rsidR="00C83FE6" w:rsidRDefault="00C83FE6" w:rsidP="00C83FE6">
            <w:pPr>
              <w:jc w:val="center"/>
              <w:rPr>
                <w:rFonts w:ascii="Arial Narrow" w:hAnsi="Arial Narrow" w:cs="Calibri"/>
                <w:color w:val="000000"/>
                <w:sz w:val="20"/>
                <w:szCs w:val="20"/>
                <w:lang w:val="es-CR" w:eastAsia="es-CR"/>
              </w:rPr>
            </w:pPr>
            <w:r>
              <w:rPr>
                <w:rFonts w:ascii="Arial Narrow" w:hAnsi="Arial Narrow" w:cs="Calibri"/>
                <w:color w:val="000000"/>
                <w:sz w:val="20"/>
                <w:szCs w:val="20"/>
                <w:lang w:val="es-CR" w:eastAsia="es-CR"/>
              </w:rPr>
              <w:t>Capacitación</w:t>
            </w:r>
          </w:p>
        </w:tc>
        <w:tc>
          <w:tcPr>
            <w:tcW w:w="1418" w:type="dxa"/>
            <w:tcBorders>
              <w:top w:val="nil"/>
              <w:left w:val="nil"/>
              <w:bottom w:val="single" w:sz="4" w:space="0" w:color="auto"/>
              <w:right w:val="single" w:sz="4" w:space="0" w:color="auto"/>
            </w:tcBorders>
            <w:shd w:val="clear" w:color="auto" w:fill="auto"/>
            <w:vAlign w:val="center"/>
          </w:tcPr>
          <w:p w14:paraId="09AE4EC0" w14:textId="6ACA4A8A" w:rsidR="00C83FE6" w:rsidRPr="00C83FE6" w:rsidRDefault="00C83FE6" w:rsidP="00C83FE6">
            <w:pPr>
              <w:jc w:val="both"/>
              <w:rPr>
                <w:rFonts w:ascii="Arial Narrow" w:hAnsi="Arial Narrow" w:cs="Calibri"/>
                <w:color w:val="000000"/>
                <w:sz w:val="20"/>
                <w:szCs w:val="20"/>
                <w:lang w:val="es-CR" w:eastAsia="es-CR"/>
              </w:rPr>
            </w:pPr>
            <w:r w:rsidRPr="00C83FE6">
              <w:rPr>
                <w:rFonts w:ascii="Arial Narrow" w:hAnsi="Arial Narrow" w:cs="Calibri"/>
                <w:color w:val="000000"/>
                <w:sz w:val="20"/>
                <w:szCs w:val="20"/>
                <w:lang w:val="es-CR" w:eastAsia="es-CR"/>
              </w:rPr>
              <w:t>Escuela Judicial</w:t>
            </w:r>
          </w:p>
        </w:tc>
        <w:tc>
          <w:tcPr>
            <w:tcW w:w="4204" w:type="dxa"/>
            <w:tcBorders>
              <w:top w:val="nil"/>
              <w:left w:val="nil"/>
              <w:bottom w:val="single" w:sz="4" w:space="0" w:color="auto"/>
              <w:right w:val="single" w:sz="4" w:space="0" w:color="auto"/>
            </w:tcBorders>
            <w:shd w:val="clear" w:color="auto" w:fill="auto"/>
            <w:noWrap/>
            <w:vAlign w:val="center"/>
          </w:tcPr>
          <w:p w14:paraId="7F0FDAC3" w14:textId="050FE9F1" w:rsidR="00C83FE6" w:rsidRPr="00C83FE6" w:rsidRDefault="00C83FE6" w:rsidP="00C83FE6">
            <w:pPr>
              <w:jc w:val="both"/>
              <w:rPr>
                <w:rFonts w:ascii="Arial Narrow" w:hAnsi="Arial Narrow" w:cs="Calibri"/>
                <w:color w:val="000000"/>
                <w:sz w:val="20"/>
                <w:szCs w:val="20"/>
                <w:lang w:val="es-CR" w:eastAsia="es-CR"/>
              </w:rPr>
            </w:pPr>
            <w:r w:rsidRPr="00C83FE6">
              <w:rPr>
                <w:rFonts w:ascii="Arial Narrow" w:hAnsi="Arial Narrow" w:cs="Calibri"/>
                <w:color w:val="000000"/>
                <w:sz w:val="20"/>
                <w:szCs w:val="20"/>
                <w:lang w:val="es-CR" w:eastAsia="es-CR"/>
              </w:rPr>
              <w:t>Que al finalizar el 2024, se haya implementado una estrategia de regionalización de la capacitación que permita</w:t>
            </w:r>
            <w:r>
              <w:rPr>
                <w:rFonts w:ascii="Arial Narrow" w:hAnsi="Arial Narrow" w:cs="Calibri"/>
                <w:color w:val="000000"/>
                <w:sz w:val="20"/>
                <w:szCs w:val="20"/>
                <w:lang w:val="es-CR" w:eastAsia="es-CR"/>
              </w:rPr>
              <w:t xml:space="preserve"> </w:t>
            </w:r>
            <w:r w:rsidRPr="00C83FE6">
              <w:rPr>
                <w:rFonts w:ascii="Arial Narrow" w:hAnsi="Arial Narrow" w:cs="Calibri"/>
                <w:color w:val="000000"/>
                <w:sz w:val="20"/>
                <w:szCs w:val="20"/>
                <w:lang w:val="es-CR" w:eastAsia="es-CR"/>
              </w:rPr>
              <w:t xml:space="preserve">atender las necesidades </w:t>
            </w:r>
            <w:r>
              <w:rPr>
                <w:rFonts w:ascii="Arial Narrow" w:hAnsi="Arial Narrow" w:cs="Calibri"/>
                <w:color w:val="000000"/>
                <w:sz w:val="20"/>
                <w:szCs w:val="20"/>
                <w:lang w:val="es-CR" w:eastAsia="es-CR"/>
              </w:rPr>
              <w:t>regionales</w:t>
            </w:r>
            <w:r w:rsidRPr="00C83FE6">
              <w:rPr>
                <w:rFonts w:ascii="Arial Narrow" w:hAnsi="Arial Narrow" w:cs="Calibri"/>
                <w:color w:val="000000"/>
                <w:sz w:val="20"/>
                <w:szCs w:val="20"/>
                <w:lang w:val="es-CR" w:eastAsia="es-CR"/>
              </w:rPr>
              <w:t xml:space="preserve"> de personal judicial, de manera continua.</w:t>
            </w:r>
          </w:p>
        </w:tc>
        <w:tc>
          <w:tcPr>
            <w:tcW w:w="1318" w:type="dxa"/>
            <w:tcBorders>
              <w:top w:val="nil"/>
              <w:left w:val="nil"/>
              <w:bottom w:val="single" w:sz="4" w:space="0" w:color="auto"/>
              <w:right w:val="single" w:sz="4" w:space="0" w:color="auto"/>
            </w:tcBorders>
            <w:shd w:val="clear" w:color="auto" w:fill="auto"/>
            <w:vAlign w:val="center"/>
          </w:tcPr>
          <w:p w14:paraId="1E4861D4" w14:textId="7B021484" w:rsidR="00C83FE6" w:rsidRPr="00C02363" w:rsidRDefault="00C83FE6" w:rsidP="00C83FE6">
            <w:pPr>
              <w:jc w:val="both"/>
              <w:rPr>
                <w:rFonts w:ascii="Arial Narrow" w:hAnsi="Arial Narrow" w:cs="Calibri"/>
                <w:color w:val="000000"/>
                <w:sz w:val="20"/>
                <w:szCs w:val="20"/>
                <w:lang w:val="es-CR" w:eastAsia="es-CR"/>
              </w:rPr>
            </w:pPr>
            <w:r w:rsidRPr="00C02363">
              <w:rPr>
                <w:rFonts w:ascii="Arial Narrow" w:hAnsi="Arial Narrow" w:cs="Calibri"/>
                <w:color w:val="000000"/>
                <w:sz w:val="20"/>
                <w:szCs w:val="20"/>
                <w:lang w:val="es-CR" w:eastAsia="es-CR"/>
              </w:rPr>
              <w:t>Escuela Judicial</w:t>
            </w:r>
          </w:p>
        </w:tc>
      </w:tr>
      <w:tr w:rsidR="00357B2A" w:rsidRPr="00C83FE6" w14:paraId="2D1A88F3" w14:textId="77777777" w:rsidTr="00CC279A">
        <w:trPr>
          <w:trHeight w:val="332"/>
        </w:trPr>
        <w:tc>
          <w:tcPr>
            <w:tcW w:w="1129" w:type="dxa"/>
            <w:tcBorders>
              <w:top w:val="nil"/>
              <w:left w:val="single" w:sz="4" w:space="0" w:color="auto"/>
              <w:bottom w:val="single" w:sz="4" w:space="0" w:color="auto"/>
              <w:right w:val="single" w:sz="4" w:space="0" w:color="auto"/>
            </w:tcBorders>
            <w:shd w:val="clear" w:color="auto" w:fill="auto"/>
            <w:vAlign w:val="center"/>
          </w:tcPr>
          <w:p w14:paraId="78F45AC3" w14:textId="27F01788" w:rsidR="00C83FE6" w:rsidRDefault="00C83FE6" w:rsidP="00C83FE6">
            <w:pPr>
              <w:jc w:val="center"/>
              <w:rPr>
                <w:rFonts w:ascii="Arial Narrow" w:hAnsi="Arial Narrow" w:cs="Calibri"/>
                <w:b/>
                <w:bCs/>
                <w:color w:val="000000"/>
                <w:sz w:val="20"/>
                <w:szCs w:val="20"/>
                <w:lang w:val="es-CR" w:eastAsia="es-CR"/>
              </w:rPr>
            </w:pPr>
            <w:r>
              <w:rPr>
                <w:rFonts w:ascii="Arial Narrow" w:hAnsi="Arial Narrow" w:cs="Calibri"/>
                <w:b/>
                <w:bCs/>
                <w:color w:val="000000"/>
                <w:sz w:val="20"/>
                <w:szCs w:val="20"/>
                <w:lang w:val="es-CR" w:eastAsia="es-CR"/>
              </w:rPr>
              <w:t>Gestión del Personal</w:t>
            </w:r>
          </w:p>
        </w:tc>
        <w:tc>
          <w:tcPr>
            <w:tcW w:w="1134" w:type="dxa"/>
            <w:tcBorders>
              <w:top w:val="nil"/>
              <w:left w:val="nil"/>
              <w:bottom w:val="single" w:sz="4" w:space="0" w:color="auto"/>
              <w:right w:val="single" w:sz="4" w:space="0" w:color="auto"/>
            </w:tcBorders>
            <w:shd w:val="clear" w:color="auto" w:fill="auto"/>
            <w:vAlign w:val="center"/>
          </w:tcPr>
          <w:p w14:paraId="514AD144" w14:textId="40C39499" w:rsidR="00C83FE6" w:rsidRDefault="00C83FE6" w:rsidP="00C83FE6">
            <w:pPr>
              <w:jc w:val="center"/>
              <w:rPr>
                <w:rFonts w:ascii="Arial Narrow" w:hAnsi="Arial Narrow" w:cs="Calibri"/>
                <w:color w:val="000000"/>
                <w:sz w:val="20"/>
                <w:szCs w:val="20"/>
                <w:lang w:val="es-CR" w:eastAsia="es-CR"/>
              </w:rPr>
            </w:pPr>
            <w:r>
              <w:rPr>
                <w:rFonts w:ascii="Arial Narrow" w:hAnsi="Arial Narrow" w:cs="Calibri"/>
                <w:color w:val="000000"/>
                <w:sz w:val="20"/>
                <w:szCs w:val="20"/>
                <w:lang w:val="es-CR" w:eastAsia="es-CR"/>
              </w:rPr>
              <w:t>Capacitación</w:t>
            </w:r>
          </w:p>
        </w:tc>
        <w:tc>
          <w:tcPr>
            <w:tcW w:w="1418" w:type="dxa"/>
            <w:tcBorders>
              <w:top w:val="nil"/>
              <w:left w:val="nil"/>
              <w:bottom w:val="single" w:sz="4" w:space="0" w:color="auto"/>
              <w:right w:val="single" w:sz="4" w:space="0" w:color="auto"/>
            </w:tcBorders>
            <w:shd w:val="clear" w:color="auto" w:fill="auto"/>
            <w:vAlign w:val="center"/>
          </w:tcPr>
          <w:p w14:paraId="3E4B033B" w14:textId="398633A4" w:rsidR="00C83FE6" w:rsidRPr="00C83FE6" w:rsidRDefault="00C83FE6" w:rsidP="00C83FE6">
            <w:pPr>
              <w:jc w:val="both"/>
              <w:rPr>
                <w:rFonts w:ascii="Arial Narrow" w:hAnsi="Arial Narrow" w:cs="Calibri"/>
                <w:color w:val="000000"/>
                <w:sz w:val="20"/>
                <w:szCs w:val="20"/>
                <w:lang w:val="es-CR" w:eastAsia="es-CR"/>
              </w:rPr>
            </w:pPr>
            <w:r w:rsidRPr="00C83FE6">
              <w:rPr>
                <w:rFonts w:ascii="Arial Narrow" w:hAnsi="Arial Narrow" w:cs="Calibri"/>
                <w:color w:val="000000"/>
                <w:sz w:val="20"/>
                <w:szCs w:val="20"/>
                <w:lang w:val="es-CR" w:eastAsia="es-CR"/>
              </w:rPr>
              <w:t>Organismo de Investigación Judicial</w:t>
            </w:r>
          </w:p>
        </w:tc>
        <w:tc>
          <w:tcPr>
            <w:tcW w:w="4204" w:type="dxa"/>
            <w:tcBorders>
              <w:top w:val="nil"/>
              <w:left w:val="nil"/>
              <w:bottom w:val="single" w:sz="4" w:space="0" w:color="auto"/>
              <w:right w:val="single" w:sz="4" w:space="0" w:color="auto"/>
            </w:tcBorders>
            <w:shd w:val="clear" w:color="auto" w:fill="auto"/>
            <w:noWrap/>
            <w:vAlign w:val="center"/>
          </w:tcPr>
          <w:p w14:paraId="5EC7CCFE" w14:textId="3F188E65" w:rsidR="00C83FE6" w:rsidRPr="00C83FE6" w:rsidRDefault="00C83FE6" w:rsidP="00C83FE6">
            <w:pPr>
              <w:jc w:val="both"/>
              <w:rPr>
                <w:rFonts w:ascii="Arial Narrow" w:hAnsi="Arial Narrow" w:cs="Calibri"/>
                <w:color w:val="000000"/>
                <w:sz w:val="20"/>
                <w:szCs w:val="20"/>
                <w:lang w:val="es-CR" w:eastAsia="es-CR"/>
              </w:rPr>
            </w:pPr>
            <w:r w:rsidRPr="00C83FE6">
              <w:rPr>
                <w:rFonts w:ascii="Arial Narrow" w:hAnsi="Arial Narrow" w:cs="Calibri"/>
                <w:color w:val="000000"/>
                <w:sz w:val="20"/>
                <w:szCs w:val="20"/>
                <w:lang w:val="es-CR" w:eastAsia="es-CR"/>
              </w:rPr>
              <w:t>Que al finalizar el 2024, se hayan diseñado e implementado, al menos 5 actividades de capacitación anuales por parte de la Unidad de Capacitación del Organismo de Investigación Judicial, acorde a los perfiles competenciales de la población meta que se desea capacitar, con el fin de alcanzar el desempeño deseado en la función.</w:t>
            </w:r>
          </w:p>
        </w:tc>
        <w:tc>
          <w:tcPr>
            <w:tcW w:w="1318" w:type="dxa"/>
            <w:tcBorders>
              <w:top w:val="nil"/>
              <w:left w:val="nil"/>
              <w:bottom w:val="single" w:sz="4" w:space="0" w:color="auto"/>
              <w:right w:val="single" w:sz="4" w:space="0" w:color="auto"/>
            </w:tcBorders>
            <w:shd w:val="clear" w:color="auto" w:fill="auto"/>
            <w:vAlign w:val="center"/>
          </w:tcPr>
          <w:p w14:paraId="32100EF5" w14:textId="613BA028" w:rsidR="00C83FE6" w:rsidRPr="00C02363" w:rsidRDefault="00C83FE6" w:rsidP="00C83FE6">
            <w:pPr>
              <w:jc w:val="both"/>
              <w:rPr>
                <w:rFonts w:ascii="Arial Narrow" w:hAnsi="Arial Narrow" w:cs="Calibri"/>
                <w:color w:val="000000"/>
                <w:sz w:val="20"/>
                <w:szCs w:val="20"/>
                <w:lang w:val="es-CR" w:eastAsia="es-CR"/>
              </w:rPr>
            </w:pPr>
            <w:r w:rsidRPr="00C02363">
              <w:rPr>
                <w:rFonts w:ascii="Arial Narrow" w:hAnsi="Arial Narrow" w:cs="Calibri"/>
                <w:color w:val="000000"/>
                <w:sz w:val="20"/>
                <w:szCs w:val="20"/>
                <w:lang w:val="es-CR" w:eastAsia="es-CR"/>
              </w:rPr>
              <w:t>Unidad de Adiestramiento</w:t>
            </w:r>
          </w:p>
        </w:tc>
      </w:tr>
      <w:tr w:rsidR="00357B2A" w:rsidRPr="00C83FE6" w14:paraId="030C71AF" w14:textId="77777777" w:rsidTr="00CC279A">
        <w:trPr>
          <w:trHeight w:val="332"/>
        </w:trPr>
        <w:tc>
          <w:tcPr>
            <w:tcW w:w="1129" w:type="dxa"/>
            <w:tcBorders>
              <w:top w:val="nil"/>
              <w:left w:val="single" w:sz="4" w:space="0" w:color="auto"/>
              <w:bottom w:val="single" w:sz="4" w:space="0" w:color="auto"/>
              <w:right w:val="single" w:sz="4" w:space="0" w:color="auto"/>
            </w:tcBorders>
            <w:shd w:val="clear" w:color="auto" w:fill="auto"/>
            <w:vAlign w:val="center"/>
          </w:tcPr>
          <w:p w14:paraId="478E70FC" w14:textId="59D25121" w:rsidR="00C83FE6" w:rsidRPr="00C83FE6" w:rsidRDefault="00C83FE6" w:rsidP="00C83FE6">
            <w:pPr>
              <w:jc w:val="center"/>
              <w:rPr>
                <w:rFonts w:ascii="Arial Narrow" w:hAnsi="Arial Narrow" w:cs="Calibri"/>
                <w:b/>
                <w:bCs/>
                <w:color w:val="000000"/>
                <w:sz w:val="20"/>
                <w:szCs w:val="20"/>
                <w:lang w:val="es-CR" w:eastAsia="es-CR"/>
              </w:rPr>
            </w:pPr>
            <w:r>
              <w:rPr>
                <w:rFonts w:ascii="Arial Narrow" w:hAnsi="Arial Narrow" w:cs="Calibri"/>
                <w:b/>
                <w:bCs/>
                <w:color w:val="000000"/>
                <w:sz w:val="20"/>
                <w:szCs w:val="20"/>
                <w:lang w:val="es-CR" w:eastAsia="es-CR"/>
              </w:rPr>
              <w:t>Gestión del Personal</w:t>
            </w:r>
          </w:p>
        </w:tc>
        <w:tc>
          <w:tcPr>
            <w:tcW w:w="1134" w:type="dxa"/>
            <w:tcBorders>
              <w:top w:val="nil"/>
              <w:left w:val="nil"/>
              <w:bottom w:val="single" w:sz="4" w:space="0" w:color="auto"/>
              <w:right w:val="single" w:sz="4" w:space="0" w:color="auto"/>
            </w:tcBorders>
            <w:shd w:val="clear" w:color="auto" w:fill="auto"/>
            <w:vAlign w:val="center"/>
          </w:tcPr>
          <w:p w14:paraId="3E9146B8" w14:textId="747F34EE" w:rsidR="00C83FE6" w:rsidRPr="00C83FE6" w:rsidRDefault="00C83FE6" w:rsidP="00C83FE6">
            <w:pPr>
              <w:jc w:val="center"/>
              <w:rPr>
                <w:rFonts w:ascii="Arial Narrow" w:hAnsi="Arial Narrow" w:cs="Calibri"/>
                <w:color w:val="000000"/>
                <w:sz w:val="20"/>
                <w:szCs w:val="20"/>
                <w:lang w:val="es-CR" w:eastAsia="es-CR"/>
              </w:rPr>
            </w:pPr>
            <w:r>
              <w:rPr>
                <w:rFonts w:ascii="Arial Narrow" w:hAnsi="Arial Narrow" w:cs="Calibri"/>
                <w:color w:val="000000"/>
                <w:sz w:val="20"/>
                <w:szCs w:val="20"/>
                <w:lang w:val="es-CR" w:eastAsia="es-CR"/>
              </w:rPr>
              <w:t>Capacitación</w:t>
            </w:r>
          </w:p>
        </w:tc>
        <w:tc>
          <w:tcPr>
            <w:tcW w:w="1418" w:type="dxa"/>
            <w:tcBorders>
              <w:top w:val="nil"/>
              <w:left w:val="nil"/>
              <w:bottom w:val="single" w:sz="4" w:space="0" w:color="auto"/>
              <w:right w:val="single" w:sz="4" w:space="0" w:color="auto"/>
            </w:tcBorders>
            <w:shd w:val="clear" w:color="auto" w:fill="auto"/>
            <w:vAlign w:val="center"/>
          </w:tcPr>
          <w:p w14:paraId="6652CC25" w14:textId="28B2DEBE" w:rsidR="00C83FE6" w:rsidRPr="00C83FE6" w:rsidRDefault="00C83FE6" w:rsidP="00C83FE6">
            <w:pPr>
              <w:jc w:val="both"/>
              <w:rPr>
                <w:rFonts w:ascii="Arial Narrow" w:hAnsi="Arial Narrow" w:cs="Calibri"/>
                <w:color w:val="000000"/>
                <w:sz w:val="20"/>
                <w:szCs w:val="20"/>
                <w:lang w:val="es-CR" w:eastAsia="es-CR"/>
              </w:rPr>
            </w:pPr>
            <w:r w:rsidRPr="00C83FE6">
              <w:rPr>
                <w:rFonts w:ascii="Arial Narrow" w:hAnsi="Arial Narrow" w:cs="Calibri"/>
                <w:color w:val="000000"/>
                <w:sz w:val="20"/>
                <w:szCs w:val="20"/>
                <w:lang w:val="es-CR" w:eastAsia="es-CR"/>
              </w:rPr>
              <w:t>Escuela Judicial</w:t>
            </w:r>
          </w:p>
        </w:tc>
        <w:tc>
          <w:tcPr>
            <w:tcW w:w="4204" w:type="dxa"/>
            <w:tcBorders>
              <w:top w:val="nil"/>
              <w:left w:val="nil"/>
              <w:bottom w:val="single" w:sz="4" w:space="0" w:color="auto"/>
              <w:right w:val="single" w:sz="4" w:space="0" w:color="auto"/>
            </w:tcBorders>
            <w:shd w:val="clear" w:color="auto" w:fill="auto"/>
            <w:noWrap/>
            <w:vAlign w:val="center"/>
          </w:tcPr>
          <w:p w14:paraId="116E9657" w14:textId="42CFC0AB" w:rsidR="00C83FE6" w:rsidRPr="00C83FE6" w:rsidRDefault="00C83FE6" w:rsidP="00C83FE6">
            <w:pPr>
              <w:jc w:val="both"/>
              <w:rPr>
                <w:rFonts w:ascii="Arial Narrow" w:hAnsi="Arial Narrow" w:cs="Calibri"/>
                <w:color w:val="000000"/>
                <w:sz w:val="20"/>
                <w:szCs w:val="20"/>
                <w:lang w:val="es-CR" w:eastAsia="es-CR"/>
              </w:rPr>
            </w:pPr>
            <w:r w:rsidRPr="00C83FE6">
              <w:rPr>
                <w:rFonts w:ascii="Arial Narrow" w:hAnsi="Arial Narrow" w:cs="Calibri"/>
                <w:color w:val="000000"/>
                <w:sz w:val="20"/>
                <w:szCs w:val="20"/>
                <w:lang w:val="es-CR" w:eastAsia="es-CR"/>
              </w:rPr>
              <w:t>Que al finalizar el 2024, se hayan implementado programas de cooperación con universidades que imparten la carrera de Derecho y otras carreras de interés, para el desarrollo de enfoques o especialidades acordes con las competencias requeridas por el Poder Judicial.</w:t>
            </w:r>
          </w:p>
        </w:tc>
        <w:tc>
          <w:tcPr>
            <w:tcW w:w="1318" w:type="dxa"/>
            <w:tcBorders>
              <w:top w:val="nil"/>
              <w:left w:val="nil"/>
              <w:bottom w:val="single" w:sz="4" w:space="0" w:color="auto"/>
              <w:right w:val="single" w:sz="4" w:space="0" w:color="auto"/>
            </w:tcBorders>
            <w:shd w:val="clear" w:color="auto" w:fill="auto"/>
            <w:vAlign w:val="center"/>
          </w:tcPr>
          <w:p w14:paraId="5A8A347C" w14:textId="7117ED05" w:rsidR="00C83FE6" w:rsidRPr="00C02363" w:rsidRDefault="00C83FE6" w:rsidP="00C83FE6">
            <w:pPr>
              <w:jc w:val="both"/>
              <w:rPr>
                <w:rFonts w:ascii="Arial Narrow" w:hAnsi="Arial Narrow" w:cs="Calibri"/>
                <w:color w:val="000000"/>
                <w:sz w:val="20"/>
                <w:szCs w:val="20"/>
                <w:lang w:val="es-CR" w:eastAsia="es-CR"/>
              </w:rPr>
            </w:pPr>
            <w:r w:rsidRPr="00C02363">
              <w:rPr>
                <w:rFonts w:ascii="Arial Narrow" w:hAnsi="Arial Narrow" w:cs="Calibri"/>
                <w:color w:val="000000"/>
                <w:sz w:val="20"/>
                <w:szCs w:val="20"/>
                <w:lang w:val="es-CR" w:eastAsia="es-CR"/>
              </w:rPr>
              <w:t>Escuela Judicial</w:t>
            </w:r>
          </w:p>
        </w:tc>
      </w:tr>
      <w:tr w:rsidR="00357B2A" w:rsidRPr="00C83FE6" w14:paraId="500DB76F" w14:textId="77777777" w:rsidTr="00CC279A">
        <w:trPr>
          <w:trHeight w:val="332"/>
        </w:trPr>
        <w:tc>
          <w:tcPr>
            <w:tcW w:w="1129" w:type="dxa"/>
            <w:tcBorders>
              <w:top w:val="nil"/>
              <w:left w:val="single" w:sz="4" w:space="0" w:color="auto"/>
              <w:bottom w:val="single" w:sz="4" w:space="0" w:color="auto"/>
              <w:right w:val="single" w:sz="4" w:space="0" w:color="auto"/>
            </w:tcBorders>
            <w:shd w:val="clear" w:color="auto" w:fill="auto"/>
            <w:vAlign w:val="center"/>
            <w:hideMark/>
          </w:tcPr>
          <w:p w14:paraId="630BD90A" w14:textId="77777777" w:rsidR="00C83FE6" w:rsidRPr="00704B08" w:rsidRDefault="00C83FE6">
            <w:pPr>
              <w:jc w:val="center"/>
              <w:rPr>
                <w:rFonts w:ascii="Arial Narrow" w:hAnsi="Arial Narrow" w:cs="Calibri"/>
                <w:b/>
                <w:bCs/>
                <w:color w:val="000000"/>
                <w:sz w:val="20"/>
                <w:szCs w:val="20"/>
                <w:lang w:val="es-CR" w:eastAsia="es-CR"/>
              </w:rPr>
            </w:pPr>
            <w:r w:rsidRPr="00704B08">
              <w:rPr>
                <w:rFonts w:ascii="Arial Narrow" w:hAnsi="Arial Narrow" w:cs="Calibri"/>
                <w:b/>
                <w:bCs/>
                <w:color w:val="000000"/>
                <w:sz w:val="20"/>
                <w:szCs w:val="20"/>
                <w:lang w:val="es-CR" w:eastAsia="es-CR"/>
              </w:rPr>
              <w:t>Planificación Institucional</w:t>
            </w:r>
          </w:p>
        </w:tc>
        <w:tc>
          <w:tcPr>
            <w:tcW w:w="1134" w:type="dxa"/>
            <w:tcBorders>
              <w:top w:val="nil"/>
              <w:left w:val="nil"/>
              <w:bottom w:val="single" w:sz="4" w:space="0" w:color="auto"/>
              <w:right w:val="single" w:sz="4" w:space="0" w:color="auto"/>
            </w:tcBorders>
            <w:shd w:val="clear" w:color="auto" w:fill="auto"/>
            <w:vAlign w:val="center"/>
            <w:hideMark/>
          </w:tcPr>
          <w:p w14:paraId="5892433A" w14:textId="77777777" w:rsidR="00C83FE6" w:rsidRPr="00704B08" w:rsidRDefault="00C83FE6" w:rsidP="00704B08">
            <w:pPr>
              <w:jc w:val="center"/>
              <w:rPr>
                <w:rFonts w:ascii="Arial Narrow" w:hAnsi="Arial Narrow" w:cs="Calibri"/>
                <w:color w:val="000000"/>
                <w:sz w:val="20"/>
                <w:szCs w:val="20"/>
                <w:lang w:val="es-CR" w:eastAsia="es-CR"/>
              </w:rPr>
            </w:pPr>
            <w:r w:rsidRPr="00704B08">
              <w:rPr>
                <w:rFonts w:ascii="Arial Narrow" w:hAnsi="Arial Narrow" w:cs="Calibri"/>
                <w:color w:val="000000"/>
                <w:sz w:val="20"/>
                <w:szCs w:val="20"/>
                <w:lang w:val="es-CR" w:eastAsia="es-CR"/>
              </w:rPr>
              <w:t>Gestión Estratégica institucional</w:t>
            </w:r>
          </w:p>
        </w:tc>
        <w:tc>
          <w:tcPr>
            <w:tcW w:w="1418" w:type="dxa"/>
            <w:tcBorders>
              <w:top w:val="nil"/>
              <w:left w:val="nil"/>
              <w:bottom w:val="single" w:sz="4" w:space="0" w:color="auto"/>
              <w:right w:val="single" w:sz="4" w:space="0" w:color="auto"/>
            </w:tcBorders>
            <w:shd w:val="clear" w:color="auto" w:fill="auto"/>
            <w:vAlign w:val="center"/>
            <w:hideMark/>
          </w:tcPr>
          <w:p w14:paraId="7E29E5CD" w14:textId="2177BFB7" w:rsidR="00C83FE6" w:rsidRPr="00704B08" w:rsidRDefault="00C83FE6" w:rsidP="00704B08">
            <w:pPr>
              <w:jc w:val="both"/>
              <w:rPr>
                <w:rFonts w:ascii="Arial Narrow" w:hAnsi="Arial Narrow" w:cs="Calibri"/>
                <w:color w:val="000000"/>
                <w:sz w:val="20"/>
                <w:szCs w:val="20"/>
                <w:lang w:val="es-CR" w:eastAsia="es-CR"/>
              </w:rPr>
            </w:pPr>
            <w:r w:rsidRPr="00704B08">
              <w:rPr>
                <w:rFonts w:ascii="Arial Narrow" w:hAnsi="Arial Narrow" w:cs="Calibri"/>
                <w:color w:val="000000"/>
                <w:sz w:val="20"/>
                <w:szCs w:val="20"/>
                <w:lang w:val="es-CR" w:eastAsia="es-CR"/>
              </w:rPr>
              <w:t>Consejo Superior y Comisión de Construcciones Corte Plena</w:t>
            </w:r>
          </w:p>
        </w:tc>
        <w:tc>
          <w:tcPr>
            <w:tcW w:w="4204" w:type="dxa"/>
            <w:tcBorders>
              <w:top w:val="nil"/>
              <w:left w:val="nil"/>
              <w:bottom w:val="single" w:sz="4" w:space="0" w:color="auto"/>
              <w:right w:val="single" w:sz="4" w:space="0" w:color="auto"/>
            </w:tcBorders>
            <w:shd w:val="clear" w:color="auto" w:fill="auto"/>
            <w:noWrap/>
            <w:vAlign w:val="center"/>
            <w:hideMark/>
          </w:tcPr>
          <w:p w14:paraId="2861F298" w14:textId="3026FB38" w:rsidR="00C83FE6" w:rsidRPr="00704B08" w:rsidRDefault="00C83FE6">
            <w:pPr>
              <w:jc w:val="both"/>
              <w:rPr>
                <w:rFonts w:ascii="Arial Narrow" w:hAnsi="Arial Narrow" w:cs="Calibri"/>
                <w:color w:val="000000"/>
                <w:sz w:val="20"/>
                <w:szCs w:val="20"/>
                <w:lang w:val="es-CR" w:eastAsia="es-CR"/>
              </w:rPr>
            </w:pPr>
            <w:r w:rsidRPr="00704B08">
              <w:rPr>
                <w:rFonts w:ascii="Arial Narrow" w:hAnsi="Arial Narrow" w:cs="Calibri"/>
                <w:color w:val="000000"/>
                <w:sz w:val="20"/>
                <w:szCs w:val="20"/>
                <w:lang w:val="es-CR" w:eastAsia="es-CR"/>
              </w:rPr>
              <w:t>Que al finalizar el 2024, se haya implementado el plan de ejecución de construcciones definido, que considere el diseño universal y certificación básica LEED; que contemple espacios compartidos y oficinas satélite (</w:t>
            </w:r>
            <w:r w:rsidR="00CF2478">
              <w:rPr>
                <w:rFonts w:ascii="Arial Narrow" w:hAnsi="Arial Narrow" w:cs="Calibri"/>
                <w:color w:val="000000"/>
                <w:sz w:val="20"/>
                <w:szCs w:val="20"/>
                <w:lang w:val="es-CR" w:eastAsia="es-CR"/>
              </w:rPr>
              <w:t>“</w:t>
            </w:r>
            <w:r w:rsidRPr="00704B08">
              <w:rPr>
                <w:rFonts w:ascii="Arial Narrow" w:hAnsi="Arial Narrow" w:cs="Calibri"/>
                <w:color w:val="000000"/>
                <w:sz w:val="20"/>
                <w:szCs w:val="20"/>
                <w:lang w:val="es-CR" w:eastAsia="es-CR"/>
              </w:rPr>
              <w:t>coworking</w:t>
            </w:r>
            <w:r w:rsidR="00CF2478">
              <w:rPr>
                <w:rFonts w:ascii="Arial Narrow" w:hAnsi="Arial Narrow" w:cs="Calibri"/>
                <w:color w:val="000000"/>
                <w:sz w:val="20"/>
                <w:szCs w:val="20"/>
                <w:lang w:val="es-CR" w:eastAsia="es-CR"/>
              </w:rPr>
              <w:t>”</w:t>
            </w:r>
            <w:r w:rsidRPr="00704B08">
              <w:rPr>
                <w:rFonts w:ascii="Arial Narrow" w:hAnsi="Arial Narrow" w:cs="Calibri"/>
                <w:color w:val="000000"/>
                <w:sz w:val="20"/>
                <w:szCs w:val="20"/>
                <w:lang w:val="es-CR" w:eastAsia="es-CR"/>
              </w:rPr>
              <w:t>), acorde a las modalidades alternativas de trabajo; así como aulas acondicionadas para capacitaciones y espacio para uso de bicicletas.</w:t>
            </w:r>
          </w:p>
        </w:tc>
        <w:tc>
          <w:tcPr>
            <w:tcW w:w="1318" w:type="dxa"/>
            <w:tcBorders>
              <w:top w:val="nil"/>
              <w:left w:val="nil"/>
              <w:bottom w:val="single" w:sz="4" w:space="0" w:color="auto"/>
              <w:right w:val="single" w:sz="4" w:space="0" w:color="auto"/>
            </w:tcBorders>
            <w:shd w:val="clear" w:color="auto" w:fill="auto"/>
            <w:vAlign w:val="center"/>
            <w:hideMark/>
          </w:tcPr>
          <w:p w14:paraId="50A47447" w14:textId="0A02A055" w:rsidR="00C83FE6" w:rsidRPr="00C02363" w:rsidRDefault="00C83FE6" w:rsidP="00704B08">
            <w:pPr>
              <w:jc w:val="both"/>
              <w:rPr>
                <w:rFonts w:ascii="Arial Narrow" w:hAnsi="Arial Narrow" w:cs="Calibri"/>
                <w:color w:val="000000"/>
                <w:sz w:val="20"/>
                <w:szCs w:val="20"/>
                <w:lang w:val="es-CR" w:eastAsia="es-CR"/>
              </w:rPr>
            </w:pPr>
            <w:r w:rsidRPr="00C02363">
              <w:rPr>
                <w:rFonts w:ascii="Arial Narrow" w:hAnsi="Arial Narrow" w:cs="Calibri"/>
                <w:color w:val="000000"/>
                <w:sz w:val="20"/>
                <w:szCs w:val="20"/>
                <w:lang w:val="es-CR" w:eastAsia="es-CR"/>
              </w:rPr>
              <w:t>Consejo Superior y Dirección Ejecutiva</w:t>
            </w:r>
          </w:p>
        </w:tc>
      </w:tr>
    </w:tbl>
    <w:p w14:paraId="1D505C7D" w14:textId="59861EEA" w:rsidR="00C83FE6" w:rsidRDefault="00C83FE6" w:rsidP="00DA143C">
      <w:pPr>
        <w:spacing w:line="360" w:lineRule="auto"/>
        <w:jc w:val="both"/>
        <w:rPr>
          <w:rFonts w:ascii="Arial Narrow" w:hAnsi="Arial Narrow" w:cs="Arial"/>
          <w:b/>
          <w:bCs/>
          <w:color w:val="000000"/>
        </w:rPr>
      </w:pPr>
    </w:p>
    <w:p w14:paraId="095CD63F" w14:textId="743BF748" w:rsidR="009B7B0A" w:rsidRPr="00C9711A" w:rsidRDefault="009B7B0A" w:rsidP="00C9711A">
      <w:pPr>
        <w:widowControl w:val="0"/>
        <w:autoSpaceDE w:val="0"/>
        <w:autoSpaceDN w:val="0"/>
        <w:adjustRightInd w:val="0"/>
        <w:spacing w:after="200" w:line="276" w:lineRule="auto"/>
        <w:contextualSpacing/>
        <w:jc w:val="both"/>
        <w:rPr>
          <w:rFonts w:ascii="Arial Narrow" w:eastAsia="Calibri" w:hAnsi="Arial Narrow"/>
        </w:rPr>
      </w:pPr>
    </w:p>
    <w:p w14:paraId="68DDE323" w14:textId="76B4200A" w:rsidR="009D0E86" w:rsidRDefault="009D0E86" w:rsidP="00DA143C">
      <w:pPr>
        <w:spacing w:line="360" w:lineRule="auto"/>
        <w:jc w:val="both"/>
        <w:rPr>
          <w:rFonts w:ascii="Arial Narrow" w:eastAsia="Calibri" w:hAnsi="Arial Narrow"/>
        </w:rPr>
      </w:pPr>
    </w:p>
    <w:p w14:paraId="24AE4547" w14:textId="2BD2578E" w:rsidR="009D0E86" w:rsidRDefault="009D0E86" w:rsidP="00DA143C">
      <w:pPr>
        <w:spacing w:line="360" w:lineRule="auto"/>
        <w:jc w:val="both"/>
        <w:rPr>
          <w:rFonts w:ascii="Arial Narrow" w:eastAsia="Calibri" w:hAnsi="Arial Narrow"/>
        </w:rPr>
      </w:pPr>
    </w:p>
    <w:p w14:paraId="3F75A6EC" w14:textId="376FDC7A" w:rsidR="001A6496" w:rsidRDefault="001A6496" w:rsidP="00DA143C">
      <w:pPr>
        <w:spacing w:line="360" w:lineRule="auto"/>
        <w:jc w:val="both"/>
        <w:rPr>
          <w:rFonts w:ascii="Arial Narrow" w:eastAsia="Calibri" w:hAnsi="Arial Narrow"/>
        </w:rPr>
      </w:pPr>
    </w:p>
    <w:p w14:paraId="5969F4C2" w14:textId="04977DC0" w:rsidR="001A6496" w:rsidRDefault="001A6496" w:rsidP="00DA143C">
      <w:pPr>
        <w:spacing w:line="360" w:lineRule="auto"/>
        <w:jc w:val="both"/>
        <w:rPr>
          <w:rFonts w:ascii="Arial Narrow" w:eastAsia="Calibri" w:hAnsi="Arial Narrow"/>
        </w:rPr>
      </w:pPr>
    </w:p>
    <w:p w14:paraId="42BFED3E" w14:textId="3F042F31" w:rsidR="001A6496" w:rsidRDefault="001A6496" w:rsidP="00DA143C">
      <w:pPr>
        <w:spacing w:line="360" w:lineRule="auto"/>
        <w:jc w:val="both"/>
        <w:rPr>
          <w:rFonts w:ascii="Arial Narrow" w:eastAsia="Calibri" w:hAnsi="Arial Narrow"/>
        </w:rPr>
      </w:pPr>
    </w:p>
    <w:p w14:paraId="1E9346F7" w14:textId="1452CF8F" w:rsidR="001A6496" w:rsidRDefault="001A6496" w:rsidP="00DA143C">
      <w:pPr>
        <w:spacing w:line="360" w:lineRule="auto"/>
        <w:jc w:val="both"/>
        <w:rPr>
          <w:rFonts w:ascii="Arial Narrow" w:eastAsia="Calibri" w:hAnsi="Arial Narrow"/>
        </w:rPr>
      </w:pPr>
    </w:p>
    <w:p w14:paraId="6093EF16" w14:textId="20A20F69" w:rsidR="00194BB6" w:rsidRDefault="00194BB6" w:rsidP="00DA143C">
      <w:pPr>
        <w:spacing w:line="360" w:lineRule="auto"/>
        <w:jc w:val="both"/>
        <w:rPr>
          <w:rFonts w:ascii="Arial Narrow" w:hAnsi="Arial Narrow" w:cs="Arial"/>
          <w:b/>
          <w:bCs/>
          <w:color w:val="000000"/>
        </w:rPr>
      </w:pPr>
    </w:p>
    <w:p w14:paraId="0435E2ED" w14:textId="77777777" w:rsidR="00CF2478" w:rsidRDefault="00CF2478" w:rsidP="00DA143C">
      <w:pPr>
        <w:spacing w:line="360" w:lineRule="auto"/>
        <w:jc w:val="both"/>
        <w:rPr>
          <w:rFonts w:ascii="Arial Narrow" w:hAnsi="Arial Narrow" w:cs="Arial"/>
          <w:b/>
          <w:bCs/>
          <w:color w:val="000000"/>
        </w:rPr>
      </w:pPr>
    </w:p>
    <w:p w14:paraId="34FBF434" w14:textId="32C5128F" w:rsidR="00194BB6" w:rsidRDefault="00194BB6">
      <w:pPr>
        <w:pStyle w:val="Ttulo2"/>
      </w:pPr>
      <w:bookmarkStart w:id="424" w:name="_Toc84919372"/>
      <w:r>
        <w:t>Anexos</w:t>
      </w:r>
      <w:bookmarkEnd w:id="424"/>
    </w:p>
    <w:p w14:paraId="4D65D2E9" w14:textId="5659221D" w:rsidR="00194BB6" w:rsidRDefault="00194BB6" w:rsidP="00194BB6">
      <w:pPr>
        <w:rPr>
          <w:lang w:eastAsia="en-US"/>
        </w:rPr>
      </w:pPr>
    </w:p>
    <w:p w14:paraId="347E9AD6" w14:textId="7806D795" w:rsidR="00194BB6" w:rsidRPr="00704B08" w:rsidRDefault="00194BB6" w:rsidP="00704B08">
      <w:pPr>
        <w:jc w:val="center"/>
        <w:rPr>
          <w:rFonts w:ascii="Arial Narrow" w:hAnsi="Arial Narrow"/>
          <w:lang w:eastAsia="en-US"/>
        </w:rPr>
      </w:pPr>
    </w:p>
    <w:p w14:paraId="60E69626" w14:textId="0A9C89C1" w:rsidR="00194BB6" w:rsidRPr="00704B08" w:rsidRDefault="00194BB6">
      <w:pPr>
        <w:jc w:val="center"/>
        <w:rPr>
          <w:rFonts w:ascii="Arial Narrow" w:hAnsi="Arial Narrow"/>
          <w:b/>
          <w:bCs/>
          <w:lang w:eastAsia="en-US"/>
        </w:rPr>
      </w:pPr>
      <w:r w:rsidRPr="00704B08">
        <w:rPr>
          <w:rFonts w:ascii="Arial Narrow" w:hAnsi="Arial Narrow"/>
          <w:b/>
          <w:bCs/>
          <w:lang w:eastAsia="en-US"/>
        </w:rPr>
        <w:t>Anexo 1</w:t>
      </w:r>
    </w:p>
    <w:p w14:paraId="39897926" w14:textId="017E055B" w:rsidR="00194BB6" w:rsidRPr="00704B08" w:rsidRDefault="00194BB6" w:rsidP="00704B08">
      <w:pPr>
        <w:jc w:val="center"/>
        <w:rPr>
          <w:rFonts w:ascii="Arial Narrow" w:hAnsi="Arial Narrow"/>
          <w:b/>
          <w:bCs/>
          <w:lang w:eastAsia="en-US"/>
        </w:rPr>
      </w:pPr>
      <w:r w:rsidRPr="00704B08">
        <w:rPr>
          <w:rFonts w:ascii="Arial Narrow" w:hAnsi="Arial Narrow"/>
          <w:b/>
          <w:bCs/>
          <w:lang w:eastAsia="en-US"/>
        </w:rPr>
        <w:t>Matriz del Plan Estratégico Institucional, Versión 4</w:t>
      </w:r>
    </w:p>
    <w:p w14:paraId="4D2AC3AB" w14:textId="7CA1433F" w:rsidR="00194BB6" w:rsidRDefault="00194BB6">
      <w:pPr>
        <w:spacing w:line="360" w:lineRule="auto"/>
        <w:jc w:val="both"/>
        <w:rPr>
          <w:rFonts w:ascii="Arial Narrow" w:hAnsi="Arial Narrow" w:cs="Arial"/>
          <w:color w:val="000000"/>
        </w:rPr>
      </w:pPr>
    </w:p>
    <w:p w14:paraId="519DB6B4" w14:textId="613DD89B" w:rsidR="00194BB6" w:rsidRPr="00DA143C" w:rsidRDefault="00194BB6" w:rsidP="00704B08">
      <w:pPr>
        <w:spacing w:line="360" w:lineRule="auto"/>
        <w:jc w:val="center"/>
        <w:rPr>
          <w:rFonts w:ascii="Arial Narrow" w:hAnsi="Arial Narrow" w:cs="Arial"/>
        </w:rPr>
      </w:pPr>
      <w:r>
        <w:rPr>
          <w:rFonts w:ascii="Arial Narrow" w:hAnsi="Arial Narrow" w:cs="Arial"/>
        </w:rPr>
        <w:object w:dxaOrig="1548" w:dyaOrig="973" w14:anchorId="1CAB97B0">
          <v:shape id="_x0000_i1053" type="#_x0000_t75" style="width:77.25pt;height:46.45pt" o:ole="">
            <v:imagedata r:id="rId220" o:title=""/>
          </v:shape>
          <o:OLEObject Type="Embed" ProgID="Excel.Sheet.12" ShapeID="_x0000_i1053" DrawAspect="Icon" ObjectID="_1696768472" r:id="rId221"/>
        </w:object>
      </w:r>
    </w:p>
    <w:p w14:paraId="3A08A0C9" w14:textId="77777777" w:rsidR="000E3BF1" w:rsidRDefault="000E3BF1" w:rsidP="000E3BF1">
      <w:pPr>
        <w:spacing w:line="360" w:lineRule="auto"/>
        <w:jc w:val="center"/>
        <w:rPr>
          <w:rFonts w:ascii="Arial Narrow" w:hAnsi="Arial Narrow"/>
          <w:b/>
          <w:bCs/>
          <w:lang w:eastAsia="en-US"/>
        </w:rPr>
      </w:pPr>
    </w:p>
    <w:p w14:paraId="4EA18334" w14:textId="57167387" w:rsidR="000E3BF1" w:rsidRDefault="000E3BF1" w:rsidP="00704B08">
      <w:pPr>
        <w:spacing w:line="360" w:lineRule="auto"/>
        <w:jc w:val="center"/>
        <w:rPr>
          <w:rFonts w:ascii="Arial Narrow" w:hAnsi="Arial Narrow"/>
          <w:b/>
          <w:bCs/>
          <w:lang w:eastAsia="en-US"/>
        </w:rPr>
      </w:pPr>
      <w:r w:rsidRPr="00704B08">
        <w:rPr>
          <w:rFonts w:ascii="Arial Narrow" w:hAnsi="Arial Narrow"/>
          <w:b/>
          <w:bCs/>
          <w:lang w:eastAsia="en-US"/>
        </w:rPr>
        <w:t>Anexo 2</w:t>
      </w:r>
    </w:p>
    <w:p w14:paraId="4515CAEA" w14:textId="0113FD8D" w:rsidR="000E3BF1" w:rsidRDefault="000E3BF1" w:rsidP="000E3BF1">
      <w:pPr>
        <w:widowControl w:val="0"/>
        <w:jc w:val="center"/>
        <w:rPr>
          <w:rFonts w:ascii="Arial Narrow" w:hAnsi="Arial Narrow"/>
          <w:b/>
          <w:bCs/>
          <w:lang w:eastAsia="en-US"/>
        </w:rPr>
      </w:pPr>
      <w:r>
        <w:rPr>
          <w:rFonts w:ascii="Arial Narrow" w:hAnsi="Arial Narrow"/>
          <w:b/>
          <w:bCs/>
          <w:lang w:eastAsia="en-US"/>
        </w:rPr>
        <w:t xml:space="preserve">Informe </w:t>
      </w:r>
      <w:r w:rsidRPr="00704B08">
        <w:rPr>
          <w:rFonts w:ascii="Arial Narrow" w:hAnsi="Arial Narrow"/>
          <w:b/>
          <w:bCs/>
          <w:lang w:eastAsia="en-US"/>
        </w:rPr>
        <w:t>plan de acción para la continuidad de los servicios judiciales como respuesta al impacto de la emergencia nacional COVID-19</w:t>
      </w:r>
    </w:p>
    <w:p w14:paraId="76F2BD9F" w14:textId="77777777" w:rsidR="00A862F4" w:rsidRPr="00704B08" w:rsidRDefault="00A862F4" w:rsidP="00704B08">
      <w:pPr>
        <w:widowControl w:val="0"/>
        <w:jc w:val="center"/>
        <w:rPr>
          <w:rFonts w:ascii="Arial Narrow" w:hAnsi="Arial Narrow"/>
          <w:b/>
          <w:bCs/>
          <w:lang w:eastAsia="en-US"/>
        </w:rPr>
      </w:pPr>
    </w:p>
    <w:bookmarkStart w:id="425" w:name="_MON_1686678533"/>
    <w:bookmarkEnd w:id="425"/>
    <w:p w14:paraId="652AC6D6" w14:textId="74CB979C" w:rsidR="000E3BF1" w:rsidRDefault="000E3BF1" w:rsidP="00704B08">
      <w:pPr>
        <w:spacing w:line="360" w:lineRule="auto"/>
        <w:jc w:val="center"/>
        <w:rPr>
          <w:rFonts w:ascii="Arial Narrow" w:hAnsi="Arial Narrow"/>
          <w:color w:val="000000"/>
          <w:lang w:eastAsia="es-CR"/>
        </w:rPr>
      </w:pPr>
      <w:r>
        <w:rPr>
          <w:rFonts w:ascii="Arial Narrow" w:hAnsi="Arial Narrow"/>
          <w:color w:val="000000"/>
          <w:lang w:eastAsia="es-CR"/>
        </w:rPr>
        <w:object w:dxaOrig="1548" w:dyaOrig="973" w14:anchorId="351AF681">
          <v:shape id="_x0000_i1054" type="#_x0000_t75" style="width:77.25pt;height:46.45pt" o:ole="">
            <v:imagedata r:id="rId222" o:title=""/>
          </v:shape>
          <o:OLEObject Type="Embed" ProgID="Word.Document.12" ShapeID="_x0000_i1054" DrawAspect="Icon" ObjectID="_1696768473" r:id="rId223">
            <o:FieldCodes>\s</o:FieldCodes>
          </o:OLEObject>
        </w:object>
      </w:r>
    </w:p>
    <w:p w14:paraId="09DCE7FC" w14:textId="4F9B6734" w:rsidR="00993C9F" w:rsidRDefault="00993C9F" w:rsidP="00993C9F">
      <w:pPr>
        <w:spacing w:line="360" w:lineRule="auto"/>
        <w:jc w:val="center"/>
        <w:rPr>
          <w:rFonts w:ascii="Arial Narrow" w:hAnsi="Arial Narrow"/>
          <w:b/>
          <w:bCs/>
          <w:lang w:eastAsia="en-US"/>
        </w:rPr>
      </w:pPr>
      <w:r w:rsidRPr="00704B08">
        <w:rPr>
          <w:rFonts w:ascii="Arial Narrow" w:hAnsi="Arial Narrow"/>
          <w:b/>
          <w:bCs/>
          <w:lang w:eastAsia="en-US"/>
        </w:rPr>
        <w:t xml:space="preserve">Anexo </w:t>
      </w:r>
      <w:r>
        <w:rPr>
          <w:rFonts w:ascii="Arial Narrow" w:hAnsi="Arial Narrow"/>
          <w:b/>
          <w:bCs/>
          <w:lang w:eastAsia="en-US"/>
        </w:rPr>
        <w:t>3</w:t>
      </w:r>
    </w:p>
    <w:p w14:paraId="7ABC5CD9" w14:textId="3834B564" w:rsidR="00993C9F" w:rsidRDefault="00993C9F" w:rsidP="00071199">
      <w:pPr>
        <w:widowControl w:val="0"/>
        <w:jc w:val="center"/>
        <w:rPr>
          <w:rFonts w:ascii="Arial Narrow" w:hAnsi="Arial Narrow"/>
          <w:b/>
          <w:bCs/>
          <w:lang w:eastAsia="en-US"/>
        </w:rPr>
      </w:pPr>
      <w:r>
        <w:rPr>
          <w:rFonts w:ascii="Arial Narrow" w:hAnsi="Arial Narrow"/>
          <w:b/>
          <w:bCs/>
          <w:lang w:eastAsia="en-US"/>
        </w:rPr>
        <w:t xml:space="preserve">Circular 147-2021  </w:t>
      </w:r>
      <w:r w:rsidRPr="00CC279A">
        <w:rPr>
          <w:rFonts w:ascii="Arial Narrow" w:hAnsi="Arial Narrow"/>
          <w:b/>
          <w:bCs/>
          <w:lang w:eastAsia="en-US"/>
        </w:rPr>
        <w:t>Informe relacionado con la “Evaluación de los Planes Anuales Operativos 2020</w:t>
      </w:r>
      <w:r w:rsidR="00C036E1">
        <w:rPr>
          <w:rFonts w:ascii="Arial Narrow" w:hAnsi="Arial Narrow"/>
          <w:b/>
          <w:bCs/>
          <w:lang w:eastAsia="en-US"/>
        </w:rPr>
        <w:t>”</w:t>
      </w:r>
    </w:p>
    <w:p w14:paraId="418441CB" w14:textId="77777777" w:rsidR="00993C9F" w:rsidRPr="00CC279A" w:rsidRDefault="00993C9F" w:rsidP="00CC279A">
      <w:pPr>
        <w:widowControl w:val="0"/>
        <w:jc w:val="center"/>
        <w:rPr>
          <w:rFonts w:ascii="Arial Narrow" w:hAnsi="Arial Narrow"/>
          <w:b/>
          <w:bCs/>
          <w:lang w:eastAsia="en-US"/>
        </w:rPr>
      </w:pPr>
    </w:p>
    <w:bookmarkStart w:id="426" w:name="_MON_1693999876"/>
    <w:bookmarkEnd w:id="426"/>
    <w:p w14:paraId="3CC16F19" w14:textId="3C13BDD3" w:rsidR="00DA143C" w:rsidRDefault="00993C9F" w:rsidP="00CC279A">
      <w:pPr>
        <w:widowControl w:val="0"/>
        <w:spacing w:line="276" w:lineRule="auto"/>
        <w:jc w:val="center"/>
        <w:rPr>
          <w:rFonts w:ascii="Arial Narrow" w:hAnsi="Arial Narrow" w:cs="Arial"/>
        </w:rPr>
      </w:pPr>
      <w:r>
        <w:rPr>
          <w:rFonts w:ascii="Arial Narrow" w:hAnsi="Arial Narrow" w:cs="Arial"/>
        </w:rPr>
        <w:object w:dxaOrig="1538" w:dyaOrig="994" w14:anchorId="5DD54C09">
          <v:shape id="_x0000_i1055" type="#_x0000_t75" style="width:77.25pt;height:51.7pt" o:ole="">
            <v:imagedata r:id="rId224" o:title=""/>
          </v:shape>
          <o:OLEObject Type="Embed" ProgID="Word.Document.12" ShapeID="_x0000_i1055" DrawAspect="Icon" ObjectID="_1696768474" r:id="rId225">
            <o:FieldCodes>\s</o:FieldCodes>
          </o:OLEObject>
        </w:object>
      </w:r>
    </w:p>
    <w:p w14:paraId="5C662E88" w14:textId="5713F0F2" w:rsidR="00A51396" w:rsidRDefault="00A51396" w:rsidP="00CC279A">
      <w:pPr>
        <w:widowControl w:val="0"/>
        <w:spacing w:line="276" w:lineRule="auto"/>
        <w:jc w:val="center"/>
        <w:rPr>
          <w:rFonts w:ascii="Arial Narrow" w:hAnsi="Arial Narrow" w:cs="Arial"/>
        </w:rPr>
      </w:pPr>
    </w:p>
    <w:p w14:paraId="330F5014" w14:textId="1CFD60BF" w:rsidR="00A51396" w:rsidRDefault="00A51396" w:rsidP="00CC279A">
      <w:pPr>
        <w:widowControl w:val="0"/>
        <w:spacing w:line="276" w:lineRule="auto"/>
        <w:jc w:val="center"/>
        <w:rPr>
          <w:rFonts w:ascii="Arial Narrow" w:hAnsi="Arial Narrow" w:cs="Arial"/>
        </w:rPr>
      </w:pPr>
    </w:p>
    <w:p w14:paraId="3F7550C2" w14:textId="12A8065C" w:rsidR="00A51396" w:rsidRDefault="00A51396" w:rsidP="00CC279A">
      <w:pPr>
        <w:widowControl w:val="0"/>
        <w:spacing w:line="276" w:lineRule="auto"/>
        <w:jc w:val="center"/>
        <w:rPr>
          <w:rFonts w:ascii="Arial Narrow" w:hAnsi="Arial Narrow" w:cs="Arial"/>
        </w:rPr>
      </w:pPr>
    </w:p>
    <w:p w14:paraId="5308AFC4" w14:textId="0F4BE2D3" w:rsidR="00A51396" w:rsidRDefault="00A51396" w:rsidP="00CC279A">
      <w:pPr>
        <w:widowControl w:val="0"/>
        <w:spacing w:line="276" w:lineRule="auto"/>
        <w:jc w:val="center"/>
        <w:rPr>
          <w:rFonts w:ascii="Arial Narrow" w:hAnsi="Arial Narrow" w:cs="Arial"/>
        </w:rPr>
      </w:pPr>
    </w:p>
    <w:p w14:paraId="6D496C5A" w14:textId="34CE9F46" w:rsidR="00A51396" w:rsidRDefault="00A51396" w:rsidP="00CC279A">
      <w:pPr>
        <w:widowControl w:val="0"/>
        <w:spacing w:line="276" w:lineRule="auto"/>
        <w:jc w:val="center"/>
        <w:rPr>
          <w:rFonts w:ascii="Arial Narrow" w:hAnsi="Arial Narrow" w:cs="Arial"/>
        </w:rPr>
      </w:pPr>
    </w:p>
    <w:p w14:paraId="75C10D87" w14:textId="0A30F0BA" w:rsidR="00A51396" w:rsidRDefault="00A51396" w:rsidP="00CC279A">
      <w:pPr>
        <w:widowControl w:val="0"/>
        <w:spacing w:line="276" w:lineRule="auto"/>
        <w:jc w:val="center"/>
        <w:rPr>
          <w:rFonts w:ascii="Arial Narrow" w:hAnsi="Arial Narrow" w:cs="Arial"/>
        </w:rPr>
      </w:pPr>
    </w:p>
    <w:tbl>
      <w:tblPr>
        <w:tblW w:w="5157"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854"/>
        <w:gridCol w:w="4323"/>
        <w:gridCol w:w="3315"/>
      </w:tblGrid>
      <w:tr w:rsidR="00A51396" w14:paraId="73E203FA" w14:textId="77777777" w:rsidTr="00DC7249">
        <w:trPr>
          <w:trHeight w:val="332"/>
          <w:jc w:val="center"/>
        </w:trPr>
        <w:tc>
          <w:tcPr>
            <w:tcW w:w="977" w:type="pct"/>
            <w:tcBorders>
              <w:top w:val="single" w:sz="4" w:space="0" w:color="FFFFFF"/>
              <w:left w:val="single" w:sz="4" w:space="0" w:color="FFFFFF"/>
              <w:bottom w:val="single" w:sz="4" w:space="0" w:color="000000"/>
              <w:right w:val="single" w:sz="4" w:space="0" w:color="000000"/>
            </w:tcBorders>
          </w:tcPr>
          <w:p w14:paraId="59B335BD" w14:textId="77777777" w:rsidR="00A51396" w:rsidRDefault="00A51396">
            <w:pPr>
              <w:jc w:val="both"/>
              <w:rPr>
                <w:rFonts w:ascii="Book Antiqua" w:hAnsi="Book Antiqua" w:cs="Arial"/>
                <w:b/>
                <w:sz w:val="22"/>
                <w:lang w:val="es-CR" w:eastAsia="en-US"/>
              </w:rPr>
            </w:pPr>
          </w:p>
        </w:tc>
        <w:tc>
          <w:tcPr>
            <w:tcW w:w="2277" w:type="pct"/>
            <w:tcBorders>
              <w:top w:val="single" w:sz="4" w:space="0" w:color="000000"/>
              <w:left w:val="single" w:sz="4" w:space="0" w:color="000000"/>
              <w:bottom w:val="single" w:sz="4" w:space="0" w:color="000000"/>
              <w:right w:val="single" w:sz="4" w:space="0" w:color="000000"/>
            </w:tcBorders>
            <w:shd w:val="clear" w:color="auto" w:fill="1F497D"/>
            <w:vAlign w:val="center"/>
            <w:hideMark/>
          </w:tcPr>
          <w:p w14:paraId="4B218254" w14:textId="77777777" w:rsidR="00A51396" w:rsidRDefault="00A51396">
            <w:pPr>
              <w:jc w:val="both"/>
              <w:rPr>
                <w:rFonts w:ascii="Book Antiqua" w:hAnsi="Book Antiqua" w:cs="Arial"/>
                <w:b/>
                <w:color w:val="FFFFFF"/>
              </w:rPr>
            </w:pPr>
            <w:r>
              <w:rPr>
                <w:rFonts w:ascii="Book Antiqua" w:hAnsi="Book Antiqua" w:cs="Arial"/>
                <w:b/>
                <w:color w:val="FFFFFF"/>
              </w:rPr>
              <w:t>NOMBRE</w:t>
            </w:r>
          </w:p>
        </w:tc>
        <w:tc>
          <w:tcPr>
            <w:tcW w:w="1746" w:type="pct"/>
            <w:tcBorders>
              <w:top w:val="single" w:sz="4" w:space="0" w:color="000000"/>
              <w:left w:val="single" w:sz="4" w:space="0" w:color="000000"/>
              <w:bottom w:val="single" w:sz="4" w:space="0" w:color="000000"/>
              <w:right w:val="single" w:sz="4" w:space="0" w:color="000000"/>
            </w:tcBorders>
            <w:shd w:val="clear" w:color="auto" w:fill="1F497D"/>
            <w:vAlign w:val="center"/>
            <w:hideMark/>
          </w:tcPr>
          <w:p w14:paraId="5F91B538" w14:textId="77777777" w:rsidR="00A51396" w:rsidRDefault="00A51396">
            <w:pPr>
              <w:jc w:val="both"/>
              <w:rPr>
                <w:rFonts w:ascii="Book Antiqua" w:hAnsi="Book Antiqua" w:cs="Arial"/>
                <w:b/>
                <w:color w:val="FFFFFF"/>
              </w:rPr>
            </w:pPr>
            <w:r>
              <w:rPr>
                <w:rFonts w:ascii="Book Antiqua" w:hAnsi="Book Antiqua" w:cs="Arial"/>
                <w:b/>
                <w:color w:val="FFFFFF"/>
              </w:rPr>
              <w:t>Puesto</w:t>
            </w:r>
          </w:p>
        </w:tc>
      </w:tr>
      <w:tr w:rsidR="00A51396" w14:paraId="13A43878" w14:textId="77777777" w:rsidTr="00DC7249">
        <w:trPr>
          <w:trHeight w:val="632"/>
          <w:jc w:val="center"/>
        </w:trPr>
        <w:tc>
          <w:tcPr>
            <w:tcW w:w="977" w:type="pct"/>
            <w:tcBorders>
              <w:top w:val="single" w:sz="4" w:space="0" w:color="000000"/>
              <w:left w:val="single" w:sz="4" w:space="0" w:color="000000"/>
              <w:bottom w:val="single" w:sz="4" w:space="0" w:color="000000"/>
              <w:right w:val="single" w:sz="4" w:space="0" w:color="000000"/>
            </w:tcBorders>
            <w:shd w:val="clear" w:color="auto" w:fill="F2F2F2"/>
            <w:vAlign w:val="center"/>
            <w:hideMark/>
          </w:tcPr>
          <w:p w14:paraId="40BF7778" w14:textId="77777777" w:rsidR="00A51396" w:rsidRDefault="00A51396">
            <w:pPr>
              <w:jc w:val="both"/>
              <w:rPr>
                <w:rFonts w:ascii="Book Antiqua" w:hAnsi="Book Antiqua" w:cs="Arial"/>
                <w:b/>
                <w:color w:val="000000"/>
                <w:lang w:eastAsia="es-CR"/>
              </w:rPr>
            </w:pPr>
            <w:r>
              <w:rPr>
                <w:rFonts w:ascii="Book Antiqua" w:hAnsi="Book Antiqua" w:cs="Arial"/>
                <w:b/>
                <w:color w:val="000000"/>
                <w:lang w:eastAsia="es-CR"/>
              </w:rPr>
              <w:t>Elaborado por:</w:t>
            </w:r>
          </w:p>
        </w:tc>
        <w:tc>
          <w:tcPr>
            <w:tcW w:w="2277" w:type="pct"/>
            <w:tcBorders>
              <w:top w:val="single" w:sz="4" w:space="0" w:color="000000"/>
              <w:left w:val="single" w:sz="4" w:space="0" w:color="000000"/>
              <w:bottom w:val="single" w:sz="4" w:space="0" w:color="000000"/>
              <w:right w:val="single" w:sz="4" w:space="0" w:color="000000"/>
            </w:tcBorders>
            <w:vAlign w:val="center"/>
            <w:hideMark/>
          </w:tcPr>
          <w:p w14:paraId="0E508372" w14:textId="41CF624A" w:rsidR="00DC7249" w:rsidRDefault="00A07446">
            <w:pPr>
              <w:jc w:val="both"/>
              <w:rPr>
                <w:rFonts w:ascii="Book Antiqua" w:hAnsi="Book Antiqua" w:cs="Arial"/>
              </w:rPr>
            </w:pPr>
            <w:r>
              <w:rPr>
                <w:rFonts w:ascii="Book Antiqua" w:hAnsi="Book Antiqua" w:cs="Arial"/>
              </w:rPr>
              <w:t>Licda. Karla Calvo Jiménez</w:t>
            </w:r>
            <w:r w:rsidR="00DC7249">
              <w:rPr>
                <w:rFonts w:ascii="Book Antiqua" w:hAnsi="Book Antiqua" w:cs="Arial"/>
              </w:rPr>
              <w:t xml:space="preserve"> </w:t>
            </w:r>
          </w:p>
          <w:p w14:paraId="0C5714EF" w14:textId="72750512" w:rsidR="00A51396" w:rsidRDefault="00DC7249">
            <w:pPr>
              <w:jc w:val="both"/>
              <w:rPr>
                <w:rFonts w:ascii="Book Antiqua" w:hAnsi="Book Antiqua" w:cs="Arial"/>
                <w:lang w:eastAsia="en-US"/>
              </w:rPr>
            </w:pPr>
            <w:r>
              <w:rPr>
                <w:rFonts w:ascii="Book Antiqua" w:hAnsi="Book Antiqua" w:cs="Arial"/>
              </w:rPr>
              <w:t>Licda. Melissa Mesén Trejos</w:t>
            </w:r>
          </w:p>
        </w:tc>
        <w:tc>
          <w:tcPr>
            <w:tcW w:w="1746" w:type="pct"/>
            <w:tcBorders>
              <w:top w:val="single" w:sz="4" w:space="0" w:color="000000"/>
              <w:left w:val="single" w:sz="4" w:space="0" w:color="000000"/>
              <w:bottom w:val="single" w:sz="4" w:space="0" w:color="000000"/>
              <w:right w:val="single" w:sz="4" w:space="0" w:color="000000"/>
            </w:tcBorders>
            <w:vAlign w:val="center"/>
            <w:hideMark/>
          </w:tcPr>
          <w:p w14:paraId="1A3B1E16" w14:textId="77777777" w:rsidR="00DC7249" w:rsidRDefault="00A51396">
            <w:pPr>
              <w:jc w:val="both"/>
              <w:rPr>
                <w:rFonts w:ascii="Book Antiqua" w:hAnsi="Book Antiqua" w:cs="Arial"/>
              </w:rPr>
            </w:pPr>
            <w:r>
              <w:rPr>
                <w:rFonts w:ascii="Book Antiqua" w:hAnsi="Book Antiqua" w:cs="Arial"/>
              </w:rPr>
              <w:t>Profesional 2</w:t>
            </w:r>
            <w:r w:rsidR="00DC7249">
              <w:rPr>
                <w:rFonts w:ascii="Book Antiqua" w:hAnsi="Book Antiqua" w:cs="Arial"/>
              </w:rPr>
              <w:t xml:space="preserve"> </w:t>
            </w:r>
          </w:p>
          <w:p w14:paraId="03CABC3E" w14:textId="21A6E20F" w:rsidR="00A51396" w:rsidRDefault="00DC7249">
            <w:pPr>
              <w:jc w:val="both"/>
              <w:rPr>
                <w:rFonts w:ascii="Book Antiqua" w:hAnsi="Book Antiqua" w:cs="Arial"/>
              </w:rPr>
            </w:pPr>
            <w:r>
              <w:rPr>
                <w:rFonts w:ascii="Book Antiqua" w:hAnsi="Book Antiqua" w:cs="Arial"/>
              </w:rPr>
              <w:t>Coordinador de Unidad</w:t>
            </w:r>
          </w:p>
        </w:tc>
      </w:tr>
      <w:tr w:rsidR="00A51396" w14:paraId="45B1C440" w14:textId="77777777" w:rsidTr="00DC7249">
        <w:trPr>
          <w:trHeight w:val="632"/>
          <w:jc w:val="center"/>
        </w:trPr>
        <w:tc>
          <w:tcPr>
            <w:tcW w:w="977" w:type="pct"/>
            <w:tcBorders>
              <w:top w:val="single" w:sz="4" w:space="0" w:color="000000"/>
              <w:left w:val="single" w:sz="4" w:space="0" w:color="000000"/>
              <w:bottom w:val="single" w:sz="4" w:space="0" w:color="000000"/>
              <w:right w:val="single" w:sz="4" w:space="0" w:color="000000"/>
            </w:tcBorders>
            <w:shd w:val="clear" w:color="auto" w:fill="F2F2F2"/>
            <w:vAlign w:val="center"/>
            <w:hideMark/>
          </w:tcPr>
          <w:p w14:paraId="51590EA3" w14:textId="77777777" w:rsidR="00A51396" w:rsidRDefault="00A51396">
            <w:pPr>
              <w:jc w:val="both"/>
              <w:rPr>
                <w:rFonts w:ascii="Book Antiqua" w:hAnsi="Book Antiqua" w:cs="Arial"/>
                <w:b/>
                <w:color w:val="000000"/>
                <w:lang w:eastAsia="es-CR"/>
              </w:rPr>
            </w:pPr>
            <w:r>
              <w:rPr>
                <w:rFonts w:ascii="Book Antiqua" w:hAnsi="Book Antiqua" w:cs="Arial"/>
                <w:b/>
                <w:color w:val="000000"/>
                <w:lang w:eastAsia="es-CR"/>
              </w:rPr>
              <w:t>Aprobado por:</w:t>
            </w:r>
          </w:p>
        </w:tc>
        <w:tc>
          <w:tcPr>
            <w:tcW w:w="2277" w:type="pct"/>
            <w:tcBorders>
              <w:top w:val="single" w:sz="4" w:space="0" w:color="000000"/>
              <w:left w:val="single" w:sz="4" w:space="0" w:color="000000"/>
              <w:bottom w:val="single" w:sz="4" w:space="0" w:color="000000"/>
              <w:right w:val="single" w:sz="4" w:space="0" w:color="000000"/>
            </w:tcBorders>
            <w:vAlign w:val="center"/>
            <w:hideMark/>
          </w:tcPr>
          <w:p w14:paraId="60937208" w14:textId="5B7ACDFB" w:rsidR="00A51396" w:rsidRDefault="00AA745A">
            <w:pPr>
              <w:jc w:val="both"/>
              <w:rPr>
                <w:rFonts w:ascii="Book Antiqua" w:hAnsi="Book Antiqua" w:cs="Arial"/>
                <w:color w:val="000000"/>
                <w:lang w:eastAsia="es-CR"/>
              </w:rPr>
            </w:pPr>
            <w:r>
              <w:rPr>
                <w:rFonts w:ascii="Book Antiqua" w:hAnsi="Book Antiqua" w:cs="Arial"/>
                <w:color w:val="000000"/>
                <w:lang w:eastAsia="es-CR"/>
              </w:rPr>
              <w:t xml:space="preserve"> </w:t>
            </w:r>
            <w:r w:rsidR="00A07446">
              <w:rPr>
                <w:rFonts w:ascii="Book Antiqua" w:hAnsi="Book Antiqua" w:cs="Arial"/>
                <w:color w:val="000000"/>
                <w:lang w:eastAsia="es-CR"/>
              </w:rPr>
              <w:t>Inga. Elena Gabriela Picado González</w:t>
            </w:r>
          </w:p>
        </w:tc>
        <w:tc>
          <w:tcPr>
            <w:tcW w:w="1746" w:type="pct"/>
            <w:tcBorders>
              <w:top w:val="single" w:sz="4" w:space="0" w:color="000000"/>
              <w:left w:val="single" w:sz="4" w:space="0" w:color="000000"/>
              <w:bottom w:val="single" w:sz="4" w:space="0" w:color="000000"/>
              <w:right w:val="single" w:sz="4" w:space="0" w:color="000000"/>
            </w:tcBorders>
            <w:vAlign w:val="center"/>
            <w:hideMark/>
          </w:tcPr>
          <w:p w14:paraId="138A8F8D" w14:textId="7D8895D5" w:rsidR="00A51396" w:rsidRDefault="00AA745A">
            <w:pPr>
              <w:jc w:val="both"/>
              <w:rPr>
                <w:rFonts w:ascii="Book Antiqua" w:hAnsi="Book Antiqua" w:cs="Arial"/>
                <w:color w:val="000000"/>
                <w:highlight w:val="lightGray"/>
                <w:lang w:eastAsia="es-CR"/>
              </w:rPr>
            </w:pPr>
            <w:r>
              <w:rPr>
                <w:rFonts w:ascii="Book Antiqua" w:hAnsi="Book Antiqua" w:cs="Arial"/>
                <w:color w:val="000000"/>
                <w:lang w:eastAsia="es-CR"/>
              </w:rPr>
              <w:t>Jefe Subproceso Evaluación</w:t>
            </w:r>
          </w:p>
        </w:tc>
      </w:tr>
      <w:tr w:rsidR="00A51396" w14:paraId="74CAAA02" w14:textId="77777777" w:rsidTr="00DC7249">
        <w:trPr>
          <w:trHeight w:val="510"/>
          <w:jc w:val="center"/>
        </w:trPr>
        <w:tc>
          <w:tcPr>
            <w:tcW w:w="977" w:type="pct"/>
            <w:tcBorders>
              <w:top w:val="single" w:sz="4" w:space="0" w:color="000000"/>
              <w:left w:val="single" w:sz="4" w:space="0" w:color="000000"/>
              <w:bottom w:val="single" w:sz="4" w:space="0" w:color="000000"/>
              <w:right w:val="single" w:sz="4" w:space="0" w:color="000000"/>
            </w:tcBorders>
            <w:shd w:val="clear" w:color="auto" w:fill="F2F2F2"/>
            <w:vAlign w:val="center"/>
            <w:hideMark/>
          </w:tcPr>
          <w:p w14:paraId="4FC2B5A6" w14:textId="77777777" w:rsidR="00A51396" w:rsidRDefault="00A51396">
            <w:pPr>
              <w:jc w:val="both"/>
              <w:rPr>
                <w:rFonts w:ascii="Book Antiqua" w:hAnsi="Book Antiqua" w:cs="Arial"/>
                <w:b/>
                <w:color w:val="000000"/>
                <w:lang w:eastAsia="es-CR"/>
              </w:rPr>
            </w:pPr>
            <w:r>
              <w:rPr>
                <w:rFonts w:ascii="Book Antiqua" w:hAnsi="Book Antiqua" w:cs="Arial"/>
                <w:b/>
                <w:color w:val="000000"/>
                <w:lang w:eastAsia="es-CR"/>
              </w:rPr>
              <w:t>Visto Bueno</w:t>
            </w:r>
          </w:p>
        </w:tc>
        <w:tc>
          <w:tcPr>
            <w:tcW w:w="2277" w:type="pct"/>
            <w:tcBorders>
              <w:top w:val="single" w:sz="4" w:space="0" w:color="000000"/>
              <w:left w:val="single" w:sz="4" w:space="0" w:color="000000"/>
              <w:bottom w:val="single" w:sz="4" w:space="0" w:color="000000"/>
              <w:right w:val="single" w:sz="4" w:space="0" w:color="000000"/>
            </w:tcBorders>
            <w:vAlign w:val="center"/>
            <w:hideMark/>
          </w:tcPr>
          <w:p w14:paraId="7BBF7871" w14:textId="4335448C" w:rsidR="00A51396" w:rsidRDefault="00AA745A">
            <w:pPr>
              <w:jc w:val="both"/>
              <w:rPr>
                <w:rFonts w:ascii="Book Antiqua" w:hAnsi="Book Antiqua" w:cs="Arial"/>
                <w:lang w:eastAsia="es-CR"/>
              </w:rPr>
            </w:pPr>
            <w:r>
              <w:rPr>
                <w:rFonts w:ascii="Book Antiqua" w:hAnsi="Book Antiqua"/>
                <w:lang w:eastAsia="es-CR"/>
              </w:rPr>
              <w:t xml:space="preserve"> </w:t>
            </w:r>
            <w:r w:rsidR="00A07446">
              <w:rPr>
                <w:rFonts w:ascii="Book Antiqua" w:hAnsi="Book Antiqua"/>
                <w:lang w:eastAsia="es-CR"/>
              </w:rPr>
              <w:t xml:space="preserve">Máster Erick </w:t>
            </w:r>
            <w:r w:rsidR="00DC7249">
              <w:rPr>
                <w:rFonts w:ascii="Book Antiqua" w:hAnsi="Book Antiqua"/>
                <w:lang w:eastAsia="es-CR"/>
              </w:rPr>
              <w:t xml:space="preserve">Antonio </w:t>
            </w:r>
            <w:r w:rsidR="00A07446">
              <w:rPr>
                <w:rFonts w:ascii="Book Antiqua" w:hAnsi="Book Antiqua"/>
                <w:lang w:eastAsia="es-CR"/>
              </w:rPr>
              <w:t>Mora Leiva</w:t>
            </w:r>
          </w:p>
        </w:tc>
        <w:tc>
          <w:tcPr>
            <w:tcW w:w="1746" w:type="pct"/>
            <w:tcBorders>
              <w:top w:val="single" w:sz="4" w:space="0" w:color="000000"/>
              <w:left w:val="single" w:sz="4" w:space="0" w:color="000000"/>
              <w:bottom w:val="single" w:sz="4" w:space="0" w:color="000000"/>
              <w:right w:val="single" w:sz="4" w:space="0" w:color="000000"/>
            </w:tcBorders>
            <w:vAlign w:val="center"/>
            <w:hideMark/>
          </w:tcPr>
          <w:p w14:paraId="233A84C1" w14:textId="015E4138" w:rsidR="00E00FD7" w:rsidRPr="00E00FD7" w:rsidRDefault="00A51396" w:rsidP="00E00FD7">
            <w:pPr>
              <w:rPr>
                <w:rFonts w:ascii="Book Antiqua" w:hAnsi="Book Antiqua" w:cs="Arial"/>
                <w:lang w:eastAsia="es-CR"/>
              </w:rPr>
            </w:pPr>
            <w:r>
              <w:rPr>
                <w:rFonts w:ascii="Book Antiqua" w:hAnsi="Book Antiqua" w:cs="Arial"/>
                <w:lang w:eastAsia="es-CR"/>
              </w:rPr>
              <w:t>Jefe</w:t>
            </w:r>
            <w:r w:rsidR="00E00FD7" w:rsidRPr="00E00FD7">
              <w:rPr>
                <w:rFonts w:ascii="Book Antiqua" w:hAnsi="Book Antiqua" w:cs="Arial"/>
                <w:lang w:eastAsia="es-CR"/>
              </w:rPr>
              <w:t xml:space="preserve"> Proceso de Planeación y Evaluación</w:t>
            </w:r>
          </w:p>
          <w:p w14:paraId="7B7C90C4" w14:textId="1703A1AE" w:rsidR="00A51396" w:rsidRPr="00E00FD7" w:rsidRDefault="00A51396">
            <w:pPr>
              <w:jc w:val="both"/>
              <w:rPr>
                <w:rFonts w:ascii="Book Antiqua" w:hAnsi="Book Antiqua" w:cs="Arial"/>
                <w:lang w:eastAsia="es-CR"/>
              </w:rPr>
            </w:pPr>
          </w:p>
        </w:tc>
      </w:tr>
    </w:tbl>
    <w:p w14:paraId="70DD7F4C" w14:textId="631299E0" w:rsidR="00A51396" w:rsidRPr="000B4845" w:rsidRDefault="00A51396" w:rsidP="00A07446">
      <w:pPr>
        <w:widowControl w:val="0"/>
        <w:spacing w:line="276" w:lineRule="auto"/>
        <w:jc w:val="center"/>
        <w:rPr>
          <w:rFonts w:ascii="Arial Narrow" w:hAnsi="Arial Narrow" w:cs="Arial"/>
        </w:rPr>
      </w:pPr>
    </w:p>
    <w:sectPr w:rsidR="00A51396" w:rsidRPr="000B4845" w:rsidSect="00EA4FFC">
      <w:pgSz w:w="12242" w:h="15842" w:code="1"/>
      <w:pgMar w:top="719" w:right="1469" w:bottom="719" w:left="156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B00B786" w14:textId="77777777" w:rsidR="00113B68" w:rsidRDefault="00113B68" w:rsidP="00067C87">
      <w:r>
        <w:separator/>
      </w:r>
    </w:p>
  </w:endnote>
  <w:endnote w:type="continuationSeparator" w:id="0">
    <w:p w14:paraId="6ECAD167" w14:textId="77777777" w:rsidR="00113B68" w:rsidRDefault="00113B68" w:rsidP="00067C87">
      <w:r>
        <w:continuationSeparator/>
      </w:r>
    </w:p>
  </w:endnote>
  <w:endnote w:type="continuationNotice" w:id="1">
    <w:p w14:paraId="54953C0F" w14:textId="77777777" w:rsidR="00113B68" w:rsidRDefault="00113B68"/>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Arial Narrow">
    <w:panose1 w:val="020B0606020202030204"/>
    <w:charset w:val="00"/>
    <w:family w:val="swiss"/>
    <w:pitch w:val="variable"/>
    <w:sig w:usb0="00000287" w:usb1="00000800" w:usb2="00000000" w:usb3="00000000" w:csb0="0000009F" w:csb1="00000000"/>
  </w:font>
  <w:font w:name="Batang">
    <w:altName w:val="바탕"/>
    <w:panose1 w:val="02030600000101010101"/>
    <w:charset w:val="81"/>
    <w:family w:val="roman"/>
    <w:pitch w:val="variable"/>
    <w:sig w:usb0="B00002AF" w:usb1="69D77CFB" w:usb2="00000030" w:usb3="00000000" w:csb0="0008009F" w:csb1="00000000"/>
  </w:font>
  <w:font w:name="Verdana">
    <w:panose1 w:val="020B0604030504040204"/>
    <w:charset w:val="00"/>
    <w:family w:val="swiss"/>
    <w:pitch w:val="variable"/>
    <w:sig w:usb0="A00006FF" w:usb1="4000205B" w:usb2="00000010" w:usb3="00000000" w:csb0="0000019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 w:name="Liberation Serif">
    <w:panose1 w:val="02020603050405020304"/>
    <w:charset w:val="00"/>
    <w:family w:val="roman"/>
    <w:pitch w:val="variable"/>
    <w:sig w:usb0="E0000AFF" w:usb1="500078FF" w:usb2="00000021" w:usb3="00000000" w:csb0="000001BF" w:csb1="00000000"/>
  </w:font>
  <w:font w:name="NSimSun">
    <w:panose1 w:val="02010609030101010101"/>
    <w:charset w:val="86"/>
    <w:family w:val="modern"/>
    <w:pitch w:val="fixed"/>
    <w:sig w:usb0="00000283" w:usb1="288F0000" w:usb2="00000016" w:usb3="00000000" w:csb0="00040001" w:csb1="00000000"/>
  </w:font>
  <w:font w:name="Lucida Sans">
    <w:panose1 w:val="020B0602030504020204"/>
    <w:charset w:val="00"/>
    <w:family w:val="swiss"/>
    <w:pitch w:val="variable"/>
    <w:sig w:usb0="00000003" w:usb1="00000000" w:usb2="00000000" w:usb3="00000000" w:csb0="00000001" w:csb1="00000000"/>
  </w:font>
  <w:font w:name="Webdings">
    <w:panose1 w:val="05030102010509060703"/>
    <w:charset w:val="02"/>
    <w:family w:val="roman"/>
    <w:pitch w:val="variable"/>
    <w:sig w:usb0="00000000" w:usb1="10000000" w:usb2="00000000" w:usb3="00000000" w:csb0="80000000" w:csb1="00000000"/>
  </w:font>
  <w:font w:name="Segoe UI">
    <w:panose1 w:val="020B0502040204020203"/>
    <w:charset w:val="00"/>
    <w:family w:val="swiss"/>
    <w:pitch w:val="variable"/>
    <w:sig w:usb0="E4002EFF" w:usb1="C000E47F" w:usb2="00000009" w:usb3="00000000" w:csb0="000001FF" w:csb1="00000000"/>
  </w:font>
  <w:font w:name="+mn-ea">
    <w:panose1 w:val="00000000000000000000"/>
    <w:charset w:val="00"/>
    <w:family w:val="roman"/>
    <w:notTrueType/>
    <w:pitch w:val="default"/>
  </w:font>
  <w:font w:name="+mn-cs">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E4D4606" w14:textId="77777777" w:rsidR="00113B68" w:rsidRDefault="00113B68" w:rsidP="0075408A">
    <w:pPr>
      <w:pStyle w:val="Piedepgina"/>
      <w:framePr w:wrap="around"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end"/>
    </w:r>
  </w:p>
  <w:p w14:paraId="6584312A" w14:textId="77777777" w:rsidR="00113B68" w:rsidRDefault="00113B68" w:rsidP="003F6BA5">
    <w:pPr>
      <w:pStyle w:val="Piedepgina"/>
      <w:ind w:right="360"/>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6DEBF36" w14:textId="434040F1" w:rsidR="00113B68" w:rsidRDefault="00113B68" w:rsidP="0075408A">
    <w:pPr>
      <w:pStyle w:val="Piedepgina"/>
      <w:framePr w:wrap="around"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separate"/>
    </w:r>
    <w:r w:rsidR="001A60A6">
      <w:rPr>
        <w:rStyle w:val="Nmerodepgina"/>
        <w:noProof/>
      </w:rPr>
      <w:t>1</w:t>
    </w:r>
    <w:r>
      <w:rPr>
        <w:rStyle w:val="Nmerodepgina"/>
      </w:rPr>
      <w:fldChar w:fldCharType="end"/>
    </w:r>
  </w:p>
  <w:p w14:paraId="4A5A3237" w14:textId="77777777" w:rsidR="00113B68" w:rsidRDefault="00113B68" w:rsidP="00AF696C">
    <w:pPr>
      <w:pBdr>
        <w:top w:val="single" w:sz="4" w:space="1" w:color="auto"/>
      </w:pBdr>
      <w:jc w:val="center"/>
      <w:rPr>
        <w:rFonts w:ascii="Book Antiqua" w:hAnsi="Book Antiqua"/>
        <w:b/>
        <w:bCs/>
        <w:color w:val="000000"/>
      </w:rPr>
    </w:pPr>
    <w:r w:rsidRPr="00AF696C">
      <w:rPr>
        <w:rFonts w:ascii="Book Antiqua" w:hAnsi="Book Antiqua"/>
        <w:b/>
        <w:bCs/>
        <w:color w:val="000000"/>
      </w:rPr>
      <w:t>Trabajamos por el desarrollo de la administración de justicia</w:t>
    </w:r>
  </w:p>
  <w:p w14:paraId="01453948" w14:textId="77777777" w:rsidR="00113B68" w:rsidRPr="00AF696C" w:rsidRDefault="00113B68" w:rsidP="00AF696C">
    <w:pPr>
      <w:pBdr>
        <w:top w:val="single" w:sz="4" w:space="1" w:color="auto"/>
      </w:pBdr>
      <w:jc w:val="center"/>
      <w:rPr>
        <w:rFonts w:ascii="Book Antiqua" w:hAnsi="Book Antiqua"/>
        <w:b/>
        <w:bCs/>
        <w:color w:val="000000"/>
      </w:rPr>
    </w:pPr>
    <w:r w:rsidRPr="00AF696C">
      <w:rPr>
        <w:rFonts w:ascii="Book Antiqua" w:hAnsi="Book Antiqua"/>
        <w:b/>
        <w:bCs/>
        <w:color w:val="000000"/>
      </w:rPr>
      <w:t>con proyección e innovación</w:t>
    </w:r>
  </w:p>
  <w:p w14:paraId="57B335B4" w14:textId="77777777" w:rsidR="00113B68" w:rsidRDefault="00113B68" w:rsidP="00AF696C">
    <w:pPr>
      <w:pStyle w:val="Piedepgina"/>
      <w:ind w:right="360"/>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9487F8A" w14:textId="77777777" w:rsidR="00113B68" w:rsidRDefault="00113B68">
    <w:pPr>
      <w:pStyle w:val="Piedepgina"/>
    </w:pP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810A6D2" w14:textId="77777777" w:rsidR="00113B68" w:rsidRDefault="00113B68" w:rsidP="0075408A">
    <w:pPr>
      <w:pStyle w:val="Piedepgina"/>
      <w:framePr w:wrap="around"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end"/>
    </w:r>
  </w:p>
  <w:p w14:paraId="11DC9EA2" w14:textId="77777777" w:rsidR="00113B68" w:rsidRDefault="00113B68" w:rsidP="003F6BA5">
    <w:pPr>
      <w:pStyle w:val="Piedepgina"/>
      <w:ind w:right="360"/>
    </w:pPr>
  </w:p>
</w:ftr>
</file>

<file path=word/footer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E655DF9" w14:textId="2D35409C" w:rsidR="00113B68" w:rsidRDefault="00113B68" w:rsidP="0075408A">
    <w:pPr>
      <w:pStyle w:val="Piedepgina"/>
      <w:framePr w:wrap="around"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separate"/>
    </w:r>
    <w:r w:rsidR="001A60A6">
      <w:rPr>
        <w:rStyle w:val="Nmerodepgina"/>
        <w:noProof/>
      </w:rPr>
      <w:t>113</w:t>
    </w:r>
    <w:r>
      <w:rPr>
        <w:rStyle w:val="Nmerodepgina"/>
      </w:rPr>
      <w:fldChar w:fldCharType="end"/>
    </w:r>
  </w:p>
  <w:p w14:paraId="71A9EB22" w14:textId="77777777" w:rsidR="00113B68" w:rsidRDefault="00113B68" w:rsidP="00AF696C">
    <w:pPr>
      <w:pBdr>
        <w:top w:val="single" w:sz="4" w:space="1" w:color="auto"/>
      </w:pBdr>
      <w:jc w:val="center"/>
      <w:rPr>
        <w:rFonts w:ascii="Book Antiqua" w:hAnsi="Book Antiqua"/>
        <w:b/>
        <w:bCs/>
        <w:color w:val="000000"/>
      </w:rPr>
    </w:pPr>
    <w:r w:rsidRPr="00AF696C">
      <w:rPr>
        <w:rFonts w:ascii="Book Antiqua" w:hAnsi="Book Antiqua"/>
        <w:b/>
        <w:bCs/>
        <w:color w:val="000000"/>
      </w:rPr>
      <w:t>Trabajamos por el desarrollo de la administración de justicia</w:t>
    </w:r>
  </w:p>
  <w:p w14:paraId="77E5FFB8" w14:textId="01B52FFF" w:rsidR="00113B68" w:rsidRPr="00AF696C" w:rsidRDefault="00113B68" w:rsidP="00AF696C">
    <w:pPr>
      <w:pBdr>
        <w:top w:val="single" w:sz="4" w:space="1" w:color="auto"/>
      </w:pBdr>
      <w:jc w:val="center"/>
      <w:rPr>
        <w:rFonts w:ascii="Book Antiqua" w:hAnsi="Book Antiqua"/>
        <w:b/>
        <w:bCs/>
        <w:color w:val="000000"/>
      </w:rPr>
    </w:pPr>
    <w:r w:rsidRPr="00AF696C">
      <w:rPr>
        <w:rFonts w:ascii="Book Antiqua" w:hAnsi="Book Antiqua"/>
        <w:b/>
        <w:bCs/>
        <w:color w:val="000000"/>
      </w:rPr>
      <w:t>con proyección e innovación</w:t>
    </w:r>
  </w:p>
  <w:p w14:paraId="51D2E030" w14:textId="77777777" w:rsidR="00113B68" w:rsidRDefault="00113B68" w:rsidP="00AF696C">
    <w:pPr>
      <w:pStyle w:val="Piedepgina"/>
      <w:ind w:right="360"/>
    </w:pPr>
  </w:p>
</w:ftr>
</file>

<file path=word/footer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BCDA9E1" w14:textId="77777777" w:rsidR="00113B68" w:rsidRDefault="00113B68" w:rsidP="0075408A">
    <w:pPr>
      <w:pStyle w:val="Piedepgina"/>
      <w:framePr w:wrap="around"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end"/>
    </w:r>
  </w:p>
  <w:p w14:paraId="6BFAC45F" w14:textId="77777777" w:rsidR="00113B68" w:rsidRDefault="00113B68" w:rsidP="003F6BA5">
    <w:pPr>
      <w:pStyle w:val="Piedepgina"/>
      <w:ind w:right="360"/>
    </w:pPr>
  </w:p>
</w:ftr>
</file>

<file path=word/footer7.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60E4856" w14:textId="2DC03D00" w:rsidR="00113B68" w:rsidRDefault="00113B68" w:rsidP="0075408A">
    <w:pPr>
      <w:pStyle w:val="Piedepgina"/>
      <w:framePr w:wrap="around"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separate"/>
    </w:r>
    <w:r w:rsidR="001A60A6">
      <w:rPr>
        <w:rStyle w:val="Nmerodepgina"/>
        <w:noProof/>
      </w:rPr>
      <w:t>298</w:t>
    </w:r>
    <w:r>
      <w:rPr>
        <w:rStyle w:val="Nmerodepgina"/>
      </w:rPr>
      <w:fldChar w:fldCharType="end"/>
    </w:r>
  </w:p>
  <w:p w14:paraId="0CF9C4A4" w14:textId="77777777" w:rsidR="00113B68" w:rsidRDefault="00113B68" w:rsidP="00AF696C">
    <w:pPr>
      <w:pBdr>
        <w:top w:val="single" w:sz="4" w:space="1" w:color="auto"/>
      </w:pBdr>
      <w:jc w:val="center"/>
      <w:rPr>
        <w:rFonts w:ascii="Book Antiqua" w:hAnsi="Book Antiqua"/>
        <w:b/>
        <w:bCs/>
        <w:color w:val="000000"/>
      </w:rPr>
    </w:pPr>
    <w:r w:rsidRPr="00AF696C">
      <w:rPr>
        <w:rFonts w:ascii="Book Antiqua" w:hAnsi="Book Antiqua"/>
        <w:b/>
        <w:bCs/>
        <w:color w:val="000000"/>
      </w:rPr>
      <w:t>Trabajamos por el desarrollo de la administración de justicia</w:t>
    </w:r>
  </w:p>
  <w:p w14:paraId="64F9804C" w14:textId="77777777" w:rsidR="00113B68" w:rsidRPr="00AF696C" w:rsidRDefault="00113B68" w:rsidP="00AF696C">
    <w:pPr>
      <w:pBdr>
        <w:top w:val="single" w:sz="4" w:space="1" w:color="auto"/>
      </w:pBdr>
      <w:jc w:val="center"/>
      <w:rPr>
        <w:rFonts w:ascii="Book Antiqua" w:hAnsi="Book Antiqua"/>
        <w:b/>
        <w:bCs/>
        <w:color w:val="000000"/>
      </w:rPr>
    </w:pPr>
    <w:r w:rsidRPr="00AF696C">
      <w:rPr>
        <w:rFonts w:ascii="Book Antiqua" w:hAnsi="Book Antiqua"/>
        <w:b/>
        <w:bCs/>
        <w:color w:val="000000"/>
      </w:rPr>
      <w:t>con proyección e innovación</w:t>
    </w:r>
  </w:p>
  <w:p w14:paraId="52BBD0B4" w14:textId="77777777" w:rsidR="00113B68" w:rsidRDefault="00113B68" w:rsidP="00AF696C">
    <w:pPr>
      <w:pStyle w:val="Piedepgina"/>
      <w:ind w:right="360"/>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0458EE0" w14:textId="77777777" w:rsidR="00113B68" w:rsidRDefault="00113B68" w:rsidP="00067C87">
      <w:r>
        <w:separator/>
      </w:r>
    </w:p>
  </w:footnote>
  <w:footnote w:type="continuationSeparator" w:id="0">
    <w:p w14:paraId="7F4103ED" w14:textId="77777777" w:rsidR="00113B68" w:rsidRDefault="00113B68" w:rsidP="00067C87">
      <w:r>
        <w:continuationSeparator/>
      </w:r>
    </w:p>
  </w:footnote>
  <w:footnote w:type="continuationNotice" w:id="1">
    <w:p w14:paraId="576FD540" w14:textId="77777777" w:rsidR="00113B68" w:rsidRDefault="00113B68"/>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DAA22FE" w14:textId="72AC0A71" w:rsidR="00113B68" w:rsidRDefault="00113B68">
    <w:pPr>
      <w:pStyle w:val="Encabezado"/>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675D762" w14:textId="4D197814" w:rsidR="00113B68" w:rsidRPr="001D7A5E" w:rsidRDefault="00113B68" w:rsidP="001D7A5E">
    <w:pPr>
      <w:tabs>
        <w:tab w:val="center" w:pos="8804"/>
        <w:tab w:val="right" w:pos="8875"/>
      </w:tabs>
      <w:jc w:val="center"/>
      <w:rPr>
        <w:rFonts w:ascii="Book Antiqua" w:hAnsi="Book Antiqua" w:cs="Book Antiqua"/>
        <w:i/>
        <w:iCs/>
        <w:sz w:val="18"/>
        <w:szCs w:val="18"/>
      </w:rPr>
    </w:pPr>
    <w:r w:rsidRPr="001D7A5E">
      <w:rPr>
        <w:rFonts w:ascii="Book Antiqua" w:hAnsi="Book Antiqua" w:cs="Book Antiqua"/>
        <w:i/>
        <w:iCs/>
        <w:sz w:val="18"/>
        <w:szCs w:val="18"/>
      </w:rPr>
      <w:t>Dirección de Planificación</w:t>
    </w:r>
    <w:r>
      <w:rPr>
        <w:rFonts w:ascii="Times New Roman" w:hAnsi="Times New Roman"/>
        <w:noProof/>
        <w:lang w:val="es-CR" w:eastAsia="es-CR"/>
      </w:rPr>
      <w:drawing>
        <wp:inline distT="0" distB="0" distL="0" distR="0" wp14:anchorId="180DE90E" wp14:editId="68B26D4A">
          <wp:extent cx="314325" cy="409575"/>
          <wp:effectExtent l="0" t="0" r="9525" b="9525"/>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14325" cy="409575"/>
                  </a:xfrm>
                  <a:prstGeom prst="rect">
                    <a:avLst/>
                  </a:prstGeom>
                  <a:noFill/>
                  <a:ln>
                    <a:noFill/>
                  </a:ln>
                </pic:spPr>
              </pic:pic>
            </a:graphicData>
          </a:graphic>
        </wp:inline>
      </w:drawing>
    </w:r>
  </w:p>
  <w:p w14:paraId="61D49262" w14:textId="77777777" w:rsidR="00113B68" w:rsidRPr="001D7A5E" w:rsidRDefault="00113B68" w:rsidP="001D7A5E">
    <w:pPr>
      <w:tabs>
        <w:tab w:val="center" w:pos="4252"/>
        <w:tab w:val="right" w:pos="8875"/>
      </w:tabs>
      <w:jc w:val="center"/>
      <w:rPr>
        <w:rFonts w:ascii="Book Antiqua" w:hAnsi="Book Antiqua" w:cs="Book Antiqua"/>
        <w:i/>
        <w:iCs/>
        <w:sz w:val="18"/>
        <w:szCs w:val="18"/>
      </w:rPr>
    </w:pPr>
    <w:r w:rsidRPr="001D7A5E">
      <w:rPr>
        <w:rFonts w:ascii="Book Antiqua" w:hAnsi="Book Antiqua" w:cs="Book Antiqua"/>
        <w:i/>
        <w:iCs/>
        <w:sz w:val="18"/>
        <w:szCs w:val="18"/>
      </w:rPr>
      <w:t>San José - Costa Rica</w:t>
    </w:r>
  </w:p>
  <w:p w14:paraId="330093E4" w14:textId="77777777" w:rsidR="00113B68" w:rsidRPr="001D7A5E" w:rsidRDefault="00113B68" w:rsidP="001D7A5E">
    <w:pPr>
      <w:tabs>
        <w:tab w:val="center" w:pos="4252"/>
        <w:tab w:val="right" w:pos="8504"/>
      </w:tabs>
      <w:jc w:val="center"/>
      <w:rPr>
        <w:rFonts w:ascii="Times New Roman" w:hAnsi="Times New Roman"/>
        <w:sz w:val="20"/>
        <w:szCs w:val="20"/>
        <w:lang w:val="en-US"/>
      </w:rPr>
    </w:pPr>
    <w:r w:rsidRPr="001D7A5E">
      <w:rPr>
        <w:rFonts w:ascii="Book Antiqua" w:hAnsi="Book Antiqua" w:cs="Book Antiqua"/>
        <w:i/>
        <w:iCs/>
        <w:sz w:val="18"/>
        <w:szCs w:val="18"/>
        <w:lang w:val="en-US"/>
      </w:rPr>
      <w:t>Telf.   2295-3600 / 3599 / Apdo.  95-1003 / planificacion@poder-judicial.go.cr</w:t>
    </w:r>
  </w:p>
  <w:p w14:paraId="383666F3" w14:textId="77777777" w:rsidR="00113B68" w:rsidRPr="001D7A5E" w:rsidRDefault="00113B68" w:rsidP="001D7A5E">
    <w:pPr>
      <w:pBdr>
        <w:bottom w:val="single" w:sz="6" w:space="0" w:color="auto"/>
      </w:pBdr>
      <w:spacing w:after="20"/>
      <w:jc w:val="center"/>
      <w:rPr>
        <w:rFonts w:ascii="Times New Roman" w:hAnsi="Times New Roman"/>
        <w:sz w:val="20"/>
        <w:szCs w:val="20"/>
        <w:lang w:val="en-US"/>
      </w:rPr>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F62598C" w14:textId="702FBE7F" w:rsidR="00113B68" w:rsidRDefault="00113B68">
    <w:pPr>
      <w:pStyle w:val="Encabezado"/>
    </w:pPr>
  </w:p>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9AAB745" w14:textId="273B7A85" w:rsidR="00113B68" w:rsidRDefault="00113B68">
    <w:pPr>
      <w:pStyle w:val="Encabezado"/>
    </w:pPr>
  </w:p>
</w:hdr>
</file>

<file path=word/header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BF97CCE" w14:textId="2FD7FFA2" w:rsidR="00113B68" w:rsidRPr="001D7A5E" w:rsidRDefault="00113B68" w:rsidP="001D7A5E">
    <w:pPr>
      <w:tabs>
        <w:tab w:val="center" w:pos="8804"/>
        <w:tab w:val="right" w:pos="8875"/>
      </w:tabs>
      <w:jc w:val="center"/>
      <w:rPr>
        <w:rFonts w:ascii="Book Antiqua" w:hAnsi="Book Antiqua" w:cs="Book Antiqua"/>
        <w:i/>
        <w:iCs/>
        <w:sz w:val="18"/>
        <w:szCs w:val="18"/>
      </w:rPr>
    </w:pPr>
    <w:r w:rsidRPr="596C5A54">
      <w:rPr>
        <w:rFonts w:ascii="Book Antiqua" w:hAnsi="Book Antiqua" w:cs="Book Antiqua"/>
        <w:i/>
        <w:iCs/>
        <w:sz w:val="18"/>
        <w:szCs w:val="18"/>
      </w:rPr>
      <w:t>Dirección de Planificación</w:t>
    </w:r>
    <w:r>
      <w:rPr>
        <w:noProof/>
        <w:lang w:val="es-CR" w:eastAsia="es-CR"/>
      </w:rPr>
      <w:drawing>
        <wp:inline distT="0" distB="0" distL="0" distR="0" wp14:anchorId="53610494" wp14:editId="79CCD139">
          <wp:extent cx="314325" cy="409575"/>
          <wp:effectExtent l="0" t="0" r="9525" b="9525"/>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8"/>
                  <pic:cNvPicPr/>
                </pic:nvPicPr>
                <pic:blipFill>
                  <a:blip r:embed="rId1">
                    <a:extLst>
                      <a:ext uri="{28A0092B-C50C-407E-A947-70E740481C1C}">
                        <a14:useLocalDpi xmlns:a14="http://schemas.microsoft.com/office/drawing/2010/main" val="0"/>
                      </a:ext>
                    </a:extLst>
                  </a:blip>
                  <a:stretch>
                    <a:fillRect/>
                  </a:stretch>
                </pic:blipFill>
                <pic:spPr>
                  <a:xfrm>
                    <a:off x="0" y="0"/>
                    <a:ext cx="314325" cy="409575"/>
                  </a:xfrm>
                  <a:prstGeom prst="rect">
                    <a:avLst/>
                  </a:prstGeom>
                </pic:spPr>
              </pic:pic>
            </a:graphicData>
          </a:graphic>
        </wp:inline>
      </w:drawing>
    </w:r>
  </w:p>
  <w:p w14:paraId="3D35B8E9" w14:textId="482A5A61" w:rsidR="00113B68" w:rsidRPr="001D7A5E" w:rsidRDefault="00113B68" w:rsidP="001D7A5E">
    <w:pPr>
      <w:tabs>
        <w:tab w:val="center" w:pos="4252"/>
        <w:tab w:val="right" w:pos="8875"/>
      </w:tabs>
      <w:jc w:val="center"/>
      <w:rPr>
        <w:rFonts w:ascii="Book Antiqua" w:hAnsi="Book Antiqua" w:cs="Book Antiqua"/>
        <w:i/>
        <w:iCs/>
        <w:sz w:val="18"/>
        <w:szCs w:val="18"/>
      </w:rPr>
    </w:pPr>
    <w:r w:rsidRPr="001D7A5E">
      <w:rPr>
        <w:rFonts w:ascii="Book Antiqua" w:hAnsi="Book Antiqua" w:cs="Book Antiqua"/>
        <w:i/>
        <w:iCs/>
        <w:sz w:val="18"/>
        <w:szCs w:val="18"/>
      </w:rPr>
      <w:t>San José - Costa Rica</w:t>
    </w:r>
  </w:p>
  <w:p w14:paraId="5103A6D3" w14:textId="17BAF9B3" w:rsidR="00113B68" w:rsidRPr="001D7A5E" w:rsidRDefault="00113B68" w:rsidP="001D7A5E">
    <w:pPr>
      <w:tabs>
        <w:tab w:val="center" w:pos="4252"/>
        <w:tab w:val="right" w:pos="8504"/>
      </w:tabs>
      <w:jc w:val="center"/>
      <w:rPr>
        <w:rFonts w:ascii="Times New Roman" w:hAnsi="Times New Roman"/>
        <w:sz w:val="20"/>
        <w:szCs w:val="20"/>
        <w:lang w:val="en-US"/>
      </w:rPr>
    </w:pPr>
    <w:r w:rsidRPr="001D7A5E">
      <w:rPr>
        <w:rFonts w:ascii="Book Antiqua" w:hAnsi="Book Antiqua" w:cs="Book Antiqua"/>
        <w:i/>
        <w:iCs/>
        <w:sz w:val="18"/>
        <w:szCs w:val="18"/>
        <w:lang w:val="en-US"/>
      </w:rPr>
      <w:t>Telf.   2295-3600 / 3599 / Apdo.  95-1003 / planificacion@poder-judicial.go.cr</w:t>
    </w:r>
  </w:p>
  <w:p w14:paraId="1423C0E0" w14:textId="77777777" w:rsidR="00113B68" w:rsidRPr="001D7A5E" w:rsidRDefault="00113B68" w:rsidP="001D7A5E">
    <w:pPr>
      <w:pBdr>
        <w:bottom w:val="single" w:sz="6" w:space="0" w:color="auto"/>
      </w:pBdr>
      <w:spacing w:after="20"/>
      <w:jc w:val="center"/>
      <w:rPr>
        <w:rFonts w:ascii="Times New Roman" w:hAnsi="Times New Roman"/>
        <w:sz w:val="20"/>
        <w:szCs w:val="20"/>
        <w:lang w:val="en-US"/>
      </w:rPr>
    </w:pPr>
  </w:p>
</w:hdr>
</file>

<file path=word/header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0A3D86A" w14:textId="652067D0" w:rsidR="00113B68" w:rsidRDefault="00113B68">
    <w:pPr>
      <w:pStyle w:val="Encabezado"/>
    </w:pPr>
  </w:p>
</w:hdr>
</file>

<file path=word/header7.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A91C4A7" w14:textId="404A30FC" w:rsidR="00113B68" w:rsidRDefault="00113B68">
    <w:pPr>
      <w:pStyle w:val="Encabezado"/>
    </w:pPr>
  </w:p>
</w:hdr>
</file>

<file path=word/header8.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8F658F8" w14:textId="79461699" w:rsidR="00113B68" w:rsidRPr="001D7A5E" w:rsidRDefault="00113B68" w:rsidP="001D7A5E">
    <w:pPr>
      <w:tabs>
        <w:tab w:val="center" w:pos="8804"/>
        <w:tab w:val="right" w:pos="8875"/>
      </w:tabs>
      <w:jc w:val="center"/>
      <w:rPr>
        <w:rFonts w:ascii="Book Antiqua" w:hAnsi="Book Antiqua" w:cs="Book Antiqua"/>
        <w:i/>
        <w:iCs/>
        <w:sz w:val="18"/>
        <w:szCs w:val="18"/>
      </w:rPr>
    </w:pPr>
    <w:r w:rsidRPr="596C5A54">
      <w:rPr>
        <w:rFonts w:ascii="Book Antiqua" w:hAnsi="Book Antiqua" w:cs="Book Antiqua"/>
        <w:i/>
        <w:iCs/>
        <w:sz w:val="18"/>
        <w:szCs w:val="18"/>
      </w:rPr>
      <w:t>Dirección de Planificación</w:t>
    </w:r>
    <w:r>
      <w:rPr>
        <w:noProof/>
        <w:lang w:val="es-CR" w:eastAsia="es-CR"/>
      </w:rPr>
      <w:drawing>
        <wp:inline distT="0" distB="0" distL="0" distR="0" wp14:anchorId="32978112" wp14:editId="40ABC00A">
          <wp:extent cx="314325" cy="409575"/>
          <wp:effectExtent l="0" t="0" r="9525" b="9525"/>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1"/>
                  <pic:cNvPicPr/>
                </pic:nvPicPr>
                <pic:blipFill>
                  <a:blip r:embed="rId1">
                    <a:extLst>
                      <a:ext uri="{28A0092B-C50C-407E-A947-70E740481C1C}">
                        <a14:useLocalDpi xmlns:a14="http://schemas.microsoft.com/office/drawing/2010/main" val="0"/>
                      </a:ext>
                    </a:extLst>
                  </a:blip>
                  <a:stretch>
                    <a:fillRect/>
                  </a:stretch>
                </pic:blipFill>
                <pic:spPr>
                  <a:xfrm>
                    <a:off x="0" y="0"/>
                    <a:ext cx="314325" cy="409575"/>
                  </a:xfrm>
                  <a:prstGeom prst="rect">
                    <a:avLst/>
                  </a:prstGeom>
                </pic:spPr>
              </pic:pic>
            </a:graphicData>
          </a:graphic>
        </wp:inline>
      </w:drawing>
    </w:r>
  </w:p>
  <w:p w14:paraId="5DBFF50A" w14:textId="1FC64DEF" w:rsidR="00113B68" w:rsidRPr="001D7A5E" w:rsidRDefault="00113B68" w:rsidP="001D7A5E">
    <w:pPr>
      <w:tabs>
        <w:tab w:val="center" w:pos="4252"/>
        <w:tab w:val="right" w:pos="8875"/>
      </w:tabs>
      <w:jc w:val="center"/>
      <w:rPr>
        <w:rFonts w:ascii="Book Antiqua" w:hAnsi="Book Antiqua" w:cs="Book Antiqua"/>
        <w:i/>
        <w:iCs/>
        <w:sz w:val="18"/>
        <w:szCs w:val="18"/>
      </w:rPr>
    </w:pPr>
    <w:r w:rsidRPr="001D7A5E">
      <w:rPr>
        <w:rFonts w:ascii="Book Antiqua" w:hAnsi="Book Antiqua" w:cs="Book Antiqua"/>
        <w:i/>
        <w:iCs/>
        <w:sz w:val="18"/>
        <w:szCs w:val="18"/>
      </w:rPr>
      <w:t>San José - Costa Rica</w:t>
    </w:r>
  </w:p>
  <w:p w14:paraId="28285D65" w14:textId="7E290A21" w:rsidR="00113B68" w:rsidRPr="001D7A5E" w:rsidRDefault="00113B68" w:rsidP="001D7A5E">
    <w:pPr>
      <w:tabs>
        <w:tab w:val="center" w:pos="4252"/>
        <w:tab w:val="right" w:pos="8504"/>
      </w:tabs>
      <w:jc w:val="center"/>
      <w:rPr>
        <w:rFonts w:ascii="Times New Roman" w:hAnsi="Times New Roman"/>
        <w:sz w:val="20"/>
        <w:szCs w:val="20"/>
        <w:lang w:val="en-US"/>
      </w:rPr>
    </w:pPr>
    <w:r w:rsidRPr="001D7A5E">
      <w:rPr>
        <w:rFonts w:ascii="Book Antiqua" w:hAnsi="Book Antiqua" w:cs="Book Antiqua"/>
        <w:i/>
        <w:iCs/>
        <w:sz w:val="18"/>
        <w:szCs w:val="18"/>
        <w:lang w:val="en-US"/>
      </w:rPr>
      <w:t>Telf.   2295-3600 / 3599 / Apdo.  95-1003 / planificacion@poder-judicial.go.cr</w:t>
    </w:r>
  </w:p>
  <w:p w14:paraId="2F93C096" w14:textId="77777777" w:rsidR="00113B68" w:rsidRPr="001D7A5E" w:rsidRDefault="00113B68" w:rsidP="001D7A5E">
    <w:pPr>
      <w:pBdr>
        <w:bottom w:val="single" w:sz="6" w:space="0" w:color="auto"/>
      </w:pBdr>
      <w:spacing w:after="20"/>
      <w:jc w:val="center"/>
      <w:rPr>
        <w:rFonts w:ascii="Times New Roman" w:hAnsi="Times New Roman"/>
        <w:sz w:val="20"/>
        <w:szCs w:val="20"/>
        <w:lang w:val="en-US"/>
      </w:rPr>
    </w:pPr>
  </w:p>
</w:hdr>
</file>

<file path=word/header9.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ECA092D" w14:textId="0C76AFFD" w:rsidR="00113B68" w:rsidRDefault="00113B68">
    <w:pPr>
      <w:pStyle w:val="Encabezado"/>
    </w:pPr>
  </w:p>
</w:hdr>
</file>

<file path=word/intelligence.xml><?xml version="1.0" encoding="utf-8"?>
<int:Intelligence xmlns:int="http://schemas.microsoft.com/office/intelligence/2019/intelligence">
  <int:IntelligenceSettings/>
  <int:Manifest>
    <int:WordHash hashCode="ZTpWQAbj4H4Lxf" id="gvY8pS3t"/>
  </int:Manifest>
  <int:Observations>
    <int:Content id="gvY8pS3t">
      <int:Rejection type="LegacyProofing"/>
    </int:Content>
  </int:Observations>
</int:Intelligence>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1"/>
    <w:multiLevelType w:val="multilevel"/>
    <w:tmpl w:val="A464FD5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1" w15:restartNumberingAfterBreak="0">
    <w:nsid w:val="02C145AA"/>
    <w:multiLevelType w:val="hybridMultilevel"/>
    <w:tmpl w:val="BEF44FC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 w15:restartNumberingAfterBreak="0">
    <w:nsid w:val="05CE6C40"/>
    <w:multiLevelType w:val="hybridMultilevel"/>
    <w:tmpl w:val="79A08E68"/>
    <w:lvl w:ilvl="0" w:tplc="F5CC5EBA">
      <w:start w:val="46"/>
      <w:numFmt w:val="bullet"/>
      <w:lvlText w:val="-"/>
      <w:lvlJc w:val="left"/>
      <w:pPr>
        <w:ind w:left="720" w:hanging="360"/>
      </w:pPr>
      <w:rPr>
        <w:rFonts w:ascii="Arial" w:eastAsiaTheme="minorHAnsi" w:hAnsi="Arial" w:cs="Aria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 w15:restartNumberingAfterBreak="0">
    <w:nsid w:val="06E81D43"/>
    <w:multiLevelType w:val="hybridMultilevel"/>
    <w:tmpl w:val="6FD2362A"/>
    <w:lvl w:ilvl="0" w:tplc="98D4955C">
      <w:start w:val="1"/>
      <w:numFmt w:val="decimal"/>
      <w:lvlText w:val="%1)"/>
      <w:lvlJc w:val="left"/>
      <w:pPr>
        <w:ind w:left="2842" w:hanging="360"/>
      </w:pPr>
      <w:rPr>
        <w:rFonts w:hint="default"/>
      </w:rPr>
    </w:lvl>
    <w:lvl w:ilvl="1" w:tplc="0C0A0019" w:tentative="1">
      <w:start w:val="1"/>
      <w:numFmt w:val="lowerLetter"/>
      <w:lvlText w:val="%2."/>
      <w:lvlJc w:val="left"/>
      <w:pPr>
        <w:ind w:left="3562" w:hanging="360"/>
      </w:pPr>
    </w:lvl>
    <w:lvl w:ilvl="2" w:tplc="0C0A001B" w:tentative="1">
      <w:start w:val="1"/>
      <w:numFmt w:val="lowerRoman"/>
      <w:lvlText w:val="%3."/>
      <w:lvlJc w:val="right"/>
      <w:pPr>
        <w:ind w:left="4282" w:hanging="180"/>
      </w:pPr>
    </w:lvl>
    <w:lvl w:ilvl="3" w:tplc="0C0A000F" w:tentative="1">
      <w:start w:val="1"/>
      <w:numFmt w:val="decimal"/>
      <w:lvlText w:val="%4."/>
      <w:lvlJc w:val="left"/>
      <w:pPr>
        <w:ind w:left="5002" w:hanging="360"/>
      </w:pPr>
    </w:lvl>
    <w:lvl w:ilvl="4" w:tplc="0C0A0019" w:tentative="1">
      <w:start w:val="1"/>
      <w:numFmt w:val="lowerLetter"/>
      <w:lvlText w:val="%5."/>
      <w:lvlJc w:val="left"/>
      <w:pPr>
        <w:ind w:left="5722" w:hanging="360"/>
      </w:pPr>
    </w:lvl>
    <w:lvl w:ilvl="5" w:tplc="0C0A001B" w:tentative="1">
      <w:start w:val="1"/>
      <w:numFmt w:val="lowerRoman"/>
      <w:lvlText w:val="%6."/>
      <w:lvlJc w:val="right"/>
      <w:pPr>
        <w:ind w:left="6442" w:hanging="180"/>
      </w:pPr>
    </w:lvl>
    <w:lvl w:ilvl="6" w:tplc="0C0A000F" w:tentative="1">
      <w:start w:val="1"/>
      <w:numFmt w:val="decimal"/>
      <w:lvlText w:val="%7."/>
      <w:lvlJc w:val="left"/>
      <w:pPr>
        <w:ind w:left="7162" w:hanging="360"/>
      </w:pPr>
    </w:lvl>
    <w:lvl w:ilvl="7" w:tplc="0C0A0019" w:tentative="1">
      <w:start w:val="1"/>
      <w:numFmt w:val="lowerLetter"/>
      <w:lvlText w:val="%8."/>
      <w:lvlJc w:val="left"/>
      <w:pPr>
        <w:ind w:left="7882" w:hanging="360"/>
      </w:pPr>
    </w:lvl>
    <w:lvl w:ilvl="8" w:tplc="0C0A001B" w:tentative="1">
      <w:start w:val="1"/>
      <w:numFmt w:val="lowerRoman"/>
      <w:lvlText w:val="%9."/>
      <w:lvlJc w:val="right"/>
      <w:pPr>
        <w:ind w:left="8602" w:hanging="180"/>
      </w:pPr>
    </w:lvl>
  </w:abstractNum>
  <w:abstractNum w:abstractNumId="4" w15:restartNumberingAfterBreak="0">
    <w:nsid w:val="08391988"/>
    <w:multiLevelType w:val="hybridMultilevel"/>
    <w:tmpl w:val="B7329A2E"/>
    <w:lvl w:ilvl="0" w:tplc="140A0019">
      <w:start w:val="1"/>
      <w:numFmt w:val="low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5" w15:restartNumberingAfterBreak="0">
    <w:nsid w:val="0BEF79D9"/>
    <w:multiLevelType w:val="multilevel"/>
    <w:tmpl w:val="939C49DA"/>
    <w:lvl w:ilvl="0">
      <w:start w:val="10"/>
      <w:numFmt w:val="decimal"/>
      <w:lvlText w:val="%1"/>
      <w:lvlJc w:val="left"/>
      <w:pPr>
        <w:ind w:left="420" w:hanging="420"/>
      </w:pPr>
      <w:rPr>
        <w:rFonts w:hint="default"/>
      </w:rPr>
    </w:lvl>
    <w:lvl w:ilvl="1">
      <w:start w:va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6" w15:restartNumberingAfterBreak="0">
    <w:nsid w:val="0C263097"/>
    <w:multiLevelType w:val="hybridMultilevel"/>
    <w:tmpl w:val="978AF596"/>
    <w:lvl w:ilvl="0" w:tplc="140A000D">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7" w15:restartNumberingAfterBreak="0">
    <w:nsid w:val="0C83369F"/>
    <w:multiLevelType w:val="hybridMultilevel"/>
    <w:tmpl w:val="74463BFE"/>
    <w:lvl w:ilvl="0" w:tplc="140A000D">
      <w:start w:val="1"/>
      <w:numFmt w:val="bullet"/>
      <w:lvlText w:val=""/>
      <w:lvlJc w:val="left"/>
      <w:pPr>
        <w:ind w:left="720" w:hanging="360"/>
      </w:pPr>
      <w:rPr>
        <w:rFonts w:ascii="Wingdings" w:hAnsi="Wingdings" w:cs="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8" w15:restartNumberingAfterBreak="0">
    <w:nsid w:val="0EE939CA"/>
    <w:multiLevelType w:val="hybridMultilevel"/>
    <w:tmpl w:val="5DAC013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9" w15:restartNumberingAfterBreak="0">
    <w:nsid w:val="10B77E70"/>
    <w:multiLevelType w:val="hybridMultilevel"/>
    <w:tmpl w:val="CDC0D0D2"/>
    <w:lvl w:ilvl="0" w:tplc="140A0001">
      <w:start w:val="1"/>
      <w:numFmt w:val="bullet"/>
      <w:lvlText w:val=""/>
      <w:lvlJc w:val="left"/>
      <w:pPr>
        <w:ind w:left="720" w:hanging="360"/>
      </w:pPr>
      <w:rPr>
        <w:rFonts w:ascii="Symbol" w:hAnsi="Symbol" w:cs="Symbol" w:hint="default"/>
      </w:rPr>
    </w:lvl>
    <w:lvl w:ilvl="1" w:tplc="140A0003">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cs="Wingdings" w:hint="default"/>
      </w:rPr>
    </w:lvl>
    <w:lvl w:ilvl="3" w:tplc="140A0001">
      <w:start w:val="1"/>
      <w:numFmt w:val="bullet"/>
      <w:lvlText w:val=""/>
      <w:lvlJc w:val="left"/>
      <w:pPr>
        <w:ind w:left="2880" w:hanging="360"/>
      </w:pPr>
      <w:rPr>
        <w:rFonts w:ascii="Symbol" w:hAnsi="Symbol" w:cs="Symbol" w:hint="default"/>
      </w:rPr>
    </w:lvl>
    <w:lvl w:ilvl="4" w:tplc="140A0003">
      <w:start w:val="1"/>
      <w:numFmt w:val="bullet"/>
      <w:lvlText w:val="o"/>
      <w:lvlJc w:val="left"/>
      <w:pPr>
        <w:ind w:left="3600" w:hanging="360"/>
      </w:pPr>
      <w:rPr>
        <w:rFonts w:ascii="Courier New" w:hAnsi="Courier New" w:cs="Courier New" w:hint="default"/>
      </w:rPr>
    </w:lvl>
    <w:lvl w:ilvl="5" w:tplc="140A0005">
      <w:start w:val="1"/>
      <w:numFmt w:val="bullet"/>
      <w:lvlText w:val=""/>
      <w:lvlJc w:val="left"/>
      <w:pPr>
        <w:ind w:left="4320" w:hanging="360"/>
      </w:pPr>
      <w:rPr>
        <w:rFonts w:ascii="Wingdings" w:hAnsi="Wingdings" w:cs="Wingdings" w:hint="default"/>
      </w:rPr>
    </w:lvl>
    <w:lvl w:ilvl="6" w:tplc="140A0001">
      <w:start w:val="1"/>
      <w:numFmt w:val="bullet"/>
      <w:lvlText w:val=""/>
      <w:lvlJc w:val="left"/>
      <w:pPr>
        <w:ind w:left="5040" w:hanging="360"/>
      </w:pPr>
      <w:rPr>
        <w:rFonts w:ascii="Symbol" w:hAnsi="Symbol" w:cs="Symbol" w:hint="default"/>
      </w:rPr>
    </w:lvl>
    <w:lvl w:ilvl="7" w:tplc="140A0003">
      <w:start w:val="1"/>
      <w:numFmt w:val="bullet"/>
      <w:lvlText w:val="o"/>
      <w:lvlJc w:val="left"/>
      <w:pPr>
        <w:ind w:left="5760" w:hanging="360"/>
      </w:pPr>
      <w:rPr>
        <w:rFonts w:ascii="Courier New" w:hAnsi="Courier New" w:cs="Courier New" w:hint="default"/>
      </w:rPr>
    </w:lvl>
    <w:lvl w:ilvl="8" w:tplc="140A0005">
      <w:start w:val="1"/>
      <w:numFmt w:val="bullet"/>
      <w:lvlText w:val=""/>
      <w:lvlJc w:val="left"/>
      <w:pPr>
        <w:ind w:left="6480" w:hanging="360"/>
      </w:pPr>
      <w:rPr>
        <w:rFonts w:ascii="Wingdings" w:hAnsi="Wingdings" w:cs="Wingdings" w:hint="default"/>
      </w:rPr>
    </w:lvl>
  </w:abstractNum>
  <w:abstractNum w:abstractNumId="10" w15:restartNumberingAfterBreak="0">
    <w:nsid w:val="11DC672F"/>
    <w:multiLevelType w:val="hybridMultilevel"/>
    <w:tmpl w:val="B3E4BC6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1" w15:restartNumberingAfterBreak="0">
    <w:nsid w:val="12A216BD"/>
    <w:multiLevelType w:val="hybridMultilevel"/>
    <w:tmpl w:val="FEE06A5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2" w15:restartNumberingAfterBreak="0">
    <w:nsid w:val="12A56875"/>
    <w:multiLevelType w:val="multilevel"/>
    <w:tmpl w:val="0BB0C37A"/>
    <w:lvl w:ilvl="0">
      <w:start w:val="12"/>
      <w:numFmt w:val="decimal"/>
      <w:lvlText w:val="%1"/>
      <w:lvlJc w:val="left"/>
      <w:pPr>
        <w:ind w:left="399" w:hanging="399"/>
      </w:pPr>
      <w:rPr>
        <w:rFonts w:hint="default"/>
      </w:rPr>
    </w:lvl>
    <w:lvl w:ilvl="1">
      <w:start w:val="1"/>
      <w:numFmt w:val="decimal"/>
      <w:lvlText w:val="%1.%2"/>
      <w:lvlJc w:val="left"/>
      <w:pPr>
        <w:ind w:left="759" w:hanging="399"/>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13" w15:restartNumberingAfterBreak="0">
    <w:nsid w:val="13B83E3D"/>
    <w:multiLevelType w:val="multilevel"/>
    <w:tmpl w:val="DEDC5C7E"/>
    <w:lvl w:ilvl="0">
      <w:start w:val="3"/>
      <w:numFmt w:val="decimal"/>
      <w:lvlText w:val="%1."/>
      <w:lvlJc w:val="left"/>
      <w:pPr>
        <w:ind w:left="360" w:hanging="360"/>
      </w:pPr>
      <w:rPr>
        <w:rFonts w:hint="default"/>
        <w:b/>
      </w:rPr>
    </w:lvl>
    <w:lvl w:ilvl="1">
      <w:start w:val="4"/>
      <w:numFmt w:val="decimal"/>
      <w:lvlText w:val="%1.%2."/>
      <w:lvlJc w:val="left"/>
      <w:pPr>
        <w:ind w:left="360" w:hanging="36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800" w:hanging="1800"/>
      </w:pPr>
      <w:rPr>
        <w:rFonts w:hint="default"/>
        <w:b/>
      </w:rPr>
    </w:lvl>
  </w:abstractNum>
  <w:abstractNum w:abstractNumId="14" w15:restartNumberingAfterBreak="0">
    <w:nsid w:val="14412302"/>
    <w:multiLevelType w:val="multilevel"/>
    <w:tmpl w:val="9530E86E"/>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5" w15:restartNumberingAfterBreak="0">
    <w:nsid w:val="14727EA7"/>
    <w:multiLevelType w:val="hybridMultilevel"/>
    <w:tmpl w:val="5D3ACF0A"/>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start w:val="1"/>
      <w:numFmt w:val="bullet"/>
      <w:lvlText w:val=""/>
      <w:lvlJc w:val="left"/>
      <w:pPr>
        <w:ind w:left="2880" w:hanging="360"/>
      </w:pPr>
      <w:rPr>
        <w:rFonts w:ascii="Symbol" w:hAnsi="Symbol" w:hint="default"/>
      </w:rPr>
    </w:lvl>
    <w:lvl w:ilvl="4" w:tplc="140A0003">
      <w:start w:val="1"/>
      <w:numFmt w:val="bullet"/>
      <w:lvlText w:val="o"/>
      <w:lvlJc w:val="left"/>
      <w:pPr>
        <w:ind w:left="3600" w:hanging="360"/>
      </w:pPr>
      <w:rPr>
        <w:rFonts w:ascii="Courier New" w:hAnsi="Courier New" w:cs="Courier New" w:hint="default"/>
      </w:rPr>
    </w:lvl>
    <w:lvl w:ilvl="5" w:tplc="140A0005">
      <w:start w:val="1"/>
      <w:numFmt w:val="bullet"/>
      <w:lvlText w:val=""/>
      <w:lvlJc w:val="left"/>
      <w:pPr>
        <w:ind w:left="4320" w:hanging="360"/>
      </w:pPr>
      <w:rPr>
        <w:rFonts w:ascii="Wingdings" w:hAnsi="Wingdings" w:hint="default"/>
      </w:rPr>
    </w:lvl>
    <w:lvl w:ilvl="6" w:tplc="140A0001">
      <w:start w:val="1"/>
      <w:numFmt w:val="bullet"/>
      <w:lvlText w:val=""/>
      <w:lvlJc w:val="left"/>
      <w:pPr>
        <w:ind w:left="5040" w:hanging="360"/>
      </w:pPr>
      <w:rPr>
        <w:rFonts w:ascii="Symbol" w:hAnsi="Symbol" w:hint="default"/>
      </w:rPr>
    </w:lvl>
    <w:lvl w:ilvl="7" w:tplc="140A0003">
      <w:start w:val="1"/>
      <w:numFmt w:val="bullet"/>
      <w:lvlText w:val="o"/>
      <w:lvlJc w:val="left"/>
      <w:pPr>
        <w:ind w:left="5760" w:hanging="360"/>
      </w:pPr>
      <w:rPr>
        <w:rFonts w:ascii="Courier New" w:hAnsi="Courier New" w:cs="Courier New" w:hint="default"/>
      </w:rPr>
    </w:lvl>
    <w:lvl w:ilvl="8" w:tplc="140A0005">
      <w:start w:val="1"/>
      <w:numFmt w:val="bullet"/>
      <w:lvlText w:val=""/>
      <w:lvlJc w:val="left"/>
      <w:pPr>
        <w:ind w:left="6480" w:hanging="360"/>
      </w:pPr>
      <w:rPr>
        <w:rFonts w:ascii="Wingdings" w:hAnsi="Wingdings" w:hint="default"/>
      </w:rPr>
    </w:lvl>
  </w:abstractNum>
  <w:abstractNum w:abstractNumId="16" w15:restartNumberingAfterBreak="0">
    <w:nsid w:val="14D903AF"/>
    <w:multiLevelType w:val="multilevel"/>
    <w:tmpl w:val="0BB0C37A"/>
    <w:lvl w:ilvl="0">
      <w:start w:val="12"/>
      <w:numFmt w:val="decimal"/>
      <w:lvlText w:val="%1"/>
      <w:lvlJc w:val="left"/>
      <w:pPr>
        <w:ind w:left="399" w:hanging="399"/>
      </w:pPr>
      <w:rPr>
        <w:rFonts w:hint="default"/>
      </w:rPr>
    </w:lvl>
    <w:lvl w:ilvl="1">
      <w:start w:val="1"/>
      <w:numFmt w:val="decimal"/>
      <w:lvlText w:val="%1.%2"/>
      <w:lvlJc w:val="left"/>
      <w:pPr>
        <w:ind w:left="759" w:hanging="399"/>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17" w15:restartNumberingAfterBreak="0">
    <w:nsid w:val="14F36710"/>
    <w:multiLevelType w:val="multilevel"/>
    <w:tmpl w:val="5F720F16"/>
    <w:lvl w:ilvl="0">
      <w:start w:val="1"/>
      <w:numFmt w:val="decimal"/>
      <w:lvlText w:val="%1."/>
      <w:lvlJc w:val="left"/>
      <w:pPr>
        <w:ind w:left="360" w:hanging="360"/>
      </w:pPr>
      <w:rPr>
        <w:rFonts w:hint="default"/>
      </w:rPr>
    </w:lvl>
    <w:lvl w:ilvl="1">
      <w:start w:val="1"/>
      <w:numFmt w:val="decimal"/>
      <w:lvlText w:val="%1.%2."/>
      <w:lvlJc w:val="left"/>
      <w:pPr>
        <w:ind w:left="792" w:hanging="432"/>
      </w:pPr>
      <w:rPr>
        <w:b/>
        <w:bCs/>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15:restartNumberingAfterBreak="0">
    <w:nsid w:val="152A3082"/>
    <w:multiLevelType w:val="multilevel"/>
    <w:tmpl w:val="381C080A"/>
    <w:lvl w:ilvl="0">
      <w:start w:val="11"/>
      <w:numFmt w:val="decimal"/>
      <w:lvlText w:val="%1"/>
      <w:lvlJc w:val="left"/>
      <w:pPr>
        <w:ind w:left="399" w:hanging="399"/>
      </w:pPr>
      <w:rPr>
        <w:rFonts w:hint="default"/>
      </w:rPr>
    </w:lvl>
    <w:lvl w:ilvl="1">
      <w:start w:val="1"/>
      <w:numFmt w:val="decimal"/>
      <w:lvlText w:val="%1.%2"/>
      <w:lvlJc w:val="left"/>
      <w:pPr>
        <w:ind w:left="399" w:hanging="399"/>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9" w15:restartNumberingAfterBreak="0">
    <w:nsid w:val="15A9196E"/>
    <w:multiLevelType w:val="hybridMultilevel"/>
    <w:tmpl w:val="9F96E56E"/>
    <w:lvl w:ilvl="0" w:tplc="140A000F">
      <w:start w:val="1"/>
      <w:numFmt w:val="decimal"/>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0" w15:restartNumberingAfterBreak="0">
    <w:nsid w:val="168B0B2A"/>
    <w:multiLevelType w:val="hybridMultilevel"/>
    <w:tmpl w:val="F134EC1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1" w15:restartNumberingAfterBreak="0">
    <w:nsid w:val="1A3100B6"/>
    <w:multiLevelType w:val="hybridMultilevel"/>
    <w:tmpl w:val="B2423916"/>
    <w:lvl w:ilvl="0" w:tplc="140A0001">
      <w:start w:val="1"/>
      <w:numFmt w:val="bullet"/>
      <w:lvlText w:val=""/>
      <w:lvlJc w:val="left"/>
      <w:pPr>
        <w:ind w:left="644"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2" w15:restartNumberingAfterBreak="0">
    <w:nsid w:val="1B3A2921"/>
    <w:multiLevelType w:val="hybridMultilevel"/>
    <w:tmpl w:val="5C769FE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3" w15:restartNumberingAfterBreak="0">
    <w:nsid w:val="1C6630CB"/>
    <w:multiLevelType w:val="hybridMultilevel"/>
    <w:tmpl w:val="20FE12B4"/>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start w:val="1"/>
      <w:numFmt w:val="bullet"/>
      <w:lvlText w:val=""/>
      <w:lvlJc w:val="left"/>
      <w:pPr>
        <w:ind w:left="2880" w:hanging="360"/>
      </w:pPr>
      <w:rPr>
        <w:rFonts w:ascii="Symbol" w:hAnsi="Symbol" w:hint="default"/>
      </w:rPr>
    </w:lvl>
    <w:lvl w:ilvl="4" w:tplc="140A0003">
      <w:start w:val="1"/>
      <w:numFmt w:val="bullet"/>
      <w:lvlText w:val="o"/>
      <w:lvlJc w:val="left"/>
      <w:pPr>
        <w:ind w:left="3600" w:hanging="360"/>
      </w:pPr>
      <w:rPr>
        <w:rFonts w:ascii="Courier New" w:hAnsi="Courier New" w:cs="Courier New" w:hint="default"/>
      </w:rPr>
    </w:lvl>
    <w:lvl w:ilvl="5" w:tplc="140A0005">
      <w:start w:val="1"/>
      <w:numFmt w:val="bullet"/>
      <w:lvlText w:val=""/>
      <w:lvlJc w:val="left"/>
      <w:pPr>
        <w:ind w:left="4320" w:hanging="360"/>
      </w:pPr>
      <w:rPr>
        <w:rFonts w:ascii="Wingdings" w:hAnsi="Wingdings" w:hint="default"/>
      </w:rPr>
    </w:lvl>
    <w:lvl w:ilvl="6" w:tplc="140A0001">
      <w:start w:val="1"/>
      <w:numFmt w:val="bullet"/>
      <w:lvlText w:val=""/>
      <w:lvlJc w:val="left"/>
      <w:pPr>
        <w:ind w:left="5040" w:hanging="360"/>
      </w:pPr>
      <w:rPr>
        <w:rFonts w:ascii="Symbol" w:hAnsi="Symbol" w:hint="default"/>
      </w:rPr>
    </w:lvl>
    <w:lvl w:ilvl="7" w:tplc="140A0003">
      <w:start w:val="1"/>
      <w:numFmt w:val="bullet"/>
      <w:lvlText w:val="o"/>
      <w:lvlJc w:val="left"/>
      <w:pPr>
        <w:ind w:left="5760" w:hanging="360"/>
      </w:pPr>
      <w:rPr>
        <w:rFonts w:ascii="Courier New" w:hAnsi="Courier New" w:cs="Courier New" w:hint="default"/>
      </w:rPr>
    </w:lvl>
    <w:lvl w:ilvl="8" w:tplc="140A0005">
      <w:start w:val="1"/>
      <w:numFmt w:val="bullet"/>
      <w:lvlText w:val=""/>
      <w:lvlJc w:val="left"/>
      <w:pPr>
        <w:ind w:left="6480" w:hanging="360"/>
      </w:pPr>
      <w:rPr>
        <w:rFonts w:ascii="Wingdings" w:hAnsi="Wingdings" w:hint="default"/>
      </w:rPr>
    </w:lvl>
  </w:abstractNum>
  <w:abstractNum w:abstractNumId="24" w15:restartNumberingAfterBreak="0">
    <w:nsid w:val="1F426ABA"/>
    <w:multiLevelType w:val="multilevel"/>
    <w:tmpl w:val="98A8FEAC"/>
    <w:lvl w:ilvl="0">
      <w:start w:val="1"/>
      <w:numFmt w:val="decimal"/>
      <w:lvlText w:val="%1."/>
      <w:lvlJc w:val="left"/>
      <w:pPr>
        <w:ind w:left="720" w:hanging="360"/>
      </w:pPr>
    </w:lvl>
    <w:lvl w:ilvl="1">
      <w:start w:val="1"/>
      <w:numFmt w:val="decimal"/>
      <w:isLgl/>
      <w:lvlText w:val="%1.%2"/>
      <w:lvlJc w:val="left"/>
      <w:pPr>
        <w:ind w:left="720" w:hanging="360"/>
      </w:pPr>
      <w:rPr>
        <w:rFonts w:hint="default"/>
      </w:rPr>
    </w:lvl>
    <w:lvl w:ilvl="2">
      <w:start w:val="1"/>
      <w:numFmt w:val="bullet"/>
      <w:lvlText w:val=""/>
      <w:lvlJc w:val="left"/>
      <w:pPr>
        <w:ind w:left="1080" w:hanging="720"/>
      </w:pPr>
      <w:rPr>
        <w:rFonts w:ascii="Symbol" w:hAnsi="Symbol" w:hint="default"/>
        <w:b w:val="0"/>
        <w:bCs w:val="0"/>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5" w15:restartNumberingAfterBreak="0">
    <w:nsid w:val="20B158C6"/>
    <w:multiLevelType w:val="hybridMultilevel"/>
    <w:tmpl w:val="BFBADD94"/>
    <w:lvl w:ilvl="0" w:tplc="14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26" w15:restartNumberingAfterBreak="0">
    <w:nsid w:val="23EB328B"/>
    <w:multiLevelType w:val="hybridMultilevel"/>
    <w:tmpl w:val="9CB2E9A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7" w15:restartNumberingAfterBreak="0">
    <w:nsid w:val="2493630D"/>
    <w:multiLevelType w:val="hybridMultilevel"/>
    <w:tmpl w:val="612E8DB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8" w15:restartNumberingAfterBreak="0">
    <w:nsid w:val="286E33E6"/>
    <w:multiLevelType w:val="hybridMultilevel"/>
    <w:tmpl w:val="8D00BB1E"/>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start w:val="1"/>
      <w:numFmt w:val="bullet"/>
      <w:lvlText w:val=""/>
      <w:lvlJc w:val="left"/>
      <w:pPr>
        <w:ind w:left="2880" w:hanging="360"/>
      </w:pPr>
      <w:rPr>
        <w:rFonts w:ascii="Symbol" w:hAnsi="Symbol" w:hint="default"/>
      </w:rPr>
    </w:lvl>
    <w:lvl w:ilvl="4" w:tplc="140A0003">
      <w:start w:val="1"/>
      <w:numFmt w:val="bullet"/>
      <w:lvlText w:val="o"/>
      <w:lvlJc w:val="left"/>
      <w:pPr>
        <w:ind w:left="3600" w:hanging="360"/>
      </w:pPr>
      <w:rPr>
        <w:rFonts w:ascii="Courier New" w:hAnsi="Courier New" w:cs="Courier New" w:hint="default"/>
      </w:rPr>
    </w:lvl>
    <w:lvl w:ilvl="5" w:tplc="140A0005">
      <w:start w:val="1"/>
      <w:numFmt w:val="bullet"/>
      <w:lvlText w:val=""/>
      <w:lvlJc w:val="left"/>
      <w:pPr>
        <w:ind w:left="4320" w:hanging="360"/>
      </w:pPr>
      <w:rPr>
        <w:rFonts w:ascii="Wingdings" w:hAnsi="Wingdings" w:hint="default"/>
      </w:rPr>
    </w:lvl>
    <w:lvl w:ilvl="6" w:tplc="140A0001">
      <w:start w:val="1"/>
      <w:numFmt w:val="bullet"/>
      <w:lvlText w:val=""/>
      <w:lvlJc w:val="left"/>
      <w:pPr>
        <w:ind w:left="5040" w:hanging="360"/>
      </w:pPr>
      <w:rPr>
        <w:rFonts w:ascii="Symbol" w:hAnsi="Symbol" w:hint="default"/>
      </w:rPr>
    </w:lvl>
    <w:lvl w:ilvl="7" w:tplc="140A0003">
      <w:start w:val="1"/>
      <w:numFmt w:val="bullet"/>
      <w:lvlText w:val="o"/>
      <w:lvlJc w:val="left"/>
      <w:pPr>
        <w:ind w:left="5760" w:hanging="360"/>
      </w:pPr>
      <w:rPr>
        <w:rFonts w:ascii="Courier New" w:hAnsi="Courier New" w:cs="Courier New" w:hint="default"/>
      </w:rPr>
    </w:lvl>
    <w:lvl w:ilvl="8" w:tplc="140A0005">
      <w:start w:val="1"/>
      <w:numFmt w:val="bullet"/>
      <w:lvlText w:val=""/>
      <w:lvlJc w:val="left"/>
      <w:pPr>
        <w:ind w:left="6480" w:hanging="360"/>
      </w:pPr>
      <w:rPr>
        <w:rFonts w:ascii="Wingdings" w:hAnsi="Wingdings" w:hint="default"/>
      </w:rPr>
    </w:lvl>
  </w:abstractNum>
  <w:abstractNum w:abstractNumId="29" w15:restartNumberingAfterBreak="0">
    <w:nsid w:val="29E161FA"/>
    <w:multiLevelType w:val="hybridMultilevel"/>
    <w:tmpl w:val="FB7C80C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0" w15:restartNumberingAfterBreak="0">
    <w:nsid w:val="2A815A9A"/>
    <w:multiLevelType w:val="multilevel"/>
    <w:tmpl w:val="17CEA6CE"/>
    <w:lvl w:ilvl="0">
      <w:start w:val="3"/>
      <w:numFmt w:val="decimal"/>
      <w:lvlText w:val="%1"/>
      <w:lvlJc w:val="left"/>
      <w:pPr>
        <w:ind w:left="399" w:hanging="399"/>
      </w:pPr>
      <w:rPr>
        <w:rFonts w:hint="default"/>
      </w:rPr>
    </w:lvl>
    <w:lvl w:ilvl="1">
      <w:start w:val="6"/>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880" w:hanging="144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680" w:hanging="2160"/>
      </w:pPr>
      <w:rPr>
        <w:rFonts w:hint="default"/>
      </w:rPr>
    </w:lvl>
    <w:lvl w:ilvl="8">
      <w:start w:val="1"/>
      <w:numFmt w:val="decimal"/>
      <w:lvlText w:val="%1.%2.%3.%4.%5.%6.%7.%8.%9"/>
      <w:lvlJc w:val="left"/>
      <w:pPr>
        <w:ind w:left="5040" w:hanging="2160"/>
      </w:pPr>
      <w:rPr>
        <w:rFonts w:hint="default"/>
      </w:rPr>
    </w:lvl>
  </w:abstractNum>
  <w:abstractNum w:abstractNumId="31" w15:restartNumberingAfterBreak="0">
    <w:nsid w:val="2A937A40"/>
    <w:multiLevelType w:val="multilevel"/>
    <w:tmpl w:val="F148FA70"/>
    <w:lvl w:ilvl="0">
      <w:start w:val="1"/>
      <w:numFmt w:val="decimal"/>
      <w:lvlText w:val="%1."/>
      <w:lvlJc w:val="left"/>
      <w:pPr>
        <w:ind w:left="720" w:hanging="360"/>
      </w:pPr>
    </w:lvl>
    <w:lvl w:ilvl="1">
      <w:start w:val="1"/>
      <w:numFmt w:val="decimal"/>
      <w:lvlText w:val="%1.%2."/>
      <w:lvlJc w:val="left"/>
      <w:pPr>
        <w:ind w:left="1080" w:hanging="720"/>
      </w:pPr>
      <w:rPr>
        <w:i w:val="0"/>
        <w:iCs w:val="0"/>
      </w:rPr>
    </w:lvl>
    <w:lvl w:ilvl="2">
      <w:start w:val="1"/>
      <w:numFmt w:val="decimal"/>
      <w:isLgl/>
      <w:lvlText w:val="%1.%2.%3."/>
      <w:lvlJc w:val="left"/>
      <w:pPr>
        <w:ind w:left="1080" w:hanging="720"/>
      </w:pPr>
    </w:lvl>
    <w:lvl w:ilvl="3">
      <w:start w:val="1"/>
      <w:numFmt w:val="decimal"/>
      <w:isLgl/>
      <w:lvlText w:val="%1.%2.%3.%4."/>
      <w:lvlJc w:val="left"/>
      <w:pPr>
        <w:ind w:left="1440" w:hanging="1080"/>
      </w:pPr>
    </w:lvl>
    <w:lvl w:ilvl="4">
      <w:start w:val="1"/>
      <w:numFmt w:val="decimal"/>
      <w:isLgl/>
      <w:lvlText w:val="%1.%2.%3.%4.%5."/>
      <w:lvlJc w:val="left"/>
      <w:pPr>
        <w:ind w:left="1440" w:hanging="1080"/>
      </w:pPr>
    </w:lvl>
    <w:lvl w:ilvl="5">
      <w:start w:val="1"/>
      <w:numFmt w:val="decimal"/>
      <w:isLgl/>
      <w:lvlText w:val="%1.%2.%3.%4.%5.%6."/>
      <w:lvlJc w:val="left"/>
      <w:pPr>
        <w:ind w:left="1800" w:hanging="1440"/>
      </w:pPr>
    </w:lvl>
    <w:lvl w:ilvl="6">
      <w:start w:val="1"/>
      <w:numFmt w:val="decimal"/>
      <w:isLgl/>
      <w:lvlText w:val="%1.%2.%3.%4.%5.%6.%7."/>
      <w:lvlJc w:val="left"/>
      <w:pPr>
        <w:ind w:left="1800" w:hanging="1440"/>
      </w:pPr>
    </w:lvl>
    <w:lvl w:ilvl="7">
      <w:start w:val="1"/>
      <w:numFmt w:val="decimal"/>
      <w:isLgl/>
      <w:lvlText w:val="%1.%2.%3.%4.%5.%6.%7.%8."/>
      <w:lvlJc w:val="left"/>
      <w:pPr>
        <w:ind w:left="2160" w:hanging="1800"/>
      </w:pPr>
    </w:lvl>
    <w:lvl w:ilvl="8">
      <w:start w:val="1"/>
      <w:numFmt w:val="decimal"/>
      <w:isLgl/>
      <w:lvlText w:val="%1.%2.%3.%4.%5.%6.%7.%8.%9."/>
      <w:lvlJc w:val="left"/>
      <w:pPr>
        <w:ind w:left="2520" w:hanging="2160"/>
      </w:pPr>
    </w:lvl>
  </w:abstractNum>
  <w:abstractNum w:abstractNumId="32" w15:restartNumberingAfterBreak="0">
    <w:nsid w:val="2B5F2444"/>
    <w:multiLevelType w:val="hybridMultilevel"/>
    <w:tmpl w:val="F0383DDE"/>
    <w:lvl w:ilvl="0" w:tplc="46B87264">
      <w:start w:val="1"/>
      <w:numFmt w:val="decimal"/>
      <w:lvlText w:val="%1)"/>
      <w:lvlJc w:val="left"/>
      <w:pPr>
        <w:ind w:left="720" w:hanging="360"/>
      </w:pPr>
      <w:rPr>
        <w:rFonts w:ascii="Book Antiqua" w:hAnsi="Book Antiqua" w:cs="Arial" w:hint="default"/>
        <w:color w:val="auto"/>
        <w:sz w:val="24"/>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33" w15:restartNumberingAfterBreak="0">
    <w:nsid w:val="2C0C0208"/>
    <w:multiLevelType w:val="hybridMultilevel"/>
    <w:tmpl w:val="3B3499B4"/>
    <w:lvl w:ilvl="0" w:tplc="140A0011">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34" w15:restartNumberingAfterBreak="0">
    <w:nsid w:val="2C450356"/>
    <w:multiLevelType w:val="hybridMultilevel"/>
    <w:tmpl w:val="32B47252"/>
    <w:lvl w:ilvl="0" w:tplc="140A000F">
      <w:start w:val="1"/>
      <w:numFmt w:val="decimal"/>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35" w15:restartNumberingAfterBreak="0">
    <w:nsid w:val="2C67218E"/>
    <w:multiLevelType w:val="hybridMultilevel"/>
    <w:tmpl w:val="8E525F7A"/>
    <w:lvl w:ilvl="0" w:tplc="50F643F8">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6" w15:restartNumberingAfterBreak="0">
    <w:nsid w:val="2D124032"/>
    <w:multiLevelType w:val="multilevel"/>
    <w:tmpl w:val="47FAAA90"/>
    <w:lvl w:ilvl="0">
      <w:start w:val="6"/>
      <w:numFmt w:val="decimal"/>
      <w:lvlText w:val="%1"/>
      <w:lvlJc w:val="left"/>
      <w:pPr>
        <w:ind w:left="456" w:hanging="456"/>
      </w:pPr>
      <w:rPr>
        <w:rFonts w:hint="default"/>
      </w:rPr>
    </w:lvl>
    <w:lvl w:ilvl="1">
      <w:start w:val="2"/>
      <w:numFmt w:val="decimal"/>
      <w:lvlText w:val="%1.%2"/>
      <w:lvlJc w:val="left"/>
      <w:pPr>
        <w:ind w:left="774" w:hanging="456"/>
      </w:pPr>
      <w:rPr>
        <w:rFonts w:hint="default"/>
      </w:rPr>
    </w:lvl>
    <w:lvl w:ilvl="2">
      <w:start w:val="1"/>
      <w:numFmt w:val="decimal"/>
      <w:lvlText w:val="%1.%2.%3"/>
      <w:lvlJc w:val="left"/>
      <w:pPr>
        <w:ind w:left="1356" w:hanging="720"/>
      </w:pPr>
      <w:rPr>
        <w:rFonts w:ascii="Arial Narrow" w:hAnsi="Arial Narrow" w:hint="default"/>
      </w:rPr>
    </w:lvl>
    <w:lvl w:ilvl="3">
      <w:start w:val="1"/>
      <w:numFmt w:val="decimal"/>
      <w:lvlText w:val="%1.%2.%3.%4"/>
      <w:lvlJc w:val="left"/>
      <w:pPr>
        <w:ind w:left="1674" w:hanging="720"/>
      </w:pPr>
      <w:rPr>
        <w:rFonts w:hint="default"/>
      </w:rPr>
    </w:lvl>
    <w:lvl w:ilvl="4">
      <w:start w:val="1"/>
      <w:numFmt w:val="decimal"/>
      <w:lvlText w:val="%1.%2.%3.%4.%5"/>
      <w:lvlJc w:val="left"/>
      <w:pPr>
        <w:ind w:left="2352" w:hanging="1080"/>
      </w:pPr>
      <w:rPr>
        <w:rFonts w:hint="default"/>
      </w:rPr>
    </w:lvl>
    <w:lvl w:ilvl="5">
      <w:start w:val="1"/>
      <w:numFmt w:val="decimal"/>
      <w:lvlText w:val="%1.%2.%3.%4.%5.%6"/>
      <w:lvlJc w:val="left"/>
      <w:pPr>
        <w:ind w:left="2670" w:hanging="1080"/>
      </w:pPr>
      <w:rPr>
        <w:rFonts w:hint="default"/>
      </w:rPr>
    </w:lvl>
    <w:lvl w:ilvl="6">
      <w:start w:val="1"/>
      <w:numFmt w:val="decimal"/>
      <w:lvlText w:val="%1.%2.%3.%4.%5.%6.%7"/>
      <w:lvlJc w:val="left"/>
      <w:pPr>
        <w:ind w:left="3348" w:hanging="1440"/>
      </w:pPr>
      <w:rPr>
        <w:rFonts w:hint="default"/>
      </w:rPr>
    </w:lvl>
    <w:lvl w:ilvl="7">
      <w:start w:val="1"/>
      <w:numFmt w:val="decimal"/>
      <w:lvlText w:val="%1.%2.%3.%4.%5.%6.%7.%8"/>
      <w:lvlJc w:val="left"/>
      <w:pPr>
        <w:ind w:left="3666" w:hanging="1440"/>
      </w:pPr>
      <w:rPr>
        <w:rFonts w:hint="default"/>
      </w:rPr>
    </w:lvl>
    <w:lvl w:ilvl="8">
      <w:start w:val="1"/>
      <w:numFmt w:val="decimal"/>
      <w:lvlText w:val="%1.%2.%3.%4.%5.%6.%7.%8.%9"/>
      <w:lvlJc w:val="left"/>
      <w:pPr>
        <w:ind w:left="3984" w:hanging="1440"/>
      </w:pPr>
      <w:rPr>
        <w:rFonts w:hint="default"/>
      </w:rPr>
    </w:lvl>
  </w:abstractNum>
  <w:abstractNum w:abstractNumId="37" w15:restartNumberingAfterBreak="0">
    <w:nsid w:val="30991A37"/>
    <w:multiLevelType w:val="hybridMultilevel"/>
    <w:tmpl w:val="DC9A8FCC"/>
    <w:lvl w:ilvl="0" w:tplc="140A000F">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38" w15:restartNumberingAfterBreak="0">
    <w:nsid w:val="30AF5858"/>
    <w:multiLevelType w:val="multilevel"/>
    <w:tmpl w:val="EAAED370"/>
    <w:lvl w:ilvl="0">
      <w:start w:val="6"/>
      <w:numFmt w:val="decimal"/>
      <w:lvlText w:val="%1."/>
      <w:lvlJc w:val="left"/>
      <w:pPr>
        <w:ind w:left="510" w:hanging="510"/>
      </w:pPr>
      <w:rPr>
        <w:rFonts w:hint="default"/>
      </w:rPr>
    </w:lvl>
    <w:lvl w:ilvl="1">
      <w:start w:val="1"/>
      <w:numFmt w:val="decimal"/>
      <w:lvlText w:val="%1.%2."/>
      <w:lvlJc w:val="left"/>
      <w:pPr>
        <w:ind w:left="510" w:hanging="510"/>
      </w:pPr>
      <w:rPr>
        <w:rFonts w:hint="default"/>
      </w:rPr>
    </w:lvl>
    <w:lvl w:ilvl="2">
      <w:start w:val="4"/>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9" w15:restartNumberingAfterBreak="0">
    <w:nsid w:val="31013081"/>
    <w:multiLevelType w:val="hybridMultilevel"/>
    <w:tmpl w:val="4B4036A0"/>
    <w:lvl w:ilvl="0" w:tplc="140A0019">
      <w:start w:val="1"/>
      <w:numFmt w:val="low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40" w15:restartNumberingAfterBreak="0">
    <w:nsid w:val="31F95610"/>
    <w:multiLevelType w:val="hybridMultilevel"/>
    <w:tmpl w:val="EF286BCA"/>
    <w:lvl w:ilvl="0" w:tplc="140A000D">
      <w:start w:val="1"/>
      <w:numFmt w:val="bullet"/>
      <w:lvlText w:val=""/>
      <w:lvlJc w:val="left"/>
      <w:pPr>
        <w:ind w:left="720" w:hanging="360"/>
      </w:pPr>
      <w:rPr>
        <w:rFonts w:ascii="Wingdings" w:hAnsi="Wingdings" w:cs="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1" w15:restartNumberingAfterBreak="0">
    <w:nsid w:val="33285199"/>
    <w:multiLevelType w:val="multilevel"/>
    <w:tmpl w:val="411416E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2" w15:restartNumberingAfterBreak="0">
    <w:nsid w:val="335928BF"/>
    <w:multiLevelType w:val="hybridMultilevel"/>
    <w:tmpl w:val="8ED4C228"/>
    <w:lvl w:ilvl="0" w:tplc="0C0A0017">
      <w:start w:val="1"/>
      <w:numFmt w:val="lowerLetter"/>
      <w:lvlText w:val="%1)"/>
      <w:lvlJc w:val="left"/>
      <w:pPr>
        <w:ind w:left="720" w:hanging="360"/>
      </w:pPr>
    </w:lvl>
    <w:lvl w:ilvl="1" w:tplc="0C0A0019">
      <w:start w:val="1"/>
      <w:numFmt w:val="lowerLetter"/>
      <w:lvlText w:val="%2."/>
      <w:lvlJc w:val="left"/>
      <w:pPr>
        <w:ind w:left="1440" w:hanging="360"/>
      </w:pPr>
    </w:lvl>
    <w:lvl w:ilvl="2" w:tplc="0C0A001B">
      <w:start w:val="1"/>
      <w:numFmt w:val="lowerRoman"/>
      <w:lvlText w:val="%3."/>
      <w:lvlJc w:val="right"/>
      <w:pPr>
        <w:ind w:left="2160" w:hanging="180"/>
      </w:pPr>
    </w:lvl>
    <w:lvl w:ilvl="3" w:tplc="0C0A000F">
      <w:start w:val="1"/>
      <w:numFmt w:val="decimal"/>
      <w:lvlText w:val="%4."/>
      <w:lvlJc w:val="left"/>
      <w:pPr>
        <w:ind w:left="2880" w:hanging="360"/>
      </w:pPr>
    </w:lvl>
    <w:lvl w:ilvl="4" w:tplc="0C0A0019">
      <w:start w:val="1"/>
      <w:numFmt w:val="lowerLetter"/>
      <w:lvlText w:val="%5."/>
      <w:lvlJc w:val="left"/>
      <w:pPr>
        <w:ind w:left="3600" w:hanging="360"/>
      </w:pPr>
    </w:lvl>
    <w:lvl w:ilvl="5" w:tplc="0C0A001B">
      <w:start w:val="1"/>
      <w:numFmt w:val="lowerRoman"/>
      <w:lvlText w:val="%6."/>
      <w:lvlJc w:val="right"/>
      <w:pPr>
        <w:ind w:left="4320" w:hanging="180"/>
      </w:pPr>
    </w:lvl>
    <w:lvl w:ilvl="6" w:tplc="0C0A000F">
      <w:start w:val="1"/>
      <w:numFmt w:val="decimal"/>
      <w:lvlText w:val="%7."/>
      <w:lvlJc w:val="left"/>
      <w:pPr>
        <w:ind w:left="5040" w:hanging="360"/>
      </w:pPr>
    </w:lvl>
    <w:lvl w:ilvl="7" w:tplc="0C0A0019">
      <w:start w:val="1"/>
      <w:numFmt w:val="lowerLetter"/>
      <w:lvlText w:val="%8."/>
      <w:lvlJc w:val="left"/>
      <w:pPr>
        <w:ind w:left="5760" w:hanging="360"/>
      </w:pPr>
    </w:lvl>
    <w:lvl w:ilvl="8" w:tplc="0C0A001B">
      <w:start w:val="1"/>
      <w:numFmt w:val="lowerRoman"/>
      <w:lvlText w:val="%9."/>
      <w:lvlJc w:val="right"/>
      <w:pPr>
        <w:ind w:left="6480" w:hanging="180"/>
      </w:pPr>
    </w:lvl>
  </w:abstractNum>
  <w:abstractNum w:abstractNumId="43" w15:restartNumberingAfterBreak="0">
    <w:nsid w:val="33CC5532"/>
    <w:multiLevelType w:val="hybridMultilevel"/>
    <w:tmpl w:val="3CB69B02"/>
    <w:lvl w:ilvl="0" w:tplc="140A000D">
      <w:start w:val="1"/>
      <w:numFmt w:val="bullet"/>
      <w:lvlText w:val=""/>
      <w:lvlJc w:val="left"/>
      <w:pPr>
        <w:ind w:left="1440" w:hanging="360"/>
      </w:pPr>
      <w:rPr>
        <w:rFonts w:ascii="Wingdings" w:hAnsi="Wingdings" w:cs="Wingdings" w:hint="default"/>
      </w:rPr>
    </w:lvl>
    <w:lvl w:ilvl="1" w:tplc="140A0003" w:tentative="1">
      <w:start w:val="1"/>
      <w:numFmt w:val="bullet"/>
      <w:lvlText w:val="o"/>
      <w:lvlJc w:val="left"/>
      <w:pPr>
        <w:ind w:left="2160" w:hanging="360"/>
      </w:pPr>
      <w:rPr>
        <w:rFonts w:ascii="Courier New" w:hAnsi="Courier New" w:cs="Courier New" w:hint="default"/>
      </w:rPr>
    </w:lvl>
    <w:lvl w:ilvl="2" w:tplc="140A0005" w:tentative="1">
      <w:start w:val="1"/>
      <w:numFmt w:val="bullet"/>
      <w:lvlText w:val=""/>
      <w:lvlJc w:val="left"/>
      <w:pPr>
        <w:ind w:left="2880" w:hanging="360"/>
      </w:pPr>
      <w:rPr>
        <w:rFonts w:ascii="Wingdings" w:hAnsi="Wingdings" w:hint="default"/>
      </w:rPr>
    </w:lvl>
    <w:lvl w:ilvl="3" w:tplc="140A0001" w:tentative="1">
      <w:start w:val="1"/>
      <w:numFmt w:val="bullet"/>
      <w:lvlText w:val=""/>
      <w:lvlJc w:val="left"/>
      <w:pPr>
        <w:ind w:left="3600" w:hanging="360"/>
      </w:pPr>
      <w:rPr>
        <w:rFonts w:ascii="Symbol" w:hAnsi="Symbol" w:hint="default"/>
      </w:rPr>
    </w:lvl>
    <w:lvl w:ilvl="4" w:tplc="140A0003" w:tentative="1">
      <w:start w:val="1"/>
      <w:numFmt w:val="bullet"/>
      <w:lvlText w:val="o"/>
      <w:lvlJc w:val="left"/>
      <w:pPr>
        <w:ind w:left="4320" w:hanging="360"/>
      </w:pPr>
      <w:rPr>
        <w:rFonts w:ascii="Courier New" w:hAnsi="Courier New" w:cs="Courier New" w:hint="default"/>
      </w:rPr>
    </w:lvl>
    <w:lvl w:ilvl="5" w:tplc="140A0005" w:tentative="1">
      <w:start w:val="1"/>
      <w:numFmt w:val="bullet"/>
      <w:lvlText w:val=""/>
      <w:lvlJc w:val="left"/>
      <w:pPr>
        <w:ind w:left="5040" w:hanging="360"/>
      </w:pPr>
      <w:rPr>
        <w:rFonts w:ascii="Wingdings" w:hAnsi="Wingdings" w:hint="default"/>
      </w:rPr>
    </w:lvl>
    <w:lvl w:ilvl="6" w:tplc="140A0001" w:tentative="1">
      <w:start w:val="1"/>
      <w:numFmt w:val="bullet"/>
      <w:lvlText w:val=""/>
      <w:lvlJc w:val="left"/>
      <w:pPr>
        <w:ind w:left="5760" w:hanging="360"/>
      </w:pPr>
      <w:rPr>
        <w:rFonts w:ascii="Symbol" w:hAnsi="Symbol" w:hint="default"/>
      </w:rPr>
    </w:lvl>
    <w:lvl w:ilvl="7" w:tplc="140A0003" w:tentative="1">
      <w:start w:val="1"/>
      <w:numFmt w:val="bullet"/>
      <w:lvlText w:val="o"/>
      <w:lvlJc w:val="left"/>
      <w:pPr>
        <w:ind w:left="6480" w:hanging="360"/>
      </w:pPr>
      <w:rPr>
        <w:rFonts w:ascii="Courier New" w:hAnsi="Courier New" w:cs="Courier New" w:hint="default"/>
      </w:rPr>
    </w:lvl>
    <w:lvl w:ilvl="8" w:tplc="140A0005" w:tentative="1">
      <w:start w:val="1"/>
      <w:numFmt w:val="bullet"/>
      <w:lvlText w:val=""/>
      <w:lvlJc w:val="left"/>
      <w:pPr>
        <w:ind w:left="7200" w:hanging="360"/>
      </w:pPr>
      <w:rPr>
        <w:rFonts w:ascii="Wingdings" w:hAnsi="Wingdings" w:hint="default"/>
      </w:rPr>
    </w:lvl>
  </w:abstractNum>
  <w:abstractNum w:abstractNumId="44" w15:restartNumberingAfterBreak="0">
    <w:nsid w:val="355F3E6C"/>
    <w:multiLevelType w:val="multilevel"/>
    <w:tmpl w:val="CBFE7B78"/>
    <w:lvl w:ilvl="0">
      <w:start w:val="4"/>
      <w:numFmt w:val="decimal"/>
      <w:lvlText w:val="%1."/>
      <w:lvlJc w:val="left"/>
      <w:pPr>
        <w:ind w:left="440" w:hanging="440"/>
      </w:pPr>
      <w:rPr>
        <w:rFonts w:hint="default"/>
      </w:rPr>
    </w:lvl>
    <w:lvl w:ilvl="1">
      <w:start w:val="1"/>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880" w:hanging="144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45" w15:restartNumberingAfterBreak="0">
    <w:nsid w:val="36E81FEC"/>
    <w:multiLevelType w:val="hybridMultilevel"/>
    <w:tmpl w:val="B74ED3C8"/>
    <w:lvl w:ilvl="0" w:tplc="140A0001">
      <w:start w:val="1"/>
      <w:numFmt w:val="bullet"/>
      <w:lvlText w:val=""/>
      <w:lvlJc w:val="left"/>
      <w:pPr>
        <w:ind w:left="780" w:hanging="360"/>
      </w:pPr>
      <w:rPr>
        <w:rFonts w:ascii="Symbol" w:hAnsi="Symbol" w:hint="default"/>
      </w:rPr>
    </w:lvl>
    <w:lvl w:ilvl="1" w:tplc="140A0003">
      <w:start w:val="1"/>
      <w:numFmt w:val="bullet"/>
      <w:lvlText w:val="o"/>
      <w:lvlJc w:val="left"/>
      <w:pPr>
        <w:ind w:left="1500" w:hanging="360"/>
      </w:pPr>
      <w:rPr>
        <w:rFonts w:ascii="Courier New" w:hAnsi="Courier New" w:cs="Courier New" w:hint="default"/>
      </w:rPr>
    </w:lvl>
    <w:lvl w:ilvl="2" w:tplc="140A0005">
      <w:start w:val="1"/>
      <w:numFmt w:val="bullet"/>
      <w:lvlText w:val=""/>
      <w:lvlJc w:val="left"/>
      <w:pPr>
        <w:ind w:left="2220" w:hanging="360"/>
      </w:pPr>
      <w:rPr>
        <w:rFonts w:ascii="Wingdings" w:hAnsi="Wingdings" w:hint="default"/>
      </w:rPr>
    </w:lvl>
    <w:lvl w:ilvl="3" w:tplc="140A0001">
      <w:start w:val="1"/>
      <w:numFmt w:val="bullet"/>
      <w:lvlText w:val=""/>
      <w:lvlJc w:val="left"/>
      <w:pPr>
        <w:ind w:left="2940" w:hanging="360"/>
      </w:pPr>
      <w:rPr>
        <w:rFonts w:ascii="Symbol" w:hAnsi="Symbol" w:hint="default"/>
      </w:rPr>
    </w:lvl>
    <w:lvl w:ilvl="4" w:tplc="140A0003">
      <w:start w:val="1"/>
      <w:numFmt w:val="bullet"/>
      <w:lvlText w:val="o"/>
      <w:lvlJc w:val="left"/>
      <w:pPr>
        <w:ind w:left="3660" w:hanging="360"/>
      </w:pPr>
      <w:rPr>
        <w:rFonts w:ascii="Courier New" w:hAnsi="Courier New" w:cs="Courier New" w:hint="default"/>
      </w:rPr>
    </w:lvl>
    <w:lvl w:ilvl="5" w:tplc="140A0005">
      <w:start w:val="1"/>
      <w:numFmt w:val="bullet"/>
      <w:lvlText w:val=""/>
      <w:lvlJc w:val="left"/>
      <w:pPr>
        <w:ind w:left="4380" w:hanging="360"/>
      </w:pPr>
      <w:rPr>
        <w:rFonts w:ascii="Wingdings" w:hAnsi="Wingdings" w:hint="default"/>
      </w:rPr>
    </w:lvl>
    <w:lvl w:ilvl="6" w:tplc="140A0001">
      <w:start w:val="1"/>
      <w:numFmt w:val="bullet"/>
      <w:lvlText w:val=""/>
      <w:lvlJc w:val="left"/>
      <w:pPr>
        <w:ind w:left="5100" w:hanging="360"/>
      </w:pPr>
      <w:rPr>
        <w:rFonts w:ascii="Symbol" w:hAnsi="Symbol" w:hint="default"/>
      </w:rPr>
    </w:lvl>
    <w:lvl w:ilvl="7" w:tplc="140A0003">
      <w:start w:val="1"/>
      <w:numFmt w:val="bullet"/>
      <w:lvlText w:val="o"/>
      <w:lvlJc w:val="left"/>
      <w:pPr>
        <w:ind w:left="5820" w:hanging="360"/>
      </w:pPr>
      <w:rPr>
        <w:rFonts w:ascii="Courier New" w:hAnsi="Courier New" w:cs="Courier New" w:hint="default"/>
      </w:rPr>
    </w:lvl>
    <w:lvl w:ilvl="8" w:tplc="140A0005">
      <w:start w:val="1"/>
      <w:numFmt w:val="bullet"/>
      <w:lvlText w:val=""/>
      <w:lvlJc w:val="left"/>
      <w:pPr>
        <w:ind w:left="6540" w:hanging="360"/>
      </w:pPr>
      <w:rPr>
        <w:rFonts w:ascii="Wingdings" w:hAnsi="Wingdings" w:hint="default"/>
      </w:rPr>
    </w:lvl>
  </w:abstractNum>
  <w:abstractNum w:abstractNumId="46" w15:restartNumberingAfterBreak="0">
    <w:nsid w:val="37074E55"/>
    <w:multiLevelType w:val="hybridMultilevel"/>
    <w:tmpl w:val="B53E9882"/>
    <w:lvl w:ilvl="0" w:tplc="140A000D">
      <w:start w:val="1"/>
      <w:numFmt w:val="bullet"/>
      <w:lvlText w:val=""/>
      <w:lvlJc w:val="left"/>
      <w:pPr>
        <w:ind w:left="720" w:hanging="360"/>
      </w:pPr>
      <w:rPr>
        <w:rFonts w:ascii="Wingdings" w:hAnsi="Wingdings" w:cs="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7" w15:restartNumberingAfterBreak="0">
    <w:nsid w:val="3A33084F"/>
    <w:multiLevelType w:val="hybridMultilevel"/>
    <w:tmpl w:val="DA1E6950"/>
    <w:lvl w:ilvl="0" w:tplc="140A000F">
      <w:start w:val="1"/>
      <w:numFmt w:val="decimal"/>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48" w15:restartNumberingAfterBreak="0">
    <w:nsid w:val="3BFB4CE9"/>
    <w:multiLevelType w:val="hybridMultilevel"/>
    <w:tmpl w:val="B226D6A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9" w15:restartNumberingAfterBreak="0">
    <w:nsid w:val="3C6E01B9"/>
    <w:multiLevelType w:val="multilevel"/>
    <w:tmpl w:val="9774D4CC"/>
    <w:lvl w:ilvl="0">
      <w:start w:val="6"/>
      <w:numFmt w:val="decimal"/>
      <w:lvlText w:val="%1"/>
      <w:lvlJc w:val="left"/>
      <w:pPr>
        <w:ind w:left="456" w:hanging="456"/>
      </w:pPr>
      <w:rPr>
        <w:rFonts w:hint="default"/>
      </w:rPr>
    </w:lvl>
    <w:lvl w:ilvl="1">
      <w:start w:val="1"/>
      <w:numFmt w:val="decimal"/>
      <w:lvlText w:val="%1.%2"/>
      <w:lvlJc w:val="left"/>
      <w:pPr>
        <w:ind w:left="636" w:hanging="456"/>
      </w:pPr>
      <w:rPr>
        <w:rFonts w:hint="default"/>
      </w:rPr>
    </w:lvl>
    <w:lvl w:ilvl="2">
      <w:start w:val="1"/>
      <w:numFmt w:val="decimal"/>
      <w:lvlText w:val="%1.%2.%3"/>
      <w:lvlJc w:val="left"/>
      <w:pPr>
        <w:ind w:left="1080" w:hanging="720"/>
      </w:pPr>
      <w:rPr>
        <w:rFonts w:hint="default"/>
      </w:rPr>
    </w:lvl>
    <w:lvl w:ilvl="3">
      <w:start w:val="1"/>
      <w:numFmt w:val="decimal"/>
      <w:lvlText w:val="%1.%2.%3.%4"/>
      <w:lvlJc w:val="left"/>
      <w:pPr>
        <w:ind w:left="1260" w:hanging="72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1980" w:hanging="108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2700" w:hanging="1440"/>
      </w:pPr>
      <w:rPr>
        <w:rFonts w:hint="default"/>
      </w:rPr>
    </w:lvl>
    <w:lvl w:ilvl="8">
      <w:start w:val="1"/>
      <w:numFmt w:val="decimal"/>
      <w:lvlText w:val="%1.%2.%3.%4.%5.%6.%7.%8.%9"/>
      <w:lvlJc w:val="left"/>
      <w:pPr>
        <w:ind w:left="2880" w:hanging="1440"/>
      </w:pPr>
      <w:rPr>
        <w:rFonts w:hint="default"/>
      </w:rPr>
    </w:lvl>
  </w:abstractNum>
  <w:abstractNum w:abstractNumId="50" w15:restartNumberingAfterBreak="0">
    <w:nsid w:val="3EDC4574"/>
    <w:multiLevelType w:val="multilevel"/>
    <w:tmpl w:val="4D645996"/>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51" w15:restartNumberingAfterBreak="0">
    <w:nsid w:val="43567FBA"/>
    <w:multiLevelType w:val="multilevel"/>
    <w:tmpl w:val="A4FCED4E"/>
    <w:lvl w:ilvl="0">
      <w:start w:val="5"/>
      <w:numFmt w:val="decimal"/>
      <w:lvlText w:val="%1."/>
      <w:lvlJc w:val="left"/>
      <w:pPr>
        <w:ind w:left="513" w:hanging="513"/>
      </w:pPr>
      <w:rPr>
        <w:rFonts w:hint="default"/>
      </w:rPr>
    </w:lvl>
    <w:lvl w:ilvl="1">
      <w:start w:val="2"/>
      <w:numFmt w:val="decimal"/>
      <w:lvlText w:val="%1.%2."/>
      <w:lvlJc w:val="left"/>
      <w:pPr>
        <w:ind w:left="873" w:hanging="513"/>
      </w:pPr>
      <w:rPr>
        <w:rFonts w:hint="default"/>
      </w:rPr>
    </w:lvl>
    <w:lvl w:ilvl="2">
      <w:start w:val="2"/>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52" w15:restartNumberingAfterBreak="0">
    <w:nsid w:val="43612662"/>
    <w:multiLevelType w:val="hybridMultilevel"/>
    <w:tmpl w:val="8F2E698A"/>
    <w:lvl w:ilvl="0" w:tplc="140A0015">
      <w:start w:val="1"/>
      <w:numFmt w:val="upperLetter"/>
      <w:lvlText w:val="%1."/>
      <w:lvlJc w:val="left"/>
      <w:pPr>
        <w:ind w:left="720" w:hanging="360"/>
      </w:pPr>
      <w:rPr>
        <w:rFont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53" w15:restartNumberingAfterBreak="0">
    <w:nsid w:val="43BA73CD"/>
    <w:multiLevelType w:val="multilevel"/>
    <w:tmpl w:val="A4D8765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4" w15:restartNumberingAfterBreak="0">
    <w:nsid w:val="45423423"/>
    <w:multiLevelType w:val="hybridMultilevel"/>
    <w:tmpl w:val="E1FE732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55" w15:restartNumberingAfterBreak="0">
    <w:nsid w:val="46FF7778"/>
    <w:multiLevelType w:val="multilevel"/>
    <w:tmpl w:val="381C080A"/>
    <w:lvl w:ilvl="0">
      <w:start w:val="11"/>
      <w:numFmt w:val="decimal"/>
      <w:lvlText w:val="%1"/>
      <w:lvlJc w:val="left"/>
      <w:pPr>
        <w:ind w:left="399" w:hanging="399"/>
      </w:pPr>
      <w:rPr>
        <w:rFonts w:hint="default"/>
      </w:rPr>
    </w:lvl>
    <w:lvl w:ilvl="1">
      <w:start w:val="1"/>
      <w:numFmt w:val="decimal"/>
      <w:lvlText w:val="%1.%2"/>
      <w:lvlJc w:val="left"/>
      <w:pPr>
        <w:ind w:left="966" w:hanging="399"/>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56" w15:restartNumberingAfterBreak="0">
    <w:nsid w:val="47DD2C5A"/>
    <w:multiLevelType w:val="hybridMultilevel"/>
    <w:tmpl w:val="08F26AC0"/>
    <w:lvl w:ilvl="0" w:tplc="F6943900">
      <w:start w:val="1"/>
      <w:numFmt w:val="decimal"/>
      <w:lvlText w:val="%1."/>
      <w:lvlJc w:val="left"/>
      <w:pPr>
        <w:ind w:left="720" w:hanging="360"/>
      </w:pPr>
      <w:rPr>
        <w:rFonts w:hint="default"/>
        <w:b/>
        <w:u w:val="single"/>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57" w15:restartNumberingAfterBreak="0">
    <w:nsid w:val="48564DC5"/>
    <w:multiLevelType w:val="multilevel"/>
    <w:tmpl w:val="6A8269DA"/>
    <w:lvl w:ilvl="0">
      <w:start w:val="6"/>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58" w15:restartNumberingAfterBreak="0">
    <w:nsid w:val="4A310192"/>
    <w:multiLevelType w:val="multilevel"/>
    <w:tmpl w:val="BE18237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9" w15:restartNumberingAfterBreak="0">
    <w:nsid w:val="4A7229FD"/>
    <w:multiLevelType w:val="hybridMultilevel"/>
    <w:tmpl w:val="FB20C368"/>
    <w:lvl w:ilvl="0" w:tplc="140A000D">
      <w:start w:val="1"/>
      <w:numFmt w:val="bullet"/>
      <w:lvlText w:val=""/>
      <w:lvlJc w:val="left"/>
      <w:pPr>
        <w:ind w:left="720" w:hanging="360"/>
      </w:pPr>
      <w:rPr>
        <w:rFonts w:ascii="Wingdings" w:hAnsi="Wingdings" w:cs="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60" w15:restartNumberingAfterBreak="0">
    <w:nsid w:val="4ABB342E"/>
    <w:multiLevelType w:val="hybridMultilevel"/>
    <w:tmpl w:val="196A774E"/>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61" w15:restartNumberingAfterBreak="0">
    <w:nsid w:val="4B733662"/>
    <w:multiLevelType w:val="hybridMultilevel"/>
    <w:tmpl w:val="2AAC81E6"/>
    <w:lvl w:ilvl="0" w:tplc="8D4635B8">
      <w:start w:val="1"/>
      <w:numFmt w:val="decimal"/>
      <w:lvlText w:val="%1."/>
      <w:lvlJc w:val="left"/>
      <w:pPr>
        <w:ind w:left="1080" w:hanging="360"/>
      </w:pPr>
      <w:rPr>
        <w:rFonts w:hint="default"/>
        <w:b/>
        <w:u w:val="single"/>
      </w:rPr>
    </w:lvl>
    <w:lvl w:ilvl="1" w:tplc="140A0019" w:tentative="1">
      <w:start w:val="1"/>
      <w:numFmt w:val="lowerLetter"/>
      <w:lvlText w:val="%2."/>
      <w:lvlJc w:val="left"/>
      <w:pPr>
        <w:ind w:left="1800" w:hanging="360"/>
      </w:pPr>
    </w:lvl>
    <w:lvl w:ilvl="2" w:tplc="140A001B" w:tentative="1">
      <w:start w:val="1"/>
      <w:numFmt w:val="lowerRoman"/>
      <w:lvlText w:val="%3."/>
      <w:lvlJc w:val="right"/>
      <w:pPr>
        <w:ind w:left="2520" w:hanging="180"/>
      </w:pPr>
    </w:lvl>
    <w:lvl w:ilvl="3" w:tplc="140A000F" w:tentative="1">
      <w:start w:val="1"/>
      <w:numFmt w:val="decimal"/>
      <w:lvlText w:val="%4."/>
      <w:lvlJc w:val="left"/>
      <w:pPr>
        <w:ind w:left="3240" w:hanging="360"/>
      </w:pPr>
    </w:lvl>
    <w:lvl w:ilvl="4" w:tplc="140A0019" w:tentative="1">
      <w:start w:val="1"/>
      <w:numFmt w:val="lowerLetter"/>
      <w:lvlText w:val="%5."/>
      <w:lvlJc w:val="left"/>
      <w:pPr>
        <w:ind w:left="3960" w:hanging="360"/>
      </w:pPr>
    </w:lvl>
    <w:lvl w:ilvl="5" w:tplc="140A001B" w:tentative="1">
      <w:start w:val="1"/>
      <w:numFmt w:val="lowerRoman"/>
      <w:lvlText w:val="%6."/>
      <w:lvlJc w:val="right"/>
      <w:pPr>
        <w:ind w:left="4680" w:hanging="180"/>
      </w:pPr>
    </w:lvl>
    <w:lvl w:ilvl="6" w:tplc="140A000F" w:tentative="1">
      <w:start w:val="1"/>
      <w:numFmt w:val="decimal"/>
      <w:lvlText w:val="%7."/>
      <w:lvlJc w:val="left"/>
      <w:pPr>
        <w:ind w:left="5400" w:hanging="360"/>
      </w:pPr>
    </w:lvl>
    <w:lvl w:ilvl="7" w:tplc="140A0019" w:tentative="1">
      <w:start w:val="1"/>
      <w:numFmt w:val="lowerLetter"/>
      <w:lvlText w:val="%8."/>
      <w:lvlJc w:val="left"/>
      <w:pPr>
        <w:ind w:left="6120" w:hanging="360"/>
      </w:pPr>
    </w:lvl>
    <w:lvl w:ilvl="8" w:tplc="140A001B" w:tentative="1">
      <w:start w:val="1"/>
      <w:numFmt w:val="lowerRoman"/>
      <w:lvlText w:val="%9."/>
      <w:lvlJc w:val="right"/>
      <w:pPr>
        <w:ind w:left="6840" w:hanging="180"/>
      </w:pPr>
    </w:lvl>
  </w:abstractNum>
  <w:abstractNum w:abstractNumId="62" w15:restartNumberingAfterBreak="0">
    <w:nsid w:val="4BDD33BA"/>
    <w:multiLevelType w:val="hybridMultilevel"/>
    <w:tmpl w:val="375073DE"/>
    <w:lvl w:ilvl="0" w:tplc="140A000F">
      <w:start w:val="1"/>
      <w:numFmt w:val="decimal"/>
      <w:lvlText w:val="%1."/>
      <w:lvlJc w:val="left"/>
      <w:pPr>
        <w:ind w:left="720" w:hanging="360"/>
      </w:pPr>
    </w:lvl>
    <w:lvl w:ilvl="1" w:tplc="140A0019">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63" w15:restartNumberingAfterBreak="0">
    <w:nsid w:val="4BE25236"/>
    <w:multiLevelType w:val="hybridMultilevel"/>
    <w:tmpl w:val="E74AC084"/>
    <w:lvl w:ilvl="0" w:tplc="1102CCD6">
      <w:start w:val="4"/>
      <w:numFmt w:val="decimal"/>
      <w:lvlText w:val="%1."/>
      <w:lvlJc w:val="left"/>
      <w:pPr>
        <w:ind w:left="1069" w:hanging="360"/>
      </w:pPr>
      <w:rPr>
        <w:rFonts w:hint="default"/>
      </w:rPr>
    </w:lvl>
    <w:lvl w:ilvl="1" w:tplc="140A0019" w:tentative="1">
      <w:start w:val="1"/>
      <w:numFmt w:val="lowerLetter"/>
      <w:lvlText w:val="%2."/>
      <w:lvlJc w:val="left"/>
      <w:pPr>
        <w:ind w:left="1789" w:hanging="360"/>
      </w:pPr>
    </w:lvl>
    <w:lvl w:ilvl="2" w:tplc="140A001B">
      <w:start w:val="1"/>
      <w:numFmt w:val="lowerRoman"/>
      <w:lvlText w:val="%3."/>
      <w:lvlJc w:val="right"/>
      <w:pPr>
        <w:ind w:left="2509" w:hanging="180"/>
      </w:pPr>
    </w:lvl>
    <w:lvl w:ilvl="3" w:tplc="140A000F" w:tentative="1">
      <w:start w:val="1"/>
      <w:numFmt w:val="decimal"/>
      <w:lvlText w:val="%4."/>
      <w:lvlJc w:val="left"/>
      <w:pPr>
        <w:ind w:left="3229" w:hanging="360"/>
      </w:pPr>
    </w:lvl>
    <w:lvl w:ilvl="4" w:tplc="140A0019" w:tentative="1">
      <w:start w:val="1"/>
      <w:numFmt w:val="lowerLetter"/>
      <w:lvlText w:val="%5."/>
      <w:lvlJc w:val="left"/>
      <w:pPr>
        <w:ind w:left="3949" w:hanging="360"/>
      </w:pPr>
    </w:lvl>
    <w:lvl w:ilvl="5" w:tplc="140A001B" w:tentative="1">
      <w:start w:val="1"/>
      <w:numFmt w:val="lowerRoman"/>
      <w:lvlText w:val="%6."/>
      <w:lvlJc w:val="right"/>
      <w:pPr>
        <w:ind w:left="4669" w:hanging="180"/>
      </w:pPr>
    </w:lvl>
    <w:lvl w:ilvl="6" w:tplc="140A000F" w:tentative="1">
      <w:start w:val="1"/>
      <w:numFmt w:val="decimal"/>
      <w:lvlText w:val="%7."/>
      <w:lvlJc w:val="left"/>
      <w:pPr>
        <w:ind w:left="5389" w:hanging="360"/>
      </w:pPr>
    </w:lvl>
    <w:lvl w:ilvl="7" w:tplc="140A0019" w:tentative="1">
      <w:start w:val="1"/>
      <w:numFmt w:val="lowerLetter"/>
      <w:lvlText w:val="%8."/>
      <w:lvlJc w:val="left"/>
      <w:pPr>
        <w:ind w:left="6109" w:hanging="360"/>
      </w:pPr>
    </w:lvl>
    <w:lvl w:ilvl="8" w:tplc="140A001B" w:tentative="1">
      <w:start w:val="1"/>
      <w:numFmt w:val="lowerRoman"/>
      <w:lvlText w:val="%9."/>
      <w:lvlJc w:val="right"/>
      <w:pPr>
        <w:ind w:left="6829" w:hanging="180"/>
      </w:pPr>
    </w:lvl>
  </w:abstractNum>
  <w:abstractNum w:abstractNumId="64" w15:restartNumberingAfterBreak="0">
    <w:nsid w:val="4C187621"/>
    <w:multiLevelType w:val="hybridMultilevel"/>
    <w:tmpl w:val="698ECAA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65" w15:restartNumberingAfterBreak="0">
    <w:nsid w:val="4D075910"/>
    <w:multiLevelType w:val="hybridMultilevel"/>
    <w:tmpl w:val="9B823A94"/>
    <w:lvl w:ilvl="0" w:tplc="BA0019B6">
      <w:start w:val="1"/>
      <w:numFmt w:val="decimal"/>
      <w:lvlText w:val="%1."/>
      <w:lvlJc w:val="left"/>
      <w:pPr>
        <w:ind w:left="1080" w:hanging="360"/>
      </w:pPr>
      <w:rPr>
        <w:rFonts w:hint="default"/>
        <w:b/>
        <w:u w:val="single"/>
      </w:rPr>
    </w:lvl>
    <w:lvl w:ilvl="1" w:tplc="140A0019" w:tentative="1">
      <w:start w:val="1"/>
      <w:numFmt w:val="lowerLetter"/>
      <w:lvlText w:val="%2."/>
      <w:lvlJc w:val="left"/>
      <w:pPr>
        <w:ind w:left="1800" w:hanging="360"/>
      </w:pPr>
    </w:lvl>
    <w:lvl w:ilvl="2" w:tplc="140A001B" w:tentative="1">
      <w:start w:val="1"/>
      <w:numFmt w:val="lowerRoman"/>
      <w:lvlText w:val="%3."/>
      <w:lvlJc w:val="right"/>
      <w:pPr>
        <w:ind w:left="2520" w:hanging="180"/>
      </w:pPr>
    </w:lvl>
    <w:lvl w:ilvl="3" w:tplc="140A000F" w:tentative="1">
      <w:start w:val="1"/>
      <w:numFmt w:val="decimal"/>
      <w:lvlText w:val="%4."/>
      <w:lvlJc w:val="left"/>
      <w:pPr>
        <w:ind w:left="3240" w:hanging="360"/>
      </w:pPr>
    </w:lvl>
    <w:lvl w:ilvl="4" w:tplc="140A0019" w:tentative="1">
      <w:start w:val="1"/>
      <w:numFmt w:val="lowerLetter"/>
      <w:lvlText w:val="%5."/>
      <w:lvlJc w:val="left"/>
      <w:pPr>
        <w:ind w:left="3960" w:hanging="360"/>
      </w:pPr>
    </w:lvl>
    <w:lvl w:ilvl="5" w:tplc="140A001B" w:tentative="1">
      <w:start w:val="1"/>
      <w:numFmt w:val="lowerRoman"/>
      <w:lvlText w:val="%6."/>
      <w:lvlJc w:val="right"/>
      <w:pPr>
        <w:ind w:left="4680" w:hanging="180"/>
      </w:pPr>
    </w:lvl>
    <w:lvl w:ilvl="6" w:tplc="140A000F" w:tentative="1">
      <w:start w:val="1"/>
      <w:numFmt w:val="decimal"/>
      <w:lvlText w:val="%7."/>
      <w:lvlJc w:val="left"/>
      <w:pPr>
        <w:ind w:left="5400" w:hanging="360"/>
      </w:pPr>
    </w:lvl>
    <w:lvl w:ilvl="7" w:tplc="140A0019" w:tentative="1">
      <w:start w:val="1"/>
      <w:numFmt w:val="lowerLetter"/>
      <w:lvlText w:val="%8."/>
      <w:lvlJc w:val="left"/>
      <w:pPr>
        <w:ind w:left="6120" w:hanging="360"/>
      </w:pPr>
    </w:lvl>
    <w:lvl w:ilvl="8" w:tplc="140A001B" w:tentative="1">
      <w:start w:val="1"/>
      <w:numFmt w:val="lowerRoman"/>
      <w:lvlText w:val="%9."/>
      <w:lvlJc w:val="right"/>
      <w:pPr>
        <w:ind w:left="6840" w:hanging="180"/>
      </w:pPr>
    </w:lvl>
  </w:abstractNum>
  <w:abstractNum w:abstractNumId="66" w15:restartNumberingAfterBreak="0">
    <w:nsid w:val="4E0D0A88"/>
    <w:multiLevelType w:val="hybridMultilevel"/>
    <w:tmpl w:val="77126EBE"/>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67" w15:restartNumberingAfterBreak="0">
    <w:nsid w:val="4E154533"/>
    <w:multiLevelType w:val="hybridMultilevel"/>
    <w:tmpl w:val="FDB46E36"/>
    <w:lvl w:ilvl="0" w:tplc="B54A5B54">
      <w:start w:val="1"/>
      <w:numFmt w:val="decimal"/>
      <w:lvlText w:val="%1."/>
      <w:lvlJc w:val="left"/>
      <w:pPr>
        <w:ind w:left="720" w:hanging="360"/>
      </w:pPr>
      <w:rPr>
        <w:rFonts w:hint="default"/>
        <w:b/>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68" w15:restartNumberingAfterBreak="0">
    <w:nsid w:val="4E41638A"/>
    <w:multiLevelType w:val="multilevel"/>
    <w:tmpl w:val="D27ECC2C"/>
    <w:lvl w:ilvl="0">
      <w:start w:val="1"/>
      <w:numFmt w:val="decimal"/>
      <w:lvlText w:val="%1."/>
      <w:lvlJc w:val="left"/>
      <w:pPr>
        <w:ind w:left="720" w:hanging="360"/>
      </w:pPr>
    </w:lvl>
    <w:lvl w:ilvl="1">
      <w:start w:val="2"/>
      <w:numFmt w:val="decimal"/>
      <w:isLgl/>
      <w:lvlText w:val="%1.%2"/>
      <w:lvlJc w:val="left"/>
      <w:pPr>
        <w:ind w:left="996" w:hanging="456"/>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620" w:hanging="720"/>
      </w:pPr>
      <w:rPr>
        <w:rFonts w:hint="default"/>
      </w:rPr>
    </w:lvl>
    <w:lvl w:ilvl="4">
      <w:start w:val="1"/>
      <w:numFmt w:val="decimal"/>
      <w:isLgl/>
      <w:lvlText w:val="%1.%2.%3.%4.%5"/>
      <w:lvlJc w:val="left"/>
      <w:pPr>
        <w:ind w:left="2160" w:hanging="1080"/>
      </w:pPr>
      <w:rPr>
        <w:rFonts w:hint="default"/>
      </w:rPr>
    </w:lvl>
    <w:lvl w:ilvl="5">
      <w:start w:val="1"/>
      <w:numFmt w:val="decimal"/>
      <w:isLgl/>
      <w:lvlText w:val="%1.%2.%3.%4.%5.%6"/>
      <w:lvlJc w:val="left"/>
      <w:pPr>
        <w:ind w:left="2340" w:hanging="1080"/>
      </w:pPr>
      <w:rPr>
        <w:rFonts w:hint="default"/>
      </w:rPr>
    </w:lvl>
    <w:lvl w:ilvl="6">
      <w:start w:val="1"/>
      <w:numFmt w:val="decimal"/>
      <w:isLgl/>
      <w:lvlText w:val="%1.%2.%3.%4.%5.%6.%7"/>
      <w:lvlJc w:val="left"/>
      <w:pPr>
        <w:ind w:left="2880" w:hanging="1440"/>
      </w:pPr>
      <w:rPr>
        <w:rFonts w:hint="default"/>
      </w:rPr>
    </w:lvl>
    <w:lvl w:ilvl="7">
      <w:start w:val="1"/>
      <w:numFmt w:val="decimal"/>
      <w:isLgl/>
      <w:lvlText w:val="%1.%2.%3.%4.%5.%6.%7.%8"/>
      <w:lvlJc w:val="left"/>
      <w:pPr>
        <w:ind w:left="3060" w:hanging="1440"/>
      </w:pPr>
      <w:rPr>
        <w:rFonts w:hint="default"/>
      </w:rPr>
    </w:lvl>
    <w:lvl w:ilvl="8">
      <w:start w:val="1"/>
      <w:numFmt w:val="decimal"/>
      <w:isLgl/>
      <w:lvlText w:val="%1.%2.%3.%4.%5.%6.%7.%8.%9"/>
      <w:lvlJc w:val="left"/>
      <w:pPr>
        <w:ind w:left="3240" w:hanging="1440"/>
      </w:pPr>
      <w:rPr>
        <w:rFonts w:hint="default"/>
      </w:rPr>
    </w:lvl>
  </w:abstractNum>
  <w:abstractNum w:abstractNumId="69" w15:restartNumberingAfterBreak="0">
    <w:nsid w:val="4EBD74B8"/>
    <w:multiLevelType w:val="hybridMultilevel"/>
    <w:tmpl w:val="1924C42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70" w15:restartNumberingAfterBreak="0">
    <w:nsid w:val="500E7A39"/>
    <w:multiLevelType w:val="multilevel"/>
    <w:tmpl w:val="90C432AE"/>
    <w:lvl w:ilvl="0">
      <w:start w:val="1"/>
      <w:numFmt w:val="decimal"/>
      <w:pStyle w:val="Ttulo2"/>
      <w:lvlText w:val="%1."/>
      <w:lvlJc w:val="left"/>
      <w:pPr>
        <w:ind w:left="1069" w:hanging="360"/>
      </w:pPr>
      <w:rPr>
        <w:rFonts w:hint="default"/>
        <w:color w:val="000000"/>
        <w:sz w:val="36"/>
        <w:szCs w:val="48"/>
      </w:rPr>
    </w:lvl>
    <w:lvl w:ilvl="1">
      <w:start w:val="1"/>
      <w:numFmt w:val="decimal"/>
      <w:isLgl/>
      <w:lvlText w:val="%1.%2"/>
      <w:lvlJc w:val="left"/>
      <w:pPr>
        <w:ind w:left="1099" w:hanging="39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429" w:hanging="72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1789" w:hanging="108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149" w:hanging="1440"/>
      </w:pPr>
      <w:rPr>
        <w:rFonts w:hint="default"/>
      </w:rPr>
    </w:lvl>
    <w:lvl w:ilvl="8">
      <w:start w:val="1"/>
      <w:numFmt w:val="decimal"/>
      <w:isLgl/>
      <w:lvlText w:val="%1.%2.%3.%4.%5.%6.%7.%8.%9"/>
      <w:lvlJc w:val="left"/>
      <w:pPr>
        <w:ind w:left="2149" w:hanging="1440"/>
      </w:pPr>
      <w:rPr>
        <w:rFonts w:hint="default"/>
      </w:rPr>
    </w:lvl>
  </w:abstractNum>
  <w:abstractNum w:abstractNumId="71" w15:restartNumberingAfterBreak="0">
    <w:nsid w:val="502C6BD9"/>
    <w:multiLevelType w:val="hybridMultilevel"/>
    <w:tmpl w:val="EFB46A2E"/>
    <w:lvl w:ilvl="0" w:tplc="140A0017">
      <w:start w:val="1"/>
      <w:numFmt w:val="low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72" w15:restartNumberingAfterBreak="0">
    <w:nsid w:val="51E15EC2"/>
    <w:multiLevelType w:val="hybridMultilevel"/>
    <w:tmpl w:val="2B76A34A"/>
    <w:lvl w:ilvl="0" w:tplc="140A000F">
      <w:start w:val="1"/>
      <w:numFmt w:val="decimal"/>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73" w15:restartNumberingAfterBreak="0">
    <w:nsid w:val="55207872"/>
    <w:multiLevelType w:val="hybridMultilevel"/>
    <w:tmpl w:val="FFAACBE6"/>
    <w:lvl w:ilvl="0" w:tplc="EA4C1932">
      <w:start w:val="1"/>
      <w:numFmt w:val="decimal"/>
      <w:lvlText w:val="%1."/>
      <w:lvlJc w:val="left"/>
      <w:pPr>
        <w:ind w:left="1080" w:hanging="360"/>
      </w:pPr>
      <w:rPr>
        <w:rFonts w:hint="default"/>
        <w:b/>
        <w:u w:val="single"/>
      </w:rPr>
    </w:lvl>
    <w:lvl w:ilvl="1" w:tplc="140A0019" w:tentative="1">
      <w:start w:val="1"/>
      <w:numFmt w:val="lowerLetter"/>
      <w:lvlText w:val="%2."/>
      <w:lvlJc w:val="left"/>
      <w:pPr>
        <w:ind w:left="1800" w:hanging="360"/>
      </w:pPr>
    </w:lvl>
    <w:lvl w:ilvl="2" w:tplc="140A001B" w:tentative="1">
      <w:start w:val="1"/>
      <w:numFmt w:val="lowerRoman"/>
      <w:lvlText w:val="%3."/>
      <w:lvlJc w:val="right"/>
      <w:pPr>
        <w:ind w:left="2520" w:hanging="180"/>
      </w:pPr>
    </w:lvl>
    <w:lvl w:ilvl="3" w:tplc="140A000F" w:tentative="1">
      <w:start w:val="1"/>
      <w:numFmt w:val="decimal"/>
      <w:lvlText w:val="%4."/>
      <w:lvlJc w:val="left"/>
      <w:pPr>
        <w:ind w:left="3240" w:hanging="360"/>
      </w:pPr>
    </w:lvl>
    <w:lvl w:ilvl="4" w:tplc="140A0019" w:tentative="1">
      <w:start w:val="1"/>
      <w:numFmt w:val="lowerLetter"/>
      <w:lvlText w:val="%5."/>
      <w:lvlJc w:val="left"/>
      <w:pPr>
        <w:ind w:left="3960" w:hanging="360"/>
      </w:pPr>
    </w:lvl>
    <w:lvl w:ilvl="5" w:tplc="140A001B" w:tentative="1">
      <w:start w:val="1"/>
      <w:numFmt w:val="lowerRoman"/>
      <w:lvlText w:val="%6."/>
      <w:lvlJc w:val="right"/>
      <w:pPr>
        <w:ind w:left="4680" w:hanging="180"/>
      </w:pPr>
    </w:lvl>
    <w:lvl w:ilvl="6" w:tplc="140A000F" w:tentative="1">
      <w:start w:val="1"/>
      <w:numFmt w:val="decimal"/>
      <w:lvlText w:val="%7."/>
      <w:lvlJc w:val="left"/>
      <w:pPr>
        <w:ind w:left="5400" w:hanging="360"/>
      </w:pPr>
    </w:lvl>
    <w:lvl w:ilvl="7" w:tplc="140A0019" w:tentative="1">
      <w:start w:val="1"/>
      <w:numFmt w:val="lowerLetter"/>
      <w:lvlText w:val="%8."/>
      <w:lvlJc w:val="left"/>
      <w:pPr>
        <w:ind w:left="6120" w:hanging="360"/>
      </w:pPr>
    </w:lvl>
    <w:lvl w:ilvl="8" w:tplc="140A001B" w:tentative="1">
      <w:start w:val="1"/>
      <w:numFmt w:val="lowerRoman"/>
      <w:lvlText w:val="%9."/>
      <w:lvlJc w:val="right"/>
      <w:pPr>
        <w:ind w:left="6840" w:hanging="180"/>
      </w:pPr>
    </w:lvl>
  </w:abstractNum>
  <w:abstractNum w:abstractNumId="74" w15:restartNumberingAfterBreak="0">
    <w:nsid w:val="554F0749"/>
    <w:multiLevelType w:val="hybridMultilevel"/>
    <w:tmpl w:val="022495EE"/>
    <w:lvl w:ilvl="0" w:tplc="B69C1B12">
      <w:numFmt w:val="bullet"/>
      <w:lvlText w:val="-"/>
      <w:lvlJc w:val="left"/>
      <w:pPr>
        <w:ind w:left="720" w:hanging="360"/>
      </w:pPr>
      <w:rPr>
        <w:rFonts w:ascii="Arial Narrow" w:eastAsia="Times New Roman" w:hAnsi="Arial Narrow" w:cs="Times New Roman"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75" w15:restartNumberingAfterBreak="0">
    <w:nsid w:val="55FE3627"/>
    <w:multiLevelType w:val="hybridMultilevel"/>
    <w:tmpl w:val="BA48CBE8"/>
    <w:lvl w:ilvl="0" w:tplc="140A0001">
      <w:start w:val="1"/>
      <w:numFmt w:val="bullet"/>
      <w:lvlText w:val=""/>
      <w:lvlJc w:val="left"/>
      <w:pPr>
        <w:ind w:left="1800" w:hanging="360"/>
      </w:pPr>
      <w:rPr>
        <w:rFonts w:ascii="Symbol" w:hAnsi="Symbol" w:hint="default"/>
      </w:rPr>
    </w:lvl>
    <w:lvl w:ilvl="1" w:tplc="140A0003" w:tentative="1">
      <w:start w:val="1"/>
      <w:numFmt w:val="bullet"/>
      <w:lvlText w:val="o"/>
      <w:lvlJc w:val="left"/>
      <w:pPr>
        <w:ind w:left="2520" w:hanging="360"/>
      </w:pPr>
      <w:rPr>
        <w:rFonts w:ascii="Courier New" w:hAnsi="Courier New" w:cs="Courier New" w:hint="default"/>
      </w:rPr>
    </w:lvl>
    <w:lvl w:ilvl="2" w:tplc="140A0005" w:tentative="1">
      <w:start w:val="1"/>
      <w:numFmt w:val="bullet"/>
      <w:lvlText w:val=""/>
      <w:lvlJc w:val="left"/>
      <w:pPr>
        <w:ind w:left="3240" w:hanging="360"/>
      </w:pPr>
      <w:rPr>
        <w:rFonts w:ascii="Wingdings" w:hAnsi="Wingdings" w:hint="default"/>
      </w:rPr>
    </w:lvl>
    <w:lvl w:ilvl="3" w:tplc="140A0001" w:tentative="1">
      <w:start w:val="1"/>
      <w:numFmt w:val="bullet"/>
      <w:lvlText w:val=""/>
      <w:lvlJc w:val="left"/>
      <w:pPr>
        <w:ind w:left="3960" w:hanging="360"/>
      </w:pPr>
      <w:rPr>
        <w:rFonts w:ascii="Symbol" w:hAnsi="Symbol" w:hint="default"/>
      </w:rPr>
    </w:lvl>
    <w:lvl w:ilvl="4" w:tplc="140A0003" w:tentative="1">
      <w:start w:val="1"/>
      <w:numFmt w:val="bullet"/>
      <w:lvlText w:val="o"/>
      <w:lvlJc w:val="left"/>
      <w:pPr>
        <w:ind w:left="4680" w:hanging="360"/>
      </w:pPr>
      <w:rPr>
        <w:rFonts w:ascii="Courier New" w:hAnsi="Courier New" w:cs="Courier New" w:hint="default"/>
      </w:rPr>
    </w:lvl>
    <w:lvl w:ilvl="5" w:tplc="140A0005" w:tentative="1">
      <w:start w:val="1"/>
      <w:numFmt w:val="bullet"/>
      <w:lvlText w:val=""/>
      <w:lvlJc w:val="left"/>
      <w:pPr>
        <w:ind w:left="5400" w:hanging="360"/>
      </w:pPr>
      <w:rPr>
        <w:rFonts w:ascii="Wingdings" w:hAnsi="Wingdings" w:hint="default"/>
      </w:rPr>
    </w:lvl>
    <w:lvl w:ilvl="6" w:tplc="140A0001" w:tentative="1">
      <w:start w:val="1"/>
      <w:numFmt w:val="bullet"/>
      <w:lvlText w:val=""/>
      <w:lvlJc w:val="left"/>
      <w:pPr>
        <w:ind w:left="6120" w:hanging="360"/>
      </w:pPr>
      <w:rPr>
        <w:rFonts w:ascii="Symbol" w:hAnsi="Symbol" w:hint="default"/>
      </w:rPr>
    </w:lvl>
    <w:lvl w:ilvl="7" w:tplc="140A0003" w:tentative="1">
      <w:start w:val="1"/>
      <w:numFmt w:val="bullet"/>
      <w:lvlText w:val="o"/>
      <w:lvlJc w:val="left"/>
      <w:pPr>
        <w:ind w:left="6840" w:hanging="360"/>
      </w:pPr>
      <w:rPr>
        <w:rFonts w:ascii="Courier New" w:hAnsi="Courier New" w:cs="Courier New" w:hint="default"/>
      </w:rPr>
    </w:lvl>
    <w:lvl w:ilvl="8" w:tplc="140A0005" w:tentative="1">
      <w:start w:val="1"/>
      <w:numFmt w:val="bullet"/>
      <w:lvlText w:val=""/>
      <w:lvlJc w:val="left"/>
      <w:pPr>
        <w:ind w:left="7560" w:hanging="360"/>
      </w:pPr>
      <w:rPr>
        <w:rFonts w:ascii="Wingdings" w:hAnsi="Wingdings" w:hint="default"/>
      </w:rPr>
    </w:lvl>
  </w:abstractNum>
  <w:abstractNum w:abstractNumId="76" w15:restartNumberingAfterBreak="0">
    <w:nsid w:val="569B3858"/>
    <w:multiLevelType w:val="multilevel"/>
    <w:tmpl w:val="9CA4AAB0"/>
    <w:lvl w:ilvl="0">
      <w:start w:val="2"/>
      <w:numFmt w:val="decimal"/>
      <w:lvlText w:val="%1."/>
      <w:lvlJc w:val="left"/>
      <w:pPr>
        <w:tabs>
          <w:tab w:val="num" w:pos="720"/>
        </w:tabs>
        <w:ind w:left="720" w:hanging="360"/>
      </w:pPr>
    </w:lvl>
    <w:lvl w:ilvl="1">
      <w:start w:val="2"/>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7" w15:restartNumberingAfterBreak="0">
    <w:nsid w:val="57B915BC"/>
    <w:multiLevelType w:val="hybridMultilevel"/>
    <w:tmpl w:val="D5BAE7A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78" w15:restartNumberingAfterBreak="0">
    <w:nsid w:val="57C13D3E"/>
    <w:multiLevelType w:val="hybridMultilevel"/>
    <w:tmpl w:val="F7727BC0"/>
    <w:lvl w:ilvl="0" w:tplc="140A0001">
      <w:start w:val="1"/>
      <w:numFmt w:val="bullet"/>
      <w:lvlText w:val=""/>
      <w:lvlJc w:val="left"/>
      <w:pPr>
        <w:ind w:left="780" w:hanging="360"/>
      </w:pPr>
      <w:rPr>
        <w:rFonts w:ascii="Symbol" w:hAnsi="Symbol" w:cs="Symbol" w:hint="default"/>
      </w:rPr>
    </w:lvl>
    <w:lvl w:ilvl="1" w:tplc="140A0003" w:tentative="1">
      <w:start w:val="1"/>
      <w:numFmt w:val="bullet"/>
      <w:lvlText w:val="o"/>
      <w:lvlJc w:val="left"/>
      <w:pPr>
        <w:ind w:left="1500" w:hanging="360"/>
      </w:pPr>
      <w:rPr>
        <w:rFonts w:ascii="Courier New" w:hAnsi="Courier New" w:cs="Courier New" w:hint="default"/>
      </w:rPr>
    </w:lvl>
    <w:lvl w:ilvl="2" w:tplc="140A0005" w:tentative="1">
      <w:start w:val="1"/>
      <w:numFmt w:val="bullet"/>
      <w:lvlText w:val=""/>
      <w:lvlJc w:val="left"/>
      <w:pPr>
        <w:ind w:left="2220" w:hanging="360"/>
      </w:pPr>
      <w:rPr>
        <w:rFonts w:ascii="Wingdings" w:hAnsi="Wingdings" w:cs="Wingdings" w:hint="default"/>
      </w:rPr>
    </w:lvl>
    <w:lvl w:ilvl="3" w:tplc="140A0001" w:tentative="1">
      <w:start w:val="1"/>
      <w:numFmt w:val="bullet"/>
      <w:lvlText w:val=""/>
      <w:lvlJc w:val="left"/>
      <w:pPr>
        <w:ind w:left="2940" w:hanging="360"/>
      </w:pPr>
      <w:rPr>
        <w:rFonts w:ascii="Symbol" w:hAnsi="Symbol" w:cs="Symbol" w:hint="default"/>
      </w:rPr>
    </w:lvl>
    <w:lvl w:ilvl="4" w:tplc="140A0003" w:tentative="1">
      <w:start w:val="1"/>
      <w:numFmt w:val="bullet"/>
      <w:lvlText w:val="o"/>
      <w:lvlJc w:val="left"/>
      <w:pPr>
        <w:ind w:left="3660" w:hanging="360"/>
      </w:pPr>
      <w:rPr>
        <w:rFonts w:ascii="Courier New" w:hAnsi="Courier New" w:cs="Courier New" w:hint="default"/>
      </w:rPr>
    </w:lvl>
    <w:lvl w:ilvl="5" w:tplc="140A0005" w:tentative="1">
      <w:start w:val="1"/>
      <w:numFmt w:val="bullet"/>
      <w:lvlText w:val=""/>
      <w:lvlJc w:val="left"/>
      <w:pPr>
        <w:ind w:left="4380" w:hanging="360"/>
      </w:pPr>
      <w:rPr>
        <w:rFonts w:ascii="Wingdings" w:hAnsi="Wingdings" w:cs="Wingdings" w:hint="default"/>
      </w:rPr>
    </w:lvl>
    <w:lvl w:ilvl="6" w:tplc="140A0001" w:tentative="1">
      <w:start w:val="1"/>
      <w:numFmt w:val="bullet"/>
      <w:lvlText w:val=""/>
      <w:lvlJc w:val="left"/>
      <w:pPr>
        <w:ind w:left="5100" w:hanging="360"/>
      </w:pPr>
      <w:rPr>
        <w:rFonts w:ascii="Symbol" w:hAnsi="Symbol" w:cs="Symbol" w:hint="default"/>
      </w:rPr>
    </w:lvl>
    <w:lvl w:ilvl="7" w:tplc="140A0003" w:tentative="1">
      <w:start w:val="1"/>
      <w:numFmt w:val="bullet"/>
      <w:lvlText w:val="o"/>
      <w:lvlJc w:val="left"/>
      <w:pPr>
        <w:ind w:left="5820" w:hanging="360"/>
      </w:pPr>
      <w:rPr>
        <w:rFonts w:ascii="Courier New" w:hAnsi="Courier New" w:cs="Courier New" w:hint="default"/>
      </w:rPr>
    </w:lvl>
    <w:lvl w:ilvl="8" w:tplc="140A0005" w:tentative="1">
      <w:start w:val="1"/>
      <w:numFmt w:val="bullet"/>
      <w:lvlText w:val=""/>
      <w:lvlJc w:val="left"/>
      <w:pPr>
        <w:ind w:left="6540" w:hanging="360"/>
      </w:pPr>
      <w:rPr>
        <w:rFonts w:ascii="Wingdings" w:hAnsi="Wingdings" w:cs="Wingdings" w:hint="default"/>
      </w:rPr>
    </w:lvl>
  </w:abstractNum>
  <w:abstractNum w:abstractNumId="79" w15:restartNumberingAfterBreak="0">
    <w:nsid w:val="5A0B2A9D"/>
    <w:multiLevelType w:val="hybridMultilevel"/>
    <w:tmpl w:val="09882B5E"/>
    <w:lvl w:ilvl="0" w:tplc="C436E72C">
      <w:start w:val="2"/>
      <w:numFmt w:val="decimal"/>
      <w:lvlText w:val="%1)"/>
      <w:lvlJc w:val="left"/>
      <w:pPr>
        <w:ind w:left="1429" w:hanging="360"/>
      </w:pPr>
      <w:rPr>
        <w:rFonts w:hint="default"/>
      </w:rPr>
    </w:lvl>
    <w:lvl w:ilvl="1" w:tplc="140A0019" w:tentative="1">
      <w:start w:val="1"/>
      <w:numFmt w:val="lowerLetter"/>
      <w:lvlText w:val="%2."/>
      <w:lvlJc w:val="left"/>
      <w:pPr>
        <w:ind w:left="2149" w:hanging="360"/>
      </w:pPr>
    </w:lvl>
    <w:lvl w:ilvl="2" w:tplc="140A001B" w:tentative="1">
      <w:start w:val="1"/>
      <w:numFmt w:val="lowerRoman"/>
      <w:lvlText w:val="%3."/>
      <w:lvlJc w:val="right"/>
      <w:pPr>
        <w:ind w:left="2869" w:hanging="180"/>
      </w:pPr>
    </w:lvl>
    <w:lvl w:ilvl="3" w:tplc="140A000F" w:tentative="1">
      <w:start w:val="1"/>
      <w:numFmt w:val="decimal"/>
      <w:lvlText w:val="%4."/>
      <w:lvlJc w:val="left"/>
      <w:pPr>
        <w:ind w:left="3589" w:hanging="360"/>
      </w:pPr>
    </w:lvl>
    <w:lvl w:ilvl="4" w:tplc="140A0019" w:tentative="1">
      <w:start w:val="1"/>
      <w:numFmt w:val="lowerLetter"/>
      <w:lvlText w:val="%5."/>
      <w:lvlJc w:val="left"/>
      <w:pPr>
        <w:ind w:left="4309" w:hanging="360"/>
      </w:pPr>
    </w:lvl>
    <w:lvl w:ilvl="5" w:tplc="140A001B" w:tentative="1">
      <w:start w:val="1"/>
      <w:numFmt w:val="lowerRoman"/>
      <w:lvlText w:val="%6."/>
      <w:lvlJc w:val="right"/>
      <w:pPr>
        <w:ind w:left="5029" w:hanging="180"/>
      </w:pPr>
    </w:lvl>
    <w:lvl w:ilvl="6" w:tplc="140A000F" w:tentative="1">
      <w:start w:val="1"/>
      <w:numFmt w:val="decimal"/>
      <w:lvlText w:val="%7."/>
      <w:lvlJc w:val="left"/>
      <w:pPr>
        <w:ind w:left="5749" w:hanging="360"/>
      </w:pPr>
    </w:lvl>
    <w:lvl w:ilvl="7" w:tplc="140A0019" w:tentative="1">
      <w:start w:val="1"/>
      <w:numFmt w:val="lowerLetter"/>
      <w:lvlText w:val="%8."/>
      <w:lvlJc w:val="left"/>
      <w:pPr>
        <w:ind w:left="6469" w:hanging="360"/>
      </w:pPr>
    </w:lvl>
    <w:lvl w:ilvl="8" w:tplc="140A001B" w:tentative="1">
      <w:start w:val="1"/>
      <w:numFmt w:val="lowerRoman"/>
      <w:lvlText w:val="%9."/>
      <w:lvlJc w:val="right"/>
      <w:pPr>
        <w:ind w:left="7189" w:hanging="180"/>
      </w:pPr>
    </w:lvl>
  </w:abstractNum>
  <w:abstractNum w:abstractNumId="80" w15:restartNumberingAfterBreak="0">
    <w:nsid w:val="5A6A67A7"/>
    <w:multiLevelType w:val="hybridMultilevel"/>
    <w:tmpl w:val="930CCFD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81" w15:restartNumberingAfterBreak="0">
    <w:nsid w:val="5AB06633"/>
    <w:multiLevelType w:val="hybridMultilevel"/>
    <w:tmpl w:val="175C9550"/>
    <w:lvl w:ilvl="0" w:tplc="140A000F">
      <w:start w:val="1"/>
      <w:numFmt w:val="decimal"/>
      <w:lvlText w:val="%1."/>
      <w:lvlJc w:val="left"/>
      <w:pPr>
        <w:ind w:left="1429" w:hanging="360"/>
      </w:pPr>
    </w:lvl>
    <w:lvl w:ilvl="1" w:tplc="140A0019" w:tentative="1">
      <w:start w:val="1"/>
      <w:numFmt w:val="lowerLetter"/>
      <w:lvlText w:val="%2."/>
      <w:lvlJc w:val="left"/>
      <w:pPr>
        <w:ind w:left="2149" w:hanging="360"/>
      </w:pPr>
    </w:lvl>
    <w:lvl w:ilvl="2" w:tplc="140A001B" w:tentative="1">
      <w:start w:val="1"/>
      <w:numFmt w:val="lowerRoman"/>
      <w:lvlText w:val="%3."/>
      <w:lvlJc w:val="right"/>
      <w:pPr>
        <w:ind w:left="2869" w:hanging="180"/>
      </w:pPr>
    </w:lvl>
    <w:lvl w:ilvl="3" w:tplc="140A000F" w:tentative="1">
      <w:start w:val="1"/>
      <w:numFmt w:val="decimal"/>
      <w:lvlText w:val="%4."/>
      <w:lvlJc w:val="left"/>
      <w:pPr>
        <w:ind w:left="3589" w:hanging="360"/>
      </w:pPr>
    </w:lvl>
    <w:lvl w:ilvl="4" w:tplc="140A0019" w:tentative="1">
      <w:start w:val="1"/>
      <w:numFmt w:val="lowerLetter"/>
      <w:lvlText w:val="%5."/>
      <w:lvlJc w:val="left"/>
      <w:pPr>
        <w:ind w:left="4309" w:hanging="360"/>
      </w:pPr>
    </w:lvl>
    <w:lvl w:ilvl="5" w:tplc="140A001B" w:tentative="1">
      <w:start w:val="1"/>
      <w:numFmt w:val="lowerRoman"/>
      <w:lvlText w:val="%6."/>
      <w:lvlJc w:val="right"/>
      <w:pPr>
        <w:ind w:left="5029" w:hanging="180"/>
      </w:pPr>
    </w:lvl>
    <w:lvl w:ilvl="6" w:tplc="140A000F" w:tentative="1">
      <w:start w:val="1"/>
      <w:numFmt w:val="decimal"/>
      <w:lvlText w:val="%7."/>
      <w:lvlJc w:val="left"/>
      <w:pPr>
        <w:ind w:left="5749" w:hanging="360"/>
      </w:pPr>
    </w:lvl>
    <w:lvl w:ilvl="7" w:tplc="140A0019" w:tentative="1">
      <w:start w:val="1"/>
      <w:numFmt w:val="lowerLetter"/>
      <w:lvlText w:val="%8."/>
      <w:lvlJc w:val="left"/>
      <w:pPr>
        <w:ind w:left="6469" w:hanging="360"/>
      </w:pPr>
    </w:lvl>
    <w:lvl w:ilvl="8" w:tplc="140A001B" w:tentative="1">
      <w:start w:val="1"/>
      <w:numFmt w:val="lowerRoman"/>
      <w:lvlText w:val="%9."/>
      <w:lvlJc w:val="right"/>
      <w:pPr>
        <w:ind w:left="7189" w:hanging="180"/>
      </w:pPr>
    </w:lvl>
  </w:abstractNum>
  <w:abstractNum w:abstractNumId="82" w15:restartNumberingAfterBreak="0">
    <w:nsid w:val="5D275F64"/>
    <w:multiLevelType w:val="hybridMultilevel"/>
    <w:tmpl w:val="455427BA"/>
    <w:lvl w:ilvl="0" w:tplc="70C802CA">
      <w:start w:val="1"/>
      <w:numFmt w:val="decimal"/>
      <w:lvlText w:val="%1."/>
      <w:lvlJc w:val="left"/>
      <w:pPr>
        <w:ind w:left="1080" w:hanging="360"/>
      </w:pPr>
      <w:rPr>
        <w:rFonts w:cs="Times New Roman" w:hint="default"/>
        <w:b/>
        <w:color w:val="auto"/>
        <w:u w:val="single"/>
      </w:rPr>
    </w:lvl>
    <w:lvl w:ilvl="1" w:tplc="140A0019" w:tentative="1">
      <w:start w:val="1"/>
      <w:numFmt w:val="lowerLetter"/>
      <w:lvlText w:val="%2."/>
      <w:lvlJc w:val="left"/>
      <w:pPr>
        <w:ind w:left="1800" w:hanging="360"/>
      </w:pPr>
    </w:lvl>
    <w:lvl w:ilvl="2" w:tplc="140A001B" w:tentative="1">
      <w:start w:val="1"/>
      <w:numFmt w:val="lowerRoman"/>
      <w:lvlText w:val="%3."/>
      <w:lvlJc w:val="right"/>
      <w:pPr>
        <w:ind w:left="2520" w:hanging="180"/>
      </w:pPr>
    </w:lvl>
    <w:lvl w:ilvl="3" w:tplc="140A000F" w:tentative="1">
      <w:start w:val="1"/>
      <w:numFmt w:val="decimal"/>
      <w:lvlText w:val="%4."/>
      <w:lvlJc w:val="left"/>
      <w:pPr>
        <w:ind w:left="3240" w:hanging="360"/>
      </w:pPr>
    </w:lvl>
    <w:lvl w:ilvl="4" w:tplc="140A0019" w:tentative="1">
      <w:start w:val="1"/>
      <w:numFmt w:val="lowerLetter"/>
      <w:lvlText w:val="%5."/>
      <w:lvlJc w:val="left"/>
      <w:pPr>
        <w:ind w:left="3960" w:hanging="360"/>
      </w:pPr>
    </w:lvl>
    <w:lvl w:ilvl="5" w:tplc="140A001B" w:tentative="1">
      <w:start w:val="1"/>
      <w:numFmt w:val="lowerRoman"/>
      <w:lvlText w:val="%6."/>
      <w:lvlJc w:val="right"/>
      <w:pPr>
        <w:ind w:left="4680" w:hanging="180"/>
      </w:pPr>
    </w:lvl>
    <w:lvl w:ilvl="6" w:tplc="140A000F" w:tentative="1">
      <w:start w:val="1"/>
      <w:numFmt w:val="decimal"/>
      <w:lvlText w:val="%7."/>
      <w:lvlJc w:val="left"/>
      <w:pPr>
        <w:ind w:left="5400" w:hanging="360"/>
      </w:pPr>
    </w:lvl>
    <w:lvl w:ilvl="7" w:tplc="140A0019" w:tentative="1">
      <w:start w:val="1"/>
      <w:numFmt w:val="lowerLetter"/>
      <w:lvlText w:val="%8."/>
      <w:lvlJc w:val="left"/>
      <w:pPr>
        <w:ind w:left="6120" w:hanging="360"/>
      </w:pPr>
    </w:lvl>
    <w:lvl w:ilvl="8" w:tplc="140A001B" w:tentative="1">
      <w:start w:val="1"/>
      <w:numFmt w:val="lowerRoman"/>
      <w:lvlText w:val="%9."/>
      <w:lvlJc w:val="right"/>
      <w:pPr>
        <w:ind w:left="6840" w:hanging="180"/>
      </w:pPr>
    </w:lvl>
  </w:abstractNum>
  <w:abstractNum w:abstractNumId="83" w15:restartNumberingAfterBreak="0">
    <w:nsid w:val="600C7F93"/>
    <w:multiLevelType w:val="hybridMultilevel"/>
    <w:tmpl w:val="1FA2DF22"/>
    <w:lvl w:ilvl="0" w:tplc="140A000F">
      <w:start w:val="1"/>
      <w:numFmt w:val="decimal"/>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84" w15:restartNumberingAfterBreak="0">
    <w:nsid w:val="61C16CBB"/>
    <w:multiLevelType w:val="hybridMultilevel"/>
    <w:tmpl w:val="F40ABA16"/>
    <w:lvl w:ilvl="0" w:tplc="140A000D">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85" w15:restartNumberingAfterBreak="0">
    <w:nsid w:val="61CC1F48"/>
    <w:multiLevelType w:val="hybridMultilevel"/>
    <w:tmpl w:val="65EA1A2A"/>
    <w:lvl w:ilvl="0" w:tplc="140A000D">
      <w:start w:val="1"/>
      <w:numFmt w:val="bullet"/>
      <w:lvlText w:val=""/>
      <w:lvlJc w:val="left"/>
      <w:pPr>
        <w:ind w:left="720" w:hanging="360"/>
      </w:pPr>
      <w:rPr>
        <w:rFonts w:ascii="Wingdings" w:hAnsi="Wingdings" w:cs="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86" w15:restartNumberingAfterBreak="0">
    <w:nsid w:val="61D734A2"/>
    <w:multiLevelType w:val="hybridMultilevel"/>
    <w:tmpl w:val="831EA9EE"/>
    <w:lvl w:ilvl="0" w:tplc="140A000F">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87" w15:restartNumberingAfterBreak="0">
    <w:nsid w:val="62442714"/>
    <w:multiLevelType w:val="hybridMultilevel"/>
    <w:tmpl w:val="336893B6"/>
    <w:lvl w:ilvl="0" w:tplc="140A0011">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88" w15:restartNumberingAfterBreak="0">
    <w:nsid w:val="64165A8A"/>
    <w:multiLevelType w:val="hybridMultilevel"/>
    <w:tmpl w:val="9CEC96AA"/>
    <w:lvl w:ilvl="0" w:tplc="CD7CB0F0">
      <w:start w:val="1"/>
      <w:numFmt w:val="decimal"/>
      <w:lvlText w:val="%1."/>
      <w:lvlJc w:val="left"/>
      <w:pPr>
        <w:ind w:left="1080" w:hanging="360"/>
      </w:pPr>
      <w:rPr>
        <w:rFonts w:hint="default"/>
        <w:b/>
        <w:u w:val="single"/>
      </w:rPr>
    </w:lvl>
    <w:lvl w:ilvl="1" w:tplc="140A0019" w:tentative="1">
      <w:start w:val="1"/>
      <w:numFmt w:val="lowerLetter"/>
      <w:lvlText w:val="%2."/>
      <w:lvlJc w:val="left"/>
      <w:pPr>
        <w:ind w:left="1800" w:hanging="360"/>
      </w:pPr>
    </w:lvl>
    <w:lvl w:ilvl="2" w:tplc="140A001B" w:tentative="1">
      <w:start w:val="1"/>
      <w:numFmt w:val="lowerRoman"/>
      <w:lvlText w:val="%3."/>
      <w:lvlJc w:val="right"/>
      <w:pPr>
        <w:ind w:left="2520" w:hanging="180"/>
      </w:pPr>
    </w:lvl>
    <w:lvl w:ilvl="3" w:tplc="140A000F" w:tentative="1">
      <w:start w:val="1"/>
      <w:numFmt w:val="decimal"/>
      <w:lvlText w:val="%4."/>
      <w:lvlJc w:val="left"/>
      <w:pPr>
        <w:ind w:left="3240" w:hanging="360"/>
      </w:pPr>
    </w:lvl>
    <w:lvl w:ilvl="4" w:tplc="140A0019" w:tentative="1">
      <w:start w:val="1"/>
      <w:numFmt w:val="lowerLetter"/>
      <w:lvlText w:val="%5."/>
      <w:lvlJc w:val="left"/>
      <w:pPr>
        <w:ind w:left="3960" w:hanging="360"/>
      </w:pPr>
    </w:lvl>
    <w:lvl w:ilvl="5" w:tplc="140A001B" w:tentative="1">
      <w:start w:val="1"/>
      <w:numFmt w:val="lowerRoman"/>
      <w:lvlText w:val="%6."/>
      <w:lvlJc w:val="right"/>
      <w:pPr>
        <w:ind w:left="4680" w:hanging="180"/>
      </w:pPr>
    </w:lvl>
    <w:lvl w:ilvl="6" w:tplc="140A000F" w:tentative="1">
      <w:start w:val="1"/>
      <w:numFmt w:val="decimal"/>
      <w:lvlText w:val="%7."/>
      <w:lvlJc w:val="left"/>
      <w:pPr>
        <w:ind w:left="5400" w:hanging="360"/>
      </w:pPr>
    </w:lvl>
    <w:lvl w:ilvl="7" w:tplc="140A0019" w:tentative="1">
      <w:start w:val="1"/>
      <w:numFmt w:val="lowerLetter"/>
      <w:lvlText w:val="%8."/>
      <w:lvlJc w:val="left"/>
      <w:pPr>
        <w:ind w:left="6120" w:hanging="360"/>
      </w:pPr>
    </w:lvl>
    <w:lvl w:ilvl="8" w:tplc="140A001B" w:tentative="1">
      <w:start w:val="1"/>
      <w:numFmt w:val="lowerRoman"/>
      <w:lvlText w:val="%9."/>
      <w:lvlJc w:val="right"/>
      <w:pPr>
        <w:ind w:left="6840" w:hanging="180"/>
      </w:pPr>
    </w:lvl>
  </w:abstractNum>
  <w:abstractNum w:abstractNumId="89" w15:restartNumberingAfterBreak="0">
    <w:nsid w:val="65356BD3"/>
    <w:multiLevelType w:val="hybridMultilevel"/>
    <w:tmpl w:val="9E2C7B24"/>
    <w:lvl w:ilvl="0" w:tplc="D9901AEE">
      <w:start w:val="1"/>
      <w:numFmt w:val="decimal"/>
      <w:lvlText w:val="%1-"/>
      <w:lvlJc w:val="left"/>
      <w:pPr>
        <w:ind w:left="405" w:hanging="360"/>
      </w:pPr>
      <w:rPr>
        <w:rFonts w:hint="default"/>
      </w:rPr>
    </w:lvl>
    <w:lvl w:ilvl="1" w:tplc="140A0019" w:tentative="1">
      <w:start w:val="1"/>
      <w:numFmt w:val="lowerLetter"/>
      <w:lvlText w:val="%2."/>
      <w:lvlJc w:val="left"/>
      <w:pPr>
        <w:ind w:left="1125" w:hanging="360"/>
      </w:pPr>
    </w:lvl>
    <w:lvl w:ilvl="2" w:tplc="140A001B" w:tentative="1">
      <w:start w:val="1"/>
      <w:numFmt w:val="lowerRoman"/>
      <w:lvlText w:val="%3."/>
      <w:lvlJc w:val="right"/>
      <w:pPr>
        <w:ind w:left="1845" w:hanging="180"/>
      </w:pPr>
    </w:lvl>
    <w:lvl w:ilvl="3" w:tplc="140A000F" w:tentative="1">
      <w:start w:val="1"/>
      <w:numFmt w:val="decimal"/>
      <w:lvlText w:val="%4."/>
      <w:lvlJc w:val="left"/>
      <w:pPr>
        <w:ind w:left="2565" w:hanging="360"/>
      </w:pPr>
    </w:lvl>
    <w:lvl w:ilvl="4" w:tplc="140A0019" w:tentative="1">
      <w:start w:val="1"/>
      <w:numFmt w:val="lowerLetter"/>
      <w:lvlText w:val="%5."/>
      <w:lvlJc w:val="left"/>
      <w:pPr>
        <w:ind w:left="3285" w:hanging="360"/>
      </w:pPr>
    </w:lvl>
    <w:lvl w:ilvl="5" w:tplc="140A001B" w:tentative="1">
      <w:start w:val="1"/>
      <w:numFmt w:val="lowerRoman"/>
      <w:lvlText w:val="%6."/>
      <w:lvlJc w:val="right"/>
      <w:pPr>
        <w:ind w:left="4005" w:hanging="180"/>
      </w:pPr>
    </w:lvl>
    <w:lvl w:ilvl="6" w:tplc="140A000F" w:tentative="1">
      <w:start w:val="1"/>
      <w:numFmt w:val="decimal"/>
      <w:lvlText w:val="%7."/>
      <w:lvlJc w:val="left"/>
      <w:pPr>
        <w:ind w:left="4725" w:hanging="360"/>
      </w:pPr>
    </w:lvl>
    <w:lvl w:ilvl="7" w:tplc="140A0019" w:tentative="1">
      <w:start w:val="1"/>
      <w:numFmt w:val="lowerLetter"/>
      <w:lvlText w:val="%8."/>
      <w:lvlJc w:val="left"/>
      <w:pPr>
        <w:ind w:left="5445" w:hanging="360"/>
      </w:pPr>
    </w:lvl>
    <w:lvl w:ilvl="8" w:tplc="140A001B" w:tentative="1">
      <w:start w:val="1"/>
      <w:numFmt w:val="lowerRoman"/>
      <w:lvlText w:val="%9."/>
      <w:lvlJc w:val="right"/>
      <w:pPr>
        <w:ind w:left="6165" w:hanging="180"/>
      </w:pPr>
    </w:lvl>
  </w:abstractNum>
  <w:abstractNum w:abstractNumId="90" w15:restartNumberingAfterBreak="0">
    <w:nsid w:val="66DE30EF"/>
    <w:multiLevelType w:val="hybridMultilevel"/>
    <w:tmpl w:val="E076D416"/>
    <w:lvl w:ilvl="0" w:tplc="140A000F">
      <w:start w:val="1"/>
      <w:numFmt w:val="decimal"/>
      <w:lvlText w:val="%1."/>
      <w:lvlJc w:val="left"/>
      <w:pPr>
        <w:ind w:left="1440" w:hanging="360"/>
      </w:pPr>
    </w:lvl>
    <w:lvl w:ilvl="1" w:tplc="140A0019" w:tentative="1">
      <w:start w:val="1"/>
      <w:numFmt w:val="lowerLetter"/>
      <w:lvlText w:val="%2."/>
      <w:lvlJc w:val="left"/>
      <w:pPr>
        <w:ind w:left="2160" w:hanging="360"/>
      </w:pPr>
    </w:lvl>
    <w:lvl w:ilvl="2" w:tplc="140A001B" w:tentative="1">
      <w:start w:val="1"/>
      <w:numFmt w:val="lowerRoman"/>
      <w:lvlText w:val="%3."/>
      <w:lvlJc w:val="right"/>
      <w:pPr>
        <w:ind w:left="2880" w:hanging="180"/>
      </w:pPr>
    </w:lvl>
    <w:lvl w:ilvl="3" w:tplc="140A000F" w:tentative="1">
      <w:start w:val="1"/>
      <w:numFmt w:val="decimal"/>
      <w:lvlText w:val="%4."/>
      <w:lvlJc w:val="left"/>
      <w:pPr>
        <w:ind w:left="3600" w:hanging="360"/>
      </w:pPr>
    </w:lvl>
    <w:lvl w:ilvl="4" w:tplc="140A0019" w:tentative="1">
      <w:start w:val="1"/>
      <w:numFmt w:val="lowerLetter"/>
      <w:lvlText w:val="%5."/>
      <w:lvlJc w:val="left"/>
      <w:pPr>
        <w:ind w:left="4320" w:hanging="360"/>
      </w:pPr>
    </w:lvl>
    <w:lvl w:ilvl="5" w:tplc="140A001B" w:tentative="1">
      <w:start w:val="1"/>
      <w:numFmt w:val="lowerRoman"/>
      <w:lvlText w:val="%6."/>
      <w:lvlJc w:val="right"/>
      <w:pPr>
        <w:ind w:left="5040" w:hanging="180"/>
      </w:pPr>
    </w:lvl>
    <w:lvl w:ilvl="6" w:tplc="140A000F" w:tentative="1">
      <w:start w:val="1"/>
      <w:numFmt w:val="decimal"/>
      <w:lvlText w:val="%7."/>
      <w:lvlJc w:val="left"/>
      <w:pPr>
        <w:ind w:left="5760" w:hanging="360"/>
      </w:pPr>
    </w:lvl>
    <w:lvl w:ilvl="7" w:tplc="140A0019" w:tentative="1">
      <w:start w:val="1"/>
      <w:numFmt w:val="lowerLetter"/>
      <w:lvlText w:val="%8."/>
      <w:lvlJc w:val="left"/>
      <w:pPr>
        <w:ind w:left="6480" w:hanging="360"/>
      </w:pPr>
    </w:lvl>
    <w:lvl w:ilvl="8" w:tplc="140A001B" w:tentative="1">
      <w:start w:val="1"/>
      <w:numFmt w:val="lowerRoman"/>
      <w:lvlText w:val="%9."/>
      <w:lvlJc w:val="right"/>
      <w:pPr>
        <w:ind w:left="7200" w:hanging="180"/>
      </w:pPr>
    </w:lvl>
  </w:abstractNum>
  <w:abstractNum w:abstractNumId="91" w15:restartNumberingAfterBreak="0">
    <w:nsid w:val="679D3A57"/>
    <w:multiLevelType w:val="hybridMultilevel"/>
    <w:tmpl w:val="D368D57E"/>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92" w15:restartNumberingAfterBreak="0">
    <w:nsid w:val="687F2F31"/>
    <w:multiLevelType w:val="multilevel"/>
    <w:tmpl w:val="3190E6B6"/>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93" w15:restartNumberingAfterBreak="0">
    <w:nsid w:val="6A9365F3"/>
    <w:multiLevelType w:val="hybridMultilevel"/>
    <w:tmpl w:val="4E78A32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94" w15:restartNumberingAfterBreak="0">
    <w:nsid w:val="6AB43F63"/>
    <w:multiLevelType w:val="multilevel"/>
    <w:tmpl w:val="0BB0C37A"/>
    <w:lvl w:ilvl="0">
      <w:start w:val="12"/>
      <w:numFmt w:val="decimal"/>
      <w:lvlText w:val="%1"/>
      <w:lvlJc w:val="left"/>
      <w:pPr>
        <w:ind w:left="399" w:hanging="399"/>
      </w:pPr>
      <w:rPr>
        <w:rFonts w:hint="default"/>
      </w:rPr>
    </w:lvl>
    <w:lvl w:ilvl="1">
      <w:start w:val="1"/>
      <w:numFmt w:val="decimal"/>
      <w:lvlText w:val="%1.%2"/>
      <w:lvlJc w:val="left"/>
      <w:pPr>
        <w:ind w:left="759" w:hanging="399"/>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95" w15:restartNumberingAfterBreak="0">
    <w:nsid w:val="6B5B5AC0"/>
    <w:multiLevelType w:val="hybridMultilevel"/>
    <w:tmpl w:val="7D84C18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96" w15:restartNumberingAfterBreak="0">
    <w:nsid w:val="6C0B1F5C"/>
    <w:multiLevelType w:val="hybridMultilevel"/>
    <w:tmpl w:val="6F3CDCB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97" w15:restartNumberingAfterBreak="0">
    <w:nsid w:val="6F7D5E09"/>
    <w:multiLevelType w:val="hybridMultilevel"/>
    <w:tmpl w:val="A8647ABC"/>
    <w:lvl w:ilvl="0" w:tplc="140A000F">
      <w:start w:val="1"/>
      <w:numFmt w:val="decimal"/>
      <w:lvlText w:val="%1."/>
      <w:lvlJc w:val="left"/>
      <w:pPr>
        <w:ind w:left="1440" w:hanging="360"/>
      </w:pPr>
      <w:rPr>
        <w:rFonts w:hint="default"/>
      </w:rPr>
    </w:lvl>
    <w:lvl w:ilvl="1" w:tplc="140A0003" w:tentative="1">
      <w:start w:val="1"/>
      <w:numFmt w:val="bullet"/>
      <w:lvlText w:val="o"/>
      <w:lvlJc w:val="left"/>
      <w:pPr>
        <w:ind w:left="2160" w:hanging="360"/>
      </w:pPr>
      <w:rPr>
        <w:rFonts w:ascii="Courier New" w:hAnsi="Courier New" w:cs="Courier New" w:hint="default"/>
      </w:rPr>
    </w:lvl>
    <w:lvl w:ilvl="2" w:tplc="140A0005" w:tentative="1">
      <w:start w:val="1"/>
      <w:numFmt w:val="bullet"/>
      <w:lvlText w:val=""/>
      <w:lvlJc w:val="left"/>
      <w:pPr>
        <w:ind w:left="2880" w:hanging="360"/>
      </w:pPr>
      <w:rPr>
        <w:rFonts w:ascii="Wingdings" w:hAnsi="Wingdings" w:hint="default"/>
      </w:rPr>
    </w:lvl>
    <w:lvl w:ilvl="3" w:tplc="140A0001" w:tentative="1">
      <w:start w:val="1"/>
      <w:numFmt w:val="bullet"/>
      <w:lvlText w:val=""/>
      <w:lvlJc w:val="left"/>
      <w:pPr>
        <w:ind w:left="3600" w:hanging="360"/>
      </w:pPr>
      <w:rPr>
        <w:rFonts w:ascii="Symbol" w:hAnsi="Symbol" w:hint="default"/>
      </w:rPr>
    </w:lvl>
    <w:lvl w:ilvl="4" w:tplc="140A0003" w:tentative="1">
      <w:start w:val="1"/>
      <w:numFmt w:val="bullet"/>
      <w:lvlText w:val="o"/>
      <w:lvlJc w:val="left"/>
      <w:pPr>
        <w:ind w:left="4320" w:hanging="360"/>
      </w:pPr>
      <w:rPr>
        <w:rFonts w:ascii="Courier New" w:hAnsi="Courier New" w:cs="Courier New" w:hint="default"/>
      </w:rPr>
    </w:lvl>
    <w:lvl w:ilvl="5" w:tplc="140A0005" w:tentative="1">
      <w:start w:val="1"/>
      <w:numFmt w:val="bullet"/>
      <w:lvlText w:val=""/>
      <w:lvlJc w:val="left"/>
      <w:pPr>
        <w:ind w:left="5040" w:hanging="360"/>
      </w:pPr>
      <w:rPr>
        <w:rFonts w:ascii="Wingdings" w:hAnsi="Wingdings" w:hint="default"/>
      </w:rPr>
    </w:lvl>
    <w:lvl w:ilvl="6" w:tplc="140A0001" w:tentative="1">
      <w:start w:val="1"/>
      <w:numFmt w:val="bullet"/>
      <w:lvlText w:val=""/>
      <w:lvlJc w:val="left"/>
      <w:pPr>
        <w:ind w:left="5760" w:hanging="360"/>
      </w:pPr>
      <w:rPr>
        <w:rFonts w:ascii="Symbol" w:hAnsi="Symbol" w:hint="default"/>
      </w:rPr>
    </w:lvl>
    <w:lvl w:ilvl="7" w:tplc="140A0003" w:tentative="1">
      <w:start w:val="1"/>
      <w:numFmt w:val="bullet"/>
      <w:lvlText w:val="o"/>
      <w:lvlJc w:val="left"/>
      <w:pPr>
        <w:ind w:left="6480" w:hanging="360"/>
      </w:pPr>
      <w:rPr>
        <w:rFonts w:ascii="Courier New" w:hAnsi="Courier New" w:cs="Courier New" w:hint="default"/>
      </w:rPr>
    </w:lvl>
    <w:lvl w:ilvl="8" w:tplc="140A0005" w:tentative="1">
      <w:start w:val="1"/>
      <w:numFmt w:val="bullet"/>
      <w:lvlText w:val=""/>
      <w:lvlJc w:val="left"/>
      <w:pPr>
        <w:ind w:left="7200" w:hanging="360"/>
      </w:pPr>
      <w:rPr>
        <w:rFonts w:ascii="Wingdings" w:hAnsi="Wingdings" w:hint="default"/>
      </w:rPr>
    </w:lvl>
  </w:abstractNum>
  <w:abstractNum w:abstractNumId="98" w15:restartNumberingAfterBreak="0">
    <w:nsid w:val="6F987390"/>
    <w:multiLevelType w:val="hybridMultilevel"/>
    <w:tmpl w:val="5D7A77B4"/>
    <w:lvl w:ilvl="0" w:tplc="140A000D">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99" w15:restartNumberingAfterBreak="0">
    <w:nsid w:val="6FEF7FEE"/>
    <w:multiLevelType w:val="hybridMultilevel"/>
    <w:tmpl w:val="946C797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00" w15:restartNumberingAfterBreak="0">
    <w:nsid w:val="70E66A11"/>
    <w:multiLevelType w:val="hybridMultilevel"/>
    <w:tmpl w:val="F976BF1C"/>
    <w:lvl w:ilvl="0" w:tplc="F8267424">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01" w15:restartNumberingAfterBreak="0">
    <w:nsid w:val="733A5927"/>
    <w:multiLevelType w:val="hybridMultilevel"/>
    <w:tmpl w:val="EB7C7A68"/>
    <w:lvl w:ilvl="0" w:tplc="140A000F">
      <w:start w:val="1"/>
      <w:numFmt w:val="decimal"/>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02" w15:restartNumberingAfterBreak="0">
    <w:nsid w:val="73763CF7"/>
    <w:multiLevelType w:val="hybridMultilevel"/>
    <w:tmpl w:val="85DE0EE6"/>
    <w:lvl w:ilvl="0" w:tplc="23B66E3C">
      <w:start w:val="1"/>
      <w:numFmt w:val="decimal"/>
      <w:lvlText w:val="%1."/>
      <w:lvlJc w:val="left"/>
      <w:pPr>
        <w:ind w:left="1080" w:hanging="360"/>
      </w:pPr>
      <w:rPr>
        <w:rFonts w:eastAsia="Batang" w:hint="default"/>
        <w:b/>
        <w:u w:val="single"/>
      </w:rPr>
    </w:lvl>
    <w:lvl w:ilvl="1" w:tplc="140A0019" w:tentative="1">
      <w:start w:val="1"/>
      <w:numFmt w:val="lowerLetter"/>
      <w:lvlText w:val="%2."/>
      <w:lvlJc w:val="left"/>
      <w:pPr>
        <w:ind w:left="1800" w:hanging="360"/>
      </w:pPr>
    </w:lvl>
    <w:lvl w:ilvl="2" w:tplc="140A001B" w:tentative="1">
      <w:start w:val="1"/>
      <w:numFmt w:val="lowerRoman"/>
      <w:lvlText w:val="%3."/>
      <w:lvlJc w:val="right"/>
      <w:pPr>
        <w:ind w:left="2520" w:hanging="180"/>
      </w:pPr>
    </w:lvl>
    <w:lvl w:ilvl="3" w:tplc="140A000F" w:tentative="1">
      <w:start w:val="1"/>
      <w:numFmt w:val="decimal"/>
      <w:lvlText w:val="%4."/>
      <w:lvlJc w:val="left"/>
      <w:pPr>
        <w:ind w:left="3240" w:hanging="360"/>
      </w:pPr>
    </w:lvl>
    <w:lvl w:ilvl="4" w:tplc="140A0019" w:tentative="1">
      <w:start w:val="1"/>
      <w:numFmt w:val="lowerLetter"/>
      <w:lvlText w:val="%5."/>
      <w:lvlJc w:val="left"/>
      <w:pPr>
        <w:ind w:left="3960" w:hanging="360"/>
      </w:pPr>
    </w:lvl>
    <w:lvl w:ilvl="5" w:tplc="140A001B" w:tentative="1">
      <w:start w:val="1"/>
      <w:numFmt w:val="lowerRoman"/>
      <w:lvlText w:val="%6."/>
      <w:lvlJc w:val="right"/>
      <w:pPr>
        <w:ind w:left="4680" w:hanging="180"/>
      </w:pPr>
    </w:lvl>
    <w:lvl w:ilvl="6" w:tplc="140A000F" w:tentative="1">
      <w:start w:val="1"/>
      <w:numFmt w:val="decimal"/>
      <w:lvlText w:val="%7."/>
      <w:lvlJc w:val="left"/>
      <w:pPr>
        <w:ind w:left="5400" w:hanging="360"/>
      </w:pPr>
    </w:lvl>
    <w:lvl w:ilvl="7" w:tplc="140A0019" w:tentative="1">
      <w:start w:val="1"/>
      <w:numFmt w:val="lowerLetter"/>
      <w:lvlText w:val="%8."/>
      <w:lvlJc w:val="left"/>
      <w:pPr>
        <w:ind w:left="6120" w:hanging="360"/>
      </w:pPr>
    </w:lvl>
    <w:lvl w:ilvl="8" w:tplc="140A001B" w:tentative="1">
      <w:start w:val="1"/>
      <w:numFmt w:val="lowerRoman"/>
      <w:lvlText w:val="%9."/>
      <w:lvlJc w:val="right"/>
      <w:pPr>
        <w:ind w:left="6840" w:hanging="180"/>
      </w:pPr>
    </w:lvl>
  </w:abstractNum>
  <w:abstractNum w:abstractNumId="103" w15:restartNumberingAfterBreak="0">
    <w:nsid w:val="74D02D85"/>
    <w:multiLevelType w:val="hybridMultilevel"/>
    <w:tmpl w:val="30AC849A"/>
    <w:lvl w:ilvl="0" w:tplc="140A0001">
      <w:start w:val="1"/>
      <w:numFmt w:val="bullet"/>
      <w:lvlText w:val=""/>
      <w:lvlJc w:val="left"/>
      <w:pPr>
        <w:ind w:left="1440" w:hanging="360"/>
      </w:pPr>
      <w:rPr>
        <w:rFonts w:ascii="Symbol" w:hAnsi="Symbol" w:hint="default"/>
      </w:rPr>
    </w:lvl>
    <w:lvl w:ilvl="1" w:tplc="140A0003" w:tentative="1">
      <w:start w:val="1"/>
      <w:numFmt w:val="bullet"/>
      <w:lvlText w:val="o"/>
      <w:lvlJc w:val="left"/>
      <w:pPr>
        <w:ind w:left="2160" w:hanging="360"/>
      </w:pPr>
      <w:rPr>
        <w:rFonts w:ascii="Courier New" w:hAnsi="Courier New" w:cs="Courier New" w:hint="default"/>
      </w:rPr>
    </w:lvl>
    <w:lvl w:ilvl="2" w:tplc="140A0005" w:tentative="1">
      <w:start w:val="1"/>
      <w:numFmt w:val="bullet"/>
      <w:lvlText w:val=""/>
      <w:lvlJc w:val="left"/>
      <w:pPr>
        <w:ind w:left="2880" w:hanging="360"/>
      </w:pPr>
      <w:rPr>
        <w:rFonts w:ascii="Wingdings" w:hAnsi="Wingdings" w:hint="default"/>
      </w:rPr>
    </w:lvl>
    <w:lvl w:ilvl="3" w:tplc="140A0001" w:tentative="1">
      <w:start w:val="1"/>
      <w:numFmt w:val="bullet"/>
      <w:lvlText w:val=""/>
      <w:lvlJc w:val="left"/>
      <w:pPr>
        <w:ind w:left="3600" w:hanging="360"/>
      </w:pPr>
      <w:rPr>
        <w:rFonts w:ascii="Symbol" w:hAnsi="Symbol" w:hint="default"/>
      </w:rPr>
    </w:lvl>
    <w:lvl w:ilvl="4" w:tplc="140A0003" w:tentative="1">
      <w:start w:val="1"/>
      <w:numFmt w:val="bullet"/>
      <w:lvlText w:val="o"/>
      <w:lvlJc w:val="left"/>
      <w:pPr>
        <w:ind w:left="4320" w:hanging="360"/>
      </w:pPr>
      <w:rPr>
        <w:rFonts w:ascii="Courier New" w:hAnsi="Courier New" w:cs="Courier New" w:hint="default"/>
      </w:rPr>
    </w:lvl>
    <w:lvl w:ilvl="5" w:tplc="140A0005" w:tentative="1">
      <w:start w:val="1"/>
      <w:numFmt w:val="bullet"/>
      <w:lvlText w:val=""/>
      <w:lvlJc w:val="left"/>
      <w:pPr>
        <w:ind w:left="5040" w:hanging="360"/>
      </w:pPr>
      <w:rPr>
        <w:rFonts w:ascii="Wingdings" w:hAnsi="Wingdings" w:hint="default"/>
      </w:rPr>
    </w:lvl>
    <w:lvl w:ilvl="6" w:tplc="140A0001" w:tentative="1">
      <w:start w:val="1"/>
      <w:numFmt w:val="bullet"/>
      <w:lvlText w:val=""/>
      <w:lvlJc w:val="left"/>
      <w:pPr>
        <w:ind w:left="5760" w:hanging="360"/>
      </w:pPr>
      <w:rPr>
        <w:rFonts w:ascii="Symbol" w:hAnsi="Symbol" w:hint="default"/>
      </w:rPr>
    </w:lvl>
    <w:lvl w:ilvl="7" w:tplc="140A0003" w:tentative="1">
      <w:start w:val="1"/>
      <w:numFmt w:val="bullet"/>
      <w:lvlText w:val="o"/>
      <w:lvlJc w:val="left"/>
      <w:pPr>
        <w:ind w:left="6480" w:hanging="360"/>
      </w:pPr>
      <w:rPr>
        <w:rFonts w:ascii="Courier New" w:hAnsi="Courier New" w:cs="Courier New" w:hint="default"/>
      </w:rPr>
    </w:lvl>
    <w:lvl w:ilvl="8" w:tplc="140A0005" w:tentative="1">
      <w:start w:val="1"/>
      <w:numFmt w:val="bullet"/>
      <w:lvlText w:val=""/>
      <w:lvlJc w:val="left"/>
      <w:pPr>
        <w:ind w:left="7200" w:hanging="360"/>
      </w:pPr>
      <w:rPr>
        <w:rFonts w:ascii="Wingdings" w:hAnsi="Wingdings" w:hint="default"/>
      </w:rPr>
    </w:lvl>
  </w:abstractNum>
  <w:abstractNum w:abstractNumId="104" w15:restartNumberingAfterBreak="0">
    <w:nsid w:val="76195CD0"/>
    <w:multiLevelType w:val="hybridMultilevel"/>
    <w:tmpl w:val="57E4221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05" w15:restartNumberingAfterBreak="0">
    <w:nsid w:val="76475BA0"/>
    <w:multiLevelType w:val="hybridMultilevel"/>
    <w:tmpl w:val="C784906E"/>
    <w:lvl w:ilvl="0" w:tplc="140A0001">
      <w:start w:val="1"/>
      <w:numFmt w:val="bullet"/>
      <w:lvlText w:val=""/>
      <w:lvlJc w:val="left"/>
      <w:pPr>
        <w:ind w:left="1800" w:hanging="360"/>
      </w:pPr>
      <w:rPr>
        <w:rFonts w:ascii="Symbol" w:hAnsi="Symbol" w:hint="default"/>
      </w:rPr>
    </w:lvl>
    <w:lvl w:ilvl="1" w:tplc="140A0003" w:tentative="1">
      <w:start w:val="1"/>
      <w:numFmt w:val="bullet"/>
      <w:lvlText w:val="o"/>
      <w:lvlJc w:val="left"/>
      <w:pPr>
        <w:ind w:left="2520" w:hanging="360"/>
      </w:pPr>
      <w:rPr>
        <w:rFonts w:ascii="Courier New" w:hAnsi="Courier New" w:cs="Courier New" w:hint="default"/>
      </w:rPr>
    </w:lvl>
    <w:lvl w:ilvl="2" w:tplc="140A0005" w:tentative="1">
      <w:start w:val="1"/>
      <w:numFmt w:val="bullet"/>
      <w:lvlText w:val=""/>
      <w:lvlJc w:val="left"/>
      <w:pPr>
        <w:ind w:left="3240" w:hanging="360"/>
      </w:pPr>
      <w:rPr>
        <w:rFonts w:ascii="Wingdings" w:hAnsi="Wingdings" w:hint="default"/>
      </w:rPr>
    </w:lvl>
    <w:lvl w:ilvl="3" w:tplc="140A0001" w:tentative="1">
      <w:start w:val="1"/>
      <w:numFmt w:val="bullet"/>
      <w:lvlText w:val=""/>
      <w:lvlJc w:val="left"/>
      <w:pPr>
        <w:ind w:left="3960" w:hanging="360"/>
      </w:pPr>
      <w:rPr>
        <w:rFonts w:ascii="Symbol" w:hAnsi="Symbol" w:hint="default"/>
      </w:rPr>
    </w:lvl>
    <w:lvl w:ilvl="4" w:tplc="140A0003" w:tentative="1">
      <w:start w:val="1"/>
      <w:numFmt w:val="bullet"/>
      <w:lvlText w:val="o"/>
      <w:lvlJc w:val="left"/>
      <w:pPr>
        <w:ind w:left="4680" w:hanging="360"/>
      </w:pPr>
      <w:rPr>
        <w:rFonts w:ascii="Courier New" w:hAnsi="Courier New" w:cs="Courier New" w:hint="default"/>
      </w:rPr>
    </w:lvl>
    <w:lvl w:ilvl="5" w:tplc="140A0005" w:tentative="1">
      <w:start w:val="1"/>
      <w:numFmt w:val="bullet"/>
      <w:lvlText w:val=""/>
      <w:lvlJc w:val="left"/>
      <w:pPr>
        <w:ind w:left="5400" w:hanging="360"/>
      </w:pPr>
      <w:rPr>
        <w:rFonts w:ascii="Wingdings" w:hAnsi="Wingdings" w:hint="default"/>
      </w:rPr>
    </w:lvl>
    <w:lvl w:ilvl="6" w:tplc="140A0001" w:tentative="1">
      <w:start w:val="1"/>
      <w:numFmt w:val="bullet"/>
      <w:lvlText w:val=""/>
      <w:lvlJc w:val="left"/>
      <w:pPr>
        <w:ind w:left="6120" w:hanging="360"/>
      </w:pPr>
      <w:rPr>
        <w:rFonts w:ascii="Symbol" w:hAnsi="Symbol" w:hint="default"/>
      </w:rPr>
    </w:lvl>
    <w:lvl w:ilvl="7" w:tplc="140A0003" w:tentative="1">
      <w:start w:val="1"/>
      <w:numFmt w:val="bullet"/>
      <w:lvlText w:val="o"/>
      <w:lvlJc w:val="left"/>
      <w:pPr>
        <w:ind w:left="6840" w:hanging="360"/>
      </w:pPr>
      <w:rPr>
        <w:rFonts w:ascii="Courier New" w:hAnsi="Courier New" w:cs="Courier New" w:hint="default"/>
      </w:rPr>
    </w:lvl>
    <w:lvl w:ilvl="8" w:tplc="140A0005" w:tentative="1">
      <w:start w:val="1"/>
      <w:numFmt w:val="bullet"/>
      <w:lvlText w:val=""/>
      <w:lvlJc w:val="left"/>
      <w:pPr>
        <w:ind w:left="7560" w:hanging="360"/>
      </w:pPr>
      <w:rPr>
        <w:rFonts w:ascii="Wingdings" w:hAnsi="Wingdings" w:hint="default"/>
      </w:rPr>
    </w:lvl>
  </w:abstractNum>
  <w:abstractNum w:abstractNumId="106" w15:restartNumberingAfterBreak="0">
    <w:nsid w:val="7AC22A62"/>
    <w:multiLevelType w:val="hybridMultilevel"/>
    <w:tmpl w:val="32B47252"/>
    <w:lvl w:ilvl="0" w:tplc="140A000F">
      <w:start w:val="1"/>
      <w:numFmt w:val="decimal"/>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07" w15:restartNumberingAfterBreak="0">
    <w:nsid w:val="7C0B7294"/>
    <w:multiLevelType w:val="hybridMultilevel"/>
    <w:tmpl w:val="D8B413C8"/>
    <w:lvl w:ilvl="0" w:tplc="140A000F">
      <w:start w:val="1"/>
      <w:numFmt w:val="decimal"/>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08" w15:restartNumberingAfterBreak="0">
    <w:nsid w:val="7D310512"/>
    <w:multiLevelType w:val="hybridMultilevel"/>
    <w:tmpl w:val="5CE895B6"/>
    <w:lvl w:ilvl="0" w:tplc="140A0017">
      <w:start w:val="1"/>
      <w:numFmt w:val="low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09" w15:restartNumberingAfterBreak="0">
    <w:nsid w:val="7D864C28"/>
    <w:multiLevelType w:val="hybridMultilevel"/>
    <w:tmpl w:val="E438EDE8"/>
    <w:lvl w:ilvl="0" w:tplc="140A000D">
      <w:start w:val="1"/>
      <w:numFmt w:val="bullet"/>
      <w:lvlText w:val=""/>
      <w:lvlJc w:val="left"/>
      <w:pPr>
        <w:ind w:left="720" w:hanging="360"/>
      </w:pPr>
      <w:rPr>
        <w:rFonts w:ascii="Wingdings" w:hAnsi="Wingdings" w:cs="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10" w15:restartNumberingAfterBreak="0">
    <w:nsid w:val="7E567669"/>
    <w:multiLevelType w:val="hybridMultilevel"/>
    <w:tmpl w:val="D86C5976"/>
    <w:lvl w:ilvl="0" w:tplc="140A000F">
      <w:start w:val="1"/>
      <w:numFmt w:val="decimal"/>
      <w:lvlText w:val="%1."/>
      <w:lvlJc w:val="left"/>
      <w:pPr>
        <w:ind w:left="1440" w:hanging="360"/>
      </w:pPr>
    </w:lvl>
    <w:lvl w:ilvl="1" w:tplc="140A0019" w:tentative="1">
      <w:start w:val="1"/>
      <w:numFmt w:val="lowerLetter"/>
      <w:lvlText w:val="%2."/>
      <w:lvlJc w:val="left"/>
      <w:pPr>
        <w:ind w:left="2160" w:hanging="360"/>
      </w:pPr>
    </w:lvl>
    <w:lvl w:ilvl="2" w:tplc="140A001B" w:tentative="1">
      <w:start w:val="1"/>
      <w:numFmt w:val="lowerRoman"/>
      <w:lvlText w:val="%3."/>
      <w:lvlJc w:val="right"/>
      <w:pPr>
        <w:ind w:left="2880" w:hanging="180"/>
      </w:pPr>
    </w:lvl>
    <w:lvl w:ilvl="3" w:tplc="140A000F" w:tentative="1">
      <w:start w:val="1"/>
      <w:numFmt w:val="decimal"/>
      <w:lvlText w:val="%4."/>
      <w:lvlJc w:val="left"/>
      <w:pPr>
        <w:ind w:left="3600" w:hanging="360"/>
      </w:pPr>
    </w:lvl>
    <w:lvl w:ilvl="4" w:tplc="140A0019" w:tentative="1">
      <w:start w:val="1"/>
      <w:numFmt w:val="lowerLetter"/>
      <w:lvlText w:val="%5."/>
      <w:lvlJc w:val="left"/>
      <w:pPr>
        <w:ind w:left="4320" w:hanging="360"/>
      </w:pPr>
    </w:lvl>
    <w:lvl w:ilvl="5" w:tplc="140A001B" w:tentative="1">
      <w:start w:val="1"/>
      <w:numFmt w:val="lowerRoman"/>
      <w:lvlText w:val="%6."/>
      <w:lvlJc w:val="right"/>
      <w:pPr>
        <w:ind w:left="5040" w:hanging="180"/>
      </w:pPr>
    </w:lvl>
    <w:lvl w:ilvl="6" w:tplc="140A000F" w:tentative="1">
      <w:start w:val="1"/>
      <w:numFmt w:val="decimal"/>
      <w:lvlText w:val="%7."/>
      <w:lvlJc w:val="left"/>
      <w:pPr>
        <w:ind w:left="5760" w:hanging="360"/>
      </w:pPr>
    </w:lvl>
    <w:lvl w:ilvl="7" w:tplc="140A0019" w:tentative="1">
      <w:start w:val="1"/>
      <w:numFmt w:val="lowerLetter"/>
      <w:lvlText w:val="%8."/>
      <w:lvlJc w:val="left"/>
      <w:pPr>
        <w:ind w:left="6480" w:hanging="360"/>
      </w:pPr>
    </w:lvl>
    <w:lvl w:ilvl="8" w:tplc="140A001B" w:tentative="1">
      <w:start w:val="1"/>
      <w:numFmt w:val="lowerRoman"/>
      <w:lvlText w:val="%9."/>
      <w:lvlJc w:val="right"/>
      <w:pPr>
        <w:ind w:left="7200" w:hanging="180"/>
      </w:pPr>
    </w:lvl>
  </w:abstractNum>
  <w:abstractNum w:abstractNumId="111" w15:restartNumberingAfterBreak="0">
    <w:nsid w:val="7F763578"/>
    <w:multiLevelType w:val="hybridMultilevel"/>
    <w:tmpl w:val="D7963178"/>
    <w:lvl w:ilvl="0" w:tplc="140A000B">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num w:numId="1">
    <w:abstractNumId w:val="0"/>
  </w:num>
  <w:num w:numId="2">
    <w:abstractNumId w:val="33"/>
  </w:num>
  <w:num w:numId="3">
    <w:abstractNumId w:val="87"/>
  </w:num>
  <w:num w:numId="4">
    <w:abstractNumId w:val="32"/>
  </w:num>
  <w:num w:numId="5">
    <w:abstractNumId w:val="9"/>
  </w:num>
  <w:num w:numId="6">
    <w:abstractNumId w:val="21"/>
  </w:num>
  <w:num w:numId="7">
    <w:abstractNumId w:val="95"/>
  </w:num>
  <w:num w:numId="8">
    <w:abstractNumId w:val="86"/>
  </w:num>
  <w:num w:numId="9">
    <w:abstractNumId w:val="37"/>
  </w:num>
  <w:num w:numId="10">
    <w:abstractNumId w:val="79"/>
  </w:num>
  <w:num w:numId="11">
    <w:abstractNumId w:val="78"/>
  </w:num>
  <w:num w:numId="12">
    <w:abstractNumId w:val="24"/>
  </w:num>
  <w:num w:numId="13">
    <w:abstractNumId w:val="107"/>
  </w:num>
  <w:num w:numId="14">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24"/>
  </w:num>
  <w:num w:numId="16">
    <w:abstractNumId w:val="62"/>
  </w:num>
  <w:num w:numId="17">
    <w:abstractNumId w:val="24"/>
  </w:num>
  <w:num w:numId="18">
    <w:abstractNumId w:val="24"/>
  </w:num>
  <w:num w:numId="19">
    <w:abstractNumId w:val="7"/>
  </w:num>
  <w:num w:numId="20">
    <w:abstractNumId w:val="4"/>
  </w:num>
  <w:num w:numId="21">
    <w:abstractNumId w:val="52"/>
  </w:num>
  <w:num w:numId="22">
    <w:abstractNumId w:val="84"/>
  </w:num>
  <w:num w:numId="23">
    <w:abstractNumId w:val="59"/>
  </w:num>
  <w:num w:numId="24">
    <w:abstractNumId w:val="85"/>
  </w:num>
  <w:num w:numId="25">
    <w:abstractNumId w:val="109"/>
  </w:num>
  <w:num w:numId="26">
    <w:abstractNumId w:val="46"/>
  </w:num>
  <w:num w:numId="27">
    <w:abstractNumId w:val="40"/>
  </w:num>
  <w:num w:numId="28">
    <w:abstractNumId w:val="67"/>
  </w:num>
  <w:num w:numId="29">
    <w:abstractNumId w:val="24"/>
  </w:num>
  <w:num w:numId="30">
    <w:abstractNumId w:val="99"/>
  </w:num>
  <w:num w:numId="31">
    <w:abstractNumId w:val="72"/>
  </w:num>
  <w:num w:numId="32">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24"/>
  </w:num>
  <w:num w:numId="34">
    <w:abstractNumId w:val="68"/>
  </w:num>
  <w:num w:numId="35">
    <w:abstractNumId w:val="19"/>
  </w:num>
  <w:num w:numId="36">
    <w:abstractNumId w:val="47"/>
  </w:num>
  <w:num w:numId="37">
    <w:abstractNumId w:val="39"/>
  </w:num>
  <w:num w:numId="38">
    <w:abstractNumId w:val="96"/>
  </w:num>
  <w:num w:numId="39">
    <w:abstractNumId w:val="17"/>
  </w:num>
  <w:num w:numId="40">
    <w:abstractNumId w:val="106"/>
  </w:num>
  <w:num w:numId="41">
    <w:abstractNumId w:val="5"/>
  </w:num>
  <w:num w:numId="42">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64"/>
  </w:num>
  <w:num w:numId="44">
    <w:abstractNumId w:val="80"/>
  </w:num>
  <w:num w:numId="45">
    <w:abstractNumId w:val="1"/>
  </w:num>
  <w:num w:numId="46">
    <w:abstractNumId w:val="35"/>
  </w:num>
  <w:num w:numId="47">
    <w:abstractNumId w:val="60"/>
  </w:num>
  <w:num w:numId="48">
    <w:abstractNumId w:val="20"/>
  </w:num>
  <w:num w:numId="49">
    <w:abstractNumId w:val="8"/>
  </w:num>
  <w:num w:numId="50">
    <w:abstractNumId w:val="29"/>
  </w:num>
  <w:num w:numId="51">
    <w:abstractNumId w:val="10"/>
  </w:num>
  <w:num w:numId="52">
    <w:abstractNumId w:val="93"/>
  </w:num>
  <w:num w:numId="53">
    <w:abstractNumId w:val="22"/>
  </w:num>
  <w:num w:numId="54">
    <w:abstractNumId w:val="11"/>
  </w:num>
  <w:num w:numId="55">
    <w:abstractNumId w:val="92"/>
  </w:num>
  <w:num w:numId="56">
    <w:abstractNumId w:val="34"/>
  </w:num>
  <w:num w:numId="57">
    <w:abstractNumId w:val="53"/>
  </w:num>
  <w:num w:numId="58">
    <w:abstractNumId w:val="76"/>
  </w:num>
  <w:num w:numId="59">
    <w:abstractNumId w:val="43"/>
  </w:num>
  <w:num w:numId="60">
    <w:abstractNumId w:val="24"/>
  </w:num>
  <w:num w:numId="61">
    <w:abstractNumId w:val="13"/>
  </w:num>
  <w:num w:numId="62">
    <w:abstractNumId w:val="103"/>
  </w:num>
  <w:num w:numId="63">
    <w:abstractNumId w:val="105"/>
  </w:num>
  <w:num w:numId="64">
    <w:abstractNumId w:val="75"/>
  </w:num>
  <w:num w:numId="65">
    <w:abstractNumId w:val="44"/>
  </w:num>
  <w:num w:numId="66">
    <w:abstractNumId w:val="24"/>
    <w:lvlOverride w:ilvl="0">
      <w:startOverride w:val="3"/>
    </w:lvlOverride>
    <w:lvlOverride w:ilvl="1">
      <w:startOverride w:val="3"/>
    </w:lvlOverride>
  </w:num>
  <w:num w:numId="67">
    <w:abstractNumId w:val="24"/>
  </w:num>
  <w:num w:numId="68">
    <w:abstractNumId w:val="24"/>
  </w:num>
  <w:num w:numId="69">
    <w:abstractNumId w:val="24"/>
    <w:lvlOverride w:ilvl="0">
      <w:startOverride w:val="6"/>
    </w:lvlOverride>
    <w:lvlOverride w:ilvl="1">
      <w:startOverride w:val="1"/>
    </w:lvlOverride>
  </w:num>
  <w:num w:numId="70">
    <w:abstractNumId w:val="35"/>
  </w:num>
  <w:num w:numId="71">
    <w:abstractNumId w:val="35"/>
  </w:num>
  <w:num w:numId="72">
    <w:abstractNumId w:val="30"/>
  </w:num>
  <w:num w:numId="73">
    <w:abstractNumId w:val="81"/>
  </w:num>
  <w:num w:numId="74">
    <w:abstractNumId w:val="54"/>
  </w:num>
  <w:num w:numId="75">
    <w:abstractNumId w:val="104"/>
  </w:num>
  <w:num w:numId="76">
    <w:abstractNumId w:val="70"/>
  </w:num>
  <w:num w:numId="77">
    <w:abstractNumId w:val="51"/>
  </w:num>
  <w:num w:numId="78">
    <w:abstractNumId w:val="49"/>
  </w:num>
  <w:num w:numId="79">
    <w:abstractNumId w:val="36"/>
  </w:num>
  <w:num w:numId="80">
    <w:abstractNumId w:val="38"/>
  </w:num>
  <w:num w:numId="81">
    <w:abstractNumId w:val="77"/>
  </w:num>
  <w:num w:numId="82">
    <w:abstractNumId w:val="27"/>
  </w:num>
  <w:num w:numId="83">
    <w:abstractNumId w:val="63"/>
  </w:num>
  <w:num w:numId="84">
    <w:abstractNumId w:val="108"/>
  </w:num>
  <w:num w:numId="85">
    <w:abstractNumId w:val="71"/>
  </w:num>
  <w:num w:numId="86">
    <w:abstractNumId w:val="41"/>
  </w:num>
  <w:num w:numId="87">
    <w:abstractNumId w:val="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8">
    <w:abstractNumId w:val="28"/>
  </w:num>
  <w:num w:numId="89">
    <w:abstractNumId w:val="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0">
    <w:abstractNumId w:val="48"/>
  </w:num>
  <w:num w:numId="91">
    <w:abstractNumId w:val="5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2">
    <w:abstractNumId w:val="97"/>
  </w:num>
  <w:num w:numId="93">
    <w:abstractNumId w:val="14"/>
  </w:num>
  <w:num w:numId="94">
    <w:abstractNumId w:val="50"/>
  </w:num>
  <w:num w:numId="95">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6">
    <w:abstractNumId w:val="45"/>
  </w:num>
  <w:num w:numId="97">
    <w:abstractNumId w:val="15"/>
  </w:num>
  <w:num w:numId="98">
    <w:abstractNumId w:val="23"/>
  </w:num>
  <w:num w:numId="99">
    <w:abstractNumId w:val="91"/>
  </w:num>
  <w:num w:numId="100">
    <w:abstractNumId w:val="111"/>
  </w:num>
  <w:num w:numId="101">
    <w:abstractNumId w:val="18"/>
  </w:num>
  <w:num w:numId="102">
    <w:abstractNumId w:val="55"/>
  </w:num>
  <w:num w:numId="103">
    <w:abstractNumId w:val="69"/>
  </w:num>
  <w:num w:numId="104">
    <w:abstractNumId w:val="101"/>
  </w:num>
  <w:num w:numId="105">
    <w:abstractNumId w:val="57"/>
  </w:num>
  <w:num w:numId="106">
    <w:abstractNumId w:val="16"/>
  </w:num>
  <w:num w:numId="107">
    <w:abstractNumId w:val="63"/>
  </w:num>
  <w:num w:numId="108">
    <w:abstractNumId w:val="12"/>
  </w:num>
  <w:num w:numId="109">
    <w:abstractNumId w:val="94"/>
  </w:num>
  <w:num w:numId="110">
    <w:abstractNumId w:val="63"/>
    <w:lvlOverride w:ilvl="0">
      <w:startOverride w:val="4"/>
    </w:lvlOverride>
  </w:num>
  <w:num w:numId="111">
    <w:abstractNumId w:val="25"/>
  </w:num>
  <w:num w:numId="112">
    <w:abstractNumId w:val="63"/>
  </w:num>
  <w:num w:numId="113">
    <w:abstractNumId w:val="98"/>
  </w:num>
  <w:num w:numId="114">
    <w:abstractNumId w:val="90"/>
  </w:num>
  <w:num w:numId="115">
    <w:abstractNumId w:val="110"/>
  </w:num>
  <w:num w:numId="116">
    <w:abstractNumId w:val="6"/>
  </w:num>
  <w:num w:numId="117">
    <w:abstractNumId w:val="3"/>
  </w:num>
  <w:num w:numId="118">
    <w:abstractNumId w:val="70"/>
  </w:num>
  <w:num w:numId="119">
    <w:abstractNumId w:val="83"/>
  </w:num>
  <w:num w:numId="120">
    <w:abstractNumId w:val="89"/>
  </w:num>
  <w:num w:numId="121">
    <w:abstractNumId w:val="100"/>
  </w:num>
  <w:num w:numId="122">
    <w:abstractNumId w:val="65"/>
  </w:num>
  <w:num w:numId="123">
    <w:abstractNumId w:val="56"/>
  </w:num>
  <w:num w:numId="124">
    <w:abstractNumId w:val="102"/>
  </w:num>
  <w:num w:numId="125">
    <w:abstractNumId w:val="61"/>
  </w:num>
  <w:num w:numId="126">
    <w:abstractNumId w:val="73"/>
  </w:num>
  <w:num w:numId="127">
    <w:abstractNumId w:val="88"/>
  </w:num>
  <w:num w:numId="128">
    <w:abstractNumId w:val="82"/>
  </w:num>
  <w:num w:numId="129">
    <w:abstractNumId w:val="74"/>
  </w:num>
  <w:num w:numId="130">
    <w:abstractNumId w:val="66"/>
  </w:num>
  <w:num w:numId="131">
    <w:abstractNumId w:val="70"/>
  </w:num>
  <w:num w:numId="132">
    <w:abstractNumId w:val="2"/>
  </w:num>
  <w:num w:numId="133">
    <w:abstractNumId w:val="26"/>
  </w:num>
  <w:num w:numId="134">
    <w:abstractNumId w:val="27"/>
  </w:num>
  <w:numIdMacAtCleanup w:val="12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5"/>
  <w:activeWritingStyle w:appName="MSWord" w:lang="pt-BR" w:vendorID="64" w:dllVersion="4096" w:nlCheck="1" w:checkStyle="0"/>
  <w:activeWritingStyle w:appName="MSWord" w:lang="es-ES_tradnl" w:vendorID="64" w:dllVersion="4096" w:nlCheck="1" w:checkStyle="0"/>
  <w:activeWritingStyle w:appName="MSWord" w:lang="es-CR" w:vendorID="64" w:dllVersion="4096" w:nlCheck="1" w:checkStyle="0"/>
  <w:activeWritingStyle w:appName="MSWord" w:lang="en-US" w:vendorID="64" w:dllVersion="4096" w:nlCheck="1" w:checkStyle="0"/>
  <w:activeWritingStyle w:appName="MSWord" w:lang="es-ES" w:vendorID="64" w:dllVersion="4096" w:nlCheck="1" w:checkStyle="0"/>
  <w:activeWritingStyle w:appName="MSWord" w:lang="es-ES_tradnl" w:vendorID="64" w:dllVersion="0" w:nlCheck="1" w:checkStyle="0"/>
  <w:activeWritingStyle w:appName="MSWord" w:lang="es-CR" w:vendorID="64" w:dllVersion="0" w:nlCheck="1" w:checkStyle="0"/>
  <w:activeWritingStyle w:appName="MSWord" w:lang="en-US" w:vendorID="64" w:dllVersion="0" w:nlCheck="1" w:checkStyle="0"/>
  <w:activeWritingStyle w:appName="MSWord" w:lang="es-ES" w:vendorID="64" w:dllVersion="0" w:nlCheck="1" w:checkStyle="0"/>
  <w:activeWritingStyle w:appName="MSWord" w:lang="en-AU" w:vendorID="64" w:dllVersion="0" w:nlCheck="1" w:checkStyle="0"/>
  <w:activeWritingStyle w:appName="MSWord" w:lang="es-MX" w:vendorID="64" w:dllVersion="0" w:nlCheck="1" w:checkStyle="0"/>
  <w:activeWritingStyle w:appName="MSWord" w:lang="pt-BR" w:vendorID="64" w:dllVersion="0" w:nlCheck="1" w:checkStyle="0"/>
  <w:activeWritingStyle w:appName="MSWord" w:lang="es-ES_tradnl" w:vendorID="64" w:dllVersion="6" w:nlCheck="1" w:checkStyle="0"/>
  <w:activeWritingStyle w:appName="MSWord" w:lang="es-CR" w:vendorID="64" w:dllVersion="6" w:nlCheck="1" w:checkStyle="0"/>
  <w:activeWritingStyle w:appName="MSWord" w:lang="es-MX" w:vendorID="64" w:dllVersion="4096" w:nlCheck="1" w:checkStyle="0"/>
  <w:activeWritingStyle w:appName="MSWord" w:lang="es-419" w:vendorID="64" w:dllVersion="4096" w:nlCheck="1" w:checkStyle="0"/>
  <w:activeWritingStyle w:appName="MSWord" w:lang="es-419" w:vendorID="64" w:dllVersion="0" w:nlCheck="1" w:checkStyle="0"/>
  <w:activeWritingStyle w:appName="MSWord" w:lang="es-CR" w:vendorID="64" w:dllVersion="131078" w:nlCheck="1" w:checkStyle="0"/>
  <w:activeWritingStyle w:appName="MSWord" w:lang="es-ES_tradnl" w:vendorID="64" w:dllVersion="131078" w:nlCheck="1" w:checkStyle="0"/>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mailMerge>
    <w:mainDocumentType w:val="formLetters"/>
    <w:dataType w:val="textFile"/>
    <w:activeRecord w:val="-1"/>
    <w:odso/>
  </w:mailMerge>
  <w:defaultTabStop w:val="708"/>
  <w:hyphenationZone w:val="425"/>
  <w:characterSpacingControl w:val="doNotCompress"/>
  <w:hdrShapeDefaults>
    <o:shapedefaults v:ext="edit" spidmax="251905"/>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D56AF"/>
    <w:rsid w:val="000009EB"/>
    <w:rsid w:val="00000C80"/>
    <w:rsid w:val="00000F73"/>
    <w:rsid w:val="000014A5"/>
    <w:rsid w:val="00001756"/>
    <w:rsid w:val="00001A06"/>
    <w:rsid w:val="00005656"/>
    <w:rsid w:val="00006558"/>
    <w:rsid w:val="00006B4D"/>
    <w:rsid w:val="000073E4"/>
    <w:rsid w:val="000101C2"/>
    <w:rsid w:val="00010417"/>
    <w:rsid w:val="00010B3A"/>
    <w:rsid w:val="000119ED"/>
    <w:rsid w:val="00011B1A"/>
    <w:rsid w:val="00012764"/>
    <w:rsid w:val="00013376"/>
    <w:rsid w:val="00014398"/>
    <w:rsid w:val="000163B8"/>
    <w:rsid w:val="000163F9"/>
    <w:rsid w:val="00016790"/>
    <w:rsid w:val="000175EB"/>
    <w:rsid w:val="00020732"/>
    <w:rsid w:val="00020B91"/>
    <w:rsid w:val="00020EE9"/>
    <w:rsid w:val="00021BE4"/>
    <w:rsid w:val="00023113"/>
    <w:rsid w:val="00023844"/>
    <w:rsid w:val="0002392B"/>
    <w:rsid w:val="00023AC8"/>
    <w:rsid w:val="00023FF3"/>
    <w:rsid w:val="00024D75"/>
    <w:rsid w:val="00026C38"/>
    <w:rsid w:val="000303B8"/>
    <w:rsid w:val="00030863"/>
    <w:rsid w:val="000311E8"/>
    <w:rsid w:val="0003182C"/>
    <w:rsid w:val="000322C4"/>
    <w:rsid w:val="00032340"/>
    <w:rsid w:val="000323E7"/>
    <w:rsid w:val="00032B35"/>
    <w:rsid w:val="000342C3"/>
    <w:rsid w:val="000348BB"/>
    <w:rsid w:val="00034B75"/>
    <w:rsid w:val="00034C19"/>
    <w:rsid w:val="000354F3"/>
    <w:rsid w:val="00035CAC"/>
    <w:rsid w:val="00036C0C"/>
    <w:rsid w:val="00036D2F"/>
    <w:rsid w:val="00036F94"/>
    <w:rsid w:val="00037369"/>
    <w:rsid w:val="000400DC"/>
    <w:rsid w:val="000417F1"/>
    <w:rsid w:val="00041B93"/>
    <w:rsid w:val="00043C4B"/>
    <w:rsid w:val="00044166"/>
    <w:rsid w:val="000442F4"/>
    <w:rsid w:val="000470B4"/>
    <w:rsid w:val="0004780B"/>
    <w:rsid w:val="000502D8"/>
    <w:rsid w:val="000503C0"/>
    <w:rsid w:val="00051E56"/>
    <w:rsid w:val="00053944"/>
    <w:rsid w:val="00054846"/>
    <w:rsid w:val="00054FE9"/>
    <w:rsid w:val="0005532E"/>
    <w:rsid w:val="0005551F"/>
    <w:rsid w:val="000557E7"/>
    <w:rsid w:val="00056F48"/>
    <w:rsid w:val="00060401"/>
    <w:rsid w:val="000606DA"/>
    <w:rsid w:val="00060833"/>
    <w:rsid w:val="00060C02"/>
    <w:rsid w:val="0006142B"/>
    <w:rsid w:val="00063227"/>
    <w:rsid w:val="00063960"/>
    <w:rsid w:val="00064D5E"/>
    <w:rsid w:val="00065324"/>
    <w:rsid w:val="00065B5E"/>
    <w:rsid w:val="00066133"/>
    <w:rsid w:val="00066747"/>
    <w:rsid w:val="000670C2"/>
    <w:rsid w:val="00067C87"/>
    <w:rsid w:val="00070821"/>
    <w:rsid w:val="00070914"/>
    <w:rsid w:val="00070BEC"/>
    <w:rsid w:val="00070CF1"/>
    <w:rsid w:val="00071199"/>
    <w:rsid w:val="000717FB"/>
    <w:rsid w:val="00071801"/>
    <w:rsid w:val="00071D90"/>
    <w:rsid w:val="00072FBA"/>
    <w:rsid w:val="00074838"/>
    <w:rsid w:val="00074E16"/>
    <w:rsid w:val="00076048"/>
    <w:rsid w:val="0007609E"/>
    <w:rsid w:val="000762ED"/>
    <w:rsid w:val="0007699F"/>
    <w:rsid w:val="00076B0D"/>
    <w:rsid w:val="00076F3C"/>
    <w:rsid w:val="00077BF3"/>
    <w:rsid w:val="00077C8A"/>
    <w:rsid w:val="00081448"/>
    <w:rsid w:val="000819A8"/>
    <w:rsid w:val="000819C1"/>
    <w:rsid w:val="0008267A"/>
    <w:rsid w:val="00082DF7"/>
    <w:rsid w:val="00083A8F"/>
    <w:rsid w:val="000843D6"/>
    <w:rsid w:val="0008523C"/>
    <w:rsid w:val="0008541E"/>
    <w:rsid w:val="00085601"/>
    <w:rsid w:val="00085C80"/>
    <w:rsid w:val="00087167"/>
    <w:rsid w:val="000875D6"/>
    <w:rsid w:val="00087CD1"/>
    <w:rsid w:val="000908C5"/>
    <w:rsid w:val="00090D41"/>
    <w:rsid w:val="00091D09"/>
    <w:rsid w:val="0009256A"/>
    <w:rsid w:val="00092CC3"/>
    <w:rsid w:val="00093527"/>
    <w:rsid w:val="00093AAE"/>
    <w:rsid w:val="00094158"/>
    <w:rsid w:val="000948A2"/>
    <w:rsid w:val="000950D6"/>
    <w:rsid w:val="00095B08"/>
    <w:rsid w:val="00095B6E"/>
    <w:rsid w:val="00095C74"/>
    <w:rsid w:val="00096DD9"/>
    <w:rsid w:val="00097516"/>
    <w:rsid w:val="00097810"/>
    <w:rsid w:val="000978E8"/>
    <w:rsid w:val="00097DDC"/>
    <w:rsid w:val="000A0A16"/>
    <w:rsid w:val="000A0DEB"/>
    <w:rsid w:val="000A17AF"/>
    <w:rsid w:val="000A1A03"/>
    <w:rsid w:val="000A1BD0"/>
    <w:rsid w:val="000A1C6D"/>
    <w:rsid w:val="000A476C"/>
    <w:rsid w:val="000A4B3D"/>
    <w:rsid w:val="000A50FC"/>
    <w:rsid w:val="000A6DCC"/>
    <w:rsid w:val="000A70E2"/>
    <w:rsid w:val="000A7635"/>
    <w:rsid w:val="000A7A29"/>
    <w:rsid w:val="000B05FB"/>
    <w:rsid w:val="000B082C"/>
    <w:rsid w:val="000B0FEA"/>
    <w:rsid w:val="000B1944"/>
    <w:rsid w:val="000B1BF6"/>
    <w:rsid w:val="000B22DF"/>
    <w:rsid w:val="000B2F4A"/>
    <w:rsid w:val="000B4067"/>
    <w:rsid w:val="000B4845"/>
    <w:rsid w:val="000B51CB"/>
    <w:rsid w:val="000B6B81"/>
    <w:rsid w:val="000B6DD0"/>
    <w:rsid w:val="000B7059"/>
    <w:rsid w:val="000B7E03"/>
    <w:rsid w:val="000B7EC2"/>
    <w:rsid w:val="000C0C43"/>
    <w:rsid w:val="000C0DC6"/>
    <w:rsid w:val="000C0EC5"/>
    <w:rsid w:val="000C25F3"/>
    <w:rsid w:val="000C2838"/>
    <w:rsid w:val="000C35A1"/>
    <w:rsid w:val="000C3E9C"/>
    <w:rsid w:val="000C42E5"/>
    <w:rsid w:val="000C439A"/>
    <w:rsid w:val="000C4B27"/>
    <w:rsid w:val="000C4C59"/>
    <w:rsid w:val="000C7620"/>
    <w:rsid w:val="000D169A"/>
    <w:rsid w:val="000D172D"/>
    <w:rsid w:val="000D364F"/>
    <w:rsid w:val="000D3F0D"/>
    <w:rsid w:val="000D3F86"/>
    <w:rsid w:val="000D4194"/>
    <w:rsid w:val="000D4B15"/>
    <w:rsid w:val="000D52DB"/>
    <w:rsid w:val="000D56AF"/>
    <w:rsid w:val="000D5893"/>
    <w:rsid w:val="000D59E4"/>
    <w:rsid w:val="000D6BB3"/>
    <w:rsid w:val="000D6E49"/>
    <w:rsid w:val="000D7411"/>
    <w:rsid w:val="000D747A"/>
    <w:rsid w:val="000E095D"/>
    <w:rsid w:val="000E0C25"/>
    <w:rsid w:val="000E0C7E"/>
    <w:rsid w:val="000E1793"/>
    <w:rsid w:val="000E21B0"/>
    <w:rsid w:val="000E3BA4"/>
    <w:rsid w:val="000E3BF1"/>
    <w:rsid w:val="000E3C86"/>
    <w:rsid w:val="000E40F4"/>
    <w:rsid w:val="000E42EA"/>
    <w:rsid w:val="000E453D"/>
    <w:rsid w:val="000E499A"/>
    <w:rsid w:val="000E59B1"/>
    <w:rsid w:val="000E5DFD"/>
    <w:rsid w:val="000E72BC"/>
    <w:rsid w:val="000E75C6"/>
    <w:rsid w:val="000E78E7"/>
    <w:rsid w:val="000E7D50"/>
    <w:rsid w:val="000E7E27"/>
    <w:rsid w:val="000F0956"/>
    <w:rsid w:val="000F0B64"/>
    <w:rsid w:val="000F13EF"/>
    <w:rsid w:val="000F1DB4"/>
    <w:rsid w:val="000F1EA3"/>
    <w:rsid w:val="000F26B1"/>
    <w:rsid w:val="000F3826"/>
    <w:rsid w:val="000F42FC"/>
    <w:rsid w:val="000F58D4"/>
    <w:rsid w:val="000F6A3E"/>
    <w:rsid w:val="000F74A5"/>
    <w:rsid w:val="000F762F"/>
    <w:rsid w:val="001010E0"/>
    <w:rsid w:val="001024DE"/>
    <w:rsid w:val="00102766"/>
    <w:rsid w:val="00103399"/>
    <w:rsid w:val="00105339"/>
    <w:rsid w:val="0010558F"/>
    <w:rsid w:val="00105AA6"/>
    <w:rsid w:val="00105FDF"/>
    <w:rsid w:val="00106F8C"/>
    <w:rsid w:val="00110C75"/>
    <w:rsid w:val="00110EB0"/>
    <w:rsid w:val="00111565"/>
    <w:rsid w:val="00111CD1"/>
    <w:rsid w:val="0011207C"/>
    <w:rsid w:val="00112B9E"/>
    <w:rsid w:val="00112DD7"/>
    <w:rsid w:val="00113750"/>
    <w:rsid w:val="0011388D"/>
    <w:rsid w:val="00113B68"/>
    <w:rsid w:val="00113FFD"/>
    <w:rsid w:val="001141CD"/>
    <w:rsid w:val="001141EF"/>
    <w:rsid w:val="001143D0"/>
    <w:rsid w:val="001155E2"/>
    <w:rsid w:val="00116391"/>
    <w:rsid w:val="00120FBD"/>
    <w:rsid w:val="00121C1E"/>
    <w:rsid w:val="00121CA5"/>
    <w:rsid w:val="00122544"/>
    <w:rsid w:val="00122A92"/>
    <w:rsid w:val="00122C6F"/>
    <w:rsid w:val="001251DB"/>
    <w:rsid w:val="001257CB"/>
    <w:rsid w:val="00125E7D"/>
    <w:rsid w:val="00126421"/>
    <w:rsid w:val="001267C7"/>
    <w:rsid w:val="00126E18"/>
    <w:rsid w:val="00127857"/>
    <w:rsid w:val="00130714"/>
    <w:rsid w:val="00130B2C"/>
    <w:rsid w:val="00130DF2"/>
    <w:rsid w:val="001314EB"/>
    <w:rsid w:val="00131A05"/>
    <w:rsid w:val="0013267D"/>
    <w:rsid w:val="00132C5B"/>
    <w:rsid w:val="001337D2"/>
    <w:rsid w:val="0013426D"/>
    <w:rsid w:val="0013429B"/>
    <w:rsid w:val="001349DB"/>
    <w:rsid w:val="00135C05"/>
    <w:rsid w:val="00136C09"/>
    <w:rsid w:val="00136F13"/>
    <w:rsid w:val="0014072F"/>
    <w:rsid w:val="001409A6"/>
    <w:rsid w:val="0014192B"/>
    <w:rsid w:val="00142858"/>
    <w:rsid w:val="001428E7"/>
    <w:rsid w:val="00143845"/>
    <w:rsid w:val="00143A08"/>
    <w:rsid w:val="0014436F"/>
    <w:rsid w:val="001449DE"/>
    <w:rsid w:val="00144CBF"/>
    <w:rsid w:val="0014519F"/>
    <w:rsid w:val="00145CF2"/>
    <w:rsid w:val="001466BE"/>
    <w:rsid w:val="001468AC"/>
    <w:rsid w:val="001468E4"/>
    <w:rsid w:val="0015010A"/>
    <w:rsid w:val="00151BB1"/>
    <w:rsid w:val="00152212"/>
    <w:rsid w:val="001522DA"/>
    <w:rsid w:val="0015356C"/>
    <w:rsid w:val="00154669"/>
    <w:rsid w:val="00154B60"/>
    <w:rsid w:val="001551AE"/>
    <w:rsid w:val="00155224"/>
    <w:rsid w:val="00155E08"/>
    <w:rsid w:val="0015684F"/>
    <w:rsid w:val="00156AC9"/>
    <w:rsid w:val="00160086"/>
    <w:rsid w:val="00160492"/>
    <w:rsid w:val="001606E1"/>
    <w:rsid w:val="00161DA9"/>
    <w:rsid w:val="0016243D"/>
    <w:rsid w:val="00164572"/>
    <w:rsid w:val="00164A1F"/>
    <w:rsid w:val="00164D52"/>
    <w:rsid w:val="00165848"/>
    <w:rsid w:val="00165901"/>
    <w:rsid w:val="00165C08"/>
    <w:rsid w:val="00166273"/>
    <w:rsid w:val="0016666E"/>
    <w:rsid w:val="00166682"/>
    <w:rsid w:val="001672CC"/>
    <w:rsid w:val="00167677"/>
    <w:rsid w:val="00167828"/>
    <w:rsid w:val="00167FD7"/>
    <w:rsid w:val="00171431"/>
    <w:rsid w:val="00172EA7"/>
    <w:rsid w:val="00173390"/>
    <w:rsid w:val="00173506"/>
    <w:rsid w:val="00173B1D"/>
    <w:rsid w:val="00173C61"/>
    <w:rsid w:val="00176922"/>
    <w:rsid w:val="00176B97"/>
    <w:rsid w:val="00176D2E"/>
    <w:rsid w:val="00181654"/>
    <w:rsid w:val="00181AE6"/>
    <w:rsid w:val="001820B3"/>
    <w:rsid w:val="00183343"/>
    <w:rsid w:val="0018408F"/>
    <w:rsid w:val="0018450B"/>
    <w:rsid w:val="00184EB0"/>
    <w:rsid w:val="00185365"/>
    <w:rsid w:val="00185978"/>
    <w:rsid w:val="00186189"/>
    <w:rsid w:val="00186574"/>
    <w:rsid w:val="001866A8"/>
    <w:rsid w:val="00187509"/>
    <w:rsid w:val="00187915"/>
    <w:rsid w:val="00187CB4"/>
    <w:rsid w:val="001907A3"/>
    <w:rsid w:val="001915F8"/>
    <w:rsid w:val="00191682"/>
    <w:rsid w:val="001918E6"/>
    <w:rsid w:val="00191F44"/>
    <w:rsid w:val="001921D6"/>
    <w:rsid w:val="00192968"/>
    <w:rsid w:val="00192F3C"/>
    <w:rsid w:val="00193621"/>
    <w:rsid w:val="00193A55"/>
    <w:rsid w:val="001940D2"/>
    <w:rsid w:val="00194BB6"/>
    <w:rsid w:val="001954BC"/>
    <w:rsid w:val="0019633C"/>
    <w:rsid w:val="001A019C"/>
    <w:rsid w:val="001A0450"/>
    <w:rsid w:val="001A0608"/>
    <w:rsid w:val="001A0969"/>
    <w:rsid w:val="001A1859"/>
    <w:rsid w:val="001A35F5"/>
    <w:rsid w:val="001A3BAD"/>
    <w:rsid w:val="001A4915"/>
    <w:rsid w:val="001A4DD7"/>
    <w:rsid w:val="001A4DEB"/>
    <w:rsid w:val="001A4DF3"/>
    <w:rsid w:val="001A4E91"/>
    <w:rsid w:val="001A4ECD"/>
    <w:rsid w:val="001A5BC5"/>
    <w:rsid w:val="001A5DD2"/>
    <w:rsid w:val="001A60A6"/>
    <w:rsid w:val="001A6496"/>
    <w:rsid w:val="001A7DC5"/>
    <w:rsid w:val="001B0BB4"/>
    <w:rsid w:val="001B1274"/>
    <w:rsid w:val="001B1876"/>
    <w:rsid w:val="001B2ACF"/>
    <w:rsid w:val="001B2FCE"/>
    <w:rsid w:val="001B32B7"/>
    <w:rsid w:val="001B3ED2"/>
    <w:rsid w:val="001B3F8B"/>
    <w:rsid w:val="001B4175"/>
    <w:rsid w:val="001B45A7"/>
    <w:rsid w:val="001B5D49"/>
    <w:rsid w:val="001B6800"/>
    <w:rsid w:val="001B6D55"/>
    <w:rsid w:val="001B6E23"/>
    <w:rsid w:val="001B75A0"/>
    <w:rsid w:val="001C0348"/>
    <w:rsid w:val="001C0E31"/>
    <w:rsid w:val="001C10B4"/>
    <w:rsid w:val="001C1DC9"/>
    <w:rsid w:val="001C25D7"/>
    <w:rsid w:val="001C26AB"/>
    <w:rsid w:val="001C2CF8"/>
    <w:rsid w:val="001C32B3"/>
    <w:rsid w:val="001C39F6"/>
    <w:rsid w:val="001C3C8E"/>
    <w:rsid w:val="001C3DD9"/>
    <w:rsid w:val="001C3F27"/>
    <w:rsid w:val="001C515E"/>
    <w:rsid w:val="001C5B1C"/>
    <w:rsid w:val="001C6D86"/>
    <w:rsid w:val="001C73D4"/>
    <w:rsid w:val="001C79F6"/>
    <w:rsid w:val="001D038F"/>
    <w:rsid w:val="001D0F4C"/>
    <w:rsid w:val="001D109D"/>
    <w:rsid w:val="001D2592"/>
    <w:rsid w:val="001D2618"/>
    <w:rsid w:val="001D400D"/>
    <w:rsid w:val="001D4E74"/>
    <w:rsid w:val="001D7A5E"/>
    <w:rsid w:val="001E11E9"/>
    <w:rsid w:val="001E1D2E"/>
    <w:rsid w:val="001E1FB9"/>
    <w:rsid w:val="001E267D"/>
    <w:rsid w:val="001E277A"/>
    <w:rsid w:val="001E2C3B"/>
    <w:rsid w:val="001E3166"/>
    <w:rsid w:val="001E3648"/>
    <w:rsid w:val="001E3B03"/>
    <w:rsid w:val="001E4074"/>
    <w:rsid w:val="001E487D"/>
    <w:rsid w:val="001E510B"/>
    <w:rsid w:val="001E67C5"/>
    <w:rsid w:val="001E6EE7"/>
    <w:rsid w:val="001E7DB1"/>
    <w:rsid w:val="001F0311"/>
    <w:rsid w:val="001F0C69"/>
    <w:rsid w:val="001F1741"/>
    <w:rsid w:val="001F1878"/>
    <w:rsid w:val="001F1C71"/>
    <w:rsid w:val="001F1D7C"/>
    <w:rsid w:val="001F24D6"/>
    <w:rsid w:val="001F2771"/>
    <w:rsid w:val="001F305F"/>
    <w:rsid w:val="001F34EB"/>
    <w:rsid w:val="001F4693"/>
    <w:rsid w:val="001F55EC"/>
    <w:rsid w:val="001F5B02"/>
    <w:rsid w:val="001F6778"/>
    <w:rsid w:val="001F7B48"/>
    <w:rsid w:val="001F7D06"/>
    <w:rsid w:val="00200C48"/>
    <w:rsid w:val="002016B0"/>
    <w:rsid w:val="00203DC7"/>
    <w:rsid w:val="002043B8"/>
    <w:rsid w:val="002050BF"/>
    <w:rsid w:val="00205936"/>
    <w:rsid w:val="00205AFD"/>
    <w:rsid w:val="002068F7"/>
    <w:rsid w:val="00206C84"/>
    <w:rsid w:val="002070C1"/>
    <w:rsid w:val="00207493"/>
    <w:rsid w:val="00207E4B"/>
    <w:rsid w:val="002100DF"/>
    <w:rsid w:val="0021026A"/>
    <w:rsid w:val="00210642"/>
    <w:rsid w:val="00211B03"/>
    <w:rsid w:val="00211E0A"/>
    <w:rsid w:val="00211EEA"/>
    <w:rsid w:val="00212608"/>
    <w:rsid w:val="00212E59"/>
    <w:rsid w:val="00214CE8"/>
    <w:rsid w:val="00215E3B"/>
    <w:rsid w:val="00215EF9"/>
    <w:rsid w:val="0021640A"/>
    <w:rsid w:val="002168BA"/>
    <w:rsid w:val="002168F8"/>
    <w:rsid w:val="00216C17"/>
    <w:rsid w:val="00216CA1"/>
    <w:rsid w:val="0021744F"/>
    <w:rsid w:val="00217A84"/>
    <w:rsid w:val="00220A74"/>
    <w:rsid w:val="00222ACE"/>
    <w:rsid w:val="00223C67"/>
    <w:rsid w:val="0022490C"/>
    <w:rsid w:val="00227125"/>
    <w:rsid w:val="00227897"/>
    <w:rsid w:val="00227EA5"/>
    <w:rsid w:val="00230326"/>
    <w:rsid w:val="00230646"/>
    <w:rsid w:val="00230DE4"/>
    <w:rsid w:val="002313A6"/>
    <w:rsid w:val="00231D45"/>
    <w:rsid w:val="00232DB0"/>
    <w:rsid w:val="00233003"/>
    <w:rsid w:val="002336BE"/>
    <w:rsid w:val="00233BA0"/>
    <w:rsid w:val="00233EC0"/>
    <w:rsid w:val="00234049"/>
    <w:rsid w:val="0023408D"/>
    <w:rsid w:val="002340D5"/>
    <w:rsid w:val="00235C14"/>
    <w:rsid w:val="00235F88"/>
    <w:rsid w:val="00237DD3"/>
    <w:rsid w:val="00237F85"/>
    <w:rsid w:val="00240389"/>
    <w:rsid w:val="0024194E"/>
    <w:rsid w:val="00241EB2"/>
    <w:rsid w:val="002430C9"/>
    <w:rsid w:val="00243E11"/>
    <w:rsid w:val="00244F38"/>
    <w:rsid w:val="0024581E"/>
    <w:rsid w:val="00245858"/>
    <w:rsid w:val="002463A7"/>
    <w:rsid w:val="00246775"/>
    <w:rsid w:val="0024684C"/>
    <w:rsid w:val="00246A37"/>
    <w:rsid w:val="00247908"/>
    <w:rsid w:val="00250D32"/>
    <w:rsid w:val="002511D4"/>
    <w:rsid w:val="002512E9"/>
    <w:rsid w:val="00252123"/>
    <w:rsid w:val="00253947"/>
    <w:rsid w:val="00253F1D"/>
    <w:rsid w:val="00254B68"/>
    <w:rsid w:val="0025557F"/>
    <w:rsid w:val="00257253"/>
    <w:rsid w:val="00257376"/>
    <w:rsid w:val="00260711"/>
    <w:rsid w:val="0026099A"/>
    <w:rsid w:val="00260A6A"/>
    <w:rsid w:val="002615F3"/>
    <w:rsid w:val="002617A8"/>
    <w:rsid w:val="00261963"/>
    <w:rsid w:val="00262A5F"/>
    <w:rsid w:val="002641A1"/>
    <w:rsid w:val="00265A41"/>
    <w:rsid w:val="00265A70"/>
    <w:rsid w:val="0026604E"/>
    <w:rsid w:val="00266097"/>
    <w:rsid w:val="00266A8F"/>
    <w:rsid w:val="00270DAA"/>
    <w:rsid w:val="00271259"/>
    <w:rsid w:val="00272251"/>
    <w:rsid w:val="0027246A"/>
    <w:rsid w:val="00272F17"/>
    <w:rsid w:val="00273DDB"/>
    <w:rsid w:val="002746BF"/>
    <w:rsid w:val="002754FE"/>
    <w:rsid w:val="002767DA"/>
    <w:rsid w:val="00276A06"/>
    <w:rsid w:val="0028000C"/>
    <w:rsid w:val="002809D8"/>
    <w:rsid w:val="00280B3E"/>
    <w:rsid w:val="00281048"/>
    <w:rsid w:val="00282F79"/>
    <w:rsid w:val="00283694"/>
    <w:rsid w:val="002837C4"/>
    <w:rsid w:val="00284C8A"/>
    <w:rsid w:val="002857FE"/>
    <w:rsid w:val="00285939"/>
    <w:rsid w:val="0028687E"/>
    <w:rsid w:val="00286B70"/>
    <w:rsid w:val="00287356"/>
    <w:rsid w:val="002906D4"/>
    <w:rsid w:val="0029096E"/>
    <w:rsid w:val="00291B54"/>
    <w:rsid w:val="00293E9A"/>
    <w:rsid w:val="00294732"/>
    <w:rsid w:val="002949E1"/>
    <w:rsid w:val="0029558C"/>
    <w:rsid w:val="00295A28"/>
    <w:rsid w:val="00295E94"/>
    <w:rsid w:val="0029636E"/>
    <w:rsid w:val="00296540"/>
    <w:rsid w:val="00296634"/>
    <w:rsid w:val="00296A57"/>
    <w:rsid w:val="002974DE"/>
    <w:rsid w:val="002979B7"/>
    <w:rsid w:val="00297AFF"/>
    <w:rsid w:val="00297B55"/>
    <w:rsid w:val="002A1DA5"/>
    <w:rsid w:val="002A2426"/>
    <w:rsid w:val="002A2576"/>
    <w:rsid w:val="002A279D"/>
    <w:rsid w:val="002A3649"/>
    <w:rsid w:val="002A37E5"/>
    <w:rsid w:val="002A4B51"/>
    <w:rsid w:val="002A606F"/>
    <w:rsid w:val="002A7BD3"/>
    <w:rsid w:val="002B0446"/>
    <w:rsid w:val="002B1136"/>
    <w:rsid w:val="002B1A8A"/>
    <w:rsid w:val="002B1B4D"/>
    <w:rsid w:val="002B1E23"/>
    <w:rsid w:val="002B1F8A"/>
    <w:rsid w:val="002B2187"/>
    <w:rsid w:val="002B25AC"/>
    <w:rsid w:val="002B25D7"/>
    <w:rsid w:val="002B260B"/>
    <w:rsid w:val="002B2D2D"/>
    <w:rsid w:val="002B333D"/>
    <w:rsid w:val="002B4031"/>
    <w:rsid w:val="002B56AC"/>
    <w:rsid w:val="002B6AC0"/>
    <w:rsid w:val="002B739B"/>
    <w:rsid w:val="002B7718"/>
    <w:rsid w:val="002B77F1"/>
    <w:rsid w:val="002C1700"/>
    <w:rsid w:val="002C1DC1"/>
    <w:rsid w:val="002C49EA"/>
    <w:rsid w:val="002C4A11"/>
    <w:rsid w:val="002C5179"/>
    <w:rsid w:val="002C6573"/>
    <w:rsid w:val="002C65FE"/>
    <w:rsid w:val="002C67F5"/>
    <w:rsid w:val="002D0DB9"/>
    <w:rsid w:val="002D0E95"/>
    <w:rsid w:val="002D17E5"/>
    <w:rsid w:val="002D1BBF"/>
    <w:rsid w:val="002D2458"/>
    <w:rsid w:val="002D25A1"/>
    <w:rsid w:val="002D2CB6"/>
    <w:rsid w:val="002D31CF"/>
    <w:rsid w:val="002D4086"/>
    <w:rsid w:val="002D42D4"/>
    <w:rsid w:val="002D4CC2"/>
    <w:rsid w:val="002D54F7"/>
    <w:rsid w:val="002D6149"/>
    <w:rsid w:val="002D6FBC"/>
    <w:rsid w:val="002D709C"/>
    <w:rsid w:val="002D7184"/>
    <w:rsid w:val="002D733F"/>
    <w:rsid w:val="002D7C59"/>
    <w:rsid w:val="002E06C5"/>
    <w:rsid w:val="002E2C54"/>
    <w:rsid w:val="002E4264"/>
    <w:rsid w:val="002E4525"/>
    <w:rsid w:val="002E4EA5"/>
    <w:rsid w:val="002E529A"/>
    <w:rsid w:val="002E5D93"/>
    <w:rsid w:val="002E6574"/>
    <w:rsid w:val="002E6A88"/>
    <w:rsid w:val="002E7784"/>
    <w:rsid w:val="002F0496"/>
    <w:rsid w:val="002F1C2A"/>
    <w:rsid w:val="002F232B"/>
    <w:rsid w:val="002F27BA"/>
    <w:rsid w:val="002F3692"/>
    <w:rsid w:val="002F3DFE"/>
    <w:rsid w:val="002F401F"/>
    <w:rsid w:val="002F481B"/>
    <w:rsid w:val="002F555A"/>
    <w:rsid w:val="002F5CA5"/>
    <w:rsid w:val="002F62B6"/>
    <w:rsid w:val="002F697E"/>
    <w:rsid w:val="002F75F2"/>
    <w:rsid w:val="00300771"/>
    <w:rsid w:val="00301ADA"/>
    <w:rsid w:val="003028DA"/>
    <w:rsid w:val="00302DC0"/>
    <w:rsid w:val="0030409C"/>
    <w:rsid w:val="00304406"/>
    <w:rsid w:val="00305036"/>
    <w:rsid w:val="003053BE"/>
    <w:rsid w:val="00305578"/>
    <w:rsid w:val="003058ED"/>
    <w:rsid w:val="00305CAF"/>
    <w:rsid w:val="003062FA"/>
    <w:rsid w:val="0031174C"/>
    <w:rsid w:val="00312E6B"/>
    <w:rsid w:val="00312ED9"/>
    <w:rsid w:val="0031317E"/>
    <w:rsid w:val="00313AA1"/>
    <w:rsid w:val="00314ED5"/>
    <w:rsid w:val="00314F5D"/>
    <w:rsid w:val="003157FB"/>
    <w:rsid w:val="00315998"/>
    <w:rsid w:val="00315A7B"/>
    <w:rsid w:val="00315FFA"/>
    <w:rsid w:val="003165A2"/>
    <w:rsid w:val="00316920"/>
    <w:rsid w:val="00317CA6"/>
    <w:rsid w:val="00317D73"/>
    <w:rsid w:val="00317DE4"/>
    <w:rsid w:val="00317FC1"/>
    <w:rsid w:val="00320EFD"/>
    <w:rsid w:val="00322115"/>
    <w:rsid w:val="00322D96"/>
    <w:rsid w:val="003233D4"/>
    <w:rsid w:val="00323492"/>
    <w:rsid w:val="00323EB3"/>
    <w:rsid w:val="003240D3"/>
    <w:rsid w:val="00324178"/>
    <w:rsid w:val="00324853"/>
    <w:rsid w:val="00326285"/>
    <w:rsid w:val="0032656A"/>
    <w:rsid w:val="00326E19"/>
    <w:rsid w:val="00326F51"/>
    <w:rsid w:val="00327159"/>
    <w:rsid w:val="0032764E"/>
    <w:rsid w:val="00330B3C"/>
    <w:rsid w:val="00331788"/>
    <w:rsid w:val="00332763"/>
    <w:rsid w:val="00332E41"/>
    <w:rsid w:val="00333758"/>
    <w:rsid w:val="00333A94"/>
    <w:rsid w:val="003347CF"/>
    <w:rsid w:val="00334943"/>
    <w:rsid w:val="00334B35"/>
    <w:rsid w:val="003352A8"/>
    <w:rsid w:val="003363B9"/>
    <w:rsid w:val="00337313"/>
    <w:rsid w:val="0033731D"/>
    <w:rsid w:val="00337C8C"/>
    <w:rsid w:val="00337FE8"/>
    <w:rsid w:val="003411C5"/>
    <w:rsid w:val="00342D99"/>
    <w:rsid w:val="0034388E"/>
    <w:rsid w:val="00343A52"/>
    <w:rsid w:val="00343F86"/>
    <w:rsid w:val="0034553E"/>
    <w:rsid w:val="00345DBB"/>
    <w:rsid w:val="00345F29"/>
    <w:rsid w:val="00346857"/>
    <w:rsid w:val="00351529"/>
    <w:rsid w:val="00351D12"/>
    <w:rsid w:val="003523F6"/>
    <w:rsid w:val="003532FB"/>
    <w:rsid w:val="00353B39"/>
    <w:rsid w:val="00353B96"/>
    <w:rsid w:val="00356026"/>
    <w:rsid w:val="0035645B"/>
    <w:rsid w:val="0035656B"/>
    <w:rsid w:val="00357B2A"/>
    <w:rsid w:val="003615B4"/>
    <w:rsid w:val="00361700"/>
    <w:rsid w:val="00362573"/>
    <w:rsid w:val="003627FA"/>
    <w:rsid w:val="00362C49"/>
    <w:rsid w:val="00362CAD"/>
    <w:rsid w:val="00363AD6"/>
    <w:rsid w:val="0036458A"/>
    <w:rsid w:val="00364DE5"/>
    <w:rsid w:val="00364FCF"/>
    <w:rsid w:val="00365111"/>
    <w:rsid w:val="00367CC4"/>
    <w:rsid w:val="003708B1"/>
    <w:rsid w:val="0037143E"/>
    <w:rsid w:val="003714C7"/>
    <w:rsid w:val="00371EAB"/>
    <w:rsid w:val="003724EF"/>
    <w:rsid w:val="00373051"/>
    <w:rsid w:val="003732AD"/>
    <w:rsid w:val="00374637"/>
    <w:rsid w:val="003746DB"/>
    <w:rsid w:val="0037472A"/>
    <w:rsid w:val="00375000"/>
    <w:rsid w:val="0037535A"/>
    <w:rsid w:val="00375CC7"/>
    <w:rsid w:val="0037610D"/>
    <w:rsid w:val="00380532"/>
    <w:rsid w:val="0038143C"/>
    <w:rsid w:val="00381E8E"/>
    <w:rsid w:val="00383638"/>
    <w:rsid w:val="0038388E"/>
    <w:rsid w:val="00383A50"/>
    <w:rsid w:val="00383BA4"/>
    <w:rsid w:val="00383C95"/>
    <w:rsid w:val="0038507F"/>
    <w:rsid w:val="00386F33"/>
    <w:rsid w:val="003871E0"/>
    <w:rsid w:val="00387625"/>
    <w:rsid w:val="00387DF8"/>
    <w:rsid w:val="00390107"/>
    <w:rsid w:val="003907E2"/>
    <w:rsid w:val="00390BC4"/>
    <w:rsid w:val="003919C7"/>
    <w:rsid w:val="00391BD4"/>
    <w:rsid w:val="00391F12"/>
    <w:rsid w:val="00392060"/>
    <w:rsid w:val="00392994"/>
    <w:rsid w:val="00392DB9"/>
    <w:rsid w:val="0039319E"/>
    <w:rsid w:val="00394363"/>
    <w:rsid w:val="00394B52"/>
    <w:rsid w:val="00394BEB"/>
    <w:rsid w:val="003959F3"/>
    <w:rsid w:val="00395A7B"/>
    <w:rsid w:val="00396FC0"/>
    <w:rsid w:val="003976F3"/>
    <w:rsid w:val="00397807"/>
    <w:rsid w:val="00397AAA"/>
    <w:rsid w:val="00397E82"/>
    <w:rsid w:val="00397F92"/>
    <w:rsid w:val="003A00B4"/>
    <w:rsid w:val="003A0F45"/>
    <w:rsid w:val="003A124C"/>
    <w:rsid w:val="003A1967"/>
    <w:rsid w:val="003A20AE"/>
    <w:rsid w:val="003A2A41"/>
    <w:rsid w:val="003A2AFB"/>
    <w:rsid w:val="003A3A50"/>
    <w:rsid w:val="003A543B"/>
    <w:rsid w:val="003A72C6"/>
    <w:rsid w:val="003B02E9"/>
    <w:rsid w:val="003B049D"/>
    <w:rsid w:val="003B09C8"/>
    <w:rsid w:val="003B0B41"/>
    <w:rsid w:val="003B0D37"/>
    <w:rsid w:val="003B21C7"/>
    <w:rsid w:val="003B25EE"/>
    <w:rsid w:val="003B27B1"/>
    <w:rsid w:val="003B29E3"/>
    <w:rsid w:val="003B31AA"/>
    <w:rsid w:val="003B3201"/>
    <w:rsid w:val="003B392D"/>
    <w:rsid w:val="003B3FD3"/>
    <w:rsid w:val="003B44A8"/>
    <w:rsid w:val="003B46E0"/>
    <w:rsid w:val="003B4843"/>
    <w:rsid w:val="003B5836"/>
    <w:rsid w:val="003B5A7A"/>
    <w:rsid w:val="003B63D9"/>
    <w:rsid w:val="003B6457"/>
    <w:rsid w:val="003B6ADA"/>
    <w:rsid w:val="003B7211"/>
    <w:rsid w:val="003B7E34"/>
    <w:rsid w:val="003C0099"/>
    <w:rsid w:val="003C0596"/>
    <w:rsid w:val="003C1D46"/>
    <w:rsid w:val="003C2139"/>
    <w:rsid w:val="003C2184"/>
    <w:rsid w:val="003C3208"/>
    <w:rsid w:val="003C35A0"/>
    <w:rsid w:val="003C3C55"/>
    <w:rsid w:val="003C51BA"/>
    <w:rsid w:val="003C56EC"/>
    <w:rsid w:val="003C65F0"/>
    <w:rsid w:val="003C66DD"/>
    <w:rsid w:val="003D06EB"/>
    <w:rsid w:val="003D2CDD"/>
    <w:rsid w:val="003D31E6"/>
    <w:rsid w:val="003D3879"/>
    <w:rsid w:val="003D38D9"/>
    <w:rsid w:val="003D6151"/>
    <w:rsid w:val="003D63A6"/>
    <w:rsid w:val="003D6922"/>
    <w:rsid w:val="003D6ACA"/>
    <w:rsid w:val="003D6B89"/>
    <w:rsid w:val="003D6D63"/>
    <w:rsid w:val="003D7C27"/>
    <w:rsid w:val="003D7E92"/>
    <w:rsid w:val="003E03F5"/>
    <w:rsid w:val="003E0562"/>
    <w:rsid w:val="003E1858"/>
    <w:rsid w:val="003E1B7D"/>
    <w:rsid w:val="003E4536"/>
    <w:rsid w:val="003E5AA3"/>
    <w:rsid w:val="003E5AEB"/>
    <w:rsid w:val="003E6521"/>
    <w:rsid w:val="003E6CE7"/>
    <w:rsid w:val="003E7DC2"/>
    <w:rsid w:val="003E7F4C"/>
    <w:rsid w:val="003F18BC"/>
    <w:rsid w:val="003F1D30"/>
    <w:rsid w:val="003F2DFE"/>
    <w:rsid w:val="003F2F8D"/>
    <w:rsid w:val="003F3A7A"/>
    <w:rsid w:val="003F44B5"/>
    <w:rsid w:val="003F4B7C"/>
    <w:rsid w:val="003F50F3"/>
    <w:rsid w:val="003F6BA5"/>
    <w:rsid w:val="003F6BC2"/>
    <w:rsid w:val="003F70E6"/>
    <w:rsid w:val="004000E9"/>
    <w:rsid w:val="00400122"/>
    <w:rsid w:val="004004A9"/>
    <w:rsid w:val="0040098F"/>
    <w:rsid w:val="0040124F"/>
    <w:rsid w:val="004016D0"/>
    <w:rsid w:val="00401F8A"/>
    <w:rsid w:val="004029CD"/>
    <w:rsid w:val="0040392F"/>
    <w:rsid w:val="0040454C"/>
    <w:rsid w:val="0040713C"/>
    <w:rsid w:val="00407C4C"/>
    <w:rsid w:val="0041071D"/>
    <w:rsid w:val="004107C4"/>
    <w:rsid w:val="004117D4"/>
    <w:rsid w:val="0041226F"/>
    <w:rsid w:val="00412880"/>
    <w:rsid w:val="00412F31"/>
    <w:rsid w:val="004155DE"/>
    <w:rsid w:val="00415930"/>
    <w:rsid w:val="00417416"/>
    <w:rsid w:val="00420475"/>
    <w:rsid w:val="004208BB"/>
    <w:rsid w:val="0042105C"/>
    <w:rsid w:val="0042124D"/>
    <w:rsid w:val="00421AB8"/>
    <w:rsid w:val="0042306C"/>
    <w:rsid w:val="004238D3"/>
    <w:rsid w:val="00425683"/>
    <w:rsid w:val="00426764"/>
    <w:rsid w:val="0042685F"/>
    <w:rsid w:val="00427AC8"/>
    <w:rsid w:val="00430577"/>
    <w:rsid w:val="00430EAE"/>
    <w:rsid w:val="0043225B"/>
    <w:rsid w:val="00432632"/>
    <w:rsid w:val="00432A7E"/>
    <w:rsid w:val="00432E15"/>
    <w:rsid w:val="00433346"/>
    <w:rsid w:val="00433A5A"/>
    <w:rsid w:val="00433E4D"/>
    <w:rsid w:val="00435AC6"/>
    <w:rsid w:val="00435CBE"/>
    <w:rsid w:val="00435D9E"/>
    <w:rsid w:val="00435DAD"/>
    <w:rsid w:val="00435F9A"/>
    <w:rsid w:val="00436548"/>
    <w:rsid w:val="00436E27"/>
    <w:rsid w:val="0043769D"/>
    <w:rsid w:val="00437CA8"/>
    <w:rsid w:val="00440259"/>
    <w:rsid w:val="004407AB"/>
    <w:rsid w:val="00440F36"/>
    <w:rsid w:val="0044140E"/>
    <w:rsid w:val="00441745"/>
    <w:rsid w:val="00441D03"/>
    <w:rsid w:val="004423F9"/>
    <w:rsid w:val="00442DCC"/>
    <w:rsid w:val="00444073"/>
    <w:rsid w:val="0044415C"/>
    <w:rsid w:val="00444A18"/>
    <w:rsid w:val="004463AB"/>
    <w:rsid w:val="00446FCB"/>
    <w:rsid w:val="00450F21"/>
    <w:rsid w:val="00452122"/>
    <w:rsid w:val="004545BF"/>
    <w:rsid w:val="00454CAC"/>
    <w:rsid w:val="00455510"/>
    <w:rsid w:val="00455E82"/>
    <w:rsid w:val="00455EBF"/>
    <w:rsid w:val="00456044"/>
    <w:rsid w:val="0045618F"/>
    <w:rsid w:val="00456314"/>
    <w:rsid w:val="00457808"/>
    <w:rsid w:val="00457DCE"/>
    <w:rsid w:val="00457DEE"/>
    <w:rsid w:val="004600FA"/>
    <w:rsid w:val="00460A69"/>
    <w:rsid w:val="00461274"/>
    <w:rsid w:val="00461555"/>
    <w:rsid w:val="004617D7"/>
    <w:rsid w:val="0046259A"/>
    <w:rsid w:val="004637FB"/>
    <w:rsid w:val="00464F53"/>
    <w:rsid w:val="00465093"/>
    <w:rsid w:val="00467211"/>
    <w:rsid w:val="004674A2"/>
    <w:rsid w:val="00470221"/>
    <w:rsid w:val="004710AE"/>
    <w:rsid w:val="00472B87"/>
    <w:rsid w:val="00473A13"/>
    <w:rsid w:val="00473B41"/>
    <w:rsid w:val="00474141"/>
    <w:rsid w:val="0047459D"/>
    <w:rsid w:val="00474CD3"/>
    <w:rsid w:val="00475460"/>
    <w:rsid w:val="00476D71"/>
    <w:rsid w:val="00476DFD"/>
    <w:rsid w:val="00476F5F"/>
    <w:rsid w:val="004771BF"/>
    <w:rsid w:val="0047736C"/>
    <w:rsid w:val="00477DBE"/>
    <w:rsid w:val="00480351"/>
    <w:rsid w:val="00481D2F"/>
    <w:rsid w:val="00484B53"/>
    <w:rsid w:val="00484CC1"/>
    <w:rsid w:val="00484FD3"/>
    <w:rsid w:val="00485239"/>
    <w:rsid w:val="004852BC"/>
    <w:rsid w:val="004867D1"/>
    <w:rsid w:val="0048695C"/>
    <w:rsid w:val="00486E7F"/>
    <w:rsid w:val="00486F54"/>
    <w:rsid w:val="00486F82"/>
    <w:rsid w:val="00487478"/>
    <w:rsid w:val="00490BC1"/>
    <w:rsid w:val="0049222F"/>
    <w:rsid w:val="00492AB3"/>
    <w:rsid w:val="00492F26"/>
    <w:rsid w:val="00493217"/>
    <w:rsid w:val="00493789"/>
    <w:rsid w:val="00493DA1"/>
    <w:rsid w:val="0049439E"/>
    <w:rsid w:val="0049447D"/>
    <w:rsid w:val="0049495B"/>
    <w:rsid w:val="00495144"/>
    <w:rsid w:val="00495234"/>
    <w:rsid w:val="00495D8F"/>
    <w:rsid w:val="0049673D"/>
    <w:rsid w:val="0049722C"/>
    <w:rsid w:val="004972F0"/>
    <w:rsid w:val="0049785F"/>
    <w:rsid w:val="00497ADF"/>
    <w:rsid w:val="00497E55"/>
    <w:rsid w:val="004A08CF"/>
    <w:rsid w:val="004A0A77"/>
    <w:rsid w:val="004A2107"/>
    <w:rsid w:val="004A2FE9"/>
    <w:rsid w:val="004A31D1"/>
    <w:rsid w:val="004A3288"/>
    <w:rsid w:val="004A3512"/>
    <w:rsid w:val="004A43D5"/>
    <w:rsid w:val="004A4467"/>
    <w:rsid w:val="004A4C60"/>
    <w:rsid w:val="004A57C2"/>
    <w:rsid w:val="004A64E7"/>
    <w:rsid w:val="004A6CE5"/>
    <w:rsid w:val="004A730A"/>
    <w:rsid w:val="004A7D1F"/>
    <w:rsid w:val="004A7FB6"/>
    <w:rsid w:val="004B0813"/>
    <w:rsid w:val="004B092B"/>
    <w:rsid w:val="004B17A4"/>
    <w:rsid w:val="004B1DD6"/>
    <w:rsid w:val="004B2ACF"/>
    <w:rsid w:val="004B32C9"/>
    <w:rsid w:val="004B3694"/>
    <w:rsid w:val="004B4199"/>
    <w:rsid w:val="004B433D"/>
    <w:rsid w:val="004B58CA"/>
    <w:rsid w:val="004B5AB5"/>
    <w:rsid w:val="004B7652"/>
    <w:rsid w:val="004C06A1"/>
    <w:rsid w:val="004C1279"/>
    <w:rsid w:val="004C243D"/>
    <w:rsid w:val="004C3109"/>
    <w:rsid w:val="004C37E1"/>
    <w:rsid w:val="004C3B49"/>
    <w:rsid w:val="004C3D62"/>
    <w:rsid w:val="004C5806"/>
    <w:rsid w:val="004C6123"/>
    <w:rsid w:val="004C64D3"/>
    <w:rsid w:val="004C705F"/>
    <w:rsid w:val="004C766C"/>
    <w:rsid w:val="004D0934"/>
    <w:rsid w:val="004D0D89"/>
    <w:rsid w:val="004D107F"/>
    <w:rsid w:val="004D1F0E"/>
    <w:rsid w:val="004D25DC"/>
    <w:rsid w:val="004D3630"/>
    <w:rsid w:val="004D39E9"/>
    <w:rsid w:val="004D3C2D"/>
    <w:rsid w:val="004D637C"/>
    <w:rsid w:val="004D69C2"/>
    <w:rsid w:val="004D70FA"/>
    <w:rsid w:val="004D7735"/>
    <w:rsid w:val="004E049F"/>
    <w:rsid w:val="004E08DE"/>
    <w:rsid w:val="004E0CCF"/>
    <w:rsid w:val="004E2E9C"/>
    <w:rsid w:val="004E3F80"/>
    <w:rsid w:val="004E4204"/>
    <w:rsid w:val="004E5105"/>
    <w:rsid w:val="004E5658"/>
    <w:rsid w:val="004E6C69"/>
    <w:rsid w:val="004F181C"/>
    <w:rsid w:val="004F223E"/>
    <w:rsid w:val="004F22C7"/>
    <w:rsid w:val="004F2C11"/>
    <w:rsid w:val="004F2FBB"/>
    <w:rsid w:val="004F3948"/>
    <w:rsid w:val="004F4956"/>
    <w:rsid w:val="004F4F11"/>
    <w:rsid w:val="004F572A"/>
    <w:rsid w:val="004F75A6"/>
    <w:rsid w:val="004F795E"/>
    <w:rsid w:val="004F7A09"/>
    <w:rsid w:val="00500727"/>
    <w:rsid w:val="005017E9"/>
    <w:rsid w:val="00501BF0"/>
    <w:rsid w:val="00502370"/>
    <w:rsid w:val="005025D0"/>
    <w:rsid w:val="00502A14"/>
    <w:rsid w:val="0050326C"/>
    <w:rsid w:val="00503AF7"/>
    <w:rsid w:val="0050484E"/>
    <w:rsid w:val="00504873"/>
    <w:rsid w:val="0050564C"/>
    <w:rsid w:val="00505753"/>
    <w:rsid w:val="005059CE"/>
    <w:rsid w:val="00505A06"/>
    <w:rsid w:val="00505BE6"/>
    <w:rsid w:val="00505CCA"/>
    <w:rsid w:val="00505DE8"/>
    <w:rsid w:val="005060FE"/>
    <w:rsid w:val="00506B17"/>
    <w:rsid w:val="00510719"/>
    <w:rsid w:val="00510C47"/>
    <w:rsid w:val="00511533"/>
    <w:rsid w:val="00512397"/>
    <w:rsid w:val="00512F1F"/>
    <w:rsid w:val="00513053"/>
    <w:rsid w:val="00513602"/>
    <w:rsid w:val="00513BBB"/>
    <w:rsid w:val="0051564B"/>
    <w:rsid w:val="00515A0F"/>
    <w:rsid w:val="00515ECF"/>
    <w:rsid w:val="00515F8E"/>
    <w:rsid w:val="00516277"/>
    <w:rsid w:val="00516DD0"/>
    <w:rsid w:val="0052189F"/>
    <w:rsid w:val="00521BD2"/>
    <w:rsid w:val="00522044"/>
    <w:rsid w:val="005220CE"/>
    <w:rsid w:val="0052351A"/>
    <w:rsid w:val="0052402B"/>
    <w:rsid w:val="0052446D"/>
    <w:rsid w:val="0052489E"/>
    <w:rsid w:val="00524C25"/>
    <w:rsid w:val="00524C75"/>
    <w:rsid w:val="00524E97"/>
    <w:rsid w:val="00524EFA"/>
    <w:rsid w:val="00525254"/>
    <w:rsid w:val="005260BE"/>
    <w:rsid w:val="00527035"/>
    <w:rsid w:val="005277AD"/>
    <w:rsid w:val="00527DB3"/>
    <w:rsid w:val="005305D8"/>
    <w:rsid w:val="0053129A"/>
    <w:rsid w:val="00531E25"/>
    <w:rsid w:val="00531E2E"/>
    <w:rsid w:val="0053265A"/>
    <w:rsid w:val="00532697"/>
    <w:rsid w:val="00532837"/>
    <w:rsid w:val="00534E2A"/>
    <w:rsid w:val="00534F43"/>
    <w:rsid w:val="00535167"/>
    <w:rsid w:val="005368AA"/>
    <w:rsid w:val="005369DD"/>
    <w:rsid w:val="00537430"/>
    <w:rsid w:val="00537946"/>
    <w:rsid w:val="00537B98"/>
    <w:rsid w:val="00537C65"/>
    <w:rsid w:val="00540113"/>
    <w:rsid w:val="00540143"/>
    <w:rsid w:val="0054084B"/>
    <w:rsid w:val="005419A8"/>
    <w:rsid w:val="00541BC6"/>
    <w:rsid w:val="0054249E"/>
    <w:rsid w:val="0054274A"/>
    <w:rsid w:val="005431E1"/>
    <w:rsid w:val="005435E0"/>
    <w:rsid w:val="00544696"/>
    <w:rsid w:val="005459D4"/>
    <w:rsid w:val="00553568"/>
    <w:rsid w:val="00553EA3"/>
    <w:rsid w:val="0055407F"/>
    <w:rsid w:val="005543E0"/>
    <w:rsid w:val="00554B0C"/>
    <w:rsid w:val="00554CD4"/>
    <w:rsid w:val="00554EDF"/>
    <w:rsid w:val="0055504B"/>
    <w:rsid w:val="005555D6"/>
    <w:rsid w:val="0055789A"/>
    <w:rsid w:val="0056021B"/>
    <w:rsid w:val="005605CC"/>
    <w:rsid w:val="00562207"/>
    <w:rsid w:val="005649CE"/>
    <w:rsid w:val="00565001"/>
    <w:rsid w:val="00565CF0"/>
    <w:rsid w:val="00566133"/>
    <w:rsid w:val="00566F1D"/>
    <w:rsid w:val="005679F5"/>
    <w:rsid w:val="00567BA2"/>
    <w:rsid w:val="005702B0"/>
    <w:rsid w:val="00571241"/>
    <w:rsid w:val="00571390"/>
    <w:rsid w:val="00571472"/>
    <w:rsid w:val="005720FF"/>
    <w:rsid w:val="00572188"/>
    <w:rsid w:val="00572ADA"/>
    <w:rsid w:val="00572D8D"/>
    <w:rsid w:val="00573291"/>
    <w:rsid w:val="0057360B"/>
    <w:rsid w:val="00573AD9"/>
    <w:rsid w:val="00574446"/>
    <w:rsid w:val="00574DDE"/>
    <w:rsid w:val="005751C3"/>
    <w:rsid w:val="005753CC"/>
    <w:rsid w:val="00575433"/>
    <w:rsid w:val="00576491"/>
    <w:rsid w:val="0057678E"/>
    <w:rsid w:val="0057694A"/>
    <w:rsid w:val="00576F96"/>
    <w:rsid w:val="005802B0"/>
    <w:rsid w:val="0058042E"/>
    <w:rsid w:val="0058178B"/>
    <w:rsid w:val="00581821"/>
    <w:rsid w:val="00581985"/>
    <w:rsid w:val="00581A6E"/>
    <w:rsid w:val="00583305"/>
    <w:rsid w:val="00584930"/>
    <w:rsid w:val="00584B23"/>
    <w:rsid w:val="005851C7"/>
    <w:rsid w:val="00586A79"/>
    <w:rsid w:val="005872B4"/>
    <w:rsid w:val="00587E64"/>
    <w:rsid w:val="00590158"/>
    <w:rsid w:val="005909B9"/>
    <w:rsid w:val="00592159"/>
    <w:rsid w:val="005930A5"/>
    <w:rsid w:val="00593E57"/>
    <w:rsid w:val="00594999"/>
    <w:rsid w:val="00595E8E"/>
    <w:rsid w:val="005968FF"/>
    <w:rsid w:val="005A001B"/>
    <w:rsid w:val="005A00AA"/>
    <w:rsid w:val="005A153C"/>
    <w:rsid w:val="005A2BDC"/>
    <w:rsid w:val="005A372C"/>
    <w:rsid w:val="005A3D03"/>
    <w:rsid w:val="005A44A2"/>
    <w:rsid w:val="005A4F1A"/>
    <w:rsid w:val="005A58D9"/>
    <w:rsid w:val="005A59E3"/>
    <w:rsid w:val="005A6558"/>
    <w:rsid w:val="005A698C"/>
    <w:rsid w:val="005B015D"/>
    <w:rsid w:val="005B0D32"/>
    <w:rsid w:val="005B0D54"/>
    <w:rsid w:val="005B121C"/>
    <w:rsid w:val="005B2FF6"/>
    <w:rsid w:val="005B3799"/>
    <w:rsid w:val="005B3909"/>
    <w:rsid w:val="005B50CE"/>
    <w:rsid w:val="005B5258"/>
    <w:rsid w:val="005B6B58"/>
    <w:rsid w:val="005B6D31"/>
    <w:rsid w:val="005B6EF8"/>
    <w:rsid w:val="005B7AC3"/>
    <w:rsid w:val="005C02D9"/>
    <w:rsid w:val="005C0F90"/>
    <w:rsid w:val="005C1D40"/>
    <w:rsid w:val="005C34F2"/>
    <w:rsid w:val="005C4C02"/>
    <w:rsid w:val="005C5D18"/>
    <w:rsid w:val="005C5F07"/>
    <w:rsid w:val="005C6398"/>
    <w:rsid w:val="005C6DA7"/>
    <w:rsid w:val="005D000B"/>
    <w:rsid w:val="005D0CD7"/>
    <w:rsid w:val="005D1BF1"/>
    <w:rsid w:val="005D22EF"/>
    <w:rsid w:val="005D40A6"/>
    <w:rsid w:val="005D4247"/>
    <w:rsid w:val="005D4A52"/>
    <w:rsid w:val="005D4FC4"/>
    <w:rsid w:val="005D573C"/>
    <w:rsid w:val="005D6442"/>
    <w:rsid w:val="005D7175"/>
    <w:rsid w:val="005D7DB3"/>
    <w:rsid w:val="005E0346"/>
    <w:rsid w:val="005E067A"/>
    <w:rsid w:val="005E30C1"/>
    <w:rsid w:val="005E38BA"/>
    <w:rsid w:val="005E3BF0"/>
    <w:rsid w:val="005E4324"/>
    <w:rsid w:val="005E4899"/>
    <w:rsid w:val="005E52E3"/>
    <w:rsid w:val="005E54CC"/>
    <w:rsid w:val="005E647E"/>
    <w:rsid w:val="005E6880"/>
    <w:rsid w:val="005E79DD"/>
    <w:rsid w:val="005F0AE7"/>
    <w:rsid w:val="005F0CCD"/>
    <w:rsid w:val="005F14EC"/>
    <w:rsid w:val="005F1B33"/>
    <w:rsid w:val="005F1FCE"/>
    <w:rsid w:val="005F204C"/>
    <w:rsid w:val="005F362D"/>
    <w:rsid w:val="005F43FB"/>
    <w:rsid w:val="005F58AA"/>
    <w:rsid w:val="005F58C4"/>
    <w:rsid w:val="005F5929"/>
    <w:rsid w:val="005F679B"/>
    <w:rsid w:val="005F6874"/>
    <w:rsid w:val="005F71CA"/>
    <w:rsid w:val="005F7F25"/>
    <w:rsid w:val="006005B6"/>
    <w:rsid w:val="006022F3"/>
    <w:rsid w:val="00602589"/>
    <w:rsid w:val="00602A98"/>
    <w:rsid w:val="00604168"/>
    <w:rsid w:val="00604402"/>
    <w:rsid w:val="00604C08"/>
    <w:rsid w:val="00604C4B"/>
    <w:rsid w:val="00605527"/>
    <w:rsid w:val="00605BF0"/>
    <w:rsid w:val="00605E76"/>
    <w:rsid w:val="006062B7"/>
    <w:rsid w:val="006063DA"/>
    <w:rsid w:val="00607958"/>
    <w:rsid w:val="006108C2"/>
    <w:rsid w:val="00610E48"/>
    <w:rsid w:val="006114AE"/>
    <w:rsid w:val="0061213C"/>
    <w:rsid w:val="006123AF"/>
    <w:rsid w:val="006128B3"/>
    <w:rsid w:val="00612BB9"/>
    <w:rsid w:val="00613158"/>
    <w:rsid w:val="00614FA7"/>
    <w:rsid w:val="006153A6"/>
    <w:rsid w:val="0061552A"/>
    <w:rsid w:val="00615614"/>
    <w:rsid w:val="006157A3"/>
    <w:rsid w:val="00616CB2"/>
    <w:rsid w:val="00617123"/>
    <w:rsid w:val="00620975"/>
    <w:rsid w:val="0062177F"/>
    <w:rsid w:val="0062290C"/>
    <w:rsid w:val="006237A9"/>
    <w:rsid w:val="0062384C"/>
    <w:rsid w:val="0062464D"/>
    <w:rsid w:val="006251FF"/>
    <w:rsid w:val="00626D40"/>
    <w:rsid w:val="00627C59"/>
    <w:rsid w:val="00630259"/>
    <w:rsid w:val="006318C2"/>
    <w:rsid w:val="0063228E"/>
    <w:rsid w:val="00633212"/>
    <w:rsid w:val="00633C36"/>
    <w:rsid w:val="006344C7"/>
    <w:rsid w:val="0063468C"/>
    <w:rsid w:val="006346C1"/>
    <w:rsid w:val="00634F98"/>
    <w:rsid w:val="00636620"/>
    <w:rsid w:val="00636D60"/>
    <w:rsid w:val="006378FE"/>
    <w:rsid w:val="00637EB7"/>
    <w:rsid w:val="00640698"/>
    <w:rsid w:val="00640C42"/>
    <w:rsid w:val="006419BB"/>
    <w:rsid w:val="006419ED"/>
    <w:rsid w:val="006424EE"/>
    <w:rsid w:val="00645687"/>
    <w:rsid w:val="00645B38"/>
    <w:rsid w:val="00645BE8"/>
    <w:rsid w:val="00645CFC"/>
    <w:rsid w:val="00645EE5"/>
    <w:rsid w:val="006462BC"/>
    <w:rsid w:val="00646A1C"/>
    <w:rsid w:val="00646EFC"/>
    <w:rsid w:val="006479DD"/>
    <w:rsid w:val="00650137"/>
    <w:rsid w:val="0065085A"/>
    <w:rsid w:val="00650CA4"/>
    <w:rsid w:val="006514A9"/>
    <w:rsid w:val="00651A00"/>
    <w:rsid w:val="00652A12"/>
    <w:rsid w:val="006530A6"/>
    <w:rsid w:val="00653173"/>
    <w:rsid w:val="0065468C"/>
    <w:rsid w:val="006564B3"/>
    <w:rsid w:val="00656D92"/>
    <w:rsid w:val="006573B3"/>
    <w:rsid w:val="006608F5"/>
    <w:rsid w:val="00660B3C"/>
    <w:rsid w:val="006635F1"/>
    <w:rsid w:val="00663E01"/>
    <w:rsid w:val="00664484"/>
    <w:rsid w:val="006650B5"/>
    <w:rsid w:val="00665190"/>
    <w:rsid w:val="00665905"/>
    <w:rsid w:val="00665D61"/>
    <w:rsid w:val="00665FB1"/>
    <w:rsid w:val="00667857"/>
    <w:rsid w:val="006678F9"/>
    <w:rsid w:val="00667C96"/>
    <w:rsid w:val="00670029"/>
    <w:rsid w:val="0067048D"/>
    <w:rsid w:val="006704C2"/>
    <w:rsid w:val="006709AC"/>
    <w:rsid w:val="00670D0B"/>
    <w:rsid w:val="00670FAA"/>
    <w:rsid w:val="006713AB"/>
    <w:rsid w:val="0067320E"/>
    <w:rsid w:val="00673A57"/>
    <w:rsid w:val="00677151"/>
    <w:rsid w:val="0067784F"/>
    <w:rsid w:val="006801FD"/>
    <w:rsid w:val="00680768"/>
    <w:rsid w:val="00680DC9"/>
    <w:rsid w:val="00680F73"/>
    <w:rsid w:val="00681599"/>
    <w:rsid w:val="00681BE3"/>
    <w:rsid w:val="006827D5"/>
    <w:rsid w:val="006836D3"/>
    <w:rsid w:val="00683968"/>
    <w:rsid w:val="00683BEF"/>
    <w:rsid w:val="0068739E"/>
    <w:rsid w:val="006906A5"/>
    <w:rsid w:val="006919FC"/>
    <w:rsid w:val="00691AA1"/>
    <w:rsid w:val="00691ED5"/>
    <w:rsid w:val="00691FF9"/>
    <w:rsid w:val="00692B05"/>
    <w:rsid w:val="006933C3"/>
    <w:rsid w:val="00693C93"/>
    <w:rsid w:val="006940BD"/>
    <w:rsid w:val="0069562B"/>
    <w:rsid w:val="00696422"/>
    <w:rsid w:val="00696AFA"/>
    <w:rsid w:val="006A1117"/>
    <w:rsid w:val="006A1325"/>
    <w:rsid w:val="006A146B"/>
    <w:rsid w:val="006A212A"/>
    <w:rsid w:val="006A24AB"/>
    <w:rsid w:val="006A3597"/>
    <w:rsid w:val="006A456D"/>
    <w:rsid w:val="006A48E4"/>
    <w:rsid w:val="006A4A35"/>
    <w:rsid w:val="006A5DD5"/>
    <w:rsid w:val="006A6104"/>
    <w:rsid w:val="006A6FA6"/>
    <w:rsid w:val="006A7336"/>
    <w:rsid w:val="006B14DC"/>
    <w:rsid w:val="006B2739"/>
    <w:rsid w:val="006B497D"/>
    <w:rsid w:val="006B5635"/>
    <w:rsid w:val="006B587F"/>
    <w:rsid w:val="006B7A6B"/>
    <w:rsid w:val="006B7C1B"/>
    <w:rsid w:val="006C0E4A"/>
    <w:rsid w:val="006C1117"/>
    <w:rsid w:val="006C17F0"/>
    <w:rsid w:val="006C19EC"/>
    <w:rsid w:val="006C1EEC"/>
    <w:rsid w:val="006C2130"/>
    <w:rsid w:val="006C27F2"/>
    <w:rsid w:val="006C3057"/>
    <w:rsid w:val="006C306B"/>
    <w:rsid w:val="006C3A6B"/>
    <w:rsid w:val="006C3A79"/>
    <w:rsid w:val="006C3C12"/>
    <w:rsid w:val="006C4730"/>
    <w:rsid w:val="006C6103"/>
    <w:rsid w:val="006C6358"/>
    <w:rsid w:val="006C6923"/>
    <w:rsid w:val="006C6F1A"/>
    <w:rsid w:val="006C776C"/>
    <w:rsid w:val="006C7D5E"/>
    <w:rsid w:val="006D0368"/>
    <w:rsid w:val="006D0940"/>
    <w:rsid w:val="006D1711"/>
    <w:rsid w:val="006D1834"/>
    <w:rsid w:val="006D1A8E"/>
    <w:rsid w:val="006D1B08"/>
    <w:rsid w:val="006D2088"/>
    <w:rsid w:val="006D21FA"/>
    <w:rsid w:val="006D3057"/>
    <w:rsid w:val="006D349B"/>
    <w:rsid w:val="006D406B"/>
    <w:rsid w:val="006D4727"/>
    <w:rsid w:val="006D4D5B"/>
    <w:rsid w:val="006D5397"/>
    <w:rsid w:val="006D5C4E"/>
    <w:rsid w:val="006D6EE5"/>
    <w:rsid w:val="006D6FF3"/>
    <w:rsid w:val="006D71F4"/>
    <w:rsid w:val="006E04FD"/>
    <w:rsid w:val="006E1FEE"/>
    <w:rsid w:val="006E2DE5"/>
    <w:rsid w:val="006E3699"/>
    <w:rsid w:val="006E37B2"/>
    <w:rsid w:val="006E43C6"/>
    <w:rsid w:val="006E5CA9"/>
    <w:rsid w:val="006E679A"/>
    <w:rsid w:val="006E7C3E"/>
    <w:rsid w:val="006F0725"/>
    <w:rsid w:val="006F0769"/>
    <w:rsid w:val="006F0788"/>
    <w:rsid w:val="006F1D38"/>
    <w:rsid w:val="006F249E"/>
    <w:rsid w:val="006F29AA"/>
    <w:rsid w:val="006F33A5"/>
    <w:rsid w:val="006F3725"/>
    <w:rsid w:val="006F4058"/>
    <w:rsid w:val="006F409B"/>
    <w:rsid w:val="006F442C"/>
    <w:rsid w:val="006F4FB2"/>
    <w:rsid w:val="006F4FDD"/>
    <w:rsid w:val="006F5F0C"/>
    <w:rsid w:val="006F60ED"/>
    <w:rsid w:val="006F6B5E"/>
    <w:rsid w:val="006F741F"/>
    <w:rsid w:val="006F78E2"/>
    <w:rsid w:val="007001D4"/>
    <w:rsid w:val="0070038C"/>
    <w:rsid w:val="00700621"/>
    <w:rsid w:val="0070097F"/>
    <w:rsid w:val="007009FD"/>
    <w:rsid w:val="007019CD"/>
    <w:rsid w:val="00701F24"/>
    <w:rsid w:val="00702C89"/>
    <w:rsid w:val="007030D6"/>
    <w:rsid w:val="007043E9"/>
    <w:rsid w:val="007044E8"/>
    <w:rsid w:val="00704B08"/>
    <w:rsid w:val="00705D20"/>
    <w:rsid w:val="00710035"/>
    <w:rsid w:val="00710469"/>
    <w:rsid w:val="00710BF6"/>
    <w:rsid w:val="00711654"/>
    <w:rsid w:val="00711A59"/>
    <w:rsid w:val="00711C4F"/>
    <w:rsid w:val="00712114"/>
    <w:rsid w:val="0071277C"/>
    <w:rsid w:val="007129DF"/>
    <w:rsid w:val="00712AF8"/>
    <w:rsid w:val="0071315F"/>
    <w:rsid w:val="007134E9"/>
    <w:rsid w:val="007138EA"/>
    <w:rsid w:val="0071394D"/>
    <w:rsid w:val="00714E55"/>
    <w:rsid w:val="00715084"/>
    <w:rsid w:val="00715D13"/>
    <w:rsid w:val="00716F5C"/>
    <w:rsid w:val="00720316"/>
    <w:rsid w:val="0072272D"/>
    <w:rsid w:val="00722C33"/>
    <w:rsid w:val="00724A76"/>
    <w:rsid w:val="00725483"/>
    <w:rsid w:val="00725536"/>
    <w:rsid w:val="00725E8A"/>
    <w:rsid w:val="00726416"/>
    <w:rsid w:val="0072678A"/>
    <w:rsid w:val="00727703"/>
    <w:rsid w:val="00727D05"/>
    <w:rsid w:val="00731788"/>
    <w:rsid w:val="00731899"/>
    <w:rsid w:val="00731D25"/>
    <w:rsid w:val="00731EA4"/>
    <w:rsid w:val="007323B7"/>
    <w:rsid w:val="00736221"/>
    <w:rsid w:val="00737301"/>
    <w:rsid w:val="00737550"/>
    <w:rsid w:val="0073766D"/>
    <w:rsid w:val="00737FDD"/>
    <w:rsid w:val="007406C1"/>
    <w:rsid w:val="007418F3"/>
    <w:rsid w:val="00741AE4"/>
    <w:rsid w:val="00741F98"/>
    <w:rsid w:val="0074299B"/>
    <w:rsid w:val="00743AC8"/>
    <w:rsid w:val="007440D8"/>
    <w:rsid w:val="00744EC1"/>
    <w:rsid w:val="0074555C"/>
    <w:rsid w:val="00745DEB"/>
    <w:rsid w:val="007465B0"/>
    <w:rsid w:val="0074694B"/>
    <w:rsid w:val="00750BC4"/>
    <w:rsid w:val="00750DFB"/>
    <w:rsid w:val="0075109F"/>
    <w:rsid w:val="007510A5"/>
    <w:rsid w:val="00751AB2"/>
    <w:rsid w:val="00753252"/>
    <w:rsid w:val="0075408A"/>
    <w:rsid w:val="00754961"/>
    <w:rsid w:val="00754B6F"/>
    <w:rsid w:val="0076111E"/>
    <w:rsid w:val="00762596"/>
    <w:rsid w:val="00764F45"/>
    <w:rsid w:val="0076678D"/>
    <w:rsid w:val="00766A01"/>
    <w:rsid w:val="00766AC6"/>
    <w:rsid w:val="00766F1A"/>
    <w:rsid w:val="00766FDC"/>
    <w:rsid w:val="0076714F"/>
    <w:rsid w:val="00767635"/>
    <w:rsid w:val="0076787A"/>
    <w:rsid w:val="00767F1A"/>
    <w:rsid w:val="00767FDB"/>
    <w:rsid w:val="0077091C"/>
    <w:rsid w:val="007713EF"/>
    <w:rsid w:val="00771C1B"/>
    <w:rsid w:val="00771FAC"/>
    <w:rsid w:val="007729EF"/>
    <w:rsid w:val="00773F31"/>
    <w:rsid w:val="00774B59"/>
    <w:rsid w:val="0077519C"/>
    <w:rsid w:val="00775D4E"/>
    <w:rsid w:val="00776138"/>
    <w:rsid w:val="0077626D"/>
    <w:rsid w:val="00776286"/>
    <w:rsid w:val="00776FD2"/>
    <w:rsid w:val="00777187"/>
    <w:rsid w:val="007775F7"/>
    <w:rsid w:val="00777A0A"/>
    <w:rsid w:val="00781E32"/>
    <w:rsid w:val="007827CE"/>
    <w:rsid w:val="00782BE8"/>
    <w:rsid w:val="00782CEE"/>
    <w:rsid w:val="00783604"/>
    <w:rsid w:val="00784223"/>
    <w:rsid w:val="00785332"/>
    <w:rsid w:val="007866A8"/>
    <w:rsid w:val="007874C5"/>
    <w:rsid w:val="007876CA"/>
    <w:rsid w:val="0079146D"/>
    <w:rsid w:val="00791E77"/>
    <w:rsid w:val="00791F6C"/>
    <w:rsid w:val="00792709"/>
    <w:rsid w:val="00792A7F"/>
    <w:rsid w:val="00792FA6"/>
    <w:rsid w:val="007932C0"/>
    <w:rsid w:val="0079378C"/>
    <w:rsid w:val="00795D58"/>
    <w:rsid w:val="00796ECB"/>
    <w:rsid w:val="007A00F0"/>
    <w:rsid w:val="007A0DB4"/>
    <w:rsid w:val="007A13C8"/>
    <w:rsid w:val="007A1D54"/>
    <w:rsid w:val="007A2F91"/>
    <w:rsid w:val="007A3187"/>
    <w:rsid w:val="007A3842"/>
    <w:rsid w:val="007A3F0E"/>
    <w:rsid w:val="007A50C0"/>
    <w:rsid w:val="007A5C7C"/>
    <w:rsid w:val="007A6297"/>
    <w:rsid w:val="007A7882"/>
    <w:rsid w:val="007A78AA"/>
    <w:rsid w:val="007A78E7"/>
    <w:rsid w:val="007B0929"/>
    <w:rsid w:val="007B09F0"/>
    <w:rsid w:val="007B1623"/>
    <w:rsid w:val="007B2308"/>
    <w:rsid w:val="007B2359"/>
    <w:rsid w:val="007B2F3D"/>
    <w:rsid w:val="007B42AE"/>
    <w:rsid w:val="007B4DE9"/>
    <w:rsid w:val="007B4E4C"/>
    <w:rsid w:val="007B5A08"/>
    <w:rsid w:val="007B682D"/>
    <w:rsid w:val="007B6A4B"/>
    <w:rsid w:val="007B73D0"/>
    <w:rsid w:val="007B7B2D"/>
    <w:rsid w:val="007B7DBE"/>
    <w:rsid w:val="007B7FCD"/>
    <w:rsid w:val="007C03D2"/>
    <w:rsid w:val="007C06A5"/>
    <w:rsid w:val="007C0E5F"/>
    <w:rsid w:val="007C26E4"/>
    <w:rsid w:val="007C276A"/>
    <w:rsid w:val="007C3722"/>
    <w:rsid w:val="007C4C13"/>
    <w:rsid w:val="007C5F8C"/>
    <w:rsid w:val="007D0A68"/>
    <w:rsid w:val="007D0C49"/>
    <w:rsid w:val="007D0EB3"/>
    <w:rsid w:val="007D485C"/>
    <w:rsid w:val="007D67C6"/>
    <w:rsid w:val="007D772E"/>
    <w:rsid w:val="007D7C86"/>
    <w:rsid w:val="007D7D15"/>
    <w:rsid w:val="007E14DA"/>
    <w:rsid w:val="007E1632"/>
    <w:rsid w:val="007E186B"/>
    <w:rsid w:val="007E34D1"/>
    <w:rsid w:val="007E3A86"/>
    <w:rsid w:val="007E4C4E"/>
    <w:rsid w:val="007E7292"/>
    <w:rsid w:val="007E76B2"/>
    <w:rsid w:val="007E79FA"/>
    <w:rsid w:val="007F0199"/>
    <w:rsid w:val="007F0B8E"/>
    <w:rsid w:val="007F1086"/>
    <w:rsid w:val="007F131D"/>
    <w:rsid w:val="007F2B44"/>
    <w:rsid w:val="007F3359"/>
    <w:rsid w:val="007F3481"/>
    <w:rsid w:val="007F37FB"/>
    <w:rsid w:val="007F3B37"/>
    <w:rsid w:val="007F40FA"/>
    <w:rsid w:val="007F45BD"/>
    <w:rsid w:val="007F46BD"/>
    <w:rsid w:val="007F48B8"/>
    <w:rsid w:val="007F6B8D"/>
    <w:rsid w:val="007F7159"/>
    <w:rsid w:val="00801485"/>
    <w:rsid w:val="00801B63"/>
    <w:rsid w:val="00802A77"/>
    <w:rsid w:val="00803003"/>
    <w:rsid w:val="00803B79"/>
    <w:rsid w:val="00803CAE"/>
    <w:rsid w:val="00803E02"/>
    <w:rsid w:val="00803EF6"/>
    <w:rsid w:val="00804EA6"/>
    <w:rsid w:val="008055A5"/>
    <w:rsid w:val="008060B3"/>
    <w:rsid w:val="00806F7F"/>
    <w:rsid w:val="00807026"/>
    <w:rsid w:val="00807889"/>
    <w:rsid w:val="00810305"/>
    <w:rsid w:val="008107A2"/>
    <w:rsid w:val="00810E02"/>
    <w:rsid w:val="00811782"/>
    <w:rsid w:val="008157C4"/>
    <w:rsid w:val="00816727"/>
    <w:rsid w:val="00816C8E"/>
    <w:rsid w:val="008173A1"/>
    <w:rsid w:val="00817953"/>
    <w:rsid w:val="0082025F"/>
    <w:rsid w:val="00820505"/>
    <w:rsid w:val="00820BD4"/>
    <w:rsid w:val="00821261"/>
    <w:rsid w:val="008216CA"/>
    <w:rsid w:val="00821C1D"/>
    <w:rsid w:val="00821F12"/>
    <w:rsid w:val="00822538"/>
    <w:rsid w:val="00822B3B"/>
    <w:rsid w:val="00822C00"/>
    <w:rsid w:val="00822D80"/>
    <w:rsid w:val="008235C0"/>
    <w:rsid w:val="00824D55"/>
    <w:rsid w:val="00825044"/>
    <w:rsid w:val="008254FA"/>
    <w:rsid w:val="008262E0"/>
    <w:rsid w:val="00826637"/>
    <w:rsid w:val="00826E32"/>
    <w:rsid w:val="00827234"/>
    <w:rsid w:val="00827702"/>
    <w:rsid w:val="00827D7F"/>
    <w:rsid w:val="00827E70"/>
    <w:rsid w:val="008310EB"/>
    <w:rsid w:val="008317B1"/>
    <w:rsid w:val="00831CE6"/>
    <w:rsid w:val="00833BF7"/>
    <w:rsid w:val="00833D12"/>
    <w:rsid w:val="00833DF5"/>
    <w:rsid w:val="0083442C"/>
    <w:rsid w:val="0083447B"/>
    <w:rsid w:val="00834C39"/>
    <w:rsid w:val="00835E3C"/>
    <w:rsid w:val="0083726F"/>
    <w:rsid w:val="00837855"/>
    <w:rsid w:val="008379B8"/>
    <w:rsid w:val="0084065E"/>
    <w:rsid w:val="00841863"/>
    <w:rsid w:val="00841CA2"/>
    <w:rsid w:val="00843255"/>
    <w:rsid w:val="00844142"/>
    <w:rsid w:val="00844714"/>
    <w:rsid w:val="00845F07"/>
    <w:rsid w:val="0084614E"/>
    <w:rsid w:val="0084670C"/>
    <w:rsid w:val="00846937"/>
    <w:rsid w:val="00847007"/>
    <w:rsid w:val="008474F0"/>
    <w:rsid w:val="00847990"/>
    <w:rsid w:val="00850B0E"/>
    <w:rsid w:val="00850CA5"/>
    <w:rsid w:val="0085192C"/>
    <w:rsid w:val="008520D6"/>
    <w:rsid w:val="0085275D"/>
    <w:rsid w:val="00852B39"/>
    <w:rsid w:val="008540B0"/>
    <w:rsid w:val="00854FA3"/>
    <w:rsid w:val="00855D50"/>
    <w:rsid w:val="008566B8"/>
    <w:rsid w:val="008568D3"/>
    <w:rsid w:val="00856EB0"/>
    <w:rsid w:val="0085759F"/>
    <w:rsid w:val="00857AD1"/>
    <w:rsid w:val="00861889"/>
    <w:rsid w:val="00861AB4"/>
    <w:rsid w:val="008623B6"/>
    <w:rsid w:val="008623E9"/>
    <w:rsid w:val="00862C1C"/>
    <w:rsid w:val="00862F60"/>
    <w:rsid w:val="008633B9"/>
    <w:rsid w:val="00864828"/>
    <w:rsid w:val="00864B82"/>
    <w:rsid w:val="00864EC4"/>
    <w:rsid w:val="008653E2"/>
    <w:rsid w:val="00870895"/>
    <w:rsid w:val="0087119D"/>
    <w:rsid w:val="00871ACD"/>
    <w:rsid w:val="00871F3D"/>
    <w:rsid w:val="00873229"/>
    <w:rsid w:val="0087494B"/>
    <w:rsid w:val="00874A53"/>
    <w:rsid w:val="00875919"/>
    <w:rsid w:val="008763E5"/>
    <w:rsid w:val="00876E2F"/>
    <w:rsid w:val="00877B80"/>
    <w:rsid w:val="00877E1E"/>
    <w:rsid w:val="00880B81"/>
    <w:rsid w:val="00880CED"/>
    <w:rsid w:val="0088155D"/>
    <w:rsid w:val="00881605"/>
    <w:rsid w:val="00881783"/>
    <w:rsid w:val="008818D2"/>
    <w:rsid w:val="00882330"/>
    <w:rsid w:val="0088236E"/>
    <w:rsid w:val="00882991"/>
    <w:rsid w:val="00882DD2"/>
    <w:rsid w:val="00882F81"/>
    <w:rsid w:val="0088306F"/>
    <w:rsid w:val="00883AD4"/>
    <w:rsid w:val="00885E17"/>
    <w:rsid w:val="00886A92"/>
    <w:rsid w:val="00887694"/>
    <w:rsid w:val="00887A09"/>
    <w:rsid w:val="0089040A"/>
    <w:rsid w:val="00890837"/>
    <w:rsid w:val="00890CB3"/>
    <w:rsid w:val="00891750"/>
    <w:rsid w:val="00892274"/>
    <w:rsid w:val="008927C9"/>
    <w:rsid w:val="00892938"/>
    <w:rsid w:val="00892D0E"/>
    <w:rsid w:val="008952BD"/>
    <w:rsid w:val="0089538E"/>
    <w:rsid w:val="008954F3"/>
    <w:rsid w:val="00895B3E"/>
    <w:rsid w:val="00896690"/>
    <w:rsid w:val="008979F8"/>
    <w:rsid w:val="008A00B0"/>
    <w:rsid w:val="008A04F0"/>
    <w:rsid w:val="008A2947"/>
    <w:rsid w:val="008A2A20"/>
    <w:rsid w:val="008A3805"/>
    <w:rsid w:val="008A501C"/>
    <w:rsid w:val="008A5429"/>
    <w:rsid w:val="008A7E94"/>
    <w:rsid w:val="008B0275"/>
    <w:rsid w:val="008B0FDD"/>
    <w:rsid w:val="008B22D4"/>
    <w:rsid w:val="008B25BA"/>
    <w:rsid w:val="008B2BA7"/>
    <w:rsid w:val="008B2EA5"/>
    <w:rsid w:val="008B34D4"/>
    <w:rsid w:val="008B4649"/>
    <w:rsid w:val="008B46D6"/>
    <w:rsid w:val="008B4E6D"/>
    <w:rsid w:val="008B6366"/>
    <w:rsid w:val="008B6611"/>
    <w:rsid w:val="008B6812"/>
    <w:rsid w:val="008B6C88"/>
    <w:rsid w:val="008B7CD0"/>
    <w:rsid w:val="008C1467"/>
    <w:rsid w:val="008C3E56"/>
    <w:rsid w:val="008C43E7"/>
    <w:rsid w:val="008C5318"/>
    <w:rsid w:val="008C5551"/>
    <w:rsid w:val="008C5658"/>
    <w:rsid w:val="008C57DB"/>
    <w:rsid w:val="008C58F3"/>
    <w:rsid w:val="008C7CC1"/>
    <w:rsid w:val="008D15EE"/>
    <w:rsid w:val="008D1E04"/>
    <w:rsid w:val="008D1EFA"/>
    <w:rsid w:val="008D2F9D"/>
    <w:rsid w:val="008D33D6"/>
    <w:rsid w:val="008D3502"/>
    <w:rsid w:val="008D3E8A"/>
    <w:rsid w:val="008D51F9"/>
    <w:rsid w:val="008D5C68"/>
    <w:rsid w:val="008D6119"/>
    <w:rsid w:val="008D6A84"/>
    <w:rsid w:val="008D74E8"/>
    <w:rsid w:val="008D795F"/>
    <w:rsid w:val="008D7E15"/>
    <w:rsid w:val="008E07C9"/>
    <w:rsid w:val="008E0D04"/>
    <w:rsid w:val="008E2723"/>
    <w:rsid w:val="008E2D83"/>
    <w:rsid w:val="008E4872"/>
    <w:rsid w:val="008E4FD4"/>
    <w:rsid w:val="008E5DA9"/>
    <w:rsid w:val="008E5E1F"/>
    <w:rsid w:val="008E6035"/>
    <w:rsid w:val="008E6365"/>
    <w:rsid w:val="008E660F"/>
    <w:rsid w:val="008E6926"/>
    <w:rsid w:val="008E6C19"/>
    <w:rsid w:val="008E7984"/>
    <w:rsid w:val="008E7ADE"/>
    <w:rsid w:val="008F0500"/>
    <w:rsid w:val="008F1F56"/>
    <w:rsid w:val="008F2472"/>
    <w:rsid w:val="008F2925"/>
    <w:rsid w:val="008F3543"/>
    <w:rsid w:val="008F4C79"/>
    <w:rsid w:val="0090031A"/>
    <w:rsid w:val="00901E05"/>
    <w:rsid w:val="00902BBD"/>
    <w:rsid w:val="00903313"/>
    <w:rsid w:val="00903AE9"/>
    <w:rsid w:val="00904587"/>
    <w:rsid w:val="00904C92"/>
    <w:rsid w:val="009053FC"/>
    <w:rsid w:val="00905924"/>
    <w:rsid w:val="0090635B"/>
    <w:rsid w:val="009065B4"/>
    <w:rsid w:val="009100F7"/>
    <w:rsid w:val="00910816"/>
    <w:rsid w:val="00910FF3"/>
    <w:rsid w:val="00911FFB"/>
    <w:rsid w:val="00912A08"/>
    <w:rsid w:val="009132CF"/>
    <w:rsid w:val="00913E57"/>
    <w:rsid w:val="00915F3C"/>
    <w:rsid w:val="009162C4"/>
    <w:rsid w:val="009163AF"/>
    <w:rsid w:val="009168E7"/>
    <w:rsid w:val="009204AB"/>
    <w:rsid w:val="00920A8F"/>
    <w:rsid w:val="00920E85"/>
    <w:rsid w:val="00920ED9"/>
    <w:rsid w:val="009219A3"/>
    <w:rsid w:val="009219CB"/>
    <w:rsid w:val="009221BF"/>
    <w:rsid w:val="0092267A"/>
    <w:rsid w:val="00923B0A"/>
    <w:rsid w:val="00923BB7"/>
    <w:rsid w:val="009244CD"/>
    <w:rsid w:val="0092590E"/>
    <w:rsid w:val="00925EB4"/>
    <w:rsid w:val="00925F0E"/>
    <w:rsid w:val="009260F2"/>
    <w:rsid w:val="009269E4"/>
    <w:rsid w:val="0092765F"/>
    <w:rsid w:val="009277DE"/>
    <w:rsid w:val="0093005D"/>
    <w:rsid w:val="00930903"/>
    <w:rsid w:val="009309F0"/>
    <w:rsid w:val="00931C50"/>
    <w:rsid w:val="00933981"/>
    <w:rsid w:val="00933E8C"/>
    <w:rsid w:val="009354A8"/>
    <w:rsid w:val="009358BE"/>
    <w:rsid w:val="00935D7F"/>
    <w:rsid w:val="00936497"/>
    <w:rsid w:val="00937A4A"/>
    <w:rsid w:val="00937CAD"/>
    <w:rsid w:val="00937F30"/>
    <w:rsid w:val="009406DE"/>
    <w:rsid w:val="00941B93"/>
    <w:rsid w:val="00941CC8"/>
    <w:rsid w:val="00941E3D"/>
    <w:rsid w:val="00942080"/>
    <w:rsid w:val="009423B1"/>
    <w:rsid w:val="00942675"/>
    <w:rsid w:val="009426C1"/>
    <w:rsid w:val="009429B8"/>
    <w:rsid w:val="00942EA6"/>
    <w:rsid w:val="00943079"/>
    <w:rsid w:val="00943139"/>
    <w:rsid w:val="009432B0"/>
    <w:rsid w:val="009441B2"/>
    <w:rsid w:val="00944A74"/>
    <w:rsid w:val="00945410"/>
    <w:rsid w:val="009456D6"/>
    <w:rsid w:val="00946176"/>
    <w:rsid w:val="00947ABC"/>
    <w:rsid w:val="0095277B"/>
    <w:rsid w:val="0095297E"/>
    <w:rsid w:val="00952C97"/>
    <w:rsid w:val="00953361"/>
    <w:rsid w:val="00953495"/>
    <w:rsid w:val="009547D6"/>
    <w:rsid w:val="00954BD0"/>
    <w:rsid w:val="00955200"/>
    <w:rsid w:val="0095558E"/>
    <w:rsid w:val="00955877"/>
    <w:rsid w:val="00955C66"/>
    <w:rsid w:val="009560D3"/>
    <w:rsid w:val="009563C1"/>
    <w:rsid w:val="0095673E"/>
    <w:rsid w:val="00956879"/>
    <w:rsid w:val="00956E15"/>
    <w:rsid w:val="009573F5"/>
    <w:rsid w:val="00960460"/>
    <w:rsid w:val="00960829"/>
    <w:rsid w:val="00960E52"/>
    <w:rsid w:val="00961669"/>
    <w:rsid w:val="00962774"/>
    <w:rsid w:val="00963265"/>
    <w:rsid w:val="00963A56"/>
    <w:rsid w:val="00963F72"/>
    <w:rsid w:val="00964758"/>
    <w:rsid w:val="00965351"/>
    <w:rsid w:val="009665EE"/>
    <w:rsid w:val="00966EAB"/>
    <w:rsid w:val="00967B34"/>
    <w:rsid w:val="00967D77"/>
    <w:rsid w:val="00970352"/>
    <w:rsid w:val="0097122A"/>
    <w:rsid w:val="00971C0E"/>
    <w:rsid w:val="00972AB8"/>
    <w:rsid w:val="00972DF9"/>
    <w:rsid w:val="00973361"/>
    <w:rsid w:val="009739A5"/>
    <w:rsid w:val="00973A0F"/>
    <w:rsid w:val="0097438A"/>
    <w:rsid w:val="00974E3F"/>
    <w:rsid w:val="00974F26"/>
    <w:rsid w:val="00975E7C"/>
    <w:rsid w:val="00975FCD"/>
    <w:rsid w:val="009766F2"/>
    <w:rsid w:val="009767EC"/>
    <w:rsid w:val="00976DDE"/>
    <w:rsid w:val="00976F07"/>
    <w:rsid w:val="00980F87"/>
    <w:rsid w:val="009814D6"/>
    <w:rsid w:val="0098222F"/>
    <w:rsid w:val="00982279"/>
    <w:rsid w:val="00983CC9"/>
    <w:rsid w:val="00985231"/>
    <w:rsid w:val="0098537A"/>
    <w:rsid w:val="00985880"/>
    <w:rsid w:val="00987134"/>
    <w:rsid w:val="00987CD4"/>
    <w:rsid w:val="00990578"/>
    <w:rsid w:val="00991477"/>
    <w:rsid w:val="00991A9F"/>
    <w:rsid w:val="00991F3C"/>
    <w:rsid w:val="009922B8"/>
    <w:rsid w:val="00992D93"/>
    <w:rsid w:val="009933A9"/>
    <w:rsid w:val="00993C9F"/>
    <w:rsid w:val="009954D5"/>
    <w:rsid w:val="00996052"/>
    <w:rsid w:val="0099749D"/>
    <w:rsid w:val="00997667"/>
    <w:rsid w:val="00997809"/>
    <w:rsid w:val="00997CC7"/>
    <w:rsid w:val="009A07C1"/>
    <w:rsid w:val="009A16A4"/>
    <w:rsid w:val="009A1C47"/>
    <w:rsid w:val="009A1FE8"/>
    <w:rsid w:val="009A27DC"/>
    <w:rsid w:val="009A38AF"/>
    <w:rsid w:val="009A549B"/>
    <w:rsid w:val="009A57A7"/>
    <w:rsid w:val="009A64D0"/>
    <w:rsid w:val="009A65F3"/>
    <w:rsid w:val="009A6857"/>
    <w:rsid w:val="009A6858"/>
    <w:rsid w:val="009A6DD6"/>
    <w:rsid w:val="009A7781"/>
    <w:rsid w:val="009B20E4"/>
    <w:rsid w:val="009B24F8"/>
    <w:rsid w:val="009B2E0B"/>
    <w:rsid w:val="009B40EF"/>
    <w:rsid w:val="009B4A60"/>
    <w:rsid w:val="009B4FA3"/>
    <w:rsid w:val="009B5C5B"/>
    <w:rsid w:val="009B602C"/>
    <w:rsid w:val="009B6713"/>
    <w:rsid w:val="009B6F0C"/>
    <w:rsid w:val="009B70CA"/>
    <w:rsid w:val="009B7B0A"/>
    <w:rsid w:val="009B7BD8"/>
    <w:rsid w:val="009B7D23"/>
    <w:rsid w:val="009C07FF"/>
    <w:rsid w:val="009C1300"/>
    <w:rsid w:val="009C1F63"/>
    <w:rsid w:val="009C2DDA"/>
    <w:rsid w:val="009C3226"/>
    <w:rsid w:val="009C4213"/>
    <w:rsid w:val="009C4265"/>
    <w:rsid w:val="009C4D33"/>
    <w:rsid w:val="009C60BE"/>
    <w:rsid w:val="009C66BD"/>
    <w:rsid w:val="009C68D6"/>
    <w:rsid w:val="009C68DA"/>
    <w:rsid w:val="009D0E86"/>
    <w:rsid w:val="009D106D"/>
    <w:rsid w:val="009D15AA"/>
    <w:rsid w:val="009D1F9A"/>
    <w:rsid w:val="009D287E"/>
    <w:rsid w:val="009D2F1D"/>
    <w:rsid w:val="009D344E"/>
    <w:rsid w:val="009D3A38"/>
    <w:rsid w:val="009D555E"/>
    <w:rsid w:val="009D5823"/>
    <w:rsid w:val="009D5CAD"/>
    <w:rsid w:val="009D6BAB"/>
    <w:rsid w:val="009D716A"/>
    <w:rsid w:val="009E0EDC"/>
    <w:rsid w:val="009E1332"/>
    <w:rsid w:val="009E15F7"/>
    <w:rsid w:val="009E2D3C"/>
    <w:rsid w:val="009E4848"/>
    <w:rsid w:val="009E502F"/>
    <w:rsid w:val="009E6317"/>
    <w:rsid w:val="009E643F"/>
    <w:rsid w:val="009E6DA2"/>
    <w:rsid w:val="009E6E98"/>
    <w:rsid w:val="009E70AC"/>
    <w:rsid w:val="009E73BD"/>
    <w:rsid w:val="009F0582"/>
    <w:rsid w:val="009F066E"/>
    <w:rsid w:val="009F122C"/>
    <w:rsid w:val="009F1316"/>
    <w:rsid w:val="009F16F9"/>
    <w:rsid w:val="009F3895"/>
    <w:rsid w:val="009F3C80"/>
    <w:rsid w:val="009F40EA"/>
    <w:rsid w:val="009F6ECB"/>
    <w:rsid w:val="009F7A58"/>
    <w:rsid w:val="009F7E53"/>
    <w:rsid w:val="00A0056D"/>
    <w:rsid w:val="00A008D4"/>
    <w:rsid w:val="00A01543"/>
    <w:rsid w:val="00A0177A"/>
    <w:rsid w:val="00A01A56"/>
    <w:rsid w:val="00A01AA6"/>
    <w:rsid w:val="00A01FFE"/>
    <w:rsid w:val="00A0317B"/>
    <w:rsid w:val="00A04841"/>
    <w:rsid w:val="00A05916"/>
    <w:rsid w:val="00A05B5D"/>
    <w:rsid w:val="00A06E40"/>
    <w:rsid w:val="00A07446"/>
    <w:rsid w:val="00A07BEA"/>
    <w:rsid w:val="00A07C93"/>
    <w:rsid w:val="00A10049"/>
    <w:rsid w:val="00A1020C"/>
    <w:rsid w:val="00A10425"/>
    <w:rsid w:val="00A105E0"/>
    <w:rsid w:val="00A11352"/>
    <w:rsid w:val="00A12A78"/>
    <w:rsid w:val="00A12F69"/>
    <w:rsid w:val="00A1399F"/>
    <w:rsid w:val="00A13E72"/>
    <w:rsid w:val="00A14152"/>
    <w:rsid w:val="00A156B3"/>
    <w:rsid w:val="00A16555"/>
    <w:rsid w:val="00A17707"/>
    <w:rsid w:val="00A178CB"/>
    <w:rsid w:val="00A17B55"/>
    <w:rsid w:val="00A209D4"/>
    <w:rsid w:val="00A214BD"/>
    <w:rsid w:val="00A22006"/>
    <w:rsid w:val="00A22ECA"/>
    <w:rsid w:val="00A23172"/>
    <w:rsid w:val="00A236C1"/>
    <w:rsid w:val="00A23CFD"/>
    <w:rsid w:val="00A25046"/>
    <w:rsid w:val="00A25ABD"/>
    <w:rsid w:val="00A26808"/>
    <w:rsid w:val="00A2723A"/>
    <w:rsid w:val="00A31105"/>
    <w:rsid w:val="00A31D8E"/>
    <w:rsid w:val="00A32C39"/>
    <w:rsid w:val="00A32E28"/>
    <w:rsid w:val="00A33B1E"/>
    <w:rsid w:val="00A33BB4"/>
    <w:rsid w:val="00A34358"/>
    <w:rsid w:val="00A35A49"/>
    <w:rsid w:val="00A35B50"/>
    <w:rsid w:val="00A37072"/>
    <w:rsid w:val="00A371EC"/>
    <w:rsid w:val="00A37D20"/>
    <w:rsid w:val="00A4005A"/>
    <w:rsid w:val="00A401C0"/>
    <w:rsid w:val="00A40F67"/>
    <w:rsid w:val="00A42955"/>
    <w:rsid w:val="00A42B39"/>
    <w:rsid w:val="00A43723"/>
    <w:rsid w:val="00A4387A"/>
    <w:rsid w:val="00A4481F"/>
    <w:rsid w:val="00A457A9"/>
    <w:rsid w:val="00A461A8"/>
    <w:rsid w:val="00A4633B"/>
    <w:rsid w:val="00A46C30"/>
    <w:rsid w:val="00A472BA"/>
    <w:rsid w:val="00A472D1"/>
    <w:rsid w:val="00A47BD4"/>
    <w:rsid w:val="00A5068B"/>
    <w:rsid w:val="00A50C26"/>
    <w:rsid w:val="00A50E28"/>
    <w:rsid w:val="00A50FF2"/>
    <w:rsid w:val="00A51396"/>
    <w:rsid w:val="00A51766"/>
    <w:rsid w:val="00A5186A"/>
    <w:rsid w:val="00A538F4"/>
    <w:rsid w:val="00A53D29"/>
    <w:rsid w:val="00A55C8D"/>
    <w:rsid w:val="00A60AAD"/>
    <w:rsid w:val="00A60B16"/>
    <w:rsid w:val="00A6118D"/>
    <w:rsid w:val="00A6145D"/>
    <w:rsid w:val="00A61BEA"/>
    <w:rsid w:val="00A63985"/>
    <w:rsid w:val="00A63E1C"/>
    <w:rsid w:val="00A64784"/>
    <w:rsid w:val="00A64E47"/>
    <w:rsid w:val="00A65803"/>
    <w:rsid w:val="00A65A4C"/>
    <w:rsid w:val="00A66629"/>
    <w:rsid w:val="00A66AA5"/>
    <w:rsid w:val="00A66DBA"/>
    <w:rsid w:val="00A671FC"/>
    <w:rsid w:val="00A67ECD"/>
    <w:rsid w:val="00A70B40"/>
    <w:rsid w:val="00A70BB4"/>
    <w:rsid w:val="00A714B2"/>
    <w:rsid w:val="00A733C0"/>
    <w:rsid w:val="00A74216"/>
    <w:rsid w:val="00A74717"/>
    <w:rsid w:val="00A75670"/>
    <w:rsid w:val="00A75E4D"/>
    <w:rsid w:val="00A761B8"/>
    <w:rsid w:val="00A76B3A"/>
    <w:rsid w:val="00A771CF"/>
    <w:rsid w:val="00A77D8C"/>
    <w:rsid w:val="00A77F00"/>
    <w:rsid w:val="00A802FE"/>
    <w:rsid w:val="00A808C0"/>
    <w:rsid w:val="00A80A4E"/>
    <w:rsid w:val="00A80D25"/>
    <w:rsid w:val="00A819DD"/>
    <w:rsid w:val="00A83E82"/>
    <w:rsid w:val="00A83F8F"/>
    <w:rsid w:val="00A84035"/>
    <w:rsid w:val="00A84FC0"/>
    <w:rsid w:val="00A86140"/>
    <w:rsid w:val="00A862F4"/>
    <w:rsid w:val="00A868F2"/>
    <w:rsid w:val="00A86CAF"/>
    <w:rsid w:val="00A86F53"/>
    <w:rsid w:val="00A872DA"/>
    <w:rsid w:val="00A900B2"/>
    <w:rsid w:val="00A903B7"/>
    <w:rsid w:val="00A903F4"/>
    <w:rsid w:val="00A90924"/>
    <w:rsid w:val="00A91AB1"/>
    <w:rsid w:val="00A92828"/>
    <w:rsid w:val="00A92D74"/>
    <w:rsid w:val="00A93216"/>
    <w:rsid w:val="00A932B0"/>
    <w:rsid w:val="00A93670"/>
    <w:rsid w:val="00A93B40"/>
    <w:rsid w:val="00A9420D"/>
    <w:rsid w:val="00A94267"/>
    <w:rsid w:val="00A943BA"/>
    <w:rsid w:val="00A94ACC"/>
    <w:rsid w:val="00A974A4"/>
    <w:rsid w:val="00A97EA3"/>
    <w:rsid w:val="00AA3189"/>
    <w:rsid w:val="00AA351A"/>
    <w:rsid w:val="00AA36FA"/>
    <w:rsid w:val="00AA3DF7"/>
    <w:rsid w:val="00AA5869"/>
    <w:rsid w:val="00AA5A31"/>
    <w:rsid w:val="00AA5BD2"/>
    <w:rsid w:val="00AA64E9"/>
    <w:rsid w:val="00AA6520"/>
    <w:rsid w:val="00AA65CB"/>
    <w:rsid w:val="00AA6C72"/>
    <w:rsid w:val="00AA745A"/>
    <w:rsid w:val="00AAC23A"/>
    <w:rsid w:val="00AB0176"/>
    <w:rsid w:val="00AB0636"/>
    <w:rsid w:val="00AB0E36"/>
    <w:rsid w:val="00AB0F87"/>
    <w:rsid w:val="00AB213E"/>
    <w:rsid w:val="00AB3FFE"/>
    <w:rsid w:val="00AB459A"/>
    <w:rsid w:val="00AB4BDB"/>
    <w:rsid w:val="00AB5161"/>
    <w:rsid w:val="00AB54CB"/>
    <w:rsid w:val="00AB5F7B"/>
    <w:rsid w:val="00AB6B92"/>
    <w:rsid w:val="00AB78AD"/>
    <w:rsid w:val="00AC016D"/>
    <w:rsid w:val="00AC02E3"/>
    <w:rsid w:val="00AC0694"/>
    <w:rsid w:val="00AC14E2"/>
    <w:rsid w:val="00AC19CF"/>
    <w:rsid w:val="00AC2236"/>
    <w:rsid w:val="00AC2465"/>
    <w:rsid w:val="00AC5BEE"/>
    <w:rsid w:val="00AC63A3"/>
    <w:rsid w:val="00AC66A5"/>
    <w:rsid w:val="00AD05B3"/>
    <w:rsid w:val="00AD0ED9"/>
    <w:rsid w:val="00AD129B"/>
    <w:rsid w:val="00AD1A95"/>
    <w:rsid w:val="00AD1FFF"/>
    <w:rsid w:val="00AD228E"/>
    <w:rsid w:val="00AD25F5"/>
    <w:rsid w:val="00AD2C18"/>
    <w:rsid w:val="00AD3A09"/>
    <w:rsid w:val="00AD4220"/>
    <w:rsid w:val="00AD508C"/>
    <w:rsid w:val="00AD6CD5"/>
    <w:rsid w:val="00AD6EC3"/>
    <w:rsid w:val="00AE1E5D"/>
    <w:rsid w:val="00AE20F0"/>
    <w:rsid w:val="00AE2254"/>
    <w:rsid w:val="00AE23CA"/>
    <w:rsid w:val="00AE248F"/>
    <w:rsid w:val="00AE3719"/>
    <w:rsid w:val="00AE3A8F"/>
    <w:rsid w:val="00AE3F2A"/>
    <w:rsid w:val="00AE58CC"/>
    <w:rsid w:val="00AE6480"/>
    <w:rsid w:val="00AE7240"/>
    <w:rsid w:val="00AE730B"/>
    <w:rsid w:val="00AF1858"/>
    <w:rsid w:val="00AF2666"/>
    <w:rsid w:val="00AF26DA"/>
    <w:rsid w:val="00AF3A93"/>
    <w:rsid w:val="00AF3F8D"/>
    <w:rsid w:val="00AF41E8"/>
    <w:rsid w:val="00AF5173"/>
    <w:rsid w:val="00AF58FB"/>
    <w:rsid w:val="00AF5A31"/>
    <w:rsid w:val="00AF5C8C"/>
    <w:rsid w:val="00AF696C"/>
    <w:rsid w:val="00AF6AE5"/>
    <w:rsid w:val="00B006DB"/>
    <w:rsid w:val="00B00FAA"/>
    <w:rsid w:val="00B0285E"/>
    <w:rsid w:val="00B02C65"/>
    <w:rsid w:val="00B02EBB"/>
    <w:rsid w:val="00B0300B"/>
    <w:rsid w:val="00B03202"/>
    <w:rsid w:val="00B04368"/>
    <w:rsid w:val="00B057E1"/>
    <w:rsid w:val="00B059CB"/>
    <w:rsid w:val="00B05AED"/>
    <w:rsid w:val="00B06079"/>
    <w:rsid w:val="00B063BE"/>
    <w:rsid w:val="00B06AAC"/>
    <w:rsid w:val="00B07D93"/>
    <w:rsid w:val="00B10EDE"/>
    <w:rsid w:val="00B11EF4"/>
    <w:rsid w:val="00B12B02"/>
    <w:rsid w:val="00B13362"/>
    <w:rsid w:val="00B137AF"/>
    <w:rsid w:val="00B14447"/>
    <w:rsid w:val="00B149F9"/>
    <w:rsid w:val="00B15F6F"/>
    <w:rsid w:val="00B15FD7"/>
    <w:rsid w:val="00B16140"/>
    <w:rsid w:val="00B1755A"/>
    <w:rsid w:val="00B1762D"/>
    <w:rsid w:val="00B201B6"/>
    <w:rsid w:val="00B214B3"/>
    <w:rsid w:val="00B2223D"/>
    <w:rsid w:val="00B235D0"/>
    <w:rsid w:val="00B23A0C"/>
    <w:rsid w:val="00B23B2A"/>
    <w:rsid w:val="00B23DE9"/>
    <w:rsid w:val="00B2481C"/>
    <w:rsid w:val="00B24B12"/>
    <w:rsid w:val="00B25754"/>
    <w:rsid w:val="00B26069"/>
    <w:rsid w:val="00B2625C"/>
    <w:rsid w:val="00B26F8F"/>
    <w:rsid w:val="00B272F1"/>
    <w:rsid w:val="00B27431"/>
    <w:rsid w:val="00B2759A"/>
    <w:rsid w:val="00B27C26"/>
    <w:rsid w:val="00B27DCF"/>
    <w:rsid w:val="00B27E35"/>
    <w:rsid w:val="00B30116"/>
    <w:rsid w:val="00B31DCB"/>
    <w:rsid w:val="00B328AC"/>
    <w:rsid w:val="00B3299E"/>
    <w:rsid w:val="00B32B35"/>
    <w:rsid w:val="00B32EEC"/>
    <w:rsid w:val="00B32F20"/>
    <w:rsid w:val="00B336CA"/>
    <w:rsid w:val="00B3533B"/>
    <w:rsid w:val="00B40474"/>
    <w:rsid w:val="00B40972"/>
    <w:rsid w:val="00B4145B"/>
    <w:rsid w:val="00B41FDE"/>
    <w:rsid w:val="00B422C2"/>
    <w:rsid w:val="00B425E9"/>
    <w:rsid w:val="00B42E39"/>
    <w:rsid w:val="00B434A5"/>
    <w:rsid w:val="00B44CFF"/>
    <w:rsid w:val="00B4524D"/>
    <w:rsid w:val="00B453E7"/>
    <w:rsid w:val="00B46BB3"/>
    <w:rsid w:val="00B477B4"/>
    <w:rsid w:val="00B47C8B"/>
    <w:rsid w:val="00B47FDE"/>
    <w:rsid w:val="00B5050D"/>
    <w:rsid w:val="00B5094A"/>
    <w:rsid w:val="00B521A1"/>
    <w:rsid w:val="00B524BE"/>
    <w:rsid w:val="00B5374E"/>
    <w:rsid w:val="00B53934"/>
    <w:rsid w:val="00B53EF1"/>
    <w:rsid w:val="00B54F38"/>
    <w:rsid w:val="00B55372"/>
    <w:rsid w:val="00B5547A"/>
    <w:rsid w:val="00B5604F"/>
    <w:rsid w:val="00B5653F"/>
    <w:rsid w:val="00B575C6"/>
    <w:rsid w:val="00B604B3"/>
    <w:rsid w:val="00B62918"/>
    <w:rsid w:val="00B62D61"/>
    <w:rsid w:val="00B62F1D"/>
    <w:rsid w:val="00B6350C"/>
    <w:rsid w:val="00B63970"/>
    <w:rsid w:val="00B63C0C"/>
    <w:rsid w:val="00B64B9A"/>
    <w:rsid w:val="00B64E2F"/>
    <w:rsid w:val="00B6578F"/>
    <w:rsid w:val="00B66C1B"/>
    <w:rsid w:val="00B7030D"/>
    <w:rsid w:val="00B714D3"/>
    <w:rsid w:val="00B717B9"/>
    <w:rsid w:val="00B718E3"/>
    <w:rsid w:val="00B7348B"/>
    <w:rsid w:val="00B74343"/>
    <w:rsid w:val="00B74586"/>
    <w:rsid w:val="00B748B7"/>
    <w:rsid w:val="00B74A12"/>
    <w:rsid w:val="00B76023"/>
    <w:rsid w:val="00B76759"/>
    <w:rsid w:val="00B80011"/>
    <w:rsid w:val="00B80255"/>
    <w:rsid w:val="00B803F1"/>
    <w:rsid w:val="00B808F1"/>
    <w:rsid w:val="00B81038"/>
    <w:rsid w:val="00B83019"/>
    <w:rsid w:val="00B841ED"/>
    <w:rsid w:val="00B85695"/>
    <w:rsid w:val="00B86232"/>
    <w:rsid w:val="00B87126"/>
    <w:rsid w:val="00B8745E"/>
    <w:rsid w:val="00B87B9F"/>
    <w:rsid w:val="00B87C2F"/>
    <w:rsid w:val="00B901D1"/>
    <w:rsid w:val="00B91241"/>
    <w:rsid w:val="00B91380"/>
    <w:rsid w:val="00B930FB"/>
    <w:rsid w:val="00B939A7"/>
    <w:rsid w:val="00B93D3D"/>
    <w:rsid w:val="00B94ECA"/>
    <w:rsid w:val="00B963AA"/>
    <w:rsid w:val="00B96D52"/>
    <w:rsid w:val="00B97C38"/>
    <w:rsid w:val="00B97CC0"/>
    <w:rsid w:val="00B97E8E"/>
    <w:rsid w:val="00BA061A"/>
    <w:rsid w:val="00BA20ED"/>
    <w:rsid w:val="00BA26DF"/>
    <w:rsid w:val="00BA2B30"/>
    <w:rsid w:val="00BA2B53"/>
    <w:rsid w:val="00BA2E91"/>
    <w:rsid w:val="00BA52E2"/>
    <w:rsid w:val="00BA6461"/>
    <w:rsid w:val="00BA723D"/>
    <w:rsid w:val="00BA7946"/>
    <w:rsid w:val="00BA7CCD"/>
    <w:rsid w:val="00BB1093"/>
    <w:rsid w:val="00BB1858"/>
    <w:rsid w:val="00BB287D"/>
    <w:rsid w:val="00BB329B"/>
    <w:rsid w:val="00BB381A"/>
    <w:rsid w:val="00BB3994"/>
    <w:rsid w:val="00BB3C4F"/>
    <w:rsid w:val="00BB4FDB"/>
    <w:rsid w:val="00BB5244"/>
    <w:rsid w:val="00BB6830"/>
    <w:rsid w:val="00BB72FA"/>
    <w:rsid w:val="00BB78A7"/>
    <w:rsid w:val="00BB7CB7"/>
    <w:rsid w:val="00BB7D77"/>
    <w:rsid w:val="00BC1D41"/>
    <w:rsid w:val="00BC2062"/>
    <w:rsid w:val="00BC2392"/>
    <w:rsid w:val="00BC28CF"/>
    <w:rsid w:val="00BC3410"/>
    <w:rsid w:val="00BC3906"/>
    <w:rsid w:val="00BC3BF5"/>
    <w:rsid w:val="00BC3FF6"/>
    <w:rsid w:val="00BC438D"/>
    <w:rsid w:val="00BC7AC3"/>
    <w:rsid w:val="00BC7E69"/>
    <w:rsid w:val="00BD11F6"/>
    <w:rsid w:val="00BD2019"/>
    <w:rsid w:val="00BD25B6"/>
    <w:rsid w:val="00BD403D"/>
    <w:rsid w:val="00BD4DAC"/>
    <w:rsid w:val="00BD53EB"/>
    <w:rsid w:val="00BD7E78"/>
    <w:rsid w:val="00BE0940"/>
    <w:rsid w:val="00BE0F0A"/>
    <w:rsid w:val="00BE0F14"/>
    <w:rsid w:val="00BE23ED"/>
    <w:rsid w:val="00BE2D70"/>
    <w:rsid w:val="00BE3CBC"/>
    <w:rsid w:val="00BE400F"/>
    <w:rsid w:val="00BE443D"/>
    <w:rsid w:val="00BE6BCC"/>
    <w:rsid w:val="00BE71A5"/>
    <w:rsid w:val="00BE7239"/>
    <w:rsid w:val="00BE7C90"/>
    <w:rsid w:val="00BF1F43"/>
    <w:rsid w:val="00BF39C9"/>
    <w:rsid w:val="00BF3D26"/>
    <w:rsid w:val="00BF486B"/>
    <w:rsid w:val="00BF51D7"/>
    <w:rsid w:val="00BF574C"/>
    <w:rsid w:val="00BF5848"/>
    <w:rsid w:val="00BF61D2"/>
    <w:rsid w:val="00BF66C9"/>
    <w:rsid w:val="00BF6E93"/>
    <w:rsid w:val="00BF7300"/>
    <w:rsid w:val="00C00210"/>
    <w:rsid w:val="00C00362"/>
    <w:rsid w:val="00C00782"/>
    <w:rsid w:val="00C016AF"/>
    <w:rsid w:val="00C02363"/>
    <w:rsid w:val="00C0281C"/>
    <w:rsid w:val="00C02889"/>
    <w:rsid w:val="00C02919"/>
    <w:rsid w:val="00C02DE0"/>
    <w:rsid w:val="00C036E1"/>
    <w:rsid w:val="00C03B19"/>
    <w:rsid w:val="00C04871"/>
    <w:rsid w:val="00C056F2"/>
    <w:rsid w:val="00C05ED7"/>
    <w:rsid w:val="00C06BA8"/>
    <w:rsid w:val="00C0716E"/>
    <w:rsid w:val="00C10B15"/>
    <w:rsid w:val="00C10DEC"/>
    <w:rsid w:val="00C12986"/>
    <w:rsid w:val="00C144A3"/>
    <w:rsid w:val="00C14B3D"/>
    <w:rsid w:val="00C15B38"/>
    <w:rsid w:val="00C16779"/>
    <w:rsid w:val="00C1734A"/>
    <w:rsid w:val="00C174AA"/>
    <w:rsid w:val="00C17ADE"/>
    <w:rsid w:val="00C20178"/>
    <w:rsid w:val="00C201B2"/>
    <w:rsid w:val="00C20B59"/>
    <w:rsid w:val="00C2177D"/>
    <w:rsid w:val="00C23ABE"/>
    <w:rsid w:val="00C240A8"/>
    <w:rsid w:val="00C241EC"/>
    <w:rsid w:val="00C2588D"/>
    <w:rsid w:val="00C25DE0"/>
    <w:rsid w:val="00C26415"/>
    <w:rsid w:val="00C27EA7"/>
    <w:rsid w:val="00C3082D"/>
    <w:rsid w:val="00C309AC"/>
    <w:rsid w:val="00C30A12"/>
    <w:rsid w:val="00C30E3B"/>
    <w:rsid w:val="00C31483"/>
    <w:rsid w:val="00C31CF8"/>
    <w:rsid w:val="00C33219"/>
    <w:rsid w:val="00C350D3"/>
    <w:rsid w:val="00C37A94"/>
    <w:rsid w:val="00C37B69"/>
    <w:rsid w:val="00C37FB0"/>
    <w:rsid w:val="00C41057"/>
    <w:rsid w:val="00C42081"/>
    <w:rsid w:val="00C43708"/>
    <w:rsid w:val="00C44970"/>
    <w:rsid w:val="00C459EA"/>
    <w:rsid w:val="00C45AA7"/>
    <w:rsid w:val="00C46361"/>
    <w:rsid w:val="00C46767"/>
    <w:rsid w:val="00C46923"/>
    <w:rsid w:val="00C5006B"/>
    <w:rsid w:val="00C5044E"/>
    <w:rsid w:val="00C51D2B"/>
    <w:rsid w:val="00C536FC"/>
    <w:rsid w:val="00C538A1"/>
    <w:rsid w:val="00C556AD"/>
    <w:rsid w:val="00C57178"/>
    <w:rsid w:val="00C572D3"/>
    <w:rsid w:val="00C60034"/>
    <w:rsid w:val="00C601E2"/>
    <w:rsid w:val="00C60C8E"/>
    <w:rsid w:val="00C62848"/>
    <w:rsid w:val="00C62A16"/>
    <w:rsid w:val="00C62C80"/>
    <w:rsid w:val="00C63759"/>
    <w:rsid w:val="00C642E6"/>
    <w:rsid w:val="00C64AAE"/>
    <w:rsid w:val="00C6523B"/>
    <w:rsid w:val="00C655CD"/>
    <w:rsid w:val="00C65F03"/>
    <w:rsid w:val="00C65F5E"/>
    <w:rsid w:val="00C66942"/>
    <w:rsid w:val="00C66D33"/>
    <w:rsid w:val="00C673FA"/>
    <w:rsid w:val="00C67C21"/>
    <w:rsid w:val="00C67FAF"/>
    <w:rsid w:val="00C715FF"/>
    <w:rsid w:val="00C71735"/>
    <w:rsid w:val="00C742C0"/>
    <w:rsid w:val="00C74CF5"/>
    <w:rsid w:val="00C74DC5"/>
    <w:rsid w:val="00C755AA"/>
    <w:rsid w:val="00C75C22"/>
    <w:rsid w:val="00C75C6A"/>
    <w:rsid w:val="00C75D8A"/>
    <w:rsid w:val="00C7658C"/>
    <w:rsid w:val="00C76806"/>
    <w:rsid w:val="00C77182"/>
    <w:rsid w:val="00C77A52"/>
    <w:rsid w:val="00C801FF"/>
    <w:rsid w:val="00C802A5"/>
    <w:rsid w:val="00C80335"/>
    <w:rsid w:val="00C81759"/>
    <w:rsid w:val="00C817F1"/>
    <w:rsid w:val="00C81CD1"/>
    <w:rsid w:val="00C83022"/>
    <w:rsid w:val="00C83841"/>
    <w:rsid w:val="00C83B90"/>
    <w:rsid w:val="00C83FE6"/>
    <w:rsid w:val="00C842F8"/>
    <w:rsid w:val="00C847FC"/>
    <w:rsid w:val="00C85733"/>
    <w:rsid w:val="00C85D35"/>
    <w:rsid w:val="00C86E1C"/>
    <w:rsid w:val="00C90364"/>
    <w:rsid w:val="00C91E41"/>
    <w:rsid w:val="00C9351B"/>
    <w:rsid w:val="00C93C9D"/>
    <w:rsid w:val="00C94002"/>
    <w:rsid w:val="00C941C3"/>
    <w:rsid w:val="00C95BFE"/>
    <w:rsid w:val="00C970B1"/>
    <w:rsid w:val="00C9711A"/>
    <w:rsid w:val="00CA0C82"/>
    <w:rsid w:val="00CA1CBA"/>
    <w:rsid w:val="00CA1D75"/>
    <w:rsid w:val="00CA275F"/>
    <w:rsid w:val="00CA27D1"/>
    <w:rsid w:val="00CA2CC6"/>
    <w:rsid w:val="00CA4625"/>
    <w:rsid w:val="00CA4BD5"/>
    <w:rsid w:val="00CA6324"/>
    <w:rsid w:val="00CA6EFE"/>
    <w:rsid w:val="00CA709F"/>
    <w:rsid w:val="00CA7A69"/>
    <w:rsid w:val="00CB0FF4"/>
    <w:rsid w:val="00CB1B09"/>
    <w:rsid w:val="00CB1B3D"/>
    <w:rsid w:val="00CB203E"/>
    <w:rsid w:val="00CB27BA"/>
    <w:rsid w:val="00CB3D13"/>
    <w:rsid w:val="00CB5227"/>
    <w:rsid w:val="00CB5E5D"/>
    <w:rsid w:val="00CB6037"/>
    <w:rsid w:val="00CB6B1C"/>
    <w:rsid w:val="00CC11BA"/>
    <w:rsid w:val="00CC16F0"/>
    <w:rsid w:val="00CC19F0"/>
    <w:rsid w:val="00CC279A"/>
    <w:rsid w:val="00CC3693"/>
    <w:rsid w:val="00CC43D0"/>
    <w:rsid w:val="00CC45D4"/>
    <w:rsid w:val="00CC5FDB"/>
    <w:rsid w:val="00CC61DD"/>
    <w:rsid w:val="00CC639F"/>
    <w:rsid w:val="00CC6674"/>
    <w:rsid w:val="00CC77B6"/>
    <w:rsid w:val="00CD066D"/>
    <w:rsid w:val="00CD082B"/>
    <w:rsid w:val="00CD08F5"/>
    <w:rsid w:val="00CD1C1D"/>
    <w:rsid w:val="00CD1DE9"/>
    <w:rsid w:val="00CD1EE0"/>
    <w:rsid w:val="00CD20F4"/>
    <w:rsid w:val="00CD2535"/>
    <w:rsid w:val="00CD2E06"/>
    <w:rsid w:val="00CD3954"/>
    <w:rsid w:val="00CD52C6"/>
    <w:rsid w:val="00CD5960"/>
    <w:rsid w:val="00CD6782"/>
    <w:rsid w:val="00CD7A1C"/>
    <w:rsid w:val="00CD7DDB"/>
    <w:rsid w:val="00CE0916"/>
    <w:rsid w:val="00CE114C"/>
    <w:rsid w:val="00CE1F57"/>
    <w:rsid w:val="00CE228C"/>
    <w:rsid w:val="00CE3290"/>
    <w:rsid w:val="00CE3B58"/>
    <w:rsid w:val="00CE3B74"/>
    <w:rsid w:val="00CE4F11"/>
    <w:rsid w:val="00CE5D75"/>
    <w:rsid w:val="00CE665B"/>
    <w:rsid w:val="00CE71E1"/>
    <w:rsid w:val="00CF2478"/>
    <w:rsid w:val="00CF32CB"/>
    <w:rsid w:val="00CF35AD"/>
    <w:rsid w:val="00CF4E84"/>
    <w:rsid w:val="00CF510A"/>
    <w:rsid w:val="00CF556C"/>
    <w:rsid w:val="00CF62C0"/>
    <w:rsid w:val="00CF7668"/>
    <w:rsid w:val="00D0067D"/>
    <w:rsid w:val="00D01745"/>
    <w:rsid w:val="00D02E3C"/>
    <w:rsid w:val="00D03932"/>
    <w:rsid w:val="00D03D3F"/>
    <w:rsid w:val="00D047DF"/>
    <w:rsid w:val="00D04CAE"/>
    <w:rsid w:val="00D06533"/>
    <w:rsid w:val="00D06895"/>
    <w:rsid w:val="00D07695"/>
    <w:rsid w:val="00D07B73"/>
    <w:rsid w:val="00D07EB5"/>
    <w:rsid w:val="00D1013B"/>
    <w:rsid w:val="00D10BF3"/>
    <w:rsid w:val="00D10C04"/>
    <w:rsid w:val="00D10D4F"/>
    <w:rsid w:val="00D10E54"/>
    <w:rsid w:val="00D119C9"/>
    <w:rsid w:val="00D126E0"/>
    <w:rsid w:val="00D13224"/>
    <w:rsid w:val="00D139B1"/>
    <w:rsid w:val="00D13DAB"/>
    <w:rsid w:val="00D13ED5"/>
    <w:rsid w:val="00D1475C"/>
    <w:rsid w:val="00D15B66"/>
    <w:rsid w:val="00D160AF"/>
    <w:rsid w:val="00D168BA"/>
    <w:rsid w:val="00D1749D"/>
    <w:rsid w:val="00D176FE"/>
    <w:rsid w:val="00D202C3"/>
    <w:rsid w:val="00D20A57"/>
    <w:rsid w:val="00D20BD1"/>
    <w:rsid w:val="00D21536"/>
    <w:rsid w:val="00D2246B"/>
    <w:rsid w:val="00D23CD1"/>
    <w:rsid w:val="00D24125"/>
    <w:rsid w:val="00D2602C"/>
    <w:rsid w:val="00D2631B"/>
    <w:rsid w:val="00D264B4"/>
    <w:rsid w:val="00D26694"/>
    <w:rsid w:val="00D272A6"/>
    <w:rsid w:val="00D306E7"/>
    <w:rsid w:val="00D30EFD"/>
    <w:rsid w:val="00D34BB7"/>
    <w:rsid w:val="00D34EB1"/>
    <w:rsid w:val="00D3519D"/>
    <w:rsid w:val="00D3525D"/>
    <w:rsid w:val="00D35B60"/>
    <w:rsid w:val="00D371B0"/>
    <w:rsid w:val="00D371D8"/>
    <w:rsid w:val="00D372AC"/>
    <w:rsid w:val="00D40731"/>
    <w:rsid w:val="00D40B6A"/>
    <w:rsid w:val="00D4112D"/>
    <w:rsid w:val="00D435CC"/>
    <w:rsid w:val="00D43D39"/>
    <w:rsid w:val="00D44186"/>
    <w:rsid w:val="00D462DE"/>
    <w:rsid w:val="00D46867"/>
    <w:rsid w:val="00D475A9"/>
    <w:rsid w:val="00D47913"/>
    <w:rsid w:val="00D47DF3"/>
    <w:rsid w:val="00D5047E"/>
    <w:rsid w:val="00D50B72"/>
    <w:rsid w:val="00D52345"/>
    <w:rsid w:val="00D53624"/>
    <w:rsid w:val="00D543D0"/>
    <w:rsid w:val="00D54B18"/>
    <w:rsid w:val="00D54BCE"/>
    <w:rsid w:val="00D5594F"/>
    <w:rsid w:val="00D56470"/>
    <w:rsid w:val="00D568F9"/>
    <w:rsid w:val="00D57825"/>
    <w:rsid w:val="00D57C06"/>
    <w:rsid w:val="00D616C8"/>
    <w:rsid w:val="00D62541"/>
    <w:rsid w:val="00D6325F"/>
    <w:rsid w:val="00D63459"/>
    <w:rsid w:val="00D637F2"/>
    <w:rsid w:val="00D63F11"/>
    <w:rsid w:val="00D65737"/>
    <w:rsid w:val="00D657CE"/>
    <w:rsid w:val="00D6670F"/>
    <w:rsid w:val="00D66CDB"/>
    <w:rsid w:val="00D6721C"/>
    <w:rsid w:val="00D703EA"/>
    <w:rsid w:val="00D70418"/>
    <w:rsid w:val="00D70F25"/>
    <w:rsid w:val="00D71359"/>
    <w:rsid w:val="00D718F0"/>
    <w:rsid w:val="00D721F6"/>
    <w:rsid w:val="00D72581"/>
    <w:rsid w:val="00D72A19"/>
    <w:rsid w:val="00D72B3D"/>
    <w:rsid w:val="00D73EE1"/>
    <w:rsid w:val="00D74515"/>
    <w:rsid w:val="00D7529E"/>
    <w:rsid w:val="00D76856"/>
    <w:rsid w:val="00D77029"/>
    <w:rsid w:val="00D80DA7"/>
    <w:rsid w:val="00D80DAB"/>
    <w:rsid w:val="00D813B7"/>
    <w:rsid w:val="00D825EF"/>
    <w:rsid w:val="00D8270E"/>
    <w:rsid w:val="00D834FB"/>
    <w:rsid w:val="00D83509"/>
    <w:rsid w:val="00D8368A"/>
    <w:rsid w:val="00D84959"/>
    <w:rsid w:val="00D85CAC"/>
    <w:rsid w:val="00D861C0"/>
    <w:rsid w:val="00D86485"/>
    <w:rsid w:val="00D8772B"/>
    <w:rsid w:val="00D87D95"/>
    <w:rsid w:val="00D87F71"/>
    <w:rsid w:val="00D9087A"/>
    <w:rsid w:val="00D910D2"/>
    <w:rsid w:val="00D9131C"/>
    <w:rsid w:val="00D9131F"/>
    <w:rsid w:val="00D928D4"/>
    <w:rsid w:val="00D934D7"/>
    <w:rsid w:val="00D935DA"/>
    <w:rsid w:val="00D936D8"/>
    <w:rsid w:val="00D946DF"/>
    <w:rsid w:val="00D953C1"/>
    <w:rsid w:val="00D95909"/>
    <w:rsid w:val="00D961BC"/>
    <w:rsid w:val="00D965BE"/>
    <w:rsid w:val="00D96716"/>
    <w:rsid w:val="00D974CA"/>
    <w:rsid w:val="00DA0985"/>
    <w:rsid w:val="00DA0B32"/>
    <w:rsid w:val="00DA143C"/>
    <w:rsid w:val="00DA1752"/>
    <w:rsid w:val="00DA263D"/>
    <w:rsid w:val="00DA2A81"/>
    <w:rsid w:val="00DA3D4F"/>
    <w:rsid w:val="00DA4F06"/>
    <w:rsid w:val="00DA5620"/>
    <w:rsid w:val="00DA64DA"/>
    <w:rsid w:val="00DA6A1F"/>
    <w:rsid w:val="00DA7225"/>
    <w:rsid w:val="00DA7AF1"/>
    <w:rsid w:val="00DA7CF7"/>
    <w:rsid w:val="00DB0009"/>
    <w:rsid w:val="00DB0160"/>
    <w:rsid w:val="00DB09FD"/>
    <w:rsid w:val="00DB131C"/>
    <w:rsid w:val="00DB209A"/>
    <w:rsid w:val="00DB278E"/>
    <w:rsid w:val="00DB29D5"/>
    <w:rsid w:val="00DB2B77"/>
    <w:rsid w:val="00DB3F75"/>
    <w:rsid w:val="00DB4AE6"/>
    <w:rsid w:val="00DB4E29"/>
    <w:rsid w:val="00DB5762"/>
    <w:rsid w:val="00DB5D99"/>
    <w:rsid w:val="00DB6112"/>
    <w:rsid w:val="00DB6D67"/>
    <w:rsid w:val="00DB7ABA"/>
    <w:rsid w:val="00DB7B3B"/>
    <w:rsid w:val="00DC0264"/>
    <w:rsid w:val="00DC06A4"/>
    <w:rsid w:val="00DC1170"/>
    <w:rsid w:val="00DC1295"/>
    <w:rsid w:val="00DC18EF"/>
    <w:rsid w:val="00DC1C49"/>
    <w:rsid w:val="00DC1ED0"/>
    <w:rsid w:val="00DC3469"/>
    <w:rsid w:val="00DC37B2"/>
    <w:rsid w:val="00DC443D"/>
    <w:rsid w:val="00DC4A84"/>
    <w:rsid w:val="00DC508A"/>
    <w:rsid w:val="00DC5143"/>
    <w:rsid w:val="00DC5E9C"/>
    <w:rsid w:val="00DC5F4E"/>
    <w:rsid w:val="00DC7249"/>
    <w:rsid w:val="00DC7684"/>
    <w:rsid w:val="00DD11E1"/>
    <w:rsid w:val="00DD12A0"/>
    <w:rsid w:val="00DD1669"/>
    <w:rsid w:val="00DD2BFA"/>
    <w:rsid w:val="00DD2F95"/>
    <w:rsid w:val="00DD31DA"/>
    <w:rsid w:val="00DD34D5"/>
    <w:rsid w:val="00DD3583"/>
    <w:rsid w:val="00DD396E"/>
    <w:rsid w:val="00DD4259"/>
    <w:rsid w:val="00DD4AD1"/>
    <w:rsid w:val="00DD6043"/>
    <w:rsid w:val="00DD605E"/>
    <w:rsid w:val="00DD6B33"/>
    <w:rsid w:val="00DE137F"/>
    <w:rsid w:val="00DE1881"/>
    <w:rsid w:val="00DE2594"/>
    <w:rsid w:val="00DE30FD"/>
    <w:rsid w:val="00DE3581"/>
    <w:rsid w:val="00DE40A0"/>
    <w:rsid w:val="00DE4ACB"/>
    <w:rsid w:val="00DE505D"/>
    <w:rsid w:val="00DE5862"/>
    <w:rsid w:val="00DE5966"/>
    <w:rsid w:val="00DE68B8"/>
    <w:rsid w:val="00DE6E63"/>
    <w:rsid w:val="00DE6FEE"/>
    <w:rsid w:val="00DE73E2"/>
    <w:rsid w:val="00DE75B0"/>
    <w:rsid w:val="00DF0190"/>
    <w:rsid w:val="00DF01A9"/>
    <w:rsid w:val="00DF05B2"/>
    <w:rsid w:val="00DF1118"/>
    <w:rsid w:val="00DF1162"/>
    <w:rsid w:val="00DF140C"/>
    <w:rsid w:val="00DF1750"/>
    <w:rsid w:val="00DF258F"/>
    <w:rsid w:val="00DF2A9D"/>
    <w:rsid w:val="00DF519C"/>
    <w:rsid w:val="00DF7295"/>
    <w:rsid w:val="00DF7CD3"/>
    <w:rsid w:val="00DF7D8F"/>
    <w:rsid w:val="00E00982"/>
    <w:rsid w:val="00E00BDE"/>
    <w:rsid w:val="00E00FD7"/>
    <w:rsid w:val="00E012B0"/>
    <w:rsid w:val="00E0164E"/>
    <w:rsid w:val="00E017AF"/>
    <w:rsid w:val="00E01C4C"/>
    <w:rsid w:val="00E02C61"/>
    <w:rsid w:val="00E04260"/>
    <w:rsid w:val="00E0466F"/>
    <w:rsid w:val="00E048D9"/>
    <w:rsid w:val="00E048E6"/>
    <w:rsid w:val="00E049FA"/>
    <w:rsid w:val="00E04A3B"/>
    <w:rsid w:val="00E05849"/>
    <w:rsid w:val="00E05ABB"/>
    <w:rsid w:val="00E067CE"/>
    <w:rsid w:val="00E07475"/>
    <w:rsid w:val="00E079BB"/>
    <w:rsid w:val="00E07A24"/>
    <w:rsid w:val="00E1020A"/>
    <w:rsid w:val="00E10947"/>
    <w:rsid w:val="00E11060"/>
    <w:rsid w:val="00E11212"/>
    <w:rsid w:val="00E11D21"/>
    <w:rsid w:val="00E1230E"/>
    <w:rsid w:val="00E136A7"/>
    <w:rsid w:val="00E13F3C"/>
    <w:rsid w:val="00E14CB2"/>
    <w:rsid w:val="00E1500B"/>
    <w:rsid w:val="00E15AA5"/>
    <w:rsid w:val="00E1625A"/>
    <w:rsid w:val="00E165D7"/>
    <w:rsid w:val="00E16960"/>
    <w:rsid w:val="00E21017"/>
    <w:rsid w:val="00E22BED"/>
    <w:rsid w:val="00E23992"/>
    <w:rsid w:val="00E23A2C"/>
    <w:rsid w:val="00E25513"/>
    <w:rsid w:val="00E30BA9"/>
    <w:rsid w:val="00E317DB"/>
    <w:rsid w:val="00E326DE"/>
    <w:rsid w:val="00E32725"/>
    <w:rsid w:val="00E32E17"/>
    <w:rsid w:val="00E32E37"/>
    <w:rsid w:val="00E33DE7"/>
    <w:rsid w:val="00E34184"/>
    <w:rsid w:val="00E348DB"/>
    <w:rsid w:val="00E34F04"/>
    <w:rsid w:val="00E35455"/>
    <w:rsid w:val="00E357C8"/>
    <w:rsid w:val="00E35959"/>
    <w:rsid w:val="00E36569"/>
    <w:rsid w:val="00E36969"/>
    <w:rsid w:val="00E36AA4"/>
    <w:rsid w:val="00E37438"/>
    <w:rsid w:val="00E37CC6"/>
    <w:rsid w:val="00E37DB5"/>
    <w:rsid w:val="00E40F9D"/>
    <w:rsid w:val="00E42245"/>
    <w:rsid w:val="00E42372"/>
    <w:rsid w:val="00E4253A"/>
    <w:rsid w:val="00E42DE0"/>
    <w:rsid w:val="00E43057"/>
    <w:rsid w:val="00E433CC"/>
    <w:rsid w:val="00E442F0"/>
    <w:rsid w:val="00E44694"/>
    <w:rsid w:val="00E457C0"/>
    <w:rsid w:val="00E459B1"/>
    <w:rsid w:val="00E45B7E"/>
    <w:rsid w:val="00E46624"/>
    <w:rsid w:val="00E4790A"/>
    <w:rsid w:val="00E50993"/>
    <w:rsid w:val="00E50BBA"/>
    <w:rsid w:val="00E51B19"/>
    <w:rsid w:val="00E52349"/>
    <w:rsid w:val="00E52AD3"/>
    <w:rsid w:val="00E52F19"/>
    <w:rsid w:val="00E53978"/>
    <w:rsid w:val="00E53B15"/>
    <w:rsid w:val="00E54EB3"/>
    <w:rsid w:val="00E555F1"/>
    <w:rsid w:val="00E57B5C"/>
    <w:rsid w:val="00E60083"/>
    <w:rsid w:val="00E608F6"/>
    <w:rsid w:val="00E6095D"/>
    <w:rsid w:val="00E60DED"/>
    <w:rsid w:val="00E60EED"/>
    <w:rsid w:val="00E61094"/>
    <w:rsid w:val="00E618A8"/>
    <w:rsid w:val="00E61B05"/>
    <w:rsid w:val="00E61DA1"/>
    <w:rsid w:val="00E61F78"/>
    <w:rsid w:val="00E61FBF"/>
    <w:rsid w:val="00E640A1"/>
    <w:rsid w:val="00E64BAE"/>
    <w:rsid w:val="00E659ED"/>
    <w:rsid w:val="00E65AA6"/>
    <w:rsid w:val="00E65B4D"/>
    <w:rsid w:val="00E65C75"/>
    <w:rsid w:val="00E66134"/>
    <w:rsid w:val="00E661B9"/>
    <w:rsid w:val="00E673F8"/>
    <w:rsid w:val="00E67DCD"/>
    <w:rsid w:val="00E70344"/>
    <w:rsid w:val="00E70681"/>
    <w:rsid w:val="00E72515"/>
    <w:rsid w:val="00E727E0"/>
    <w:rsid w:val="00E73187"/>
    <w:rsid w:val="00E759BE"/>
    <w:rsid w:val="00E806D7"/>
    <w:rsid w:val="00E80E7F"/>
    <w:rsid w:val="00E8355B"/>
    <w:rsid w:val="00E83FAF"/>
    <w:rsid w:val="00E8486A"/>
    <w:rsid w:val="00E86441"/>
    <w:rsid w:val="00E8649B"/>
    <w:rsid w:val="00E87F9E"/>
    <w:rsid w:val="00E9329D"/>
    <w:rsid w:val="00E9389A"/>
    <w:rsid w:val="00E93D84"/>
    <w:rsid w:val="00E94E77"/>
    <w:rsid w:val="00E95835"/>
    <w:rsid w:val="00E96096"/>
    <w:rsid w:val="00E96ABA"/>
    <w:rsid w:val="00E9700D"/>
    <w:rsid w:val="00E97B68"/>
    <w:rsid w:val="00EA01FF"/>
    <w:rsid w:val="00EA082D"/>
    <w:rsid w:val="00EA0B6A"/>
    <w:rsid w:val="00EA0F3C"/>
    <w:rsid w:val="00EA1698"/>
    <w:rsid w:val="00EA184C"/>
    <w:rsid w:val="00EA1EBE"/>
    <w:rsid w:val="00EA2062"/>
    <w:rsid w:val="00EA2B39"/>
    <w:rsid w:val="00EA3083"/>
    <w:rsid w:val="00EA3B9B"/>
    <w:rsid w:val="00EA4FFC"/>
    <w:rsid w:val="00EA53AF"/>
    <w:rsid w:val="00EA613D"/>
    <w:rsid w:val="00EA68F9"/>
    <w:rsid w:val="00EA6FD5"/>
    <w:rsid w:val="00EA7448"/>
    <w:rsid w:val="00EA7C36"/>
    <w:rsid w:val="00EB043E"/>
    <w:rsid w:val="00EB05F5"/>
    <w:rsid w:val="00EB0905"/>
    <w:rsid w:val="00EB14C3"/>
    <w:rsid w:val="00EB1B27"/>
    <w:rsid w:val="00EB1B91"/>
    <w:rsid w:val="00EB237A"/>
    <w:rsid w:val="00EB335A"/>
    <w:rsid w:val="00EB379B"/>
    <w:rsid w:val="00EB491A"/>
    <w:rsid w:val="00EB4FCE"/>
    <w:rsid w:val="00EB7389"/>
    <w:rsid w:val="00EB7445"/>
    <w:rsid w:val="00EB773B"/>
    <w:rsid w:val="00EB7E6E"/>
    <w:rsid w:val="00EB7E93"/>
    <w:rsid w:val="00EC0E0A"/>
    <w:rsid w:val="00EC10AA"/>
    <w:rsid w:val="00EC1918"/>
    <w:rsid w:val="00EC1947"/>
    <w:rsid w:val="00EC1EFB"/>
    <w:rsid w:val="00EC2D62"/>
    <w:rsid w:val="00EC3013"/>
    <w:rsid w:val="00EC3429"/>
    <w:rsid w:val="00EC36C0"/>
    <w:rsid w:val="00EC3D41"/>
    <w:rsid w:val="00EC3F20"/>
    <w:rsid w:val="00EC45D7"/>
    <w:rsid w:val="00EC51AB"/>
    <w:rsid w:val="00EC5972"/>
    <w:rsid w:val="00EC5DE6"/>
    <w:rsid w:val="00EC7003"/>
    <w:rsid w:val="00EC7E15"/>
    <w:rsid w:val="00ED0297"/>
    <w:rsid w:val="00ED07A4"/>
    <w:rsid w:val="00ED1267"/>
    <w:rsid w:val="00ED12B4"/>
    <w:rsid w:val="00ED22D7"/>
    <w:rsid w:val="00ED2B38"/>
    <w:rsid w:val="00ED312C"/>
    <w:rsid w:val="00ED32D5"/>
    <w:rsid w:val="00ED38A7"/>
    <w:rsid w:val="00ED47DA"/>
    <w:rsid w:val="00ED4D9F"/>
    <w:rsid w:val="00ED523B"/>
    <w:rsid w:val="00ED5598"/>
    <w:rsid w:val="00ED67DB"/>
    <w:rsid w:val="00ED6A66"/>
    <w:rsid w:val="00ED6C1E"/>
    <w:rsid w:val="00ED6F35"/>
    <w:rsid w:val="00ED7011"/>
    <w:rsid w:val="00ED7602"/>
    <w:rsid w:val="00ED764C"/>
    <w:rsid w:val="00EE16F2"/>
    <w:rsid w:val="00EE177A"/>
    <w:rsid w:val="00EE1881"/>
    <w:rsid w:val="00EE1F58"/>
    <w:rsid w:val="00EE2BA5"/>
    <w:rsid w:val="00EE31B6"/>
    <w:rsid w:val="00EE3A35"/>
    <w:rsid w:val="00EE3CD3"/>
    <w:rsid w:val="00EE4A00"/>
    <w:rsid w:val="00EE6580"/>
    <w:rsid w:val="00EE6899"/>
    <w:rsid w:val="00EE6AFB"/>
    <w:rsid w:val="00EE6C8B"/>
    <w:rsid w:val="00EE718A"/>
    <w:rsid w:val="00EF174C"/>
    <w:rsid w:val="00EF23E8"/>
    <w:rsid w:val="00EF2FF0"/>
    <w:rsid w:val="00EF390B"/>
    <w:rsid w:val="00EF3B2B"/>
    <w:rsid w:val="00EF6362"/>
    <w:rsid w:val="00EF637A"/>
    <w:rsid w:val="00EF6D23"/>
    <w:rsid w:val="00EF7B77"/>
    <w:rsid w:val="00F0006A"/>
    <w:rsid w:val="00F00569"/>
    <w:rsid w:val="00F014AD"/>
    <w:rsid w:val="00F02887"/>
    <w:rsid w:val="00F03723"/>
    <w:rsid w:val="00F0386C"/>
    <w:rsid w:val="00F0394A"/>
    <w:rsid w:val="00F0399A"/>
    <w:rsid w:val="00F041E9"/>
    <w:rsid w:val="00F04641"/>
    <w:rsid w:val="00F04750"/>
    <w:rsid w:val="00F060A9"/>
    <w:rsid w:val="00F06361"/>
    <w:rsid w:val="00F07BBD"/>
    <w:rsid w:val="00F10B04"/>
    <w:rsid w:val="00F10D32"/>
    <w:rsid w:val="00F11BF7"/>
    <w:rsid w:val="00F120C5"/>
    <w:rsid w:val="00F137AC"/>
    <w:rsid w:val="00F13ED0"/>
    <w:rsid w:val="00F14592"/>
    <w:rsid w:val="00F15081"/>
    <w:rsid w:val="00F1562E"/>
    <w:rsid w:val="00F15ADB"/>
    <w:rsid w:val="00F164F5"/>
    <w:rsid w:val="00F16578"/>
    <w:rsid w:val="00F175E7"/>
    <w:rsid w:val="00F17B20"/>
    <w:rsid w:val="00F17B33"/>
    <w:rsid w:val="00F209E7"/>
    <w:rsid w:val="00F21203"/>
    <w:rsid w:val="00F21750"/>
    <w:rsid w:val="00F21A41"/>
    <w:rsid w:val="00F22159"/>
    <w:rsid w:val="00F23433"/>
    <w:rsid w:val="00F23A43"/>
    <w:rsid w:val="00F240AA"/>
    <w:rsid w:val="00F26878"/>
    <w:rsid w:val="00F26F52"/>
    <w:rsid w:val="00F30B0F"/>
    <w:rsid w:val="00F30F6E"/>
    <w:rsid w:val="00F310E0"/>
    <w:rsid w:val="00F312EA"/>
    <w:rsid w:val="00F358E9"/>
    <w:rsid w:val="00F35989"/>
    <w:rsid w:val="00F3617E"/>
    <w:rsid w:val="00F370A5"/>
    <w:rsid w:val="00F404E8"/>
    <w:rsid w:val="00F4085F"/>
    <w:rsid w:val="00F40A6B"/>
    <w:rsid w:val="00F40BEE"/>
    <w:rsid w:val="00F41CF2"/>
    <w:rsid w:val="00F4225E"/>
    <w:rsid w:val="00F4257F"/>
    <w:rsid w:val="00F4329A"/>
    <w:rsid w:val="00F4446F"/>
    <w:rsid w:val="00F44635"/>
    <w:rsid w:val="00F446A7"/>
    <w:rsid w:val="00F4582E"/>
    <w:rsid w:val="00F46159"/>
    <w:rsid w:val="00F46315"/>
    <w:rsid w:val="00F46458"/>
    <w:rsid w:val="00F46D1A"/>
    <w:rsid w:val="00F471E8"/>
    <w:rsid w:val="00F472D5"/>
    <w:rsid w:val="00F474BE"/>
    <w:rsid w:val="00F47524"/>
    <w:rsid w:val="00F478C8"/>
    <w:rsid w:val="00F5079D"/>
    <w:rsid w:val="00F50A4E"/>
    <w:rsid w:val="00F5129B"/>
    <w:rsid w:val="00F51E63"/>
    <w:rsid w:val="00F521B2"/>
    <w:rsid w:val="00F523AC"/>
    <w:rsid w:val="00F535B8"/>
    <w:rsid w:val="00F53902"/>
    <w:rsid w:val="00F53FD0"/>
    <w:rsid w:val="00F54674"/>
    <w:rsid w:val="00F54A90"/>
    <w:rsid w:val="00F55091"/>
    <w:rsid w:val="00F555BA"/>
    <w:rsid w:val="00F55B08"/>
    <w:rsid w:val="00F56147"/>
    <w:rsid w:val="00F56E98"/>
    <w:rsid w:val="00F6114E"/>
    <w:rsid w:val="00F616B0"/>
    <w:rsid w:val="00F62407"/>
    <w:rsid w:val="00F628CA"/>
    <w:rsid w:val="00F637D2"/>
    <w:rsid w:val="00F6472C"/>
    <w:rsid w:val="00F6564F"/>
    <w:rsid w:val="00F675DD"/>
    <w:rsid w:val="00F67C57"/>
    <w:rsid w:val="00F67FEA"/>
    <w:rsid w:val="00F70B16"/>
    <w:rsid w:val="00F717AC"/>
    <w:rsid w:val="00F72B7A"/>
    <w:rsid w:val="00F73520"/>
    <w:rsid w:val="00F73DAB"/>
    <w:rsid w:val="00F75253"/>
    <w:rsid w:val="00F80089"/>
    <w:rsid w:val="00F80527"/>
    <w:rsid w:val="00F80794"/>
    <w:rsid w:val="00F817C4"/>
    <w:rsid w:val="00F81BD1"/>
    <w:rsid w:val="00F8239B"/>
    <w:rsid w:val="00F8263C"/>
    <w:rsid w:val="00F8271D"/>
    <w:rsid w:val="00F84180"/>
    <w:rsid w:val="00F84C65"/>
    <w:rsid w:val="00F8569D"/>
    <w:rsid w:val="00F856E1"/>
    <w:rsid w:val="00F87412"/>
    <w:rsid w:val="00F8747B"/>
    <w:rsid w:val="00F902F6"/>
    <w:rsid w:val="00F90575"/>
    <w:rsid w:val="00F9090D"/>
    <w:rsid w:val="00F91CEC"/>
    <w:rsid w:val="00F91F69"/>
    <w:rsid w:val="00F92E24"/>
    <w:rsid w:val="00F95006"/>
    <w:rsid w:val="00F95306"/>
    <w:rsid w:val="00F954D3"/>
    <w:rsid w:val="00F95FFE"/>
    <w:rsid w:val="00F962A4"/>
    <w:rsid w:val="00F976DF"/>
    <w:rsid w:val="00FA057B"/>
    <w:rsid w:val="00FA0D10"/>
    <w:rsid w:val="00FA17A6"/>
    <w:rsid w:val="00FA3334"/>
    <w:rsid w:val="00FA3736"/>
    <w:rsid w:val="00FA3934"/>
    <w:rsid w:val="00FA3A10"/>
    <w:rsid w:val="00FA4685"/>
    <w:rsid w:val="00FA48AC"/>
    <w:rsid w:val="00FA6C1B"/>
    <w:rsid w:val="00FB1F54"/>
    <w:rsid w:val="00FB2A20"/>
    <w:rsid w:val="00FB40F9"/>
    <w:rsid w:val="00FB52F7"/>
    <w:rsid w:val="00FB53EE"/>
    <w:rsid w:val="00FB7281"/>
    <w:rsid w:val="00FB7807"/>
    <w:rsid w:val="00FC03BC"/>
    <w:rsid w:val="00FC0818"/>
    <w:rsid w:val="00FC08EC"/>
    <w:rsid w:val="00FC4092"/>
    <w:rsid w:val="00FC5B96"/>
    <w:rsid w:val="00FC6577"/>
    <w:rsid w:val="00FC6601"/>
    <w:rsid w:val="00FC6912"/>
    <w:rsid w:val="00FD01D3"/>
    <w:rsid w:val="00FD0224"/>
    <w:rsid w:val="00FD024B"/>
    <w:rsid w:val="00FD0AF7"/>
    <w:rsid w:val="00FD0B19"/>
    <w:rsid w:val="00FD121F"/>
    <w:rsid w:val="00FD2125"/>
    <w:rsid w:val="00FD2201"/>
    <w:rsid w:val="00FD4846"/>
    <w:rsid w:val="00FD4B55"/>
    <w:rsid w:val="00FD5419"/>
    <w:rsid w:val="00FD5B9F"/>
    <w:rsid w:val="00FD5C53"/>
    <w:rsid w:val="00FD6457"/>
    <w:rsid w:val="00FD69A2"/>
    <w:rsid w:val="00FD70F3"/>
    <w:rsid w:val="00FD7439"/>
    <w:rsid w:val="00FD7771"/>
    <w:rsid w:val="00FD7A49"/>
    <w:rsid w:val="00FD7BA1"/>
    <w:rsid w:val="00FE1DAB"/>
    <w:rsid w:val="00FE2769"/>
    <w:rsid w:val="00FE29FC"/>
    <w:rsid w:val="00FE2C1D"/>
    <w:rsid w:val="00FE37A1"/>
    <w:rsid w:val="00FE3A56"/>
    <w:rsid w:val="00FE559B"/>
    <w:rsid w:val="00FE61D5"/>
    <w:rsid w:val="00FE74C7"/>
    <w:rsid w:val="00FF071F"/>
    <w:rsid w:val="00FF277C"/>
    <w:rsid w:val="00FF3906"/>
    <w:rsid w:val="00FF3C8F"/>
    <w:rsid w:val="00FF5B17"/>
    <w:rsid w:val="00FF6197"/>
    <w:rsid w:val="00FF673B"/>
    <w:rsid w:val="00FF7172"/>
    <w:rsid w:val="0BE318D3"/>
    <w:rsid w:val="135978B3"/>
    <w:rsid w:val="17A7E157"/>
    <w:rsid w:val="1F5EF7D8"/>
    <w:rsid w:val="20994551"/>
    <w:rsid w:val="2E3B4AA6"/>
    <w:rsid w:val="3BFE9F27"/>
    <w:rsid w:val="3F453163"/>
    <w:rsid w:val="5498E931"/>
    <w:rsid w:val="596C5A54"/>
    <w:rsid w:val="61090938"/>
    <w:rsid w:val="6406FF8D"/>
    <w:rsid w:val="6C5ABA0D"/>
    <w:rsid w:val="70CC5A38"/>
    <w:rsid w:val="73193818"/>
    <w:rsid w:val="76C03E04"/>
    <w:rsid w:val="79FFA881"/>
    <w:rsid w:val="7A5CAEB7"/>
    <w:rsid w:val="7BFF2942"/>
  </w:rsids>
  <m:mathPr>
    <m:mathFont m:val="Cambria Math"/>
    <m:brkBin m:val="before"/>
    <m:brkBinSub m:val="--"/>
    <m:smallFrac m:val="0"/>
    <m:dispDef/>
    <m:lMargin m:val="0"/>
    <m:rMargin m:val="0"/>
    <m:defJc m:val="centerGroup"/>
    <m:wrapIndent m:val="1440"/>
    <m:intLim m:val="subSup"/>
    <m:naryLim m:val="undOvr"/>
  </m:mathPr>
  <w:themeFontLang w:val="es-CR"/>
  <w:clrSchemeMapping w:bg1="light1" w:t1="dark1" w:bg2="light2" w:t2="dark2" w:accent1="accent1" w:accent2="accent2" w:accent3="accent3" w:accent4="accent4" w:accent5="accent5" w:accent6="accent6" w:hyperlink="hyperlink" w:followedHyperlink="followedHyperlink"/>
  <w:shapeDefaults>
    <o:shapedefaults v:ext="edit" spidmax="251905"/>
    <o:shapelayout v:ext="edit">
      <o:idmap v:ext="edit" data="1"/>
    </o:shapelayout>
  </w:shapeDefaults>
  <w:decimalSymbol w:val=","/>
  <w:listSeparator w:val=";"/>
  <w14:docId w14:val="793FD64B"/>
  <w15:docId w15:val="{99C0125A-67AD-41F8-BD7E-9DD32920DF6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s-CR" w:eastAsia="es-CR"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2" w:uiPriority="39"/>
    <w:lsdException w:name="toc 3" w:uiPriority="39"/>
    <w:lsdException w:name="annotation text" w:uiPriority="99"/>
    <w:lsdException w:name="caption" w:uiPriority="35" w:qFormat="1"/>
    <w:lsdException w:name="table of figures" w:uiPriority="99"/>
    <w:lsdException w:name="annotation reference" w:uiPriority="99"/>
    <w:lsdException w:name="Title" w:qFormat="1"/>
    <w:lsdException w:name="Subtitle" w:qFormat="1"/>
    <w:lsdException w:name="Hyperlink" w:uiPriority="99"/>
    <w:lsdException w:name="Strong" w:uiPriority="22" w:qFormat="1"/>
    <w:lsdException w:name="Emphasis" w:qFormat="1"/>
    <w:lsdException w:name="Normal (Web)" w:uiPriority="99" w:qFormat="1"/>
    <w:lsdException w:name="HTML Definition" w:semiHidden="1" w:unhideWhenUsed="1"/>
    <w:lsdException w:name="HTML Keyboard"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05936"/>
    <w:rPr>
      <w:rFonts w:ascii="Calibri" w:hAnsi="Calibri"/>
      <w:sz w:val="24"/>
      <w:szCs w:val="24"/>
      <w:lang w:val="es-ES_tradnl" w:eastAsia="es-ES"/>
    </w:rPr>
  </w:style>
  <w:style w:type="paragraph" w:styleId="Ttulo1">
    <w:name w:val="heading 1"/>
    <w:basedOn w:val="Normal"/>
    <w:next w:val="Normal"/>
    <w:autoRedefine/>
    <w:qFormat/>
    <w:rsid w:val="00A32E28"/>
    <w:pPr>
      <w:keepNext/>
      <w:widowControl w:val="0"/>
      <w:autoSpaceDN w:val="0"/>
      <w:adjustRightInd w:val="0"/>
      <w:outlineLvl w:val="0"/>
    </w:pPr>
    <w:rPr>
      <w:rFonts w:cs="Arial"/>
      <w:b/>
      <w:bCs/>
      <w:kern w:val="32"/>
      <w:sz w:val="28"/>
      <w:szCs w:val="23"/>
      <w:lang w:eastAsia="en-US"/>
    </w:rPr>
  </w:style>
  <w:style w:type="paragraph" w:styleId="Ttulo2">
    <w:name w:val="heading 2"/>
    <w:basedOn w:val="Normal"/>
    <w:next w:val="Normal"/>
    <w:link w:val="Ttulo2Car"/>
    <w:autoRedefine/>
    <w:qFormat/>
    <w:rsid w:val="00EB773B"/>
    <w:pPr>
      <w:keepNext/>
      <w:widowControl w:val="0"/>
      <w:numPr>
        <w:numId w:val="76"/>
      </w:numPr>
      <w:autoSpaceDN w:val="0"/>
      <w:adjustRightInd w:val="0"/>
      <w:outlineLvl w:val="1"/>
    </w:pPr>
    <w:rPr>
      <w:rFonts w:ascii="Arial Narrow" w:eastAsia="Calibri" w:hAnsi="Arial Narrow"/>
      <w:b/>
      <w:bCs/>
      <w:iCs/>
      <w:sz w:val="32"/>
      <w:szCs w:val="36"/>
      <w:lang w:eastAsia="en-US"/>
    </w:rPr>
  </w:style>
  <w:style w:type="paragraph" w:styleId="Ttulo3">
    <w:name w:val="heading 3"/>
    <w:basedOn w:val="Normal"/>
    <w:next w:val="Normal"/>
    <w:link w:val="Ttulo3Car"/>
    <w:qFormat/>
    <w:rsid w:val="00440F36"/>
    <w:pPr>
      <w:keepNext/>
      <w:widowControl w:val="0"/>
      <w:spacing w:before="240" w:after="60"/>
      <w:jc w:val="both"/>
      <w:outlineLvl w:val="2"/>
    </w:pPr>
    <w:rPr>
      <w:b/>
      <w:bCs/>
      <w:szCs w:val="26"/>
      <w:lang w:val="en-US" w:eastAsia="en-US"/>
    </w:rPr>
  </w:style>
  <w:style w:type="paragraph" w:styleId="Ttulo4">
    <w:name w:val="heading 4"/>
    <w:basedOn w:val="Normal"/>
    <w:next w:val="Normal"/>
    <w:link w:val="Ttulo4Car"/>
    <w:qFormat/>
    <w:rsid w:val="00440F36"/>
    <w:pPr>
      <w:keepNext/>
      <w:widowControl w:val="0"/>
      <w:spacing w:before="240" w:after="60"/>
      <w:jc w:val="both"/>
      <w:outlineLvl w:val="3"/>
    </w:pPr>
    <w:rPr>
      <w:b/>
      <w:bCs/>
      <w:szCs w:val="28"/>
      <w:lang w:val="en-US" w:eastAsia="en-US"/>
    </w:rPr>
  </w:style>
  <w:style w:type="paragraph" w:styleId="Ttulo5">
    <w:name w:val="heading 5"/>
    <w:basedOn w:val="Normal"/>
    <w:next w:val="Normal"/>
    <w:qFormat/>
    <w:rsid w:val="002857FE"/>
    <w:pPr>
      <w:widowControl w:val="0"/>
      <w:numPr>
        <w:ilvl w:val="4"/>
        <w:numId w:val="1"/>
      </w:numPr>
      <w:spacing w:before="240" w:after="60"/>
      <w:jc w:val="both"/>
      <w:outlineLvl w:val="4"/>
    </w:pPr>
    <w:rPr>
      <w:rFonts w:ascii="Arial" w:hAnsi="Arial"/>
      <w:b/>
      <w:bCs/>
      <w:i/>
      <w:iCs/>
      <w:szCs w:val="26"/>
      <w:lang w:val="en-US" w:eastAsia="en-US"/>
    </w:rPr>
  </w:style>
  <w:style w:type="paragraph" w:styleId="Ttulo6">
    <w:name w:val="heading 6"/>
    <w:basedOn w:val="Normal"/>
    <w:next w:val="Normal"/>
    <w:qFormat/>
    <w:rsid w:val="002857FE"/>
    <w:pPr>
      <w:widowControl w:val="0"/>
      <w:numPr>
        <w:ilvl w:val="5"/>
        <w:numId w:val="1"/>
      </w:numPr>
      <w:spacing w:before="240" w:after="60"/>
      <w:jc w:val="both"/>
      <w:outlineLvl w:val="5"/>
    </w:pPr>
    <w:rPr>
      <w:rFonts w:ascii="Arial" w:hAnsi="Arial"/>
      <w:b/>
      <w:bCs/>
      <w:sz w:val="22"/>
      <w:szCs w:val="22"/>
      <w:lang w:val="en-US" w:eastAsia="en-US"/>
    </w:rPr>
  </w:style>
  <w:style w:type="paragraph" w:styleId="Ttulo7">
    <w:name w:val="heading 7"/>
    <w:basedOn w:val="Normal"/>
    <w:next w:val="Normal"/>
    <w:qFormat/>
    <w:rsid w:val="002857FE"/>
    <w:pPr>
      <w:widowControl w:val="0"/>
      <w:numPr>
        <w:ilvl w:val="6"/>
        <w:numId w:val="1"/>
      </w:numPr>
      <w:spacing w:before="240" w:after="60"/>
      <w:jc w:val="both"/>
      <w:outlineLvl w:val="6"/>
    </w:pPr>
    <w:rPr>
      <w:rFonts w:ascii="Arial" w:hAnsi="Arial"/>
      <w:sz w:val="22"/>
      <w:szCs w:val="20"/>
      <w:lang w:val="en-US" w:eastAsia="en-US"/>
    </w:rPr>
  </w:style>
  <w:style w:type="paragraph" w:styleId="Ttulo8">
    <w:name w:val="heading 8"/>
    <w:basedOn w:val="Normal"/>
    <w:next w:val="Normal"/>
    <w:qFormat/>
    <w:rsid w:val="002857FE"/>
    <w:pPr>
      <w:widowControl w:val="0"/>
      <w:numPr>
        <w:ilvl w:val="7"/>
        <w:numId w:val="1"/>
      </w:numPr>
      <w:spacing w:before="240" w:after="60"/>
      <w:jc w:val="both"/>
      <w:outlineLvl w:val="7"/>
    </w:pPr>
    <w:rPr>
      <w:rFonts w:ascii="Arial" w:hAnsi="Arial"/>
      <w:i/>
      <w:iCs/>
      <w:sz w:val="22"/>
      <w:szCs w:val="20"/>
      <w:lang w:val="en-US" w:eastAsia="en-US"/>
    </w:rPr>
  </w:style>
  <w:style w:type="paragraph" w:styleId="Ttulo9">
    <w:name w:val="heading 9"/>
    <w:basedOn w:val="Normal"/>
    <w:next w:val="Normal"/>
    <w:qFormat/>
    <w:rsid w:val="002857FE"/>
    <w:pPr>
      <w:widowControl w:val="0"/>
      <w:numPr>
        <w:ilvl w:val="8"/>
        <w:numId w:val="1"/>
      </w:numPr>
      <w:spacing w:before="240" w:after="60"/>
      <w:jc w:val="both"/>
      <w:outlineLvl w:val="8"/>
    </w:pPr>
    <w:rPr>
      <w:rFonts w:ascii="Arial" w:hAnsi="Arial" w:cs="Arial"/>
      <w:sz w:val="22"/>
      <w:szCs w:val="22"/>
      <w:lang w:val="en-US" w:eastAsia="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2Car">
    <w:name w:val="Título 2 Car"/>
    <w:link w:val="Ttulo2"/>
    <w:rsid w:val="00EB773B"/>
    <w:rPr>
      <w:rFonts w:ascii="Arial Narrow" w:eastAsia="Calibri" w:hAnsi="Arial Narrow"/>
      <w:b/>
      <w:bCs/>
      <w:iCs/>
      <w:sz w:val="32"/>
      <w:szCs w:val="36"/>
      <w:lang w:val="es-ES_tradnl" w:eastAsia="en-US"/>
    </w:rPr>
  </w:style>
  <w:style w:type="character" w:customStyle="1" w:styleId="Ttulo3Car">
    <w:name w:val="Título 3 Car"/>
    <w:link w:val="Ttulo3"/>
    <w:rsid w:val="00440F36"/>
    <w:rPr>
      <w:rFonts w:ascii="Calibri" w:hAnsi="Calibri"/>
      <w:b/>
      <w:bCs/>
      <w:sz w:val="24"/>
      <w:szCs w:val="26"/>
      <w:lang w:val="en-US" w:eastAsia="en-US" w:bidi="ar-SA"/>
    </w:rPr>
  </w:style>
  <w:style w:type="character" w:customStyle="1" w:styleId="Ttulo4Car">
    <w:name w:val="Título 4 Car"/>
    <w:link w:val="Ttulo4"/>
    <w:rsid w:val="00440F36"/>
    <w:rPr>
      <w:rFonts w:ascii="Calibri" w:hAnsi="Calibri"/>
      <w:b/>
      <w:bCs/>
      <w:sz w:val="24"/>
      <w:szCs w:val="28"/>
      <w:lang w:val="en-US" w:eastAsia="en-US"/>
    </w:rPr>
  </w:style>
  <w:style w:type="paragraph" w:styleId="Encabezado">
    <w:name w:val="header"/>
    <w:aliases w:val="encabezado"/>
    <w:basedOn w:val="Normal"/>
    <w:link w:val="EncabezadoCar"/>
    <w:rsid w:val="006713AB"/>
    <w:pPr>
      <w:tabs>
        <w:tab w:val="center" w:pos="4252"/>
        <w:tab w:val="right" w:pos="8504"/>
      </w:tabs>
    </w:pPr>
    <w:rPr>
      <w:rFonts w:ascii="Times New Roman" w:hAnsi="Times New Roman"/>
    </w:rPr>
  </w:style>
  <w:style w:type="character" w:customStyle="1" w:styleId="EncabezadoCar">
    <w:name w:val="Encabezado Car"/>
    <w:aliases w:val="encabezado Car"/>
    <w:link w:val="Encabezado"/>
    <w:rsid w:val="006713AB"/>
    <w:rPr>
      <w:sz w:val="24"/>
      <w:szCs w:val="24"/>
      <w:lang w:val="es-ES" w:eastAsia="es-ES" w:bidi="ar-SA"/>
    </w:rPr>
  </w:style>
  <w:style w:type="paragraph" w:styleId="Piedepgina">
    <w:name w:val="footer"/>
    <w:basedOn w:val="Normal"/>
    <w:rsid w:val="006713AB"/>
    <w:pPr>
      <w:tabs>
        <w:tab w:val="center" w:pos="4252"/>
        <w:tab w:val="right" w:pos="8504"/>
      </w:tabs>
    </w:pPr>
  </w:style>
  <w:style w:type="paragraph" w:customStyle="1" w:styleId="Car">
    <w:name w:val="Car"/>
    <w:basedOn w:val="Normal"/>
    <w:semiHidden/>
    <w:rsid w:val="006713AB"/>
    <w:pPr>
      <w:spacing w:after="160" w:line="240" w:lineRule="exact"/>
    </w:pPr>
    <w:rPr>
      <w:rFonts w:ascii="Verdana" w:hAnsi="Verdana" w:cs="Verdana"/>
      <w:sz w:val="20"/>
      <w:szCs w:val="20"/>
      <w:lang w:val="en-AU" w:eastAsia="en-US"/>
    </w:rPr>
  </w:style>
  <w:style w:type="table" w:styleId="Tablaconcuadrcula">
    <w:name w:val="Table Grid"/>
    <w:basedOn w:val="Tablanormal"/>
    <w:uiPriority w:val="59"/>
    <w:rsid w:val="006713A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link w:val="NormalWebCar"/>
    <w:uiPriority w:val="99"/>
    <w:qFormat/>
    <w:rsid w:val="00CE1F57"/>
    <w:pPr>
      <w:spacing w:before="100" w:beforeAutospacing="1" w:after="100" w:afterAutospacing="1"/>
    </w:pPr>
  </w:style>
  <w:style w:type="character" w:customStyle="1" w:styleId="NormalWebCar">
    <w:name w:val="Normal (Web) Car"/>
    <w:link w:val="NormalWeb"/>
    <w:locked/>
    <w:rsid w:val="002E7784"/>
    <w:rPr>
      <w:rFonts w:ascii="Calibri" w:hAnsi="Calibri"/>
      <w:sz w:val="24"/>
      <w:szCs w:val="24"/>
      <w:lang w:val="es-ES" w:eastAsia="es-ES" w:bidi="ar-SA"/>
    </w:rPr>
  </w:style>
  <w:style w:type="paragraph" w:customStyle="1" w:styleId="Prrafodelista1">
    <w:name w:val="Párrafo de lista1"/>
    <w:basedOn w:val="Normal"/>
    <w:qFormat/>
    <w:rsid w:val="002B4031"/>
    <w:pPr>
      <w:ind w:left="708"/>
    </w:pPr>
  </w:style>
  <w:style w:type="paragraph" w:styleId="Textoindependiente2">
    <w:name w:val="Body Text 2"/>
    <w:basedOn w:val="Normal"/>
    <w:rsid w:val="003157FB"/>
    <w:pPr>
      <w:spacing w:line="480" w:lineRule="auto"/>
      <w:jc w:val="both"/>
    </w:pPr>
    <w:rPr>
      <w:rFonts w:ascii="Batang" w:eastAsia="Batang" w:hAnsi="Batang"/>
      <w:b/>
      <w:bCs/>
    </w:rPr>
  </w:style>
  <w:style w:type="paragraph" w:styleId="Ttulo">
    <w:name w:val="Title"/>
    <w:basedOn w:val="Normal"/>
    <w:next w:val="Normal"/>
    <w:link w:val="TtuloCar"/>
    <w:qFormat/>
    <w:rsid w:val="00CB1B09"/>
    <w:pPr>
      <w:pBdr>
        <w:bottom w:val="single" w:sz="8" w:space="4" w:color="4F81BD"/>
      </w:pBdr>
      <w:spacing w:after="300"/>
      <w:contextualSpacing/>
    </w:pPr>
    <w:rPr>
      <w:rFonts w:ascii="Cambria" w:hAnsi="Cambria"/>
      <w:color w:val="17365D"/>
      <w:spacing w:val="5"/>
      <w:kern w:val="28"/>
      <w:sz w:val="52"/>
      <w:szCs w:val="52"/>
      <w:lang w:val="es-MX" w:eastAsia="en-US"/>
    </w:rPr>
  </w:style>
  <w:style w:type="character" w:customStyle="1" w:styleId="TtuloCar">
    <w:name w:val="Título Car"/>
    <w:link w:val="Ttulo"/>
    <w:locked/>
    <w:rsid w:val="00CB1B09"/>
    <w:rPr>
      <w:rFonts w:ascii="Cambria" w:hAnsi="Cambria"/>
      <w:color w:val="17365D"/>
      <w:spacing w:val="5"/>
      <w:kern w:val="28"/>
      <w:sz w:val="52"/>
      <w:szCs w:val="52"/>
      <w:lang w:val="es-MX" w:eastAsia="en-US" w:bidi="ar-SA"/>
    </w:rPr>
  </w:style>
  <w:style w:type="paragraph" w:styleId="Prrafodelista">
    <w:name w:val="List Paragraph"/>
    <w:aliases w:val="Lista vistosa - Énfasis 11,Footnote,List Paragraph2,Bullet 1,Use Case List Paragraph,Párrafo de lista Car Car Car,Lista multicolor - Énfasis 11,Segundo nivel de viñetas,Bullet List,numbered,FooterText,Titulo 1,lp1,Paragraphe de liste1,3"/>
    <w:basedOn w:val="Normal"/>
    <w:link w:val="PrrafodelistaCar"/>
    <w:uiPriority w:val="34"/>
    <w:qFormat/>
    <w:rsid w:val="00BF51D7"/>
    <w:pPr>
      <w:ind w:left="708"/>
    </w:pPr>
  </w:style>
  <w:style w:type="paragraph" w:styleId="Descripcin">
    <w:name w:val="caption"/>
    <w:aliases w:val="Epígrafe"/>
    <w:basedOn w:val="Normal"/>
    <w:next w:val="Normal"/>
    <w:uiPriority w:val="35"/>
    <w:qFormat/>
    <w:rsid w:val="006D5C4E"/>
    <w:rPr>
      <w:b/>
      <w:bCs/>
      <w:sz w:val="20"/>
      <w:szCs w:val="20"/>
    </w:rPr>
  </w:style>
  <w:style w:type="paragraph" w:styleId="Textodeglobo">
    <w:name w:val="Balloon Text"/>
    <w:basedOn w:val="Normal"/>
    <w:semiHidden/>
    <w:rsid w:val="0070097F"/>
    <w:rPr>
      <w:rFonts w:ascii="Tahoma" w:hAnsi="Tahoma" w:cs="Tahoma"/>
      <w:sz w:val="16"/>
      <w:szCs w:val="16"/>
    </w:rPr>
  </w:style>
  <w:style w:type="paragraph" w:styleId="Textonotapie">
    <w:name w:val="footnote text"/>
    <w:basedOn w:val="Normal"/>
    <w:semiHidden/>
    <w:rsid w:val="00020732"/>
    <w:rPr>
      <w:sz w:val="20"/>
      <w:szCs w:val="20"/>
    </w:rPr>
  </w:style>
  <w:style w:type="character" w:styleId="Refdenotaalpie">
    <w:name w:val="footnote reference"/>
    <w:semiHidden/>
    <w:rsid w:val="00020732"/>
    <w:rPr>
      <w:vertAlign w:val="superscript"/>
    </w:rPr>
  </w:style>
  <w:style w:type="character" w:styleId="Nmerodepgina">
    <w:name w:val="page number"/>
    <w:basedOn w:val="Fuentedeprrafopredeter"/>
    <w:rsid w:val="003F6BA5"/>
  </w:style>
  <w:style w:type="paragraph" w:customStyle="1" w:styleId="default">
    <w:name w:val="default"/>
    <w:basedOn w:val="Normal"/>
    <w:rsid w:val="00904587"/>
    <w:pPr>
      <w:spacing w:before="100" w:beforeAutospacing="1" w:after="100" w:afterAutospacing="1"/>
    </w:pPr>
    <w:rPr>
      <w:color w:val="000000"/>
    </w:rPr>
  </w:style>
  <w:style w:type="paragraph" w:styleId="TDC1">
    <w:name w:val="toc 1"/>
    <w:basedOn w:val="Normal"/>
    <w:next w:val="Normal"/>
    <w:autoRedefine/>
    <w:semiHidden/>
    <w:rsid w:val="003028DA"/>
  </w:style>
  <w:style w:type="paragraph" w:styleId="TDC2">
    <w:name w:val="toc 2"/>
    <w:basedOn w:val="Normal"/>
    <w:next w:val="Normal"/>
    <w:autoRedefine/>
    <w:uiPriority w:val="39"/>
    <w:rsid w:val="006F1D38"/>
    <w:pPr>
      <w:tabs>
        <w:tab w:val="left" w:pos="660"/>
        <w:tab w:val="right" w:leader="dot" w:pos="9203"/>
      </w:tabs>
      <w:ind w:left="240"/>
    </w:pPr>
  </w:style>
  <w:style w:type="paragraph" w:styleId="TDC3">
    <w:name w:val="toc 3"/>
    <w:basedOn w:val="Normal"/>
    <w:next w:val="Normal"/>
    <w:autoRedefine/>
    <w:uiPriority w:val="39"/>
    <w:rsid w:val="003028DA"/>
    <w:pPr>
      <w:ind w:left="480"/>
    </w:pPr>
  </w:style>
  <w:style w:type="character" w:styleId="Hipervnculo">
    <w:name w:val="Hyperlink"/>
    <w:uiPriority w:val="99"/>
    <w:rsid w:val="003028DA"/>
    <w:rPr>
      <w:color w:val="0000FF"/>
      <w:u w:val="single"/>
    </w:rPr>
  </w:style>
  <w:style w:type="paragraph" w:styleId="Textonotaalfinal">
    <w:name w:val="endnote text"/>
    <w:basedOn w:val="Normal"/>
    <w:link w:val="TextonotaalfinalCar"/>
    <w:rsid w:val="00B26F8F"/>
    <w:rPr>
      <w:rFonts w:ascii="Times New Roman" w:hAnsi="Times New Roman"/>
      <w:sz w:val="20"/>
      <w:szCs w:val="20"/>
    </w:rPr>
  </w:style>
  <w:style w:type="character" w:customStyle="1" w:styleId="TextonotaalfinalCar">
    <w:name w:val="Texto nota al final Car"/>
    <w:link w:val="Textonotaalfinal"/>
    <w:rsid w:val="00B26F8F"/>
    <w:rPr>
      <w:lang w:val="es-ES" w:eastAsia="es-ES"/>
    </w:rPr>
  </w:style>
  <w:style w:type="character" w:styleId="Refdenotaalfinal">
    <w:name w:val="endnote reference"/>
    <w:rsid w:val="00B26F8F"/>
    <w:rPr>
      <w:vertAlign w:val="superscript"/>
    </w:rPr>
  </w:style>
  <w:style w:type="paragraph" w:styleId="Textoindependiente">
    <w:name w:val="Body Text"/>
    <w:basedOn w:val="Normal"/>
    <w:rsid w:val="002E7784"/>
    <w:pPr>
      <w:spacing w:after="120"/>
    </w:pPr>
  </w:style>
  <w:style w:type="paragraph" w:styleId="Saludo">
    <w:name w:val="Salutation"/>
    <w:basedOn w:val="Normal"/>
    <w:next w:val="Normal"/>
    <w:rsid w:val="002E7784"/>
    <w:rPr>
      <w:rFonts w:ascii="Times New Roman" w:hAnsi="Times New Roman"/>
    </w:rPr>
  </w:style>
  <w:style w:type="paragraph" w:styleId="Fecha">
    <w:name w:val="Date"/>
    <w:basedOn w:val="Normal"/>
    <w:next w:val="Normal"/>
    <w:rsid w:val="002E7784"/>
    <w:rPr>
      <w:rFonts w:ascii="Times New Roman" w:hAnsi="Times New Roman"/>
    </w:rPr>
  </w:style>
  <w:style w:type="paragraph" w:customStyle="1" w:styleId="Direccininterior">
    <w:name w:val="Dirección interior"/>
    <w:basedOn w:val="Normal"/>
    <w:rsid w:val="002E7784"/>
    <w:rPr>
      <w:rFonts w:ascii="Times New Roman" w:hAnsi="Times New Roman"/>
    </w:rPr>
  </w:style>
  <w:style w:type="paragraph" w:customStyle="1" w:styleId="xmsonormal">
    <w:name w:val="x_msonormal"/>
    <w:basedOn w:val="Normal"/>
    <w:rsid w:val="007A0DB4"/>
    <w:pPr>
      <w:spacing w:before="100" w:beforeAutospacing="1" w:after="100" w:afterAutospacing="1"/>
    </w:pPr>
    <w:rPr>
      <w:rFonts w:ascii="Times New Roman" w:hAnsi="Times New Roman"/>
      <w:lang w:eastAsia="es-CR"/>
    </w:rPr>
  </w:style>
  <w:style w:type="character" w:styleId="Refdecomentario">
    <w:name w:val="annotation reference"/>
    <w:uiPriority w:val="99"/>
    <w:unhideWhenUsed/>
    <w:rsid w:val="0054084B"/>
    <w:rPr>
      <w:sz w:val="16"/>
      <w:szCs w:val="16"/>
    </w:rPr>
  </w:style>
  <w:style w:type="paragraph" w:styleId="Textocomentario">
    <w:name w:val="annotation text"/>
    <w:basedOn w:val="Normal"/>
    <w:link w:val="TextocomentarioCar"/>
    <w:uiPriority w:val="99"/>
    <w:unhideWhenUsed/>
    <w:rsid w:val="0054084B"/>
    <w:pPr>
      <w:spacing w:after="160"/>
    </w:pPr>
    <w:rPr>
      <w:rFonts w:eastAsia="Calibri"/>
      <w:sz w:val="20"/>
      <w:szCs w:val="20"/>
      <w:lang w:eastAsia="en-US"/>
    </w:rPr>
  </w:style>
  <w:style w:type="character" w:customStyle="1" w:styleId="TextocomentarioCar">
    <w:name w:val="Texto comentario Car"/>
    <w:link w:val="Textocomentario"/>
    <w:uiPriority w:val="99"/>
    <w:rsid w:val="0054084B"/>
    <w:rPr>
      <w:rFonts w:ascii="Calibri" w:eastAsia="Calibri" w:hAnsi="Calibri"/>
      <w:lang w:val="es-ES" w:eastAsia="en-US"/>
    </w:rPr>
  </w:style>
  <w:style w:type="paragraph" w:styleId="Revisin">
    <w:name w:val="Revision"/>
    <w:hidden/>
    <w:uiPriority w:val="99"/>
    <w:semiHidden/>
    <w:rsid w:val="00E60EED"/>
    <w:rPr>
      <w:rFonts w:ascii="Calibri" w:hAnsi="Calibri"/>
      <w:sz w:val="24"/>
      <w:szCs w:val="24"/>
      <w:lang w:val="es-ES" w:eastAsia="es-ES"/>
    </w:rPr>
  </w:style>
  <w:style w:type="paragraph" w:customStyle="1" w:styleId="Prrafodelista2">
    <w:name w:val="Párrafo de lista2"/>
    <w:basedOn w:val="Normal"/>
    <w:qFormat/>
    <w:rsid w:val="001D7A5E"/>
    <w:pPr>
      <w:ind w:left="720"/>
    </w:pPr>
    <w:rPr>
      <w:rFonts w:ascii="Times New Roman" w:hAnsi="Times New Roman"/>
    </w:rPr>
  </w:style>
  <w:style w:type="paragraph" w:styleId="TtuloTDC">
    <w:name w:val="TOC Heading"/>
    <w:basedOn w:val="Ttulo1"/>
    <w:next w:val="Normal"/>
    <w:uiPriority w:val="39"/>
    <w:unhideWhenUsed/>
    <w:qFormat/>
    <w:rsid w:val="005543E0"/>
    <w:pPr>
      <w:keepLines/>
      <w:widowControl/>
      <w:autoSpaceDN/>
      <w:adjustRightInd/>
      <w:spacing w:before="240" w:line="259" w:lineRule="auto"/>
      <w:outlineLvl w:val="9"/>
    </w:pPr>
    <w:rPr>
      <w:rFonts w:asciiTheme="majorHAnsi" w:eastAsiaTheme="majorEastAsia" w:hAnsiTheme="majorHAnsi" w:cstheme="majorBidi"/>
      <w:b w:val="0"/>
      <w:bCs w:val="0"/>
      <w:color w:val="2F5496" w:themeColor="accent1" w:themeShade="BF"/>
      <w:kern w:val="0"/>
      <w:sz w:val="32"/>
      <w:szCs w:val="32"/>
      <w:lang w:val="es-CR" w:eastAsia="es-CR"/>
    </w:rPr>
  </w:style>
  <w:style w:type="character" w:customStyle="1" w:styleId="Mencinsinresolver1">
    <w:name w:val="Mención sin resolver1"/>
    <w:basedOn w:val="Fuentedeprrafopredeter"/>
    <w:uiPriority w:val="99"/>
    <w:semiHidden/>
    <w:unhideWhenUsed/>
    <w:rsid w:val="00353B39"/>
    <w:rPr>
      <w:color w:val="605E5C"/>
      <w:shd w:val="clear" w:color="auto" w:fill="E1DFDD"/>
    </w:rPr>
  </w:style>
  <w:style w:type="paragraph" w:styleId="Asuntodelcomentario">
    <w:name w:val="annotation subject"/>
    <w:basedOn w:val="Textocomentario"/>
    <w:next w:val="Textocomentario"/>
    <w:link w:val="AsuntodelcomentarioCar"/>
    <w:semiHidden/>
    <w:unhideWhenUsed/>
    <w:rsid w:val="00C65F5E"/>
    <w:pPr>
      <w:spacing w:after="0"/>
    </w:pPr>
    <w:rPr>
      <w:rFonts w:eastAsia="Times New Roman"/>
      <w:b/>
      <w:bCs/>
      <w:lang w:eastAsia="es-ES"/>
    </w:rPr>
  </w:style>
  <w:style w:type="character" w:customStyle="1" w:styleId="AsuntodelcomentarioCar">
    <w:name w:val="Asunto del comentario Car"/>
    <w:basedOn w:val="TextocomentarioCar"/>
    <w:link w:val="Asuntodelcomentario"/>
    <w:semiHidden/>
    <w:rsid w:val="00C65F5E"/>
    <w:rPr>
      <w:rFonts w:ascii="Calibri" w:eastAsia="Calibri" w:hAnsi="Calibri"/>
      <w:b/>
      <w:bCs/>
      <w:lang w:val="es-ES" w:eastAsia="es-ES"/>
    </w:rPr>
  </w:style>
  <w:style w:type="paragraph" w:customStyle="1" w:styleId="Default0">
    <w:name w:val="Default"/>
    <w:rsid w:val="006F0725"/>
    <w:pPr>
      <w:autoSpaceDE w:val="0"/>
      <w:autoSpaceDN w:val="0"/>
      <w:adjustRightInd w:val="0"/>
    </w:pPr>
    <w:rPr>
      <w:rFonts w:ascii="Calibri" w:hAnsi="Calibri" w:cs="Calibri"/>
      <w:color w:val="000000"/>
      <w:sz w:val="24"/>
      <w:szCs w:val="24"/>
    </w:rPr>
  </w:style>
  <w:style w:type="paragraph" w:styleId="Tabladeilustraciones">
    <w:name w:val="table of figures"/>
    <w:basedOn w:val="Normal"/>
    <w:next w:val="Normal"/>
    <w:uiPriority w:val="99"/>
    <w:rsid w:val="00665D61"/>
  </w:style>
  <w:style w:type="character" w:styleId="Hipervnculovisitado">
    <w:name w:val="FollowedHyperlink"/>
    <w:basedOn w:val="Fuentedeprrafopredeter"/>
    <w:rsid w:val="00571472"/>
    <w:rPr>
      <w:color w:val="954F72" w:themeColor="followedHyperlink"/>
      <w:u w:val="single"/>
    </w:rPr>
  </w:style>
  <w:style w:type="paragraph" w:customStyle="1" w:styleId="msonormal0">
    <w:name w:val="msonormal"/>
    <w:basedOn w:val="Normal"/>
    <w:rsid w:val="008D6A84"/>
    <w:pPr>
      <w:spacing w:before="100" w:beforeAutospacing="1" w:after="100" w:afterAutospacing="1"/>
    </w:pPr>
    <w:rPr>
      <w:rFonts w:ascii="Times New Roman" w:hAnsi="Times New Roman"/>
      <w:lang w:eastAsia="es-CR"/>
    </w:rPr>
  </w:style>
  <w:style w:type="paragraph" w:customStyle="1" w:styleId="xl66">
    <w:name w:val="xl66"/>
    <w:basedOn w:val="Normal"/>
    <w:rsid w:val="008D6A84"/>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jc w:val="center"/>
      <w:textAlignment w:val="center"/>
    </w:pPr>
    <w:rPr>
      <w:rFonts w:ascii="Arial Narrow" w:hAnsi="Arial Narrow"/>
      <w:sz w:val="20"/>
      <w:szCs w:val="20"/>
      <w:lang w:eastAsia="es-CR"/>
    </w:rPr>
  </w:style>
  <w:style w:type="paragraph" w:customStyle="1" w:styleId="xl67">
    <w:name w:val="xl67"/>
    <w:basedOn w:val="Normal"/>
    <w:rsid w:val="008D6A84"/>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ascii="Arial Narrow" w:hAnsi="Arial Narrow"/>
      <w:sz w:val="20"/>
      <w:szCs w:val="20"/>
      <w:lang w:eastAsia="es-CR"/>
    </w:rPr>
  </w:style>
  <w:style w:type="paragraph" w:customStyle="1" w:styleId="xl68">
    <w:name w:val="xl68"/>
    <w:basedOn w:val="Normal"/>
    <w:rsid w:val="008D6A84"/>
    <w:pPr>
      <w:spacing w:before="100" w:beforeAutospacing="1" w:after="100" w:afterAutospacing="1"/>
      <w:jc w:val="center"/>
      <w:textAlignment w:val="center"/>
    </w:pPr>
    <w:rPr>
      <w:rFonts w:ascii="Times New Roman" w:hAnsi="Times New Roman"/>
      <w:lang w:eastAsia="es-CR"/>
    </w:rPr>
  </w:style>
  <w:style w:type="paragraph" w:customStyle="1" w:styleId="xl69">
    <w:name w:val="xl69"/>
    <w:basedOn w:val="Normal"/>
    <w:rsid w:val="008D6A8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Narrow" w:hAnsi="Arial Narrow"/>
      <w:sz w:val="20"/>
      <w:szCs w:val="20"/>
      <w:lang w:eastAsia="es-CR"/>
    </w:rPr>
  </w:style>
  <w:style w:type="paragraph" w:customStyle="1" w:styleId="xl70">
    <w:name w:val="xl70"/>
    <w:basedOn w:val="Normal"/>
    <w:rsid w:val="008D6A8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Narrow" w:hAnsi="Arial Narrow"/>
      <w:sz w:val="20"/>
      <w:szCs w:val="20"/>
      <w:lang w:eastAsia="es-CR"/>
    </w:rPr>
  </w:style>
  <w:style w:type="paragraph" w:customStyle="1" w:styleId="xl71">
    <w:name w:val="xl71"/>
    <w:basedOn w:val="Normal"/>
    <w:rsid w:val="008D6A8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Narrow" w:hAnsi="Arial Narrow"/>
      <w:sz w:val="20"/>
      <w:szCs w:val="20"/>
      <w:lang w:eastAsia="es-CR"/>
    </w:rPr>
  </w:style>
  <w:style w:type="paragraph" w:customStyle="1" w:styleId="xl72">
    <w:name w:val="xl72"/>
    <w:basedOn w:val="Normal"/>
    <w:rsid w:val="008D6A84"/>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jc w:val="center"/>
      <w:textAlignment w:val="center"/>
    </w:pPr>
    <w:rPr>
      <w:rFonts w:ascii="Arial Narrow" w:hAnsi="Arial Narrow"/>
      <w:sz w:val="20"/>
      <w:szCs w:val="20"/>
      <w:lang w:eastAsia="es-CR"/>
    </w:rPr>
  </w:style>
  <w:style w:type="paragraph" w:customStyle="1" w:styleId="xl73">
    <w:name w:val="xl73"/>
    <w:basedOn w:val="Normal"/>
    <w:rsid w:val="008D6A84"/>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ascii="Arial Narrow" w:hAnsi="Arial Narrow"/>
      <w:sz w:val="20"/>
      <w:szCs w:val="20"/>
      <w:lang w:eastAsia="es-CR"/>
    </w:rPr>
  </w:style>
  <w:style w:type="paragraph" w:customStyle="1" w:styleId="xl74">
    <w:name w:val="xl74"/>
    <w:basedOn w:val="Normal"/>
    <w:rsid w:val="008D6A84"/>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ascii="Arial Narrow" w:hAnsi="Arial Narrow"/>
      <w:sz w:val="20"/>
      <w:szCs w:val="20"/>
      <w:lang w:eastAsia="es-CR"/>
    </w:rPr>
  </w:style>
  <w:style w:type="paragraph" w:customStyle="1" w:styleId="xl75">
    <w:name w:val="xl75"/>
    <w:basedOn w:val="Normal"/>
    <w:rsid w:val="008D6A84"/>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jc w:val="center"/>
      <w:textAlignment w:val="center"/>
    </w:pPr>
    <w:rPr>
      <w:rFonts w:ascii="Arial Narrow" w:hAnsi="Arial Narrow"/>
      <w:sz w:val="20"/>
      <w:szCs w:val="20"/>
      <w:lang w:eastAsia="es-CR"/>
    </w:rPr>
  </w:style>
  <w:style w:type="paragraph" w:customStyle="1" w:styleId="xl76">
    <w:name w:val="xl76"/>
    <w:basedOn w:val="Normal"/>
    <w:rsid w:val="008D6A84"/>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jc w:val="center"/>
      <w:textAlignment w:val="center"/>
    </w:pPr>
    <w:rPr>
      <w:rFonts w:ascii="Arial Narrow" w:hAnsi="Arial Narrow"/>
      <w:color w:val="FFFFFF"/>
      <w:sz w:val="20"/>
      <w:szCs w:val="20"/>
      <w:lang w:eastAsia="es-CR"/>
    </w:rPr>
  </w:style>
  <w:style w:type="paragraph" w:customStyle="1" w:styleId="xl77">
    <w:name w:val="xl77"/>
    <w:basedOn w:val="Normal"/>
    <w:rsid w:val="008D6A8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Narrow" w:hAnsi="Arial Narrow"/>
      <w:sz w:val="20"/>
      <w:szCs w:val="20"/>
      <w:lang w:eastAsia="es-CR"/>
    </w:rPr>
  </w:style>
  <w:style w:type="paragraph" w:customStyle="1" w:styleId="xl78">
    <w:name w:val="xl78"/>
    <w:basedOn w:val="Normal"/>
    <w:rsid w:val="008D6A8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Narrow" w:hAnsi="Arial Narrow"/>
      <w:sz w:val="20"/>
      <w:szCs w:val="20"/>
      <w:lang w:eastAsia="es-CR"/>
    </w:rPr>
  </w:style>
  <w:style w:type="paragraph" w:customStyle="1" w:styleId="xl79">
    <w:name w:val="xl79"/>
    <w:basedOn w:val="Normal"/>
    <w:rsid w:val="008D6A8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Narrow" w:hAnsi="Arial Narrow"/>
      <w:sz w:val="20"/>
      <w:szCs w:val="20"/>
      <w:lang w:eastAsia="es-CR"/>
    </w:rPr>
  </w:style>
  <w:style w:type="paragraph" w:customStyle="1" w:styleId="xl80">
    <w:name w:val="xl80"/>
    <w:basedOn w:val="Normal"/>
    <w:rsid w:val="008D6A84"/>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ascii="Arial Narrow" w:hAnsi="Arial Narrow"/>
      <w:sz w:val="20"/>
      <w:szCs w:val="20"/>
      <w:lang w:eastAsia="es-CR"/>
    </w:rPr>
  </w:style>
  <w:style w:type="paragraph" w:customStyle="1" w:styleId="xl81">
    <w:name w:val="xl81"/>
    <w:basedOn w:val="Normal"/>
    <w:rsid w:val="008D6A84"/>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jc w:val="center"/>
      <w:textAlignment w:val="center"/>
    </w:pPr>
    <w:rPr>
      <w:rFonts w:ascii="Arial Narrow" w:hAnsi="Arial Narrow"/>
      <w:sz w:val="20"/>
      <w:szCs w:val="20"/>
      <w:lang w:eastAsia="es-CR"/>
    </w:rPr>
  </w:style>
  <w:style w:type="paragraph" w:customStyle="1" w:styleId="xl82">
    <w:name w:val="xl82"/>
    <w:basedOn w:val="Normal"/>
    <w:rsid w:val="008D6A8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Narrow" w:hAnsi="Arial Narrow"/>
      <w:sz w:val="20"/>
      <w:szCs w:val="20"/>
      <w:lang w:eastAsia="es-CR"/>
    </w:rPr>
  </w:style>
  <w:style w:type="paragraph" w:customStyle="1" w:styleId="xl83">
    <w:name w:val="xl83"/>
    <w:basedOn w:val="Normal"/>
    <w:rsid w:val="008D6A8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Narrow" w:hAnsi="Arial Narrow"/>
      <w:sz w:val="20"/>
      <w:szCs w:val="20"/>
      <w:lang w:eastAsia="es-CR"/>
    </w:rPr>
  </w:style>
  <w:style w:type="paragraph" w:customStyle="1" w:styleId="xl84">
    <w:name w:val="xl84"/>
    <w:basedOn w:val="Normal"/>
    <w:rsid w:val="008D6A8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Narrow" w:hAnsi="Arial Narrow"/>
      <w:sz w:val="20"/>
      <w:szCs w:val="20"/>
      <w:lang w:eastAsia="es-CR"/>
    </w:rPr>
  </w:style>
  <w:style w:type="paragraph" w:customStyle="1" w:styleId="xl85">
    <w:name w:val="xl85"/>
    <w:basedOn w:val="Normal"/>
    <w:rsid w:val="008D6A8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Narrow" w:hAnsi="Arial Narrow"/>
      <w:sz w:val="20"/>
      <w:szCs w:val="20"/>
      <w:lang w:eastAsia="es-CR"/>
    </w:rPr>
  </w:style>
  <w:style w:type="paragraph" w:customStyle="1" w:styleId="xl86">
    <w:name w:val="xl86"/>
    <w:basedOn w:val="Normal"/>
    <w:rsid w:val="008D6A8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Narrow" w:hAnsi="Arial Narrow"/>
      <w:sz w:val="20"/>
      <w:szCs w:val="20"/>
      <w:lang w:eastAsia="es-CR"/>
    </w:rPr>
  </w:style>
  <w:style w:type="paragraph" w:customStyle="1" w:styleId="xl87">
    <w:name w:val="xl87"/>
    <w:basedOn w:val="Normal"/>
    <w:rsid w:val="008D6A8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Narrow" w:hAnsi="Arial Narrow"/>
      <w:sz w:val="20"/>
      <w:szCs w:val="20"/>
      <w:lang w:eastAsia="es-CR"/>
    </w:rPr>
  </w:style>
  <w:style w:type="paragraph" w:customStyle="1" w:styleId="xl88">
    <w:name w:val="xl88"/>
    <w:basedOn w:val="Normal"/>
    <w:rsid w:val="008D6A8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Narrow" w:hAnsi="Arial Narrow"/>
      <w:sz w:val="20"/>
      <w:szCs w:val="20"/>
      <w:lang w:eastAsia="es-CR"/>
    </w:rPr>
  </w:style>
  <w:style w:type="paragraph" w:customStyle="1" w:styleId="xl89">
    <w:name w:val="xl89"/>
    <w:basedOn w:val="Normal"/>
    <w:rsid w:val="008D6A84"/>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jc w:val="center"/>
      <w:textAlignment w:val="center"/>
    </w:pPr>
    <w:rPr>
      <w:rFonts w:ascii="Arial Narrow" w:hAnsi="Arial Narrow"/>
      <w:color w:val="FFFFFF"/>
      <w:sz w:val="20"/>
      <w:szCs w:val="20"/>
      <w:lang w:eastAsia="es-CR"/>
    </w:rPr>
  </w:style>
  <w:style w:type="paragraph" w:customStyle="1" w:styleId="xl90">
    <w:name w:val="xl90"/>
    <w:basedOn w:val="Normal"/>
    <w:rsid w:val="008D6A8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Narrow" w:hAnsi="Arial Narrow"/>
      <w:sz w:val="20"/>
      <w:szCs w:val="20"/>
      <w:lang w:eastAsia="es-CR"/>
    </w:rPr>
  </w:style>
  <w:style w:type="paragraph" w:customStyle="1" w:styleId="xl91">
    <w:name w:val="xl91"/>
    <w:basedOn w:val="Normal"/>
    <w:rsid w:val="008D6A8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Narrow" w:hAnsi="Arial Narrow"/>
      <w:sz w:val="20"/>
      <w:szCs w:val="20"/>
      <w:lang w:eastAsia="es-CR"/>
    </w:rPr>
  </w:style>
  <w:style w:type="paragraph" w:customStyle="1" w:styleId="xl92">
    <w:name w:val="xl92"/>
    <w:basedOn w:val="Normal"/>
    <w:rsid w:val="008D6A84"/>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jc w:val="center"/>
      <w:textAlignment w:val="center"/>
    </w:pPr>
    <w:rPr>
      <w:rFonts w:ascii="Arial Narrow" w:hAnsi="Arial Narrow"/>
      <w:color w:val="FFFFFF"/>
      <w:sz w:val="20"/>
      <w:szCs w:val="20"/>
      <w:lang w:eastAsia="es-CR"/>
    </w:rPr>
  </w:style>
  <w:style w:type="paragraph" w:customStyle="1" w:styleId="xl93">
    <w:name w:val="xl93"/>
    <w:basedOn w:val="Normal"/>
    <w:rsid w:val="008D6A84"/>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jc w:val="center"/>
      <w:textAlignment w:val="center"/>
    </w:pPr>
    <w:rPr>
      <w:rFonts w:ascii="Arial Narrow" w:hAnsi="Arial Narrow"/>
      <w:sz w:val="20"/>
      <w:szCs w:val="20"/>
      <w:lang w:eastAsia="es-CR"/>
    </w:rPr>
  </w:style>
  <w:style w:type="paragraph" w:customStyle="1" w:styleId="xl94">
    <w:name w:val="xl94"/>
    <w:basedOn w:val="Normal"/>
    <w:rsid w:val="008D6A84"/>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ascii="Arial Narrow" w:hAnsi="Arial Narrow"/>
      <w:sz w:val="20"/>
      <w:szCs w:val="20"/>
      <w:lang w:eastAsia="es-CR"/>
    </w:rPr>
  </w:style>
  <w:style w:type="paragraph" w:customStyle="1" w:styleId="xl95">
    <w:name w:val="xl95"/>
    <w:basedOn w:val="Normal"/>
    <w:rsid w:val="008D6A8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Narrow" w:hAnsi="Arial Narrow"/>
      <w:sz w:val="20"/>
      <w:szCs w:val="20"/>
      <w:lang w:eastAsia="es-CR"/>
    </w:rPr>
  </w:style>
  <w:style w:type="paragraph" w:customStyle="1" w:styleId="xl96">
    <w:name w:val="xl96"/>
    <w:basedOn w:val="Normal"/>
    <w:rsid w:val="008D6A8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Narrow" w:hAnsi="Arial Narrow"/>
      <w:sz w:val="20"/>
      <w:szCs w:val="20"/>
      <w:lang w:eastAsia="es-CR"/>
    </w:rPr>
  </w:style>
  <w:style w:type="paragraph" w:customStyle="1" w:styleId="xl97">
    <w:name w:val="xl97"/>
    <w:basedOn w:val="Normal"/>
    <w:rsid w:val="008D6A8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Narrow" w:hAnsi="Arial Narrow"/>
      <w:sz w:val="20"/>
      <w:szCs w:val="20"/>
      <w:lang w:eastAsia="es-CR"/>
    </w:rPr>
  </w:style>
  <w:style w:type="paragraph" w:customStyle="1" w:styleId="xl98">
    <w:name w:val="xl98"/>
    <w:basedOn w:val="Normal"/>
    <w:rsid w:val="008D6A8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Narrow" w:hAnsi="Arial Narrow"/>
      <w:sz w:val="20"/>
      <w:szCs w:val="20"/>
      <w:lang w:eastAsia="es-CR"/>
    </w:rPr>
  </w:style>
  <w:style w:type="paragraph" w:customStyle="1" w:styleId="xl99">
    <w:name w:val="xl99"/>
    <w:basedOn w:val="Normal"/>
    <w:rsid w:val="008D6A8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Narrow" w:hAnsi="Arial Narrow"/>
      <w:sz w:val="20"/>
      <w:szCs w:val="20"/>
      <w:lang w:eastAsia="es-CR"/>
    </w:rPr>
  </w:style>
  <w:style w:type="paragraph" w:customStyle="1" w:styleId="xl100">
    <w:name w:val="xl100"/>
    <w:basedOn w:val="Normal"/>
    <w:rsid w:val="008D6A84"/>
    <w:pPr>
      <w:spacing w:before="100" w:beforeAutospacing="1" w:after="100" w:afterAutospacing="1"/>
    </w:pPr>
    <w:rPr>
      <w:rFonts w:ascii="Times New Roman" w:hAnsi="Times New Roman"/>
      <w:lang w:eastAsia="es-CR"/>
    </w:rPr>
  </w:style>
  <w:style w:type="paragraph" w:customStyle="1" w:styleId="xl101">
    <w:name w:val="xl101"/>
    <w:basedOn w:val="Normal"/>
    <w:rsid w:val="008D6A84"/>
    <w:pPr>
      <w:pBdr>
        <w:top w:val="single" w:sz="4" w:space="0" w:color="auto"/>
        <w:right w:val="single" w:sz="4" w:space="0" w:color="auto"/>
      </w:pBdr>
      <w:shd w:val="clear" w:color="000000" w:fill="D9D9D9"/>
      <w:spacing w:before="100" w:beforeAutospacing="1" w:after="100" w:afterAutospacing="1"/>
      <w:jc w:val="center"/>
      <w:textAlignment w:val="center"/>
    </w:pPr>
    <w:rPr>
      <w:rFonts w:ascii="Arial Narrow" w:hAnsi="Arial Narrow"/>
      <w:b/>
      <w:bCs/>
      <w:lang w:eastAsia="es-CR"/>
    </w:rPr>
  </w:style>
  <w:style w:type="paragraph" w:customStyle="1" w:styleId="xl102">
    <w:name w:val="xl102"/>
    <w:basedOn w:val="Normal"/>
    <w:rsid w:val="008D6A84"/>
    <w:pPr>
      <w:pBdr>
        <w:top w:val="single" w:sz="4" w:space="0" w:color="auto"/>
        <w:left w:val="single" w:sz="4" w:space="0" w:color="auto"/>
        <w:right w:val="single" w:sz="4" w:space="0" w:color="auto"/>
      </w:pBdr>
      <w:shd w:val="clear" w:color="000000" w:fill="D9D9D9"/>
      <w:spacing w:before="100" w:beforeAutospacing="1" w:after="100" w:afterAutospacing="1"/>
      <w:jc w:val="center"/>
      <w:textAlignment w:val="center"/>
    </w:pPr>
    <w:rPr>
      <w:rFonts w:ascii="Arial Narrow" w:hAnsi="Arial Narrow"/>
      <w:b/>
      <w:bCs/>
      <w:lang w:eastAsia="es-CR"/>
    </w:rPr>
  </w:style>
  <w:style w:type="paragraph" w:customStyle="1" w:styleId="xl103">
    <w:name w:val="xl103"/>
    <w:basedOn w:val="Normal"/>
    <w:rsid w:val="008D6A84"/>
    <w:pPr>
      <w:pBdr>
        <w:top w:val="single" w:sz="4" w:space="0" w:color="auto"/>
        <w:left w:val="single" w:sz="4" w:space="0" w:color="auto"/>
        <w:right w:val="single" w:sz="4" w:space="0" w:color="auto"/>
      </w:pBdr>
      <w:shd w:val="clear" w:color="000000" w:fill="D9D9D9"/>
      <w:spacing w:before="100" w:beforeAutospacing="1" w:after="100" w:afterAutospacing="1"/>
      <w:jc w:val="center"/>
      <w:textAlignment w:val="center"/>
    </w:pPr>
    <w:rPr>
      <w:rFonts w:ascii="Arial Narrow" w:hAnsi="Arial Narrow"/>
      <w:b/>
      <w:bCs/>
      <w:lang w:eastAsia="es-CR"/>
    </w:rPr>
  </w:style>
  <w:style w:type="paragraph" w:customStyle="1" w:styleId="xl104">
    <w:name w:val="xl104"/>
    <w:basedOn w:val="Normal"/>
    <w:rsid w:val="008D6A84"/>
    <w:pPr>
      <w:pBdr>
        <w:top w:val="single" w:sz="4" w:space="0" w:color="auto"/>
        <w:right w:val="single" w:sz="4" w:space="0" w:color="auto"/>
      </w:pBdr>
      <w:shd w:val="clear" w:color="000000" w:fill="D9D9D9"/>
      <w:spacing w:before="100" w:beforeAutospacing="1" w:after="100" w:afterAutospacing="1"/>
      <w:jc w:val="center"/>
      <w:textAlignment w:val="center"/>
    </w:pPr>
    <w:rPr>
      <w:rFonts w:ascii="Arial Narrow" w:hAnsi="Arial Narrow"/>
      <w:b/>
      <w:bCs/>
      <w:lang w:eastAsia="es-CR"/>
    </w:rPr>
  </w:style>
  <w:style w:type="paragraph" w:customStyle="1" w:styleId="xl105">
    <w:name w:val="xl105"/>
    <w:basedOn w:val="Normal"/>
    <w:rsid w:val="008D6A84"/>
    <w:pPr>
      <w:pBdr>
        <w:right w:val="single" w:sz="4" w:space="0" w:color="auto"/>
      </w:pBdr>
      <w:shd w:val="clear" w:color="000000" w:fill="D9D9D9"/>
      <w:spacing w:before="100" w:beforeAutospacing="1" w:after="100" w:afterAutospacing="1"/>
      <w:jc w:val="center"/>
      <w:textAlignment w:val="center"/>
    </w:pPr>
    <w:rPr>
      <w:rFonts w:ascii="Arial Narrow" w:hAnsi="Arial Narrow"/>
      <w:b/>
      <w:bCs/>
      <w:lang w:eastAsia="es-CR"/>
    </w:rPr>
  </w:style>
  <w:style w:type="paragraph" w:customStyle="1" w:styleId="xl106">
    <w:name w:val="xl106"/>
    <w:basedOn w:val="Normal"/>
    <w:rsid w:val="008D6A84"/>
    <w:pPr>
      <w:pBdr>
        <w:left w:val="single" w:sz="4" w:space="0" w:color="auto"/>
        <w:right w:val="single" w:sz="4" w:space="0" w:color="auto"/>
      </w:pBdr>
      <w:shd w:val="clear" w:color="000000" w:fill="D9D9D9"/>
      <w:spacing w:before="100" w:beforeAutospacing="1" w:after="100" w:afterAutospacing="1"/>
      <w:jc w:val="center"/>
      <w:textAlignment w:val="center"/>
    </w:pPr>
    <w:rPr>
      <w:rFonts w:ascii="Arial Narrow" w:hAnsi="Arial Narrow"/>
      <w:b/>
      <w:bCs/>
      <w:lang w:eastAsia="es-CR"/>
    </w:rPr>
  </w:style>
  <w:style w:type="paragraph" w:customStyle="1" w:styleId="xl107">
    <w:name w:val="xl107"/>
    <w:basedOn w:val="Normal"/>
    <w:rsid w:val="008D6A84"/>
    <w:pPr>
      <w:pBdr>
        <w:left w:val="single" w:sz="4" w:space="0" w:color="auto"/>
        <w:right w:val="single" w:sz="4" w:space="0" w:color="auto"/>
      </w:pBdr>
      <w:shd w:val="clear" w:color="000000" w:fill="D9D9D9"/>
      <w:spacing w:before="100" w:beforeAutospacing="1" w:after="100" w:afterAutospacing="1"/>
      <w:jc w:val="center"/>
      <w:textAlignment w:val="center"/>
    </w:pPr>
    <w:rPr>
      <w:rFonts w:ascii="Arial Narrow" w:hAnsi="Arial Narrow"/>
      <w:b/>
      <w:bCs/>
      <w:lang w:eastAsia="es-CR"/>
    </w:rPr>
  </w:style>
  <w:style w:type="paragraph" w:customStyle="1" w:styleId="xl108">
    <w:name w:val="xl108"/>
    <w:basedOn w:val="Normal"/>
    <w:rsid w:val="008D6A84"/>
    <w:pPr>
      <w:pBdr>
        <w:right w:val="single" w:sz="4" w:space="0" w:color="auto"/>
      </w:pBdr>
      <w:shd w:val="clear" w:color="000000" w:fill="D9D9D9"/>
      <w:spacing w:before="100" w:beforeAutospacing="1" w:after="100" w:afterAutospacing="1"/>
      <w:jc w:val="center"/>
      <w:textAlignment w:val="center"/>
    </w:pPr>
    <w:rPr>
      <w:rFonts w:ascii="Arial Narrow" w:hAnsi="Arial Narrow"/>
      <w:b/>
      <w:bCs/>
      <w:lang w:eastAsia="es-CR"/>
    </w:rPr>
  </w:style>
  <w:style w:type="paragraph" w:customStyle="1" w:styleId="xl109">
    <w:name w:val="xl109"/>
    <w:basedOn w:val="Normal"/>
    <w:rsid w:val="008D6A84"/>
    <w:pPr>
      <w:pBdr>
        <w:bottom w:val="single" w:sz="4" w:space="0" w:color="auto"/>
        <w:right w:val="single" w:sz="4" w:space="0" w:color="auto"/>
      </w:pBdr>
      <w:shd w:val="clear" w:color="000000" w:fill="D9D9D9"/>
      <w:spacing w:before="100" w:beforeAutospacing="1" w:after="100" w:afterAutospacing="1"/>
      <w:jc w:val="center"/>
      <w:textAlignment w:val="center"/>
    </w:pPr>
    <w:rPr>
      <w:rFonts w:ascii="Arial Narrow" w:hAnsi="Arial Narrow"/>
      <w:b/>
      <w:bCs/>
      <w:lang w:eastAsia="es-CR"/>
    </w:rPr>
  </w:style>
  <w:style w:type="paragraph" w:customStyle="1" w:styleId="xl110">
    <w:name w:val="xl110"/>
    <w:basedOn w:val="Normal"/>
    <w:rsid w:val="008D6A84"/>
    <w:pPr>
      <w:pBdr>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rFonts w:ascii="Arial Narrow" w:hAnsi="Arial Narrow"/>
      <w:b/>
      <w:bCs/>
      <w:lang w:eastAsia="es-CR"/>
    </w:rPr>
  </w:style>
  <w:style w:type="paragraph" w:customStyle="1" w:styleId="xl111">
    <w:name w:val="xl111"/>
    <w:basedOn w:val="Normal"/>
    <w:rsid w:val="008D6A84"/>
    <w:pPr>
      <w:pBdr>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rFonts w:ascii="Arial Narrow" w:hAnsi="Arial Narrow"/>
      <w:b/>
      <w:bCs/>
      <w:lang w:eastAsia="es-CR"/>
    </w:rPr>
  </w:style>
  <w:style w:type="paragraph" w:customStyle="1" w:styleId="xl112">
    <w:name w:val="xl112"/>
    <w:basedOn w:val="Normal"/>
    <w:rsid w:val="008D6A84"/>
    <w:pPr>
      <w:pBdr>
        <w:bottom w:val="single" w:sz="4" w:space="0" w:color="auto"/>
        <w:right w:val="single" w:sz="4" w:space="0" w:color="auto"/>
      </w:pBdr>
      <w:shd w:val="clear" w:color="000000" w:fill="D9D9D9"/>
      <w:spacing w:before="100" w:beforeAutospacing="1" w:after="100" w:afterAutospacing="1"/>
      <w:jc w:val="center"/>
      <w:textAlignment w:val="center"/>
    </w:pPr>
    <w:rPr>
      <w:rFonts w:ascii="Arial Narrow" w:hAnsi="Arial Narrow"/>
      <w:b/>
      <w:bCs/>
      <w:lang w:eastAsia="es-CR"/>
    </w:rPr>
  </w:style>
  <w:style w:type="paragraph" w:customStyle="1" w:styleId="Prrafodelista3">
    <w:name w:val="Párrafo de lista3"/>
    <w:basedOn w:val="Normal"/>
    <w:qFormat/>
    <w:rsid w:val="00FD69A2"/>
    <w:pPr>
      <w:ind w:left="720"/>
    </w:pPr>
    <w:rPr>
      <w:rFonts w:ascii="Times New Roman" w:hAnsi="Times New Roman"/>
      <w:lang w:val="es-ES"/>
    </w:rPr>
  </w:style>
  <w:style w:type="paragraph" w:customStyle="1" w:styleId="xxmsonormal">
    <w:name w:val="x_x_msonormal"/>
    <w:basedOn w:val="Normal"/>
    <w:rsid w:val="00070BEC"/>
    <w:rPr>
      <w:rFonts w:eastAsiaTheme="minorHAnsi" w:cs="Calibri"/>
      <w:sz w:val="22"/>
      <w:szCs w:val="22"/>
      <w:lang w:val="es-CR" w:eastAsia="es-CR"/>
    </w:rPr>
  </w:style>
  <w:style w:type="paragraph" w:customStyle="1" w:styleId="xxmsolistparagraph">
    <w:name w:val="x_x_msolistparagraph"/>
    <w:basedOn w:val="Normal"/>
    <w:rsid w:val="00070BEC"/>
    <w:pPr>
      <w:spacing w:before="100" w:beforeAutospacing="1" w:after="100" w:afterAutospacing="1"/>
    </w:pPr>
    <w:rPr>
      <w:rFonts w:eastAsiaTheme="minorHAnsi" w:cs="Calibri"/>
      <w:sz w:val="22"/>
      <w:szCs w:val="22"/>
      <w:lang w:val="es-CR" w:eastAsia="es-CR"/>
    </w:rPr>
  </w:style>
  <w:style w:type="table" w:styleId="Tabladecuadrcula4-nfasis1">
    <w:name w:val="Grid Table 4 Accent 1"/>
    <w:basedOn w:val="Tablanormal"/>
    <w:uiPriority w:val="49"/>
    <w:rsid w:val="009739A5"/>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character" w:styleId="Textoennegrita">
    <w:name w:val="Strong"/>
    <w:basedOn w:val="Fuentedeprrafopredeter"/>
    <w:uiPriority w:val="22"/>
    <w:qFormat/>
    <w:rsid w:val="00DE30FD"/>
    <w:rPr>
      <w:b/>
      <w:bCs/>
    </w:rPr>
  </w:style>
  <w:style w:type="character" w:customStyle="1" w:styleId="apple-converted-space">
    <w:name w:val="apple-converted-space"/>
    <w:basedOn w:val="Fuentedeprrafopredeter"/>
    <w:rsid w:val="00F56E98"/>
  </w:style>
  <w:style w:type="character" w:customStyle="1" w:styleId="SinespaciadoCar">
    <w:name w:val="Sin espaciado Car"/>
    <w:basedOn w:val="Fuentedeprrafopredeter"/>
    <w:link w:val="Sinespaciado"/>
    <w:uiPriority w:val="1"/>
    <w:locked/>
    <w:rsid w:val="005E4899"/>
    <w:rPr>
      <w:rFonts w:asciiTheme="minorHAnsi" w:eastAsiaTheme="minorHAnsi" w:hAnsiTheme="minorHAnsi" w:cstheme="minorBidi"/>
      <w:sz w:val="22"/>
      <w:szCs w:val="22"/>
      <w:lang w:eastAsia="en-US"/>
    </w:rPr>
  </w:style>
  <w:style w:type="paragraph" w:styleId="Sinespaciado">
    <w:name w:val="No Spacing"/>
    <w:link w:val="SinespaciadoCar"/>
    <w:uiPriority w:val="1"/>
    <w:qFormat/>
    <w:rsid w:val="005E4899"/>
    <w:rPr>
      <w:rFonts w:asciiTheme="minorHAnsi" w:eastAsiaTheme="minorHAnsi" w:hAnsiTheme="minorHAnsi" w:cstheme="minorBidi"/>
      <w:sz w:val="22"/>
      <w:szCs w:val="22"/>
      <w:lang w:eastAsia="en-US"/>
    </w:rPr>
  </w:style>
  <w:style w:type="paragraph" w:customStyle="1" w:styleId="Standard">
    <w:name w:val="Standard"/>
    <w:rsid w:val="00803EF6"/>
    <w:pPr>
      <w:suppressAutoHyphens/>
      <w:autoSpaceDN w:val="0"/>
    </w:pPr>
    <w:rPr>
      <w:rFonts w:ascii="Liberation Serif" w:eastAsia="NSimSun" w:hAnsi="Liberation Serif" w:cs="Lucida Sans"/>
      <w:kern w:val="3"/>
      <w:sz w:val="24"/>
      <w:szCs w:val="24"/>
      <w:lang w:eastAsia="zh-CN" w:bidi="hi-IN"/>
    </w:rPr>
  </w:style>
  <w:style w:type="character" w:customStyle="1" w:styleId="PrrafodelistaCar">
    <w:name w:val="Párrafo de lista Car"/>
    <w:aliases w:val="Lista vistosa - Énfasis 11 Car,Footnote Car,List Paragraph2 Car,Bullet 1 Car,Use Case List Paragraph Car,Párrafo de lista Car Car Car Car,Lista multicolor - Énfasis 11 Car,Segundo nivel de viñetas Car,Bullet List Car,numbered Car"/>
    <w:link w:val="Prrafodelista"/>
    <w:uiPriority w:val="34"/>
    <w:qFormat/>
    <w:locked/>
    <w:rsid w:val="009B7B0A"/>
    <w:rPr>
      <w:rFonts w:ascii="Calibri" w:hAnsi="Calibri"/>
      <w:sz w:val="24"/>
      <w:szCs w:val="24"/>
      <w:lang w:val="es-ES_tradnl" w:eastAsia="es-ES"/>
    </w:rPr>
  </w:style>
  <w:style w:type="character" w:customStyle="1" w:styleId="UnresolvedMention">
    <w:name w:val="Unresolved Mention"/>
    <w:basedOn w:val="Fuentedeprrafopredeter"/>
    <w:uiPriority w:val="99"/>
    <w:semiHidden/>
    <w:unhideWhenUsed/>
    <w:rsid w:val="00441D03"/>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876979">
      <w:bodyDiv w:val="1"/>
      <w:marLeft w:val="0"/>
      <w:marRight w:val="0"/>
      <w:marTop w:val="0"/>
      <w:marBottom w:val="0"/>
      <w:divBdr>
        <w:top w:val="none" w:sz="0" w:space="0" w:color="auto"/>
        <w:left w:val="none" w:sz="0" w:space="0" w:color="auto"/>
        <w:bottom w:val="none" w:sz="0" w:space="0" w:color="auto"/>
        <w:right w:val="none" w:sz="0" w:space="0" w:color="auto"/>
      </w:divBdr>
    </w:div>
    <w:div w:id="19864616">
      <w:bodyDiv w:val="1"/>
      <w:marLeft w:val="0"/>
      <w:marRight w:val="0"/>
      <w:marTop w:val="0"/>
      <w:marBottom w:val="0"/>
      <w:divBdr>
        <w:top w:val="none" w:sz="0" w:space="0" w:color="auto"/>
        <w:left w:val="none" w:sz="0" w:space="0" w:color="auto"/>
        <w:bottom w:val="none" w:sz="0" w:space="0" w:color="auto"/>
        <w:right w:val="none" w:sz="0" w:space="0" w:color="auto"/>
      </w:divBdr>
    </w:div>
    <w:div w:id="30618667">
      <w:bodyDiv w:val="1"/>
      <w:marLeft w:val="0"/>
      <w:marRight w:val="0"/>
      <w:marTop w:val="0"/>
      <w:marBottom w:val="0"/>
      <w:divBdr>
        <w:top w:val="none" w:sz="0" w:space="0" w:color="auto"/>
        <w:left w:val="none" w:sz="0" w:space="0" w:color="auto"/>
        <w:bottom w:val="none" w:sz="0" w:space="0" w:color="auto"/>
        <w:right w:val="none" w:sz="0" w:space="0" w:color="auto"/>
      </w:divBdr>
      <w:divsChild>
        <w:div w:id="293799886">
          <w:marLeft w:val="0"/>
          <w:marRight w:val="0"/>
          <w:marTop w:val="0"/>
          <w:marBottom w:val="0"/>
          <w:divBdr>
            <w:top w:val="none" w:sz="0" w:space="0" w:color="auto"/>
            <w:left w:val="none" w:sz="0" w:space="0" w:color="auto"/>
            <w:bottom w:val="none" w:sz="0" w:space="0" w:color="auto"/>
            <w:right w:val="none" w:sz="0" w:space="0" w:color="auto"/>
          </w:divBdr>
        </w:div>
      </w:divsChild>
    </w:div>
    <w:div w:id="34472346">
      <w:bodyDiv w:val="1"/>
      <w:marLeft w:val="0"/>
      <w:marRight w:val="0"/>
      <w:marTop w:val="0"/>
      <w:marBottom w:val="0"/>
      <w:divBdr>
        <w:top w:val="none" w:sz="0" w:space="0" w:color="auto"/>
        <w:left w:val="none" w:sz="0" w:space="0" w:color="auto"/>
        <w:bottom w:val="none" w:sz="0" w:space="0" w:color="auto"/>
        <w:right w:val="none" w:sz="0" w:space="0" w:color="auto"/>
      </w:divBdr>
    </w:div>
    <w:div w:id="38020509">
      <w:bodyDiv w:val="1"/>
      <w:marLeft w:val="0"/>
      <w:marRight w:val="0"/>
      <w:marTop w:val="0"/>
      <w:marBottom w:val="0"/>
      <w:divBdr>
        <w:top w:val="none" w:sz="0" w:space="0" w:color="auto"/>
        <w:left w:val="none" w:sz="0" w:space="0" w:color="auto"/>
        <w:bottom w:val="none" w:sz="0" w:space="0" w:color="auto"/>
        <w:right w:val="none" w:sz="0" w:space="0" w:color="auto"/>
      </w:divBdr>
    </w:div>
    <w:div w:id="42680236">
      <w:marLeft w:val="0"/>
      <w:marRight w:val="0"/>
      <w:marTop w:val="0"/>
      <w:marBottom w:val="0"/>
      <w:divBdr>
        <w:top w:val="none" w:sz="0" w:space="0" w:color="auto"/>
        <w:left w:val="none" w:sz="0" w:space="0" w:color="auto"/>
        <w:bottom w:val="none" w:sz="0" w:space="0" w:color="auto"/>
        <w:right w:val="none" w:sz="0" w:space="0" w:color="auto"/>
      </w:divBdr>
      <w:divsChild>
        <w:div w:id="2088459844">
          <w:marLeft w:val="0"/>
          <w:marRight w:val="0"/>
          <w:marTop w:val="0"/>
          <w:marBottom w:val="0"/>
          <w:divBdr>
            <w:top w:val="none" w:sz="0" w:space="0" w:color="auto"/>
            <w:left w:val="none" w:sz="0" w:space="0" w:color="auto"/>
            <w:bottom w:val="none" w:sz="0" w:space="0" w:color="auto"/>
            <w:right w:val="none" w:sz="0" w:space="0" w:color="auto"/>
          </w:divBdr>
        </w:div>
      </w:divsChild>
    </w:div>
    <w:div w:id="46999477">
      <w:marLeft w:val="0"/>
      <w:marRight w:val="0"/>
      <w:marTop w:val="0"/>
      <w:marBottom w:val="0"/>
      <w:divBdr>
        <w:top w:val="none" w:sz="0" w:space="0" w:color="auto"/>
        <w:left w:val="none" w:sz="0" w:space="0" w:color="auto"/>
        <w:bottom w:val="none" w:sz="0" w:space="0" w:color="auto"/>
        <w:right w:val="none" w:sz="0" w:space="0" w:color="auto"/>
      </w:divBdr>
      <w:divsChild>
        <w:div w:id="1824006880">
          <w:marLeft w:val="0"/>
          <w:marRight w:val="0"/>
          <w:marTop w:val="0"/>
          <w:marBottom w:val="0"/>
          <w:divBdr>
            <w:top w:val="none" w:sz="0" w:space="0" w:color="auto"/>
            <w:left w:val="none" w:sz="0" w:space="0" w:color="auto"/>
            <w:bottom w:val="none" w:sz="0" w:space="0" w:color="auto"/>
            <w:right w:val="none" w:sz="0" w:space="0" w:color="auto"/>
          </w:divBdr>
        </w:div>
      </w:divsChild>
    </w:div>
    <w:div w:id="47344290">
      <w:marLeft w:val="0"/>
      <w:marRight w:val="0"/>
      <w:marTop w:val="0"/>
      <w:marBottom w:val="0"/>
      <w:divBdr>
        <w:top w:val="none" w:sz="0" w:space="0" w:color="auto"/>
        <w:left w:val="none" w:sz="0" w:space="0" w:color="auto"/>
        <w:bottom w:val="none" w:sz="0" w:space="0" w:color="auto"/>
        <w:right w:val="none" w:sz="0" w:space="0" w:color="auto"/>
      </w:divBdr>
      <w:divsChild>
        <w:div w:id="1563755133">
          <w:marLeft w:val="0"/>
          <w:marRight w:val="0"/>
          <w:marTop w:val="0"/>
          <w:marBottom w:val="0"/>
          <w:divBdr>
            <w:top w:val="none" w:sz="0" w:space="0" w:color="auto"/>
            <w:left w:val="none" w:sz="0" w:space="0" w:color="auto"/>
            <w:bottom w:val="none" w:sz="0" w:space="0" w:color="auto"/>
            <w:right w:val="none" w:sz="0" w:space="0" w:color="auto"/>
          </w:divBdr>
        </w:div>
      </w:divsChild>
    </w:div>
    <w:div w:id="57439126">
      <w:bodyDiv w:val="1"/>
      <w:marLeft w:val="0"/>
      <w:marRight w:val="0"/>
      <w:marTop w:val="0"/>
      <w:marBottom w:val="0"/>
      <w:divBdr>
        <w:top w:val="none" w:sz="0" w:space="0" w:color="auto"/>
        <w:left w:val="none" w:sz="0" w:space="0" w:color="auto"/>
        <w:bottom w:val="none" w:sz="0" w:space="0" w:color="auto"/>
        <w:right w:val="none" w:sz="0" w:space="0" w:color="auto"/>
      </w:divBdr>
    </w:div>
    <w:div w:id="58983456">
      <w:bodyDiv w:val="1"/>
      <w:marLeft w:val="0"/>
      <w:marRight w:val="0"/>
      <w:marTop w:val="0"/>
      <w:marBottom w:val="0"/>
      <w:divBdr>
        <w:top w:val="none" w:sz="0" w:space="0" w:color="auto"/>
        <w:left w:val="none" w:sz="0" w:space="0" w:color="auto"/>
        <w:bottom w:val="none" w:sz="0" w:space="0" w:color="auto"/>
        <w:right w:val="none" w:sz="0" w:space="0" w:color="auto"/>
      </w:divBdr>
    </w:div>
    <w:div w:id="79760214">
      <w:bodyDiv w:val="1"/>
      <w:marLeft w:val="0"/>
      <w:marRight w:val="0"/>
      <w:marTop w:val="0"/>
      <w:marBottom w:val="0"/>
      <w:divBdr>
        <w:top w:val="none" w:sz="0" w:space="0" w:color="auto"/>
        <w:left w:val="none" w:sz="0" w:space="0" w:color="auto"/>
        <w:bottom w:val="none" w:sz="0" w:space="0" w:color="auto"/>
        <w:right w:val="none" w:sz="0" w:space="0" w:color="auto"/>
      </w:divBdr>
      <w:divsChild>
        <w:div w:id="1058474118">
          <w:marLeft w:val="0"/>
          <w:marRight w:val="0"/>
          <w:marTop w:val="0"/>
          <w:marBottom w:val="0"/>
          <w:divBdr>
            <w:top w:val="none" w:sz="0" w:space="0" w:color="auto"/>
            <w:left w:val="none" w:sz="0" w:space="0" w:color="auto"/>
            <w:bottom w:val="none" w:sz="0" w:space="0" w:color="auto"/>
            <w:right w:val="none" w:sz="0" w:space="0" w:color="auto"/>
          </w:divBdr>
        </w:div>
      </w:divsChild>
    </w:div>
    <w:div w:id="100340195">
      <w:bodyDiv w:val="1"/>
      <w:marLeft w:val="0"/>
      <w:marRight w:val="0"/>
      <w:marTop w:val="0"/>
      <w:marBottom w:val="0"/>
      <w:divBdr>
        <w:top w:val="none" w:sz="0" w:space="0" w:color="auto"/>
        <w:left w:val="none" w:sz="0" w:space="0" w:color="auto"/>
        <w:bottom w:val="none" w:sz="0" w:space="0" w:color="auto"/>
        <w:right w:val="none" w:sz="0" w:space="0" w:color="auto"/>
      </w:divBdr>
    </w:div>
    <w:div w:id="100536684">
      <w:bodyDiv w:val="1"/>
      <w:marLeft w:val="0"/>
      <w:marRight w:val="0"/>
      <w:marTop w:val="0"/>
      <w:marBottom w:val="0"/>
      <w:divBdr>
        <w:top w:val="none" w:sz="0" w:space="0" w:color="auto"/>
        <w:left w:val="none" w:sz="0" w:space="0" w:color="auto"/>
        <w:bottom w:val="none" w:sz="0" w:space="0" w:color="auto"/>
        <w:right w:val="none" w:sz="0" w:space="0" w:color="auto"/>
      </w:divBdr>
      <w:divsChild>
        <w:div w:id="409238056">
          <w:marLeft w:val="0"/>
          <w:marRight w:val="0"/>
          <w:marTop w:val="0"/>
          <w:marBottom w:val="0"/>
          <w:divBdr>
            <w:top w:val="none" w:sz="0" w:space="0" w:color="auto"/>
            <w:left w:val="none" w:sz="0" w:space="0" w:color="auto"/>
            <w:bottom w:val="none" w:sz="0" w:space="0" w:color="auto"/>
            <w:right w:val="none" w:sz="0" w:space="0" w:color="auto"/>
          </w:divBdr>
        </w:div>
      </w:divsChild>
    </w:div>
    <w:div w:id="100758873">
      <w:bodyDiv w:val="1"/>
      <w:marLeft w:val="0"/>
      <w:marRight w:val="0"/>
      <w:marTop w:val="0"/>
      <w:marBottom w:val="0"/>
      <w:divBdr>
        <w:top w:val="none" w:sz="0" w:space="0" w:color="auto"/>
        <w:left w:val="none" w:sz="0" w:space="0" w:color="auto"/>
        <w:bottom w:val="none" w:sz="0" w:space="0" w:color="auto"/>
        <w:right w:val="none" w:sz="0" w:space="0" w:color="auto"/>
      </w:divBdr>
    </w:div>
    <w:div w:id="113135286">
      <w:bodyDiv w:val="1"/>
      <w:marLeft w:val="0"/>
      <w:marRight w:val="0"/>
      <w:marTop w:val="0"/>
      <w:marBottom w:val="0"/>
      <w:divBdr>
        <w:top w:val="none" w:sz="0" w:space="0" w:color="auto"/>
        <w:left w:val="none" w:sz="0" w:space="0" w:color="auto"/>
        <w:bottom w:val="none" w:sz="0" w:space="0" w:color="auto"/>
        <w:right w:val="none" w:sz="0" w:space="0" w:color="auto"/>
      </w:divBdr>
      <w:divsChild>
        <w:div w:id="142044705">
          <w:marLeft w:val="0"/>
          <w:marRight w:val="0"/>
          <w:marTop w:val="0"/>
          <w:marBottom w:val="0"/>
          <w:divBdr>
            <w:top w:val="none" w:sz="0" w:space="0" w:color="auto"/>
            <w:left w:val="none" w:sz="0" w:space="0" w:color="auto"/>
            <w:bottom w:val="none" w:sz="0" w:space="0" w:color="auto"/>
            <w:right w:val="none" w:sz="0" w:space="0" w:color="auto"/>
          </w:divBdr>
        </w:div>
      </w:divsChild>
    </w:div>
    <w:div w:id="117912820">
      <w:bodyDiv w:val="1"/>
      <w:marLeft w:val="0"/>
      <w:marRight w:val="0"/>
      <w:marTop w:val="0"/>
      <w:marBottom w:val="0"/>
      <w:divBdr>
        <w:top w:val="none" w:sz="0" w:space="0" w:color="auto"/>
        <w:left w:val="none" w:sz="0" w:space="0" w:color="auto"/>
        <w:bottom w:val="none" w:sz="0" w:space="0" w:color="auto"/>
        <w:right w:val="none" w:sz="0" w:space="0" w:color="auto"/>
      </w:divBdr>
    </w:div>
    <w:div w:id="121307781">
      <w:marLeft w:val="0"/>
      <w:marRight w:val="0"/>
      <w:marTop w:val="0"/>
      <w:marBottom w:val="0"/>
      <w:divBdr>
        <w:top w:val="none" w:sz="0" w:space="0" w:color="auto"/>
        <w:left w:val="none" w:sz="0" w:space="0" w:color="auto"/>
        <w:bottom w:val="none" w:sz="0" w:space="0" w:color="auto"/>
        <w:right w:val="none" w:sz="0" w:space="0" w:color="auto"/>
      </w:divBdr>
      <w:divsChild>
        <w:div w:id="1209605993">
          <w:marLeft w:val="0"/>
          <w:marRight w:val="0"/>
          <w:marTop w:val="0"/>
          <w:marBottom w:val="0"/>
          <w:divBdr>
            <w:top w:val="none" w:sz="0" w:space="0" w:color="auto"/>
            <w:left w:val="none" w:sz="0" w:space="0" w:color="auto"/>
            <w:bottom w:val="none" w:sz="0" w:space="0" w:color="auto"/>
            <w:right w:val="none" w:sz="0" w:space="0" w:color="auto"/>
          </w:divBdr>
        </w:div>
      </w:divsChild>
    </w:div>
    <w:div w:id="128717733">
      <w:bodyDiv w:val="1"/>
      <w:marLeft w:val="0"/>
      <w:marRight w:val="0"/>
      <w:marTop w:val="0"/>
      <w:marBottom w:val="0"/>
      <w:divBdr>
        <w:top w:val="none" w:sz="0" w:space="0" w:color="auto"/>
        <w:left w:val="none" w:sz="0" w:space="0" w:color="auto"/>
        <w:bottom w:val="none" w:sz="0" w:space="0" w:color="auto"/>
        <w:right w:val="none" w:sz="0" w:space="0" w:color="auto"/>
      </w:divBdr>
      <w:divsChild>
        <w:div w:id="1566065012">
          <w:marLeft w:val="0"/>
          <w:marRight w:val="0"/>
          <w:marTop w:val="0"/>
          <w:marBottom w:val="0"/>
          <w:divBdr>
            <w:top w:val="none" w:sz="0" w:space="0" w:color="auto"/>
            <w:left w:val="none" w:sz="0" w:space="0" w:color="auto"/>
            <w:bottom w:val="none" w:sz="0" w:space="0" w:color="auto"/>
            <w:right w:val="none" w:sz="0" w:space="0" w:color="auto"/>
          </w:divBdr>
        </w:div>
      </w:divsChild>
    </w:div>
    <w:div w:id="134875652">
      <w:bodyDiv w:val="1"/>
      <w:marLeft w:val="0"/>
      <w:marRight w:val="0"/>
      <w:marTop w:val="0"/>
      <w:marBottom w:val="0"/>
      <w:divBdr>
        <w:top w:val="none" w:sz="0" w:space="0" w:color="auto"/>
        <w:left w:val="none" w:sz="0" w:space="0" w:color="auto"/>
        <w:bottom w:val="none" w:sz="0" w:space="0" w:color="auto"/>
        <w:right w:val="none" w:sz="0" w:space="0" w:color="auto"/>
      </w:divBdr>
      <w:divsChild>
        <w:div w:id="1131165910">
          <w:marLeft w:val="0"/>
          <w:marRight w:val="0"/>
          <w:marTop w:val="0"/>
          <w:marBottom w:val="0"/>
          <w:divBdr>
            <w:top w:val="none" w:sz="0" w:space="0" w:color="auto"/>
            <w:left w:val="none" w:sz="0" w:space="0" w:color="auto"/>
            <w:bottom w:val="none" w:sz="0" w:space="0" w:color="auto"/>
            <w:right w:val="none" w:sz="0" w:space="0" w:color="auto"/>
          </w:divBdr>
        </w:div>
      </w:divsChild>
    </w:div>
    <w:div w:id="139273440">
      <w:bodyDiv w:val="1"/>
      <w:marLeft w:val="0"/>
      <w:marRight w:val="0"/>
      <w:marTop w:val="0"/>
      <w:marBottom w:val="0"/>
      <w:divBdr>
        <w:top w:val="none" w:sz="0" w:space="0" w:color="auto"/>
        <w:left w:val="none" w:sz="0" w:space="0" w:color="auto"/>
        <w:bottom w:val="none" w:sz="0" w:space="0" w:color="auto"/>
        <w:right w:val="none" w:sz="0" w:space="0" w:color="auto"/>
      </w:divBdr>
    </w:div>
    <w:div w:id="150412899">
      <w:bodyDiv w:val="1"/>
      <w:marLeft w:val="0"/>
      <w:marRight w:val="0"/>
      <w:marTop w:val="0"/>
      <w:marBottom w:val="0"/>
      <w:divBdr>
        <w:top w:val="none" w:sz="0" w:space="0" w:color="auto"/>
        <w:left w:val="none" w:sz="0" w:space="0" w:color="auto"/>
        <w:bottom w:val="none" w:sz="0" w:space="0" w:color="auto"/>
        <w:right w:val="none" w:sz="0" w:space="0" w:color="auto"/>
      </w:divBdr>
    </w:div>
    <w:div w:id="153959295">
      <w:bodyDiv w:val="1"/>
      <w:marLeft w:val="0"/>
      <w:marRight w:val="0"/>
      <w:marTop w:val="0"/>
      <w:marBottom w:val="0"/>
      <w:divBdr>
        <w:top w:val="none" w:sz="0" w:space="0" w:color="auto"/>
        <w:left w:val="none" w:sz="0" w:space="0" w:color="auto"/>
        <w:bottom w:val="none" w:sz="0" w:space="0" w:color="auto"/>
        <w:right w:val="none" w:sz="0" w:space="0" w:color="auto"/>
      </w:divBdr>
      <w:divsChild>
        <w:div w:id="1123382554">
          <w:marLeft w:val="0"/>
          <w:marRight w:val="0"/>
          <w:marTop w:val="0"/>
          <w:marBottom w:val="0"/>
          <w:divBdr>
            <w:top w:val="none" w:sz="0" w:space="0" w:color="auto"/>
            <w:left w:val="none" w:sz="0" w:space="0" w:color="auto"/>
            <w:bottom w:val="none" w:sz="0" w:space="0" w:color="auto"/>
            <w:right w:val="none" w:sz="0" w:space="0" w:color="auto"/>
          </w:divBdr>
        </w:div>
      </w:divsChild>
    </w:div>
    <w:div w:id="162938848">
      <w:bodyDiv w:val="1"/>
      <w:marLeft w:val="0"/>
      <w:marRight w:val="0"/>
      <w:marTop w:val="0"/>
      <w:marBottom w:val="0"/>
      <w:divBdr>
        <w:top w:val="none" w:sz="0" w:space="0" w:color="auto"/>
        <w:left w:val="none" w:sz="0" w:space="0" w:color="auto"/>
        <w:bottom w:val="none" w:sz="0" w:space="0" w:color="auto"/>
        <w:right w:val="none" w:sz="0" w:space="0" w:color="auto"/>
      </w:divBdr>
      <w:divsChild>
        <w:div w:id="165096017">
          <w:marLeft w:val="0"/>
          <w:marRight w:val="0"/>
          <w:marTop w:val="0"/>
          <w:marBottom w:val="0"/>
          <w:divBdr>
            <w:top w:val="none" w:sz="0" w:space="0" w:color="auto"/>
            <w:left w:val="none" w:sz="0" w:space="0" w:color="auto"/>
            <w:bottom w:val="none" w:sz="0" w:space="0" w:color="auto"/>
            <w:right w:val="none" w:sz="0" w:space="0" w:color="auto"/>
          </w:divBdr>
        </w:div>
      </w:divsChild>
    </w:div>
    <w:div w:id="164129898">
      <w:bodyDiv w:val="1"/>
      <w:marLeft w:val="0"/>
      <w:marRight w:val="0"/>
      <w:marTop w:val="0"/>
      <w:marBottom w:val="0"/>
      <w:divBdr>
        <w:top w:val="none" w:sz="0" w:space="0" w:color="auto"/>
        <w:left w:val="none" w:sz="0" w:space="0" w:color="auto"/>
        <w:bottom w:val="none" w:sz="0" w:space="0" w:color="auto"/>
        <w:right w:val="none" w:sz="0" w:space="0" w:color="auto"/>
      </w:divBdr>
    </w:div>
    <w:div w:id="164783831">
      <w:bodyDiv w:val="1"/>
      <w:marLeft w:val="0"/>
      <w:marRight w:val="0"/>
      <w:marTop w:val="0"/>
      <w:marBottom w:val="0"/>
      <w:divBdr>
        <w:top w:val="none" w:sz="0" w:space="0" w:color="auto"/>
        <w:left w:val="none" w:sz="0" w:space="0" w:color="auto"/>
        <w:bottom w:val="none" w:sz="0" w:space="0" w:color="auto"/>
        <w:right w:val="none" w:sz="0" w:space="0" w:color="auto"/>
      </w:divBdr>
    </w:div>
    <w:div w:id="179900088">
      <w:bodyDiv w:val="1"/>
      <w:marLeft w:val="0"/>
      <w:marRight w:val="0"/>
      <w:marTop w:val="0"/>
      <w:marBottom w:val="0"/>
      <w:divBdr>
        <w:top w:val="none" w:sz="0" w:space="0" w:color="auto"/>
        <w:left w:val="none" w:sz="0" w:space="0" w:color="auto"/>
        <w:bottom w:val="none" w:sz="0" w:space="0" w:color="auto"/>
        <w:right w:val="none" w:sz="0" w:space="0" w:color="auto"/>
      </w:divBdr>
    </w:div>
    <w:div w:id="181477460">
      <w:bodyDiv w:val="1"/>
      <w:marLeft w:val="0"/>
      <w:marRight w:val="0"/>
      <w:marTop w:val="0"/>
      <w:marBottom w:val="0"/>
      <w:divBdr>
        <w:top w:val="none" w:sz="0" w:space="0" w:color="auto"/>
        <w:left w:val="none" w:sz="0" w:space="0" w:color="auto"/>
        <w:bottom w:val="none" w:sz="0" w:space="0" w:color="auto"/>
        <w:right w:val="none" w:sz="0" w:space="0" w:color="auto"/>
      </w:divBdr>
    </w:div>
    <w:div w:id="182256714">
      <w:bodyDiv w:val="1"/>
      <w:marLeft w:val="0"/>
      <w:marRight w:val="0"/>
      <w:marTop w:val="0"/>
      <w:marBottom w:val="0"/>
      <w:divBdr>
        <w:top w:val="none" w:sz="0" w:space="0" w:color="auto"/>
        <w:left w:val="none" w:sz="0" w:space="0" w:color="auto"/>
        <w:bottom w:val="none" w:sz="0" w:space="0" w:color="auto"/>
        <w:right w:val="none" w:sz="0" w:space="0" w:color="auto"/>
      </w:divBdr>
    </w:div>
    <w:div w:id="182717188">
      <w:bodyDiv w:val="1"/>
      <w:marLeft w:val="0"/>
      <w:marRight w:val="0"/>
      <w:marTop w:val="0"/>
      <w:marBottom w:val="0"/>
      <w:divBdr>
        <w:top w:val="none" w:sz="0" w:space="0" w:color="auto"/>
        <w:left w:val="none" w:sz="0" w:space="0" w:color="auto"/>
        <w:bottom w:val="none" w:sz="0" w:space="0" w:color="auto"/>
        <w:right w:val="none" w:sz="0" w:space="0" w:color="auto"/>
      </w:divBdr>
      <w:divsChild>
        <w:div w:id="702286235">
          <w:marLeft w:val="0"/>
          <w:marRight w:val="0"/>
          <w:marTop w:val="0"/>
          <w:marBottom w:val="0"/>
          <w:divBdr>
            <w:top w:val="none" w:sz="0" w:space="0" w:color="auto"/>
            <w:left w:val="none" w:sz="0" w:space="0" w:color="auto"/>
            <w:bottom w:val="none" w:sz="0" w:space="0" w:color="auto"/>
            <w:right w:val="none" w:sz="0" w:space="0" w:color="auto"/>
          </w:divBdr>
        </w:div>
      </w:divsChild>
    </w:div>
    <w:div w:id="186600644">
      <w:bodyDiv w:val="1"/>
      <w:marLeft w:val="0"/>
      <w:marRight w:val="0"/>
      <w:marTop w:val="0"/>
      <w:marBottom w:val="0"/>
      <w:divBdr>
        <w:top w:val="none" w:sz="0" w:space="0" w:color="auto"/>
        <w:left w:val="none" w:sz="0" w:space="0" w:color="auto"/>
        <w:bottom w:val="none" w:sz="0" w:space="0" w:color="auto"/>
        <w:right w:val="none" w:sz="0" w:space="0" w:color="auto"/>
      </w:divBdr>
      <w:divsChild>
        <w:div w:id="352652052">
          <w:marLeft w:val="0"/>
          <w:marRight w:val="0"/>
          <w:marTop w:val="0"/>
          <w:marBottom w:val="0"/>
          <w:divBdr>
            <w:top w:val="none" w:sz="0" w:space="0" w:color="auto"/>
            <w:left w:val="none" w:sz="0" w:space="0" w:color="auto"/>
            <w:bottom w:val="none" w:sz="0" w:space="0" w:color="auto"/>
            <w:right w:val="none" w:sz="0" w:space="0" w:color="auto"/>
          </w:divBdr>
        </w:div>
      </w:divsChild>
    </w:div>
    <w:div w:id="186919085">
      <w:bodyDiv w:val="1"/>
      <w:marLeft w:val="0"/>
      <w:marRight w:val="0"/>
      <w:marTop w:val="0"/>
      <w:marBottom w:val="0"/>
      <w:divBdr>
        <w:top w:val="none" w:sz="0" w:space="0" w:color="auto"/>
        <w:left w:val="none" w:sz="0" w:space="0" w:color="auto"/>
        <w:bottom w:val="none" w:sz="0" w:space="0" w:color="auto"/>
        <w:right w:val="none" w:sz="0" w:space="0" w:color="auto"/>
      </w:divBdr>
      <w:divsChild>
        <w:div w:id="1164856899">
          <w:marLeft w:val="0"/>
          <w:marRight w:val="0"/>
          <w:marTop w:val="0"/>
          <w:marBottom w:val="0"/>
          <w:divBdr>
            <w:top w:val="none" w:sz="0" w:space="0" w:color="auto"/>
            <w:left w:val="none" w:sz="0" w:space="0" w:color="auto"/>
            <w:bottom w:val="none" w:sz="0" w:space="0" w:color="auto"/>
            <w:right w:val="none" w:sz="0" w:space="0" w:color="auto"/>
          </w:divBdr>
        </w:div>
      </w:divsChild>
    </w:div>
    <w:div w:id="191500936">
      <w:marLeft w:val="0"/>
      <w:marRight w:val="0"/>
      <w:marTop w:val="0"/>
      <w:marBottom w:val="0"/>
      <w:divBdr>
        <w:top w:val="none" w:sz="0" w:space="0" w:color="auto"/>
        <w:left w:val="none" w:sz="0" w:space="0" w:color="auto"/>
        <w:bottom w:val="none" w:sz="0" w:space="0" w:color="auto"/>
        <w:right w:val="none" w:sz="0" w:space="0" w:color="auto"/>
      </w:divBdr>
      <w:divsChild>
        <w:div w:id="706490348">
          <w:marLeft w:val="0"/>
          <w:marRight w:val="0"/>
          <w:marTop w:val="0"/>
          <w:marBottom w:val="0"/>
          <w:divBdr>
            <w:top w:val="none" w:sz="0" w:space="0" w:color="auto"/>
            <w:left w:val="none" w:sz="0" w:space="0" w:color="auto"/>
            <w:bottom w:val="none" w:sz="0" w:space="0" w:color="auto"/>
            <w:right w:val="none" w:sz="0" w:space="0" w:color="auto"/>
          </w:divBdr>
        </w:div>
      </w:divsChild>
    </w:div>
    <w:div w:id="194779392">
      <w:marLeft w:val="0"/>
      <w:marRight w:val="0"/>
      <w:marTop w:val="0"/>
      <w:marBottom w:val="0"/>
      <w:divBdr>
        <w:top w:val="none" w:sz="0" w:space="0" w:color="auto"/>
        <w:left w:val="none" w:sz="0" w:space="0" w:color="auto"/>
        <w:bottom w:val="none" w:sz="0" w:space="0" w:color="auto"/>
        <w:right w:val="none" w:sz="0" w:space="0" w:color="auto"/>
      </w:divBdr>
      <w:divsChild>
        <w:div w:id="1484926846">
          <w:marLeft w:val="0"/>
          <w:marRight w:val="0"/>
          <w:marTop w:val="0"/>
          <w:marBottom w:val="0"/>
          <w:divBdr>
            <w:top w:val="none" w:sz="0" w:space="0" w:color="auto"/>
            <w:left w:val="none" w:sz="0" w:space="0" w:color="auto"/>
            <w:bottom w:val="none" w:sz="0" w:space="0" w:color="auto"/>
            <w:right w:val="none" w:sz="0" w:space="0" w:color="auto"/>
          </w:divBdr>
        </w:div>
      </w:divsChild>
    </w:div>
    <w:div w:id="198204951">
      <w:bodyDiv w:val="1"/>
      <w:marLeft w:val="0"/>
      <w:marRight w:val="0"/>
      <w:marTop w:val="0"/>
      <w:marBottom w:val="0"/>
      <w:divBdr>
        <w:top w:val="none" w:sz="0" w:space="0" w:color="auto"/>
        <w:left w:val="none" w:sz="0" w:space="0" w:color="auto"/>
        <w:bottom w:val="none" w:sz="0" w:space="0" w:color="auto"/>
        <w:right w:val="none" w:sz="0" w:space="0" w:color="auto"/>
      </w:divBdr>
    </w:div>
    <w:div w:id="199632511">
      <w:marLeft w:val="0"/>
      <w:marRight w:val="0"/>
      <w:marTop w:val="0"/>
      <w:marBottom w:val="0"/>
      <w:divBdr>
        <w:top w:val="none" w:sz="0" w:space="0" w:color="auto"/>
        <w:left w:val="none" w:sz="0" w:space="0" w:color="auto"/>
        <w:bottom w:val="none" w:sz="0" w:space="0" w:color="auto"/>
        <w:right w:val="none" w:sz="0" w:space="0" w:color="auto"/>
      </w:divBdr>
      <w:divsChild>
        <w:div w:id="882986590">
          <w:marLeft w:val="0"/>
          <w:marRight w:val="0"/>
          <w:marTop w:val="0"/>
          <w:marBottom w:val="0"/>
          <w:divBdr>
            <w:top w:val="none" w:sz="0" w:space="0" w:color="auto"/>
            <w:left w:val="none" w:sz="0" w:space="0" w:color="auto"/>
            <w:bottom w:val="none" w:sz="0" w:space="0" w:color="auto"/>
            <w:right w:val="none" w:sz="0" w:space="0" w:color="auto"/>
          </w:divBdr>
        </w:div>
      </w:divsChild>
    </w:div>
    <w:div w:id="202064945">
      <w:bodyDiv w:val="1"/>
      <w:marLeft w:val="0"/>
      <w:marRight w:val="0"/>
      <w:marTop w:val="0"/>
      <w:marBottom w:val="0"/>
      <w:divBdr>
        <w:top w:val="none" w:sz="0" w:space="0" w:color="auto"/>
        <w:left w:val="none" w:sz="0" w:space="0" w:color="auto"/>
        <w:bottom w:val="none" w:sz="0" w:space="0" w:color="auto"/>
        <w:right w:val="none" w:sz="0" w:space="0" w:color="auto"/>
      </w:divBdr>
      <w:divsChild>
        <w:div w:id="1844516068">
          <w:marLeft w:val="0"/>
          <w:marRight w:val="0"/>
          <w:marTop w:val="0"/>
          <w:marBottom w:val="0"/>
          <w:divBdr>
            <w:top w:val="none" w:sz="0" w:space="0" w:color="auto"/>
            <w:left w:val="none" w:sz="0" w:space="0" w:color="auto"/>
            <w:bottom w:val="none" w:sz="0" w:space="0" w:color="auto"/>
            <w:right w:val="none" w:sz="0" w:space="0" w:color="auto"/>
          </w:divBdr>
        </w:div>
      </w:divsChild>
    </w:div>
    <w:div w:id="205140879">
      <w:bodyDiv w:val="1"/>
      <w:marLeft w:val="0"/>
      <w:marRight w:val="0"/>
      <w:marTop w:val="0"/>
      <w:marBottom w:val="0"/>
      <w:divBdr>
        <w:top w:val="none" w:sz="0" w:space="0" w:color="auto"/>
        <w:left w:val="none" w:sz="0" w:space="0" w:color="auto"/>
        <w:bottom w:val="none" w:sz="0" w:space="0" w:color="auto"/>
        <w:right w:val="none" w:sz="0" w:space="0" w:color="auto"/>
      </w:divBdr>
    </w:div>
    <w:div w:id="231426970">
      <w:bodyDiv w:val="1"/>
      <w:marLeft w:val="0"/>
      <w:marRight w:val="0"/>
      <w:marTop w:val="0"/>
      <w:marBottom w:val="0"/>
      <w:divBdr>
        <w:top w:val="none" w:sz="0" w:space="0" w:color="auto"/>
        <w:left w:val="none" w:sz="0" w:space="0" w:color="auto"/>
        <w:bottom w:val="none" w:sz="0" w:space="0" w:color="auto"/>
        <w:right w:val="none" w:sz="0" w:space="0" w:color="auto"/>
      </w:divBdr>
    </w:div>
    <w:div w:id="235476917">
      <w:marLeft w:val="0"/>
      <w:marRight w:val="0"/>
      <w:marTop w:val="0"/>
      <w:marBottom w:val="0"/>
      <w:divBdr>
        <w:top w:val="none" w:sz="0" w:space="0" w:color="auto"/>
        <w:left w:val="none" w:sz="0" w:space="0" w:color="auto"/>
        <w:bottom w:val="none" w:sz="0" w:space="0" w:color="auto"/>
        <w:right w:val="none" w:sz="0" w:space="0" w:color="auto"/>
      </w:divBdr>
      <w:divsChild>
        <w:div w:id="1488204303">
          <w:marLeft w:val="0"/>
          <w:marRight w:val="0"/>
          <w:marTop w:val="0"/>
          <w:marBottom w:val="0"/>
          <w:divBdr>
            <w:top w:val="none" w:sz="0" w:space="0" w:color="auto"/>
            <w:left w:val="none" w:sz="0" w:space="0" w:color="auto"/>
            <w:bottom w:val="none" w:sz="0" w:space="0" w:color="auto"/>
            <w:right w:val="none" w:sz="0" w:space="0" w:color="auto"/>
          </w:divBdr>
        </w:div>
      </w:divsChild>
    </w:div>
    <w:div w:id="240867676">
      <w:bodyDiv w:val="1"/>
      <w:marLeft w:val="0"/>
      <w:marRight w:val="0"/>
      <w:marTop w:val="0"/>
      <w:marBottom w:val="0"/>
      <w:divBdr>
        <w:top w:val="none" w:sz="0" w:space="0" w:color="auto"/>
        <w:left w:val="none" w:sz="0" w:space="0" w:color="auto"/>
        <w:bottom w:val="none" w:sz="0" w:space="0" w:color="auto"/>
        <w:right w:val="none" w:sz="0" w:space="0" w:color="auto"/>
      </w:divBdr>
    </w:div>
    <w:div w:id="248662041">
      <w:marLeft w:val="0"/>
      <w:marRight w:val="0"/>
      <w:marTop w:val="0"/>
      <w:marBottom w:val="0"/>
      <w:divBdr>
        <w:top w:val="none" w:sz="0" w:space="0" w:color="auto"/>
        <w:left w:val="none" w:sz="0" w:space="0" w:color="auto"/>
        <w:bottom w:val="none" w:sz="0" w:space="0" w:color="auto"/>
        <w:right w:val="none" w:sz="0" w:space="0" w:color="auto"/>
      </w:divBdr>
      <w:divsChild>
        <w:div w:id="1195650565">
          <w:marLeft w:val="0"/>
          <w:marRight w:val="0"/>
          <w:marTop w:val="0"/>
          <w:marBottom w:val="0"/>
          <w:divBdr>
            <w:top w:val="none" w:sz="0" w:space="0" w:color="auto"/>
            <w:left w:val="none" w:sz="0" w:space="0" w:color="auto"/>
            <w:bottom w:val="none" w:sz="0" w:space="0" w:color="auto"/>
            <w:right w:val="none" w:sz="0" w:space="0" w:color="auto"/>
          </w:divBdr>
        </w:div>
      </w:divsChild>
    </w:div>
    <w:div w:id="252905808">
      <w:bodyDiv w:val="1"/>
      <w:marLeft w:val="0"/>
      <w:marRight w:val="0"/>
      <w:marTop w:val="0"/>
      <w:marBottom w:val="0"/>
      <w:divBdr>
        <w:top w:val="none" w:sz="0" w:space="0" w:color="auto"/>
        <w:left w:val="none" w:sz="0" w:space="0" w:color="auto"/>
        <w:bottom w:val="none" w:sz="0" w:space="0" w:color="auto"/>
        <w:right w:val="none" w:sz="0" w:space="0" w:color="auto"/>
      </w:divBdr>
      <w:divsChild>
        <w:div w:id="1944804302">
          <w:marLeft w:val="0"/>
          <w:marRight w:val="0"/>
          <w:marTop w:val="0"/>
          <w:marBottom w:val="0"/>
          <w:divBdr>
            <w:top w:val="none" w:sz="0" w:space="0" w:color="auto"/>
            <w:left w:val="none" w:sz="0" w:space="0" w:color="auto"/>
            <w:bottom w:val="none" w:sz="0" w:space="0" w:color="auto"/>
            <w:right w:val="none" w:sz="0" w:space="0" w:color="auto"/>
          </w:divBdr>
        </w:div>
      </w:divsChild>
    </w:div>
    <w:div w:id="261181173">
      <w:bodyDiv w:val="1"/>
      <w:marLeft w:val="0"/>
      <w:marRight w:val="0"/>
      <w:marTop w:val="0"/>
      <w:marBottom w:val="0"/>
      <w:divBdr>
        <w:top w:val="none" w:sz="0" w:space="0" w:color="auto"/>
        <w:left w:val="none" w:sz="0" w:space="0" w:color="auto"/>
        <w:bottom w:val="none" w:sz="0" w:space="0" w:color="auto"/>
        <w:right w:val="none" w:sz="0" w:space="0" w:color="auto"/>
      </w:divBdr>
    </w:div>
    <w:div w:id="261645387">
      <w:marLeft w:val="0"/>
      <w:marRight w:val="0"/>
      <w:marTop w:val="0"/>
      <w:marBottom w:val="0"/>
      <w:divBdr>
        <w:top w:val="none" w:sz="0" w:space="0" w:color="auto"/>
        <w:left w:val="none" w:sz="0" w:space="0" w:color="auto"/>
        <w:bottom w:val="none" w:sz="0" w:space="0" w:color="auto"/>
        <w:right w:val="none" w:sz="0" w:space="0" w:color="auto"/>
      </w:divBdr>
      <w:divsChild>
        <w:div w:id="616833677">
          <w:marLeft w:val="0"/>
          <w:marRight w:val="0"/>
          <w:marTop w:val="0"/>
          <w:marBottom w:val="0"/>
          <w:divBdr>
            <w:top w:val="none" w:sz="0" w:space="0" w:color="auto"/>
            <w:left w:val="none" w:sz="0" w:space="0" w:color="auto"/>
            <w:bottom w:val="none" w:sz="0" w:space="0" w:color="auto"/>
            <w:right w:val="none" w:sz="0" w:space="0" w:color="auto"/>
          </w:divBdr>
        </w:div>
      </w:divsChild>
    </w:div>
    <w:div w:id="274560125">
      <w:bodyDiv w:val="1"/>
      <w:marLeft w:val="0"/>
      <w:marRight w:val="0"/>
      <w:marTop w:val="0"/>
      <w:marBottom w:val="0"/>
      <w:divBdr>
        <w:top w:val="none" w:sz="0" w:space="0" w:color="auto"/>
        <w:left w:val="none" w:sz="0" w:space="0" w:color="auto"/>
        <w:bottom w:val="none" w:sz="0" w:space="0" w:color="auto"/>
        <w:right w:val="none" w:sz="0" w:space="0" w:color="auto"/>
      </w:divBdr>
    </w:div>
    <w:div w:id="275718751">
      <w:bodyDiv w:val="1"/>
      <w:marLeft w:val="0"/>
      <w:marRight w:val="0"/>
      <w:marTop w:val="0"/>
      <w:marBottom w:val="0"/>
      <w:divBdr>
        <w:top w:val="none" w:sz="0" w:space="0" w:color="auto"/>
        <w:left w:val="none" w:sz="0" w:space="0" w:color="auto"/>
        <w:bottom w:val="none" w:sz="0" w:space="0" w:color="auto"/>
        <w:right w:val="none" w:sz="0" w:space="0" w:color="auto"/>
      </w:divBdr>
      <w:divsChild>
        <w:div w:id="945817858">
          <w:marLeft w:val="0"/>
          <w:marRight w:val="0"/>
          <w:marTop w:val="0"/>
          <w:marBottom w:val="0"/>
          <w:divBdr>
            <w:top w:val="none" w:sz="0" w:space="0" w:color="auto"/>
            <w:left w:val="none" w:sz="0" w:space="0" w:color="auto"/>
            <w:bottom w:val="none" w:sz="0" w:space="0" w:color="auto"/>
            <w:right w:val="none" w:sz="0" w:space="0" w:color="auto"/>
          </w:divBdr>
        </w:div>
      </w:divsChild>
    </w:div>
    <w:div w:id="277294736">
      <w:bodyDiv w:val="1"/>
      <w:marLeft w:val="0"/>
      <w:marRight w:val="0"/>
      <w:marTop w:val="0"/>
      <w:marBottom w:val="0"/>
      <w:divBdr>
        <w:top w:val="none" w:sz="0" w:space="0" w:color="auto"/>
        <w:left w:val="none" w:sz="0" w:space="0" w:color="auto"/>
        <w:bottom w:val="none" w:sz="0" w:space="0" w:color="auto"/>
        <w:right w:val="none" w:sz="0" w:space="0" w:color="auto"/>
      </w:divBdr>
    </w:div>
    <w:div w:id="282001691">
      <w:bodyDiv w:val="1"/>
      <w:marLeft w:val="0"/>
      <w:marRight w:val="0"/>
      <w:marTop w:val="0"/>
      <w:marBottom w:val="0"/>
      <w:divBdr>
        <w:top w:val="none" w:sz="0" w:space="0" w:color="auto"/>
        <w:left w:val="none" w:sz="0" w:space="0" w:color="auto"/>
        <w:bottom w:val="none" w:sz="0" w:space="0" w:color="auto"/>
        <w:right w:val="none" w:sz="0" w:space="0" w:color="auto"/>
      </w:divBdr>
    </w:div>
    <w:div w:id="285817018">
      <w:bodyDiv w:val="1"/>
      <w:marLeft w:val="0"/>
      <w:marRight w:val="0"/>
      <w:marTop w:val="0"/>
      <w:marBottom w:val="0"/>
      <w:divBdr>
        <w:top w:val="none" w:sz="0" w:space="0" w:color="auto"/>
        <w:left w:val="none" w:sz="0" w:space="0" w:color="auto"/>
        <w:bottom w:val="none" w:sz="0" w:space="0" w:color="auto"/>
        <w:right w:val="none" w:sz="0" w:space="0" w:color="auto"/>
      </w:divBdr>
    </w:div>
    <w:div w:id="295529896">
      <w:bodyDiv w:val="1"/>
      <w:marLeft w:val="0"/>
      <w:marRight w:val="0"/>
      <w:marTop w:val="0"/>
      <w:marBottom w:val="0"/>
      <w:divBdr>
        <w:top w:val="none" w:sz="0" w:space="0" w:color="auto"/>
        <w:left w:val="none" w:sz="0" w:space="0" w:color="auto"/>
        <w:bottom w:val="none" w:sz="0" w:space="0" w:color="auto"/>
        <w:right w:val="none" w:sz="0" w:space="0" w:color="auto"/>
      </w:divBdr>
      <w:divsChild>
        <w:div w:id="957225145">
          <w:marLeft w:val="0"/>
          <w:marRight w:val="0"/>
          <w:marTop w:val="0"/>
          <w:marBottom w:val="0"/>
          <w:divBdr>
            <w:top w:val="none" w:sz="0" w:space="0" w:color="auto"/>
            <w:left w:val="none" w:sz="0" w:space="0" w:color="auto"/>
            <w:bottom w:val="none" w:sz="0" w:space="0" w:color="auto"/>
            <w:right w:val="none" w:sz="0" w:space="0" w:color="auto"/>
          </w:divBdr>
        </w:div>
      </w:divsChild>
    </w:div>
    <w:div w:id="295651086">
      <w:bodyDiv w:val="1"/>
      <w:marLeft w:val="0"/>
      <w:marRight w:val="0"/>
      <w:marTop w:val="0"/>
      <w:marBottom w:val="0"/>
      <w:divBdr>
        <w:top w:val="none" w:sz="0" w:space="0" w:color="auto"/>
        <w:left w:val="none" w:sz="0" w:space="0" w:color="auto"/>
        <w:bottom w:val="none" w:sz="0" w:space="0" w:color="auto"/>
        <w:right w:val="none" w:sz="0" w:space="0" w:color="auto"/>
      </w:divBdr>
    </w:div>
    <w:div w:id="298654292">
      <w:bodyDiv w:val="1"/>
      <w:marLeft w:val="0"/>
      <w:marRight w:val="0"/>
      <w:marTop w:val="0"/>
      <w:marBottom w:val="0"/>
      <w:divBdr>
        <w:top w:val="none" w:sz="0" w:space="0" w:color="auto"/>
        <w:left w:val="none" w:sz="0" w:space="0" w:color="auto"/>
        <w:bottom w:val="none" w:sz="0" w:space="0" w:color="auto"/>
        <w:right w:val="none" w:sz="0" w:space="0" w:color="auto"/>
      </w:divBdr>
    </w:div>
    <w:div w:id="299309733">
      <w:bodyDiv w:val="1"/>
      <w:marLeft w:val="0"/>
      <w:marRight w:val="0"/>
      <w:marTop w:val="0"/>
      <w:marBottom w:val="0"/>
      <w:divBdr>
        <w:top w:val="none" w:sz="0" w:space="0" w:color="auto"/>
        <w:left w:val="none" w:sz="0" w:space="0" w:color="auto"/>
        <w:bottom w:val="none" w:sz="0" w:space="0" w:color="auto"/>
        <w:right w:val="none" w:sz="0" w:space="0" w:color="auto"/>
      </w:divBdr>
    </w:div>
    <w:div w:id="318506618">
      <w:bodyDiv w:val="1"/>
      <w:marLeft w:val="0"/>
      <w:marRight w:val="0"/>
      <w:marTop w:val="0"/>
      <w:marBottom w:val="0"/>
      <w:divBdr>
        <w:top w:val="none" w:sz="0" w:space="0" w:color="auto"/>
        <w:left w:val="none" w:sz="0" w:space="0" w:color="auto"/>
        <w:bottom w:val="none" w:sz="0" w:space="0" w:color="auto"/>
        <w:right w:val="none" w:sz="0" w:space="0" w:color="auto"/>
      </w:divBdr>
    </w:div>
    <w:div w:id="320087514">
      <w:bodyDiv w:val="1"/>
      <w:marLeft w:val="0"/>
      <w:marRight w:val="0"/>
      <w:marTop w:val="0"/>
      <w:marBottom w:val="0"/>
      <w:divBdr>
        <w:top w:val="none" w:sz="0" w:space="0" w:color="auto"/>
        <w:left w:val="none" w:sz="0" w:space="0" w:color="auto"/>
        <w:bottom w:val="none" w:sz="0" w:space="0" w:color="auto"/>
        <w:right w:val="none" w:sz="0" w:space="0" w:color="auto"/>
      </w:divBdr>
      <w:divsChild>
        <w:div w:id="50660980">
          <w:marLeft w:val="0"/>
          <w:marRight w:val="0"/>
          <w:marTop w:val="0"/>
          <w:marBottom w:val="0"/>
          <w:divBdr>
            <w:top w:val="none" w:sz="0" w:space="0" w:color="auto"/>
            <w:left w:val="none" w:sz="0" w:space="0" w:color="auto"/>
            <w:bottom w:val="none" w:sz="0" w:space="0" w:color="auto"/>
            <w:right w:val="none" w:sz="0" w:space="0" w:color="auto"/>
          </w:divBdr>
        </w:div>
      </w:divsChild>
    </w:div>
    <w:div w:id="321857923">
      <w:bodyDiv w:val="1"/>
      <w:marLeft w:val="0"/>
      <w:marRight w:val="0"/>
      <w:marTop w:val="0"/>
      <w:marBottom w:val="0"/>
      <w:divBdr>
        <w:top w:val="none" w:sz="0" w:space="0" w:color="auto"/>
        <w:left w:val="none" w:sz="0" w:space="0" w:color="auto"/>
        <w:bottom w:val="none" w:sz="0" w:space="0" w:color="auto"/>
        <w:right w:val="none" w:sz="0" w:space="0" w:color="auto"/>
      </w:divBdr>
      <w:divsChild>
        <w:div w:id="290327869">
          <w:marLeft w:val="0"/>
          <w:marRight w:val="0"/>
          <w:marTop w:val="0"/>
          <w:marBottom w:val="0"/>
          <w:divBdr>
            <w:top w:val="none" w:sz="0" w:space="0" w:color="auto"/>
            <w:left w:val="none" w:sz="0" w:space="0" w:color="auto"/>
            <w:bottom w:val="none" w:sz="0" w:space="0" w:color="auto"/>
            <w:right w:val="none" w:sz="0" w:space="0" w:color="auto"/>
          </w:divBdr>
        </w:div>
      </w:divsChild>
    </w:div>
    <w:div w:id="327293464">
      <w:bodyDiv w:val="1"/>
      <w:marLeft w:val="0"/>
      <w:marRight w:val="0"/>
      <w:marTop w:val="0"/>
      <w:marBottom w:val="0"/>
      <w:divBdr>
        <w:top w:val="none" w:sz="0" w:space="0" w:color="auto"/>
        <w:left w:val="none" w:sz="0" w:space="0" w:color="auto"/>
        <w:bottom w:val="none" w:sz="0" w:space="0" w:color="auto"/>
        <w:right w:val="none" w:sz="0" w:space="0" w:color="auto"/>
      </w:divBdr>
    </w:div>
    <w:div w:id="329338195">
      <w:bodyDiv w:val="1"/>
      <w:marLeft w:val="0"/>
      <w:marRight w:val="0"/>
      <w:marTop w:val="0"/>
      <w:marBottom w:val="0"/>
      <w:divBdr>
        <w:top w:val="none" w:sz="0" w:space="0" w:color="auto"/>
        <w:left w:val="none" w:sz="0" w:space="0" w:color="auto"/>
        <w:bottom w:val="none" w:sz="0" w:space="0" w:color="auto"/>
        <w:right w:val="none" w:sz="0" w:space="0" w:color="auto"/>
      </w:divBdr>
      <w:divsChild>
        <w:div w:id="1623415208">
          <w:marLeft w:val="0"/>
          <w:marRight w:val="0"/>
          <w:marTop w:val="0"/>
          <w:marBottom w:val="0"/>
          <w:divBdr>
            <w:top w:val="none" w:sz="0" w:space="0" w:color="auto"/>
            <w:left w:val="none" w:sz="0" w:space="0" w:color="auto"/>
            <w:bottom w:val="none" w:sz="0" w:space="0" w:color="auto"/>
            <w:right w:val="none" w:sz="0" w:space="0" w:color="auto"/>
          </w:divBdr>
        </w:div>
      </w:divsChild>
    </w:div>
    <w:div w:id="331567701">
      <w:bodyDiv w:val="1"/>
      <w:marLeft w:val="0"/>
      <w:marRight w:val="0"/>
      <w:marTop w:val="0"/>
      <w:marBottom w:val="0"/>
      <w:divBdr>
        <w:top w:val="none" w:sz="0" w:space="0" w:color="auto"/>
        <w:left w:val="none" w:sz="0" w:space="0" w:color="auto"/>
        <w:bottom w:val="none" w:sz="0" w:space="0" w:color="auto"/>
        <w:right w:val="none" w:sz="0" w:space="0" w:color="auto"/>
      </w:divBdr>
    </w:div>
    <w:div w:id="335576876">
      <w:bodyDiv w:val="1"/>
      <w:marLeft w:val="0"/>
      <w:marRight w:val="0"/>
      <w:marTop w:val="0"/>
      <w:marBottom w:val="0"/>
      <w:divBdr>
        <w:top w:val="none" w:sz="0" w:space="0" w:color="auto"/>
        <w:left w:val="none" w:sz="0" w:space="0" w:color="auto"/>
        <w:bottom w:val="none" w:sz="0" w:space="0" w:color="auto"/>
        <w:right w:val="none" w:sz="0" w:space="0" w:color="auto"/>
      </w:divBdr>
      <w:divsChild>
        <w:div w:id="1843349016">
          <w:marLeft w:val="0"/>
          <w:marRight w:val="0"/>
          <w:marTop w:val="0"/>
          <w:marBottom w:val="0"/>
          <w:divBdr>
            <w:top w:val="none" w:sz="0" w:space="0" w:color="auto"/>
            <w:left w:val="none" w:sz="0" w:space="0" w:color="auto"/>
            <w:bottom w:val="none" w:sz="0" w:space="0" w:color="auto"/>
            <w:right w:val="none" w:sz="0" w:space="0" w:color="auto"/>
          </w:divBdr>
        </w:div>
      </w:divsChild>
    </w:div>
    <w:div w:id="342322124">
      <w:bodyDiv w:val="1"/>
      <w:marLeft w:val="0"/>
      <w:marRight w:val="0"/>
      <w:marTop w:val="0"/>
      <w:marBottom w:val="0"/>
      <w:divBdr>
        <w:top w:val="none" w:sz="0" w:space="0" w:color="auto"/>
        <w:left w:val="none" w:sz="0" w:space="0" w:color="auto"/>
        <w:bottom w:val="none" w:sz="0" w:space="0" w:color="auto"/>
        <w:right w:val="none" w:sz="0" w:space="0" w:color="auto"/>
      </w:divBdr>
      <w:divsChild>
        <w:div w:id="294337864">
          <w:marLeft w:val="0"/>
          <w:marRight w:val="0"/>
          <w:marTop w:val="0"/>
          <w:marBottom w:val="0"/>
          <w:divBdr>
            <w:top w:val="none" w:sz="0" w:space="0" w:color="auto"/>
            <w:left w:val="none" w:sz="0" w:space="0" w:color="auto"/>
            <w:bottom w:val="none" w:sz="0" w:space="0" w:color="auto"/>
            <w:right w:val="none" w:sz="0" w:space="0" w:color="auto"/>
          </w:divBdr>
        </w:div>
        <w:div w:id="451361276">
          <w:marLeft w:val="0"/>
          <w:marRight w:val="0"/>
          <w:marTop w:val="0"/>
          <w:marBottom w:val="0"/>
          <w:divBdr>
            <w:top w:val="none" w:sz="0" w:space="0" w:color="auto"/>
            <w:left w:val="none" w:sz="0" w:space="0" w:color="auto"/>
            <w:bottom w:val="none" w:sz="0" w:space="0" w:color="auto"/>
            <w:right w:val="none" w:sz="0" w:space="0" w:color="auto"/>
          </w:divBdr>
        </w:div>
        <w:div w:id="1141463794">
          <w:marLeft w:val="0"/>
          <w:marRight w:val="0"/>
          <w:marTop w:val="0"/>
          <w:marBottom w:val="0"/>
          <w:divBdr>
            <w:top w:val="none" w:sz="0" w:space="0" w:color="auto"/>
            <w:left w:val="none" w:sz="0" w:space="0" w:color="auto"/>
            <w:bottom w:val="none" w:sz="0" w:space="0" w:color="auto"/>
            <w:right w:val="none" w:sz="0" w:space="0" w:color="auto"/>
          </w:divBdr>
        </w:div>
        <w:div w:id="1556044925">
          <w:marLeft w:val="0"/>
          <w:marRight w:val="0"/>
          <w:marTop w:val="0"/>
          <w:marBottom w:val="0"/>
          <w:divBdr>
            <w:top w:val="none" w:sz="0" w:space="0" w:color="auto"/>
            <w:left w:val="none" w:sz="0" w:space="0" w:color="auto"/>
            <w:bottom w:val="none" w:sz="0" w:space="0" w:color="auto"/>
            <w:right w:val="none" w:sz="0" w:space="0" w:color="auto"/>
          </w:divBdr>
        </w:div>
        <w:div w:id="2111460841">
          <w:marLeft w:val="0"/>
          <w:marRight w:val="0"/>
          <w:marTop w:val="0"/>
          <w:marBottom w:val="0"/>
          <w:divBdr>
            <w:top w:val="none" w:sz="0" w:space="0" w:color="auto"/>
            <w:left w:val="none" w:sz="0" w:space="0" w:color="auto"/>
            <w:bottom w:val="none" w:sz="0" w:space="0" w:color="auto"/>
            <w:right w:val="none" w:sz="0" w:space="0" w:color="auto"/>
          </w:divBdr>
        </w:div>
      </w:divsChild>
    </w:div>
    <w:div w:id="342322319">
      <w:bodyDiv w:val="1"/>
      <w:marLeft w:val="0"/>
      <w:marRight w:val="0"/>
      <w:marTop w:val="0"/>
      <w:marBottom w:val="0"/>
      <w:divBdr>
        <w:top w:val="none" w:sz="0" w:space="0" w:color="auto"/>
        <w:left w:val="none" w:sz="0" w:space="0" w:color="auto"/>
        <w:bottom w:val="none" w:sz="0" w:space="0" w:color="auto"/>
        <w:right w:val="none" w:sz="0" w:space="0" w:color="auto"/>
      </w:divBdr>
      <w:divsChild>
        <w:div w:id="35664233">
          <w:marLeft w:val="0"/>
          <w:marRight w:val="0"/>
          <w:marTop w:val="0"/>
          <w:marBottom w:val="0"/>
          <w:divBdr>
            <w:top w:val="none" w:sz="0" w:space="0" w:color="auto"/>
            <w:left w:val="none" w:sz="0" w:space="0" w:color="auto"/>
            <w:bottom w:val="none" w:sz="0" w:space="0" w:color="auto"/>
            <w:right w:val="none" w:sz="0" w:space="0" w:color="auto"/>
          </w:divBdr>
        </w:div>
      </w:divsChild>
    </w:div>
    <w:div w:id="347563163">
      <w:bodyDiv w:val="1"/>
      <w:marLeft w:val="0"/>
      <w:marRight w:val="0"/>
      <w:marTop w:val="0"/>
      <w:marBottom w:val="0"/>
      <w:divBdr>
        <w:top w:val="none" w:sz="0" w:space="0" w:color="auto"/>
        <w:left w:val="none" w:sz="0" w:space="0" w:color="auto"/>
        <w:bottom w:val="none" w:sz="0" w:space="0" w:color="auto"/>
        <w:right w:val="none" w:sz="0" w:space="0" w:color="auto"/>
      </w:divBdr>
    </w:div>
    <w:div w:id="360980887">
      <w:bodyDiv w:val="1"/>
      <w:marLeft w:val="0"/>
      <w:marRight w:val="0"/>
      <w:marTop w:val="0"/>
      <w:marBottom w:val="0"/>
      <w:divBdr>
        <w:top w:val="none" w:sz="0" w:space="0" w:color="auto"/>
        <w:left w:val="none" w:sz="0" w:space="0" w:color="auto"/>
        <w:bottom w:val="none" w:sz="0" w:space="0" w:color="auto"/>
        <w:right w:val="none" w:sz="0" w:space="0" w:color="auto"/>
      </w:divBdr>
      <w:divsChild>
        <w:div w:id="1656688955">
          <w:marLeft w:val="0"/>
          <w:marRight w:val="0"/>
          <w:marTop w:val="0"/>
          <w:marBottom w:val="0"/>
          <w:divBdr>
            <w:top w:val="none" w:sz="0" w:space="0" w:color="auto"/>
            <w:left w:val="none" w:sz="0" w:space="0" w:color="auto"/>
            <w:bottom w:val="none" w:sz="0" w:space="0" w:color="auto"/>
            <w:right w:val="none" w:sz="0" w:space="0" w:color="auto"/>
          </w:divBdr>
          <w:divsChild>
            <w:div w:id="349529311">
              <w:marLeft w:val="0"/>
              <w:marRight w:val="0"/>
              <w:marTop w:val="0"/>
              <w:marBottom w:val="0"/>
              <w:divBdr>
                <w:top w:val="none" w:sz="0" w:space="0" w:color="auto"/>
                <w:left w:val="none" w:sz="0" w:space="0" w:color="auto"/>
                <w:bottom w:val="none" w:sz="0" w:space="0" w:color="auto"/>
                <w:right w:val="none" w:sz="0" w:space="0" w:color="auto"/>
              </w:divBdr>
              <w:divsChild>
                <w:div w:id="1865555447">
                  <w:marLeft w:val="0"/>
                  <w:marRight w:val="0"/>
                  <w:marTop w:val="0"/>
                  <w:marBottom w:val="0"/>
                  <w:divBdr>
                    <w:top w:val="none" w:sz="0" w:space="0" w:color="auto"/>
                    <w:left w:val="none" w:sz="0" w:space="0" w:color="auto"/>
                    <w:bottom w:val="none" w:sz="0" w:space="0" w:color="auto"/>
                    <w:right w:val="none" w:sz="0" w:space="0" w:color="auto"/>
                  </w:divBdr>
                  <w:divsChild>
                    <w:div w:id="1338116390">
                      <w:marLeft w:val="0"/>
                      <w:marRight w:val="0"/>
                      <w:marTop w:val="0"/>
                      <w:marBottom w:val="0"/>
                      <w:divBdr>
                        <w:top w:val="none" w:sz="0" w:space="0" w:color="auto"/>
                        <w:left w:val="none" w:sz="0" w:space="0" w:color="auto"/>
                        <w:bottom w:val="none" w:sz="0" w:space="0" w:color="auto"/>
                        <w:right w:val="none" w:sz="0" w:space="0" w:color="auto"/>
                      </w:divBdr>
                      <w:divsChild>
                        <w:div w:id="539317956">
                          <w:marLeft w:val="0"/>
                          <w:marRight w:val="0"/>
                          <w:marTop w:val="0"/>
                          <w:marBottom w:val="0"/>
                          <w:divBdr>
                            <w:top w:val="none" w:sz="0" w:space="0" w:color="auto"/>
                            <w:left w:val="none" w:sz="0" w:space="0" w:color="auto"/>
                            <w:bottom w:val="none" w:sz="0" w:space="0" w:color="auto"/>
                            <w:right w:val="none" w:sz="0" w:space="0" w:color="auto"/>
                          </w:divBdr>
                          <w:divsChild>
                            <w:div w:id="17141913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62364634">
      <w:bodyDiv w:val="1"/>
      <w:marLeft w:val="0"/>
      <w:marRight w:val="0"/>
      <w:marTop w:val="0"/>
      <w:marBottom w:val="0"/>
      <w:divBdr>
        <w:top w:val="none" w:sz="0" w:space="0" w:color="auto"/>
        <w:left w:val="none" w:sz="0" w:space="0" w:color="auto"/>
        <w:bottom w:val="none" w:sz="0" w:space="0" w:color="auto"/>
        <w:right w:val="none" w:sz="0" w:space="0" w:color="auto"/>
      </w:divBdr>
      <w:divsChild>
        <w:div w:id="1391614703">
          <w:marLeft w:val="0"/>
          <w:marRight w:val="0"/>
          <w:marTop w:val="0"/>
          <w:marBottom w:val="0"/>
          <w:divBdr>
            <w:top w:val="none" w:sz="0" w:space="0" w:color="auto"/>
            <w:left w:val="none" w:sz="0" w:space="0" w:color="auto"/>
            <w:bottom w:val="none" w:sz="0" w:space="0" w:color="auto"/>
            <w:right w:val="none" w:sz="0" w:space="0" w:color="auto"/>
          </w:divBdr>
        </w:div>
      </w:divsChild>
    </w:div>
    <w:div w:id="369497747">
      <w:bodyDiv w:val="1"/>
      <w:marLeft w:val="0"/>
      <w:marRight w:val="0"/>
      <w:marTop w:val="0"/>
      <w:marBottom w:val="0"/>
      <w:divBdr>
        <w:top w:val="none" w:sz="0" w:space="0" w:color="auto"/>
        <w:left w:val="none" w:sz="0" w:space="0" w:color="auto"/>
        <w:bottom w:val="none" w:sz="0" w:space="0" w:color="auto"/>
        <w:right w:val="none" w:sz="0" w:space="0" w:color="auto"/>
      </w:divBdr>
    </w:div>
    <w:div w:id="372729530">
      <w:bodyDiv w:val="1"/>
      <w:marLeft w:val="0"/>
      <w:marRight w:val="0"/>
      <w:marTop w:val="0"/>
      <w:marBottom w:val="0"/>
      <w:divBdr>
        <w:top w:val="none" w:sz="0" w:space="0" w:color="auto"/>
        <w:left w:val="none" w:sz="0" w:space="0" w:color="auto"/>
        <w:bottom w:val="none" w:sz="0" w:space="0" w:color="auto"/>
        <w:right w:val="none" w:sz="0" w:space="0" w:color="auto"/>
      </w:divBdr>
    </w:div>
    <w:div w:id="377896106">
      <w:marLeft w:val="0"/>
      <w:marRight w:val="0"/>
      <w:marTop w:val="0"/>
      <w:marBottom w:val="0"/>
      <w:divBdr>
        <w:top w:val="none" w:sz="0" w:space="0" w:color="auto"/>
        <w:left w:val="none" w:sz="0" w:space="0" w:color="auto"/>
        <w:bottom w:val="none" w:sz="0" w:space="0" w:color="auto"/>
        <w:right w:val="none" w:sz="0" w:space="0" w:color="auto"/>
      </w:divBdr>
      <w:divsChild>
        <w:div w:id="1195315789">
          <w:marLeft w:val="0"/>
          <w:marRight w:val="0"/>
          <w:marTop w:val="0"/>
          <w:marBottom w:val="0"/>
          <w:divBdr>
            <w:top w:val="none" w:sz="0" w:space="0" w:color="auto"/>
            <w:left w:val="none" w:sz="0" w:space="0" w:color="auto"/>
            <w:bottom w:val="none" w:sz="0" w:space="0" w:color="auto"/>
            <w:right w:val="none" w:sz="0" w:space="0" w:color="auto"/>
          </w:divBdr>
        </w:div>
      </w:divsChild>
    </w:div>
    <w:div w:id="380712067">
      <w:bodyDiv w:val="1"/>
      <w:marLeft w:val="0"/>
      <w:marRight w:val="0"/>
      <w:marTop w:val="0"/>
      <w:marBottom w:val="0"/>
      <w:divBdr>
        <w:top w:val="none" w:sz="0" w:space="0" w:color="auto"/>
        <w:left w:val="none" w:sz="0" w:space="0" w:color="auto"/>
        <w:bottom w:val="none" w:sz="0" w:space="0" w:color="auto"/>
        <w:right w:val="none" w:sz="0" w:space="0" w:color="auto"/>
      </w:divBdr>
      <w:divsChild>
        <w:div w:id="499808275">
          <w:marLeft w:val="0"/>
          <w:marRight w:val="0"/>
          <w:marTop w:val="0"/>
          <w:marBottom w:val="0"/>
          <w:divBdr>
            <w:top w:val="none" w:sz="0" w:space="0" w:color="auto"/>
            <w:left w:val="none" w:sz="0" w:space="0" w:color="auto"/>
            <w:bottom w:val="none" w:sz="0" w:space="0" w:color="auto"/>
            <w:right w:val="none" w:sz="0" w:space="0" w:color="auto"/>
          </w:divBdr>
        </w:div>
      </w:divsChild>
    </w:div>
    <w:div w:id="389963516">
      <w:bodyDiv w:val="1"/>
      <w:marLeft w:val="0"/>
      <w:marRight w:val="0"/>
      <w:marTop w:val="0"/>
      <w:marBottom w:val="0"/>
      <w:divBdr>
        <w:top w:val="none" w:sz="0" w:space="0" w:color="auto"/>
        <w:left w:val="none" w:sz="0" w:space="0" w:color="auto"/>
        <w:bottom w:val="none" w:sz="0" w:space="0" w:color="auto"/>
        <w:right w:val="none" w:sz="0" w:space="0" w:color="auto"/>
      </w:divBdr>
    </w:div>
    <w:div w:id="391927270">
      <w:bodyDiv w:val="1"/>
      <w:marLeft w:val="0"/>
      <w:marRight w:val="0"/>
      <w:marTop w:val="0"/>
      <w:marBottom w:val="0"/>
      <w:divBdr>
        <w:top w:val="none" w:sz="0" w:space="0" w:color="auto"/>
        <w:left w:val="none" w:sz="0" w:space="0" w:color="auto"/>
        <w:bottom w:val="none" w:sz="0" w:space="0" w:color="auto"/>
        <w:right w:val="none" w:sz="0" w:space="0" w:color="auto"/>
      </w:divBdr>
    </w:div>
    <w:div w:id="391971940">
      <w:bodyDiv w:val="1"/>
      <w:marLeft w:val="0"/>
      <w:marRight w:val="0"/>
      <w:marTop w:val="0"/>
      <w:marBottom w:val="0"/>
      <w:divBdr>
        <w:top w:val="none" w:sz="0" w:space="0" w:color="auto"/>
        <w:left w:val="none" w:sz="0" w:space="0" w:color="auto"/>
        <w:bottom w:val="none" w:sz="0" w:space="0" w:color="auto"/>
        <w:right w:val="none" w:sz="0" w:space="0" w:color="auto"/>
      </w:divBdr>
    </w:div>
    <w:div w:id="397243494">
      <w:bodyDiv w:val="1"/>
      <w:marLeft w:val="0"/>
      <w:marRight w:val="0"/>
      <w:marTop w:val="0"/>
      <w:marBottom w:val="0"/>
      <w:divBdr>
        <w:top w:val="none" w:sz="0" w:space="0" w:color="auto"/>
        <w:left w:val="none" w:sz="0" w:space="0" w:color="auto"/>
        <w:bottom w:val="none" w:sz="0" w:space="0" w:color="auto"/>
        <w:right w:val="none" w:sz="0" w:space="0" w:color="auto"/>
      </w:divBdr>
    </w:div>
    <w:div w:id="397291206">
      <w:bodyDiv w:val="1"/>
      <w:marLeft w:val="0"/>
      <w:marRight w:val="0"/>
      <w:marTop w:val="0"/>
      <w:marBottom w:val="0"/>
      <w:divBdr>
        <w:top w:val="none" w:sz="0" w:space="0" w:color="auto"/>
        <w:left w:val="none" w:sz="0" w:space="0" w:color="auto"/>
        <w:bottom w:val="none" w:sz="0" w:space="0" w:color="auto"/>
        <w:right w:val="none" w:sz="0" w:space="0" w:color="auto"/>
      </w:divBdr>
      <w:divsChild>
        <w:div w:id="638191451">
          <w:marLeft w:val="0"/>
          <w:marRight w:val="0"/>
          <w:marTop w:val="0"/>
          <w:marBottom w:val="0"/>
          <w:divBdr>
            <w:top w:val="none" w:sz="0" w:space="0" w:color="auto"/>
            <w:left w:val="none" w:sz="0" w:space="0" w:color="auto"/>
            <w:bottom w:val="none" w:sz="0" w:space="0" w:color="auto"/>
            <w:right w:val="none" w:sz="0" w:space="0" w:color="auto"/>
          </w:divBdr>
        </w:div>
        <w:div w:id="1092513496">
          <w:marLeft w:val="0"/>
          <w:marRight w:val="0"/>
          <w:marTop w:val="0"/>
          <w:marBottom w:val="0"/>
          <w:divBdr>
            <w:top w:val="none" w:sz="0" w:space="0" w:color="auto"/>
            <w:left w:val="none" w:sz="0" w:space="0" w:color="auto"/>
            <w:bottom w:val="none" w:sz="0" w:space="0" w:color="auto"/>
            <w:right w:val="none" w:sz="0" w:space="0" w:color="auto"/>
          </w:divBdr>
        </w:div>
      </w:divsChild>
    </w:div>
    <w:div w:id="399788589">
      <w:bodyDiv w:val="1"/>
      <w:marLeft w:val="0"/>
      <w:marRight w:val="0"/>
      <w:marTop w:val="0"/>
      <w:marBottom w:val="0"/>
      <w:divBdr>
        <w:top w:val="none" w:sz="0" w:space="0" w:color="auto"/>
        <w:left w:val="none" w:sz="0" w:space="0" w:color="auto"/>
        <w:bottom w:val="none" w:sz="0" w:space="0" w:color="auto"/>
        <w:right w:val="none" w:sz="0" w:space="0" w:color="auto"/>
      </w:divBdr>
      <w:divsChild>
        <w:div w:id="2069915315">
          <w:marLeft w:val="0"/>
          <w:marRight w:val="0"/>
          <w:marTop w:val="0"/>
          <w:marBottom w:val="0"/>
          <w:divBdr>
            <w:top w:val="none" w:sz="0" w:space="0" w:color="auto"/>
            <w:left w:val="none" w:sz="0" w:space="0" w:color="auto"/>
            <w:bottom w:val="none" w:sz="0" w:space="0" w:color="auto"/>
            <w:right w:val="none" w:sz="0" w:space="0" w:color="auto"/>
          </w:divBdr>
        </w:div>
      </w:divsChild>
    </w:div>
    <w:div w:id="404307524">
      <w:bodyDiv w:val="1"/>
      <w:marLeft w:val="0"/>
      <w:marRight w:val="0"/>
      <w:marTop w:val="0"/>
      <w:marBottom w:val="0"/>
      <w:divBdr>
        <w:top w:val="none" w:sz="0" w:space="0" w:color="auto"/>
        <w:left w:val="none" w:sz="0" w:space="0" w:color="auto"/>
        <w:bottom w:val="none" w:sz="0" w:space="0" w:color="auto"/>
        <w:right w:val="none" w:sz="0" w:space="0" w:color="auto"/>
      </w:divBdr>
    </w:div>
    <w:div w:id="405884162">
      <w:bodyDiv w:val="1"/>
      <w:marLeft w:val="0"/>
      <w:marRight w:val="0"/>
      <w:marTop w:val="0"/>
      <w:marBottom w:val="0"/>
      <w:divBdr>
        <w:top w:val="none" w:sz="0" w:space="0" w:color="auto"/>
        <w:left w:val="none" w:sz="0" w:space="0" w:color="auto"/>
        <w:bottom w:val="none" w:sz="0" w:space="0" w:color="auto"/>
        <w:right w:val="none" w:sz="0" w:space="0" w:color="auto"/>
      </w:divBdr>
      <w:divsChild>
        <w:div w:id="65226834">
          <w:marLeft w:val="0"/>
          <w:marRight w:val="0"/>
          <w:marTop w:val="0"/>
          <w:marBottom w:val="0"/>
          <w:divBdr>
            <w:top w:val="none" w:sz="0" w:space="0" w:color="auto"/>
            <w:left w:val="none" w:sz="0" w:space="0" w:color="auto"/>
            <w:bottom w:val="none" w:sz="0" w:space="0" w:color="auto"/>
            <w:right w:val="none" w:sz="0" w:space="0" w:color="auto"/>
          </w:divBdr>
        </w:div>
      </w:divsChild>
    </w:div>
    <w:div w:id="406810155">
      <w:bodyDiv w:val="1"/>
      <w:marLeft w:val="0"/>
      <w:marRight w:val="0"/>
      <w:marTop w:val="0"/>
      <w:marBottom w:val="0"/>
      <w:divBdr>
        <w:top w:val="none" w:sz="0" w:space="0" w:color="auto"/>
        <w:left w:val="none" w:sz="0" w:space="0" w:color="auto"/>
        <w:bottom w:val="none" w:sz="0" w:space="0" w:color="auto"/>
        <w:right w:val="none" w:sz="0" w:space="0" w:color="auto"/>
      </w:divBdr>
    </w:div>
    <w:div w:id="411044480">
      <w:bodyDiv w:val="1"/>
      <w:marLeft w:val="0"/>
      <w:marRight w:val="0"/>
      <w:marTop w:val="0"/>
      <w:marBottom w:val="0"/>
      <w:divBdr>
        <w:top w:val="none" w:sz="0" w:space="0" w:color="auto"/>
        <w:left w:val="none" w:sz="0" w:space="0" w:color="auto"/>
        <w:bottom w:val="none" w:sz="0" w:space="0" w:color="auto"/>
        <w:right w:val="none" w:sz="0" w:space="0" w:color="auto"/>
      </w:divBdr>
    </w:div>
    <w:div w:id="413406197">
      <w:bodyDiv w:val="1"/>
      <w:marLeft w:val="0"/>
      <w:marRight w:val="0"/>
      <w:marTop w:val="0"/>
      <w:marBottom w:val="0"/>
      <w:divBdr>
        <w:top w:val="none" w:sz="0" w:space="0" w:color="auto"/>
        <w:left w:val="none" w:sz="0" w:space="0" w:color="auto"/>
        <w:bottom w:val="none" w:sz="0" w:space="0" w:color="auto"/>
        <w:right w:val="none" w:sz="0" w:space="0" w:color="auto"/>
      </w:divBdr>
    </w:div>
    <w:div w:id="424151870">
      <w:marLeft w:val="0"/>
      <w:marRight w:val="0"/>
      <w:marTop w:val="0"/>
      <w:marBottom w:val="0"/>
      <w:divBdr>
        <w:top w:val="none" w:sz="0" w:space="0" w:color="auto"/>
        <w:left w:val="none" w:sz="0" w:space="0" w:color="auto"/>
        <w:bottom w:val="none" w:sz="0" w:space="0" w:color="auto"/>
        <w:right w:val="none" w:sz="0" w:space="0" w:color="auto"/>
      </w:divBdr>
      <w:divsChild>
        <w:div w:id="1770618826">
          <w:marLeft w:val="0"/>
          <w:marRight w:val="0"/>
          <w:marTop w:val="0"/>
          <w:marBottom w:val="0"/>
          <w:divBdr>
            <w:top w:val="none" w:sz="0" w:space="0" w:color="auto"/>
            <w:left w:val="none" w:sz="0" w:space="0" w:color="auto"/>
            <w:bottom w:val="none" w:sz="0" w:space="0" w:color="auto"/>
            <w:right w:val="none" w:sz="0" w:space="0" w:color="auto"/>
          </w:divBdr>
        </w:div>
      </w:divsChild>
    </w:div>
    <w:div w:id="424956596">
      <w:marLeft w:val="0"/>
      <w:marRight w:val="0"/>
      <w:marTop w:val="0"/>
      <w:marBottom w:val="0"/>
      <w:divBdr>
        <w:top w:val="none" w:sz="0" w:space="0" w:color="auto"/>
        <w:left w:val="none" w:sz="0" w:space="0" w:color="auto"/>
        <w:bottom w:val="none" w:sz="0" w:space="0" w:color="auto"/>
        <w:right w:val="none" w:sz="0" w:space="0" w:color="auto"/>
      </w:divBdr>
      <w:divsChild>
        <w:div w:id="1089614992">
          <w:marLeft w:val="0"/>
          <w:marRight w:val="0"/>
          <w:marTop w:val="0"/>
          <w:marBottom w:val="0"/>
          <w:divBdr>
            <w:top w:val="none" w:sz="0" w:space="0" w:color="auto"/>
            <w:left w:val="none" w:sz="0" w:space="0" w:color="auto"/>
            <w:bottom w:val="none" w:sz="0" w:space="0" w:color="auto"/>
            <w:right w:val="none" w:sz="0" w:space="0" w:color="auto"/>
          </w:divBdr>
        </w:div>
      </w:divsChild>
    </w:div>
    <w:div w:id="434908582">
      <w:marLeft w:val="0"/>
      <w:marRight w:val="0"/>
      <w:marTop w:val="0"/>
      <w:marBottom w:val="0"/>
      <w:divBdr>
        <w:top w:val="none" w:sz="0" w:space="0" w:color="auto"/>
        <w:left w:val="none" w:sz="0" w:space="0" w:color="auto"/>
        <w:bottom w:val="none" w:sz="0" w:space="0" w:color="auto"/>
        <w:right w:val="none" w:sz="0" w:space="0" w:color="auto"/>
      </w:divBdr>
      <w:divsChild>
        <w:div w:id="1281034198">
          <w:marLeft w:val="0"/>
          <w:marRight w:val="0"/>
          <w:marTop w:val="0"/>
          <w:marBottom w:val="0"/>
          <w:divBdr>
            <w:top w:val="none" w:sz="0" w:space="0" w:color="auto"/>
            <w:left w:val="none" w:sz="0" w:space="0" w:color="auto"/>
            <w:bottom w:val="none" w:sz="0" w:space="0" w:color="auto"/>
            <w:right w:val="none" w:sz="0" w:space="0" w:color="auto"/>
          </w:divBdr>
        </w:div>
      </w:divsChild>
    </w:div>
    <w:div w:id="440497371">
      <w:bodyDiv w:val="1"/>
      <w:marLeft w:val="0"/>
      <w:marRight w:val="0"/>
      <w:marTop w:val="0"/>
      <w:marBottom w:val="0"/>
      <w:divBdr>
        <w:top w:val="none" w:sz="0" w:space="0" w:color="auto"/>
        <w:left w:val="none" w:sz="0" w:space="0" w:color="auto"/>
        <w:bottom w:val="none" w:sz="0" w:space="0" w:color="auto"/>
        <w:right w:val="none" w:sz="0" w:space="0" w:color="auto"/>
      </w:divBdr>
    </w:div>
    <w:div w:id="443426694">
      <w:marLeft w:val="0"/>
      <w:marRight w:val="0"/>
      <w:marTop w:val="0"/>
      <w:marBottom w:val="0"/>
      <w:divBdr>
        <w:top w:val="none" w:sz="0" w:space="0" w:color="auto"/>
        <w:left w:val="none" w:sz="0" w:space="0" w:color="auto"/>
        <w:bottom w:val="none" w:sz="0" w:space="0" w:color="auto"/>
        <w:right w:val="none" w:sz="0" w:space="0" w:color="auto"/>
      </w:divBdr>
      <w:divsChild>
        <w:div w:id="805972435">
          <w:marLeft w:val="0"/>
          <w:marRight w:val="0"/>
          <w:marTop w:val="0"/>
          <w:marBottom w:val="0"/>
          <w:divBdr>
            <w:top w:val="none" w:sz="0" w:space="0" w:color="auto"/>
            <w:left w:val="none" w:sz="0" w:space="0" w:color="auto"/>
            <w:bottom w:val="none" w:sz="0" w:space="0" w:color="auto"/>
            <w:right w:val="none" w:sz="0" w:space="0" w:color="auto"/>
          </w:divBdr>
        </w:div>
      </w:divsChild>
    </w:div>
    <w:div w:id="446897827">
      <w:bodyDiv w:val="1"/>
      <w:marLeft w:val="0"/>
      <w:marRight w:val="0"/>
      <w:marTop w:val="0"/>
      <w:marBottom w:val="0"/>
      <w:divBdr>
        <w:top w:val="none" w:sz="0" w:space="0" w:color="auto"/>
        <w:left w:val="none" w:sz="0" w:space="0" w:color="auto"/>
        <w:bottom w:val="none" w:sz="0" w:space="0" w:color="auto"/>
        <w:right w:val="none" w:sz="0" w:space="0" w:color="auto"/>
      </w:divBdr>
    </w:div>
    <w:div w:id="447431312">
      <w:bodyDiv w:val="1"/>
      <w:marLeft w:val="0"/>
      <w:marRight w:val="0"/>
      <w:marTop w:val="0"/>
      <w:marBottom w:val="0"/>
      <w:divBdr>
        <w:top w:val="none" w:sz="0" w:space="0" w:color="auto"/>
        <w:left w:val="none" w:sz="0" w:space="0" w:color="auto"/>
        <w:bottom w:val="none" w:sz="0" w:space="0" w:color="auto"/>
        <w:right w:val="none" w:sz="0" w:space="0" w:color="auto"/>
      </w:divBdr>
    </w:div>
    <w:div w:id="452017884">
      <w:bodyDiv w:val="1"/>
      <w:marLeft w:val="0"/>
      <w:marRight w:val="0"/>
      <w:marTop w:val="0"/>
      <w:marBottom w:val="0"/>
      <w:divBdr>
        <w:top w:val="none" w:sz="0" w:space="0" w:color="auto"/>
        <w:left w:val="none" w:sz="0" w:space="0" w:color="auto"/>
        <w:bottom w:val="none" w:sz="0" w:space="0" w:color="auto"/>
        <w:right w:val="none" w:sz="0" w:space="0" w:color="auto"/>
      </w:divBdr>
      <w:divsChild>
        <w:div w:id="810053295">
          <w:marLeft w:val="0"/>
          <w:marRight w:val="0"/>
          <w:marTop w:val="0"/>
          <w:marBottom w:val="0"/>
          <w:divBdr>
            <w:top w:val="none" w:sz="0" w:space="0" w:color="auto"/>
            <w:left w:val="none" w:sz="0" w:space="0" w:color="auto"/>
            <w:bottom w:val="none" w:sz="0" w:space="0" w:color="auto"/>
            <w:right w:val="none" w:sz="0" w:space="0" w:color="auto"/>
          </w:divBdr>
        </w:div>
      </w:divsChild>
    </w:div>
    <w:div w:id="452599914">
      <w:bodyDiv w:val="1"/>
      <w:marLeft w:val="0"/>
      <w:marRight w:val="0"/>
      <w:marTop w:val="0"/>
      <w:marBottom w:val="0"/>
      <w:divBdr>
        <w:top w:val="none" w:sz="0" w:space="0" w:color="auto"/>
        <w:left w:val="none" w:sz="0" w:space="0" w:color="auto"/>
        <w:bottom w:val="none" w:sz="0" w:space="0" w:color="auto"/>
        <w:right w:val="none" w:sz="0" w:space="0" w:color="auto"/>
      </w:divBdr>
      <w:divsChild>
        <w:div w:id="593317624">
          <w:marLeft w:val="0"/>
          <w:marRight w:val="0"/>
          <w:marTop w:val="0"/>
          <w:marBottom w:val="0"/>
          <w:divBdr>
            <w:top w:val="none" w:sz="0" w:space="0" w:color="auto"/>
            <w:left w:val="none" w:sz="0" w:space="0" w:color="auto"/>
            <w:bottom w:val="none" w:sz="0" w:space="0" w:color="auto"/>
            <w:right w:val="none" w:sz="0" w:space="0" w:color="auto"/>
          </w:divBdr>
        </w:div>
      </w:divsChild>
    </w:div>
    <w:div w:id="455753141">
      <w:bodyDiv w:val="1"/>
      <w:marLeft w:val="0"/>
      <w:marRight w:val="0"/>
      <w:marTop w:val="0"/>
      <w:marBottom w:val="0"/>
      <w:divBdr>
        <w:top w:val="none" w:sz="0" w:space="0" w:color="auto"/>
        <w:left w:val="none" w:sz="0" w:space="0" w:color="auto"/>
        <w:bottom w:val="none" w:sz="0" w:space="0" w:color="auto"/>
        <w:right w:val="none" w:sz="0" w:space="0" w:color="auto"/>
      </w:divBdr>
    </w:div>
    <w:div w:id="456218645">
      <w:bodyDiv w:val="1"/>
      <w:marLeft w:val="0"/>
      <w:marRight w:val="0"/>
      <w:marTop w:val="0"/>
      <w:marBottom w:val="0"/>
      <w:divBdr>
        <w:top w:val="none" w:sz="0" w:space="0" w:color="auto"/>
        <w:left w:val="none" w:sz="0" w:space="0" w:color="auto"/>
        <w:bottom w:val="none" w:sz="0" w:space="0" w:color="auto"/>
        <w:right w:val="none" w:sz="0" w:space="0" w:color="auto"/>
      </w:divBdr>
    </w:div>
    <w:div w:id="459037632">
      <w:bodyDiv w:val="1"/>
      <w:marLeft w:val="0"/>
      <w:marRight w:val="0"/>
      <w:marTop w:val="0"/>
      <w:marBottom w:val="0"/>
      <w:divBdr>
        <w:top w:val="none" w:sz="0" w:space="0" w:color="auto"/>
        <w:left w:val="none" w:sz="0" w:space="0" w:color="auto"/>
        <w:bottom w:val="none" w:sz="0" w:space="0" w:color="auto"/>
        <w:right w:val="none" w:sz="0" w:space="0" w:color="auto"/>
      </w:divBdr>
      <w:divsChild>
        <w:div w:id="1392994175">
          <w:marLeft w:val="0"/>
          <w:marRight w:val="0"/>
          <w:marTop w:val="0"/>
          <w:marBottom w:val="0"/>
          <w:divBdr>
            <w:top w:val="none" w:sz="0" w:space="0" w:color="auto"/>
            <w:left w:val="none" w:sz="0" w:space="0" w:color="auto"/>
            <w:bottom w:val="none" w:sz="0" w:space="0" w:color="auto"/>
            <w:right w:val="none" w:sz="0" w:space="0" w:color="auto"/>
          </w:divBdr>
        </w:div>
      </w:divsChild>
    </w:div>
    <w:div w:id="459081668">
      <w:bodyDiv w:val="1"/>
      <w:marLeft w:val="0"/>
      <w:marRight w:val="0"/>
      <w:marTop w:val="0"/>
      <w:marBottom w:val="0"/>
      <w:divBdr>
        <w:top w:val="none" w:sz="0" w:space="0" w:color="auto"/>
        <w:left w:val="none" w:sz="0" w:space="0" w:color="auto"/>
        <w:bottom w:val="none" w:sz="0" w:space="0" w:color="auto"/>
        <w:right w:val="none" w:sz="0" w:space="0" w:color="auto"/>
      </w:divBdr>
    </w:div>
    <w:div w:id="460879437">
      <w:bodyDiv w:val="1"/>
      <w:marLeft w:val="0"/>
      <w:marRight w:val="0"/>
      <w:marTop w:val="0"/>
      <w:marBottom w:val="0"/>
      <w:divBdr>
        <w:top w:val="none" w:sz="0" w:space="0" w:color="auto"/>
        <w:left w:val="none" w:sz="0" w:space="0" w:color="auto"/>
        <w:bottom w:val="none" w:sz="0" w:space="0" w:color="auto"/>
        <w:right w:val="none" w:sz="0" w:space="0" w:color="auto"/>
      </w:divBdr>
    </w:div>
    <w:div w:id="462119070">
      <w:bodyDiv w:val="1"/>
      <w:marLeft w:val="0"/>
      <w:marRight w:val="0"/>
      <w:marTop w:val="0"/>
      <w:marBottom w:val="0"/>
      <w:divBdr>
        <w:top w:val="none" w:sz="0" w:space="0" w:color="auto"/>
        <w:left w:val="none" w:sz="0" w:space="0" w:color="auto"/>
        <w:bottom w:val="none" w:sz="0" w:space="0" w:color="auto"/>
        <w:right w:val="none" w:sz="0" w:space="0" w:color="auto"/>
      </w:divBdr>
    </w:div>
    <w:div w:id="467820375">
      <w:bodyDiv w:val="1"/>
      <w:marLeft w:val="0"/>
      <w:marRight w:val="0"/>
      <w:marTop w:val="0"/>
      <w:marBottom w:val="0"/>
      <w:divBdr>
        <w:top w:val="none" w:sz="0" w:space="0" w:color="auto"/>
        <w:left w:val="none" w:sz="0" w:space="0" w:color="auto"/>
        <w:bottom w:val="none" w:sz="0" w:space="0" w:color="auto"/>
        <w:right w:val="none" w:sz="0" w:space="0" w:color="auto"/>
      </w:divBdr>
    </w:div>
    <w:div w:id="469128979">
      <w:bodyDiv w:val="1"/>
      <w:marLeft w:val="0"/>
      <w:marRight w:val="0"/>
      <w:marTop w:val="0"/>
      <w:marBottom w:val="0"/>
      <w:divBdr>
        <w:top w:val="none" w:sz="0" w:space="0" w:color="auto"/>
        <w:left w:val="none" w:sz="0" w:space="0" w:color="auto"/>
        <w:bottom w:val="none" w:sz="0" w:space="0" w:color="auto"/>
        <w:right w:val="none" w:sz="0" w:space="0" w:color="auto"/>
      </w:divBdr>
    </w:div>
    <w:div w:id="477500551">
      <w:bodyDiv w:val="1"/>
      <w:marLeft w:val="0"/>
      <w:marRight w:val="0"/>
      <w:marTop w:val="0"/>
      <w:marBottom w:val="0"/>
      <w:divBdr>
        <w:top w:val="none" w:sz="0" w:space="0" w:color="auto"/>
        <w:left w:val="none" w:sz="0" w:space="0" w:color="auto"/>
        <w:bottom w:val="none" w:sz="0" w:space="0" w:color="auto"/>
        <w:right w:val="none" w:sz="0" w:space="0" w:color="auto"/>
      </w:divBdr>
    </w:div>
    <w:div w:id="477571870">
      <w:bodyDiv w:val="1"/>
      <w:marLeft w:val="0"/>
      <w:marRight w:val="0"/>
      <w:marTop w:val="0"/>
      <w:marBottom w:val="0"/>
      <w:divBdr>
        <w:top w:val="none" w:sz="0" w:space="0" w:color="auto"/>
        <w:left w:val="none" w:sz="0" w:space="0" w:color="auto"/>
        <w:bottom w:val="none" w:sz="0" w:space="0" w:color="auto"/>
        <w:right w:val="none" w:sz="0" w:space="0" w:color="auto"/>
      </w:divBdr>
    </w:div>
    <w:div w:id="482746794">
      <w:marLeft w:val="0"/>
      <w:marRight w:val="0"/>
      <w:marTop w:val="0"/>
      <w:marBottom w:val="0"/>
      <w:divBdr>
        <w:top w:val="none" w:sz="0" w:space="0" w:color="auto"/>
        <w:left w:val="none" w:sz="0" w:space="0" w:color="auto"/>
        <w:bottom w:val="none" w:sz="0" w:space="0" w:color="auto"/>
        <w:right w:val="none" w:sz="0" w:space="0" w:color="auto"/>
      </w:divBdr>
      <w:divsChild>
        <w:div w:id="574169378">
          <w:marLeft w:val="0"/>
          <w:marRight w:val="0"/>
          <w:marTop w:val="0"/>
          <w:marBottom w:val="0"/>
          <w:divBdr>
            <w:top w:val="none" w:sz="0" w:space="0" w:color="auto"/>
            <w:left w:val="none" w:sz="0" w:space="0" w:color="auto"/>
            <w:bottom w:val="none" w:sz="0" w:space="0" w:color="auto"/>
            <w:right w:val="none" w:sz="0" w:space="0" w:color="auto"/>
          </w:divBdr>
        </w:div>
      </w:divsChild>
    </w:div>
    <w:div w:id="483160696">
      <w:bodyDiv w:val="1"/>
      <w:marLeft w:val="0"/>
      <w:marRight w:val="0"/>
      <w:marTop w:val="0"/>
      <w:marBottom w:val="0"/>
      <w:divBdr>
        <w:top w:val="none" w:sz="0" w:space="0" w:color="auto"/>
        <w:left w:val="none" w:sz="0" w:space="0" w:color="auto"/>
        <w:bottom w:val="none" w:sz="0" w:space="0" w:color="auto"/>
        <w:right w:val="none" w:sz="0" w:space="0" w:color="auto"/>
      </w:divBdr>
    </w:div>
    <w:div w:id="496309492">
      <w:bodyDiv w:val="1"/>
      <w:marLeft w:val="0"/>
      <w:marRight w:val="0"/>
      <w:marTop w:val="0"/>
      <w:marBottom w:val="0"/>
      <w:divBdr>
        <w:top w:val="none" w:sz="0" w:space="0" w:color="auto"/>
        <w:left w:val="none" w:sz="0" w:space="0" w:color="auto"/>
        <w:bottom w:val="none" w:sz="0" w:space="0" w:color="auto"/>
        <w:right w:val="none" w:sz="0" w:space="0" w:color="auto"/>
      </w:divBdr>
    </w:div>
    <w:div w:id="502549256">
      <w:bodyDiv w:val="1"/>
      <w:marLeft w:val="0"/>
      <w:marRight w:val="0"/>
      <w:marTop w:val="0"/>
      <w:marBottom w:val="0"/>
      <w:divBdr>
        <w:top w:val="none" w:sz="0" w:space="0" w:color="auto"/>
        <w:left w:val="none" w:sz="0" w:space="0" w:color="auto"/>
        <w:bottom w:val="none" w:sz="0" w:space="0" w:color="auto"/>
        <w:right w:val="none" w:sz="0" w:space="0" w:color="auto"/>
      </w:divBdr>
    </w:div>
    <w:div w:id="509806133">
      <w:bodyDiv w:val="1"/>
      <w:marLeft w:val="0"/>
      <w:marRight w:val="0"/>
      <w:marTop w:val="0"/>
      <w:marBottom w:val="0"/>
      <w:divBdr>
        <w:top w:val="none" w:sz="0" w:space="0" w:color="auto"/>
        <w:left w:val="none" w:sz="0" w:space="0" w:color="auto"/>
        <w:bottom w:val="none" w:sz="0" w:space="0" w:color="auto"/>
        <w:right w:val="none" w:sz="0" w:space="0" w:color="auto"/>
      </w:divBdr>
    </w:div>
    <w:div w:id="510071130">
      <w:bodyDiv w:val="1"/>
      <w:marLeft w:val="0"/>
      <w:marRight w:val="0"/>
      <w:marTop w:val="0"/>
      <w:marBottom w:val="0"/>
      <w:divBdr>
        <w:top w:val="none" w:sz="0" w:space="0" w:color="auto"/>
        <w:left w:val="none" w:sz="0" w:space="0" w:color="auto"/>
        <w:bottom w:val="none" w:sz="0" w:space="0" w:color="auto"/>
        <w:right w:val="none" w:sz="0" w:space="0" w:color="auto"/>
      </w:divBdr>
    </w:div>
    <w:div w:id="510293435">
      <w:bodyDiv w:val="1"/>
      <w:marLeft w:val="0"/>
      <w:marRight w:val="0"/>
      <w:marTop w:val="0"/>
      <w:marBottom w:val="0"/>
      <w:divBdr>
        <w:top w:val="none" w:sz="0" w:space="0" w:color="auto"/>
        <w:left w:val="none" w:sz="0" w:space="0" w:color="auto"/>
        <w:bottom w:val="none" w:sz="0" w:space="0" w:color="auto"/>
        <w:right w:val="none" w:sz="0" w:space="0" w:color="auto"/>
      </w:divBdr>
    </w:div>
    <w:div w:id="515579422">
      <w:bodyDiv w:val="1"/>
      <w:marLeft w:val="0"/>
      <w:marRight w:val="0"/>
      <w:marTop w:val="0"/>
      <w:marBottom w:val="0"/>
      <w:divBdr>
        <w:top w:val="none" w:sz="0" w:space="0" w:color="auto"/>
        <w:left w:val="none" w:sz="0" w:space="0" w:color="auto"/>
        <w:bottom w:val="none" w:sz="0" w:space="0" w:color="auto"/>
        <w:right w:val="none" w:sz="0" w:space="0" w:color="auto"/>
      </w:divBdr>
    </w:div>
    <w:div w:id="516042392">
      <w:bodyDiv w:val="1"/>
      <w:marLeft w:val="0"/>
      <w:marRight w:val="0"/>
      <w:marTop w:val="0"/>
      <w:marBottom w:val="0"/>
      <w:divBdr>
        <w:top w:val="none" w:sz="0" w:space="0" w:color="auto"/>
        <w:left w:val="none" w:sz="0" w:space="0" w:color="auto"/>
        <w:bottom w:val="none" w:sz="0" w:space="0" w:color="auto"/>
        <w:right w:val="none" w:sz="0" w:space="0" w:color="auto"/>
      </w:divBdr>
      <w:divsChild>
        <w:div w:id="123666533">
          <w:marLeft w:val="0"/>
          <w:marRight w:val="0"/>
          <w:marTop w:val="0"/>
          <w:marBottom w:val="0"/>
          <w:divBdr>
            <w:top w:val="none" w:sz="0" w:space="0" w:color="auto"/>
            <w:left w:val="none" w:sz="0" w:space="0" w:color="auto"/>
            <w:bottom w:val="none" w:sz="0" w:space="0" w:color="auto"/>
            <w:right w:val="none" w:sz="0" w:space="0" w:color="auto"/>
          </w:divBdr>
        </w:div>
      </w:divsChild>
    </w:div>
    <w:div w:id="517694807">
      <w:bodyDiv w:val="1"/>
      <w:marLeft w:val="0"/>
      <w:marRight w:val="0"/>
      <w:marTop w:val="0"/>
      <w:marBottom w:val="0"/>
      <w:divBdr>
        <w:top w:val="none" w:sz="0" w:space="0" w:color="auto"/>
        <w:left w:val="none" w:sz="0" w:space="0" w:color="auto"/>
        <w:bottom w:val="none" w:sz="0" w:space="0" w:color="auto"/>
        <w:right w:val="none" w:sz="0" w:space="0" w:color="auto"/>
      </w:divBdr>
    </w:div>
    <w:div w:id="521826973">
      <w:bodyDiv w:val="1"/>
      <w:marLeft w:val="0"/>
      <w:marRight w:val="0"/>
      <w:marTop w:val="0"/>
      <w:marBottom w:val="0"/>
      <w:divBdr>
        <w:top w:val="none" w:sz="0" w:space="0" w:color="auto"/>
        <w:left w:val="none" w:sz="0" w:space="0" w:color="auto"/>
        <w:bottom w:val="none" w:sz="0" w:space="0" w:color="auto"/>
        <w:right w:val="none" w:sz="0" w:space="0" w:color="auto"/>
      </w:divBdr>
      <w:divsChild>
        <w:div w:id="1313950025">
          <w:marLeft w:val="0"/>
          <w:marRight w:val="0"/>
          <w:marTop w:val="0"/>
          <w:marBottom w:val="0"/>
          <w:divBdr>
            <w:top w:val="none" w:sz="0" w:space="0" w:color="auto"/>
            <w:left w:val="none" w:sz="0" w:space="0" w:color="auto"/>
            <w:bottom w:val="none" w:sz="0" w:space="0" w:color="auto"/>
            <w:right w:val="none" w:sz="0" w:space="0" w:color="auto"/>
          </w:divBdr>
        </w:div>
      </w:divsChild>
    </w:div>
    <w:div w:id="528302521">
      <w:marLeft w:val="0"/>
      <w:marRight w:val="0"/>
      <w:marTop w:val="0"/>
      <w:marBottom w:val="0"/>
      <w:divBdr>
        <w:top w:val="none" w:sz="0" w:space="0" w:color="auto"/>
        <w:left w:val="none" w:sz="0" w:space="0" w:color="auto"/>
        <w:bottom w:val="none" w:sz="0" w:space="0" w:color="auto"/>
        <w:right w:val="none" w:sz="0" w:space="0" w:color="auto"/>
      </w:divBdr>
      <w:divsChild>
        <w:div w:id="2119250291">
          <w:marLeft w:val="0"/>
          <w:marRight w:val="0"/>
          <w:marTop w:val="0"/>
          <w:marBottom w:val="0"/>
          <w:divBdr>
            <w:top w:val="none" w:sz="0" w:space="0" w:color="auto"/>
            <w:left w:val="none" w:sz="0" w:space="0" w:color="auto"/>
            <w:bottom w:val="none" w:sz="0" w:space="0" w:color="auto"/>
            <w:right w:val="none" w:sz="0" w:space="0" w:color="auto"/>
          </w:divBdr>
        </w:div>
      </w:divsChild>
    </w:div>
    <w:div w:id="539824304">
      <w:bodyDiv w:val="1"/>
      <w:marLeft w:val="0"/>
      <w:marRight w:val="0"/>
      <w:marTop w:val="0"/>
      <w:marBottom w:val="0"/>
      <w:divBdr>
        <w:top w:val="none" w:sz="0" w:space="0" w:color="auto"/>
        <w:left w:val="none" w:sz="0" w:space="0" w:color="auto"/>
        <w:bottom w:val="none" w:sz="0" w:space="0" w:color="auto"/>
        <w:right w:val="none" w:sz="0" w:space="0" w:color="auto"/>
      </w:divBdr>
    </w:div>
    <w:div w:id="566763053">
      <w:bodyDiv w:val="1"/>
      <w:marLeft w:val="0"/>
      <w:marRight w:val="0"/>
      <w:marTop w:val="0"/>
      <w:marBottom w:val="0"/>
      <w:divBdr>
        <w:top w:val="none" w:sz="0" w:space="0" w:color="auto"/>
        <w:left w:val="none" w:sz="0" w:space="0" w:color="auto"/>
        <w:bottom w:val="none" w:sz="0" w:space="0" w:color="auto"/>
        <w:right w:val="none" w:sz="0" w:space="0" w:color="auto"/>
      </w:divBdr>
    </w:div>
    <w:div w:id="567694942">
      <w:bodyDiv w:val="1"/>
      <w:marLeft w:val="0"/>
      <w:marRight w:val="0"/>
      <w:marTop w:val="0"/>
      <w:marBottom w:val="0"/>
      <w:divBdr>
        <w:top w:val="none" w:sz="0" w:space="0" w:color="auto"/>
        <w:left w:val="none" w:sz="0" w:space="0" w:color="auto"/>
        <w:bottom w:val="none" w:sz="0" w:space="0" w:color="auto"/>
        <w:right w:val="none" w:sz="0" w:space="0" w:color="auto"/>
      </w:divBdr>
    </w:div>
    <w:div w:id="588468114">
      <w:bodyDiv w:val="1"/>
      <w:marLeft w:val="0"/>
      <w:marRight w:val="0"/>
      <w:marTop w:val="0"/>
      <w:marBottom w:val="0"/>
      <w:divBdr>
        <w:top w:val="none" w:sz="0" w:space="0" w:color="auto"/>
        <w:left w:val="none" w:sz="0" w:space="0" w:color="auto"/>
        <w:bottom w:val="none" w:sz="0" w:space="0" w:color="auto"/>
        <w:right w:val="none" w:sz="0" w:space="0" w:color="auto"/>
      </w:divBdr>
    </w:div>
    <w:div w:id="588782270">
      <w:bodyDiv w:val="1"/>
      <w:marLeft w:val="0"/>
      <w:marRight w:val="0"/>
      <w:marTop w:val="0"/>
      <w:marBottom w:val="0"/>
      <w:divBdr>
        <w:top w:val="none" w:sz="0" w:space="0" w:color="auto"/>
        <w:left w:val="none" w:sz="0" w:space="0" w:color="auto"/>
        <w:bottom w:val="none" w:sz="0" w:space="0" w:color="auto"/>
        <w:right w:val="none" w:sz="0" w:space="0" w:color="auto"/>
      </w:divBdr>
    </w:div>
    <w:div w:id="589896775">
      <w:bodyDiv w:val="1"/>
      <w:marLeft w:val="0"/>
      <w:marRight w:val="0"/>
      <w:marTop w:val="0"/>
      <w:marBottom w:val="0"/>
      <w:divBdr>
        <w:top w:val="none" w:sz="0" w:space="0" w:color="auto"/>
        <w:left w:val="none" w:sz="0" w:space="0" w:color="auto"/>
        <w:bottom w:val="none" w:sz="0" w:space="0" w:color="auto"/>
        <w:right w:val="none" w:sz="0" w:space="0" w:color="auto"/>
      </w:divBdr>
    </w:div>
    <w:div w:id="592740219">
      <w:bodyDiv w:val="1"/>
      <w:marLeft w:val="0"/>
      <w:marRight w:val="0"/>
      <w:marTop w:val="0"/>
      <w:marBottom w:val="0"/>
      <w:divBdr>
        <w:top w:val="none" w:sz="0" w:space="0" w:color="auto"/>
        <w:left w:val="none" w:sz="0" w:space="0" w:color="auto"/>
        <w:bottom w:val="none" w:sz="0" w:space="0" w:color="auto"/>
        <w:right w:val="none" w:sz="0" w:space="0" w:color="auto"/>
      </w:divBdr>
      <w:divsChild>
        <w:div w:id="1467241135">
          <w:marLeft w:val="0"/>
          <w:marRight w:val="0"/>
          <w:marTop w:val="0"/>
          <w:marBottom w:val="0"/>
          <w:divBdr>
            <w:top w:val="none" w:sz="0" w:space="0" w:color="auto"/>
            <w:left w:val="none" w:sz="0" w:space="0" w:color="auto"/>
            <w:bottom w:val="none" w:sz="0" w:space="0" w:color="auto"/>
            <w:right w:val="none" w:sz="0" w:space="0" w:color="auto"/>
          </w:divBdr>
        </w:div>
      </w:divsChild>
    </w:div>
    <w:div w:id="598758157">
      <w:bodyDiv w:val="1"/>
      <w:marLeft w:val="0"/>
      <w:marRight w:val="0"/>
      <w:marTop w:val="0"/>
      <w:marBottom w:val="0"/>
      <w:divBdr>
        <w:top w:val="none" w:sz="0" w:space="0" w:color="auto"/>
        <w:left w:val="none" w:sz="0" w:space="0" w:color="auto"/>
        <w:bottom w:val="none" w:sz="0" w:space="0" w:color="auto"/>
        <w:right w:val="none" w:sz="0" w:space="0" w:color="auto"/>
      </w:divBdr>
    </w:div>
    <w:div w:id="598955082">
      <w:bodyDiv w:val="1"/>
      <w:marLeft w:val="0"/>
      <w:marRight w:val="0"/>
      <w:marTop w:val="0"/>
      <w:marBottom w:val="0"/>
      <w:divBdr>
        <w:top w:val="none" w:sz="0" w:space="0" w:color="auto"/>
        <w:left w:val="none" w:sz="0" w:space="0" w:color="auto"/>
        <w:bottom w:val="none" w:sz="0" w:space="0" w:color="auto"/>
        <w:right w:val="none" w:sz="0" w:space="0" w:color="auto"/>
      </w:divBdr>
    </w:div>
    <w:div w:id="603804545">
      <w:bodyDiv w:val="1"/>
      <w:marLeft w:val="0"/>
      <w:marRight w:val="0"/>
      <w:marTop w:val="0"/>
      <w:marBottom w:val="0"/>
      <w:divBdr>
        <w:top w:val="none" w:sz="0" w:space="0" w:color="auto"/>
        <w:left w:val="none" w:sz="0" w:space="0" w:color="auto"/>
        <w:bottom w:val="none" w:sz="0" w:space="0" w:color="auto"/>
        <w:right w:val="none" w:sz="0" w:space="0" w:color="auto"/>
      </w:divBdr>
    </w:div>
    <w:div w:id="610864291">
      <w:marLeft w:val="0"/>
      <w:marRight w:val="0"/>
      <w:marTop w:val="0"/>
      <w:marBottom w:val="0"/>
      <w:divBdr>
        <w:top w:val="none" w:sz="0" w:space="0" w:color="auto"/>
        <w:left w:val="none" w:sz="0" w:space="0" w:color="auto"/>
        <w:bottom w:val="none" w:sz="0" w:space="0" w:color="auto"/>
        <w:right w:val="none" w:sz="0" w:space="0" w:color="auto"/>
      </w:divBdr>
      <w:divsChild>
        <w:div w:id="1297180527">
          <w:marLeft w:val="0"/>
          <w:marRight w:val="0"/>
          <w:marTop w:val="0"/>
          <w:marBottom w:val="0"/>
          <w:divBdr>
            <w:top w:val="none" w:sz="0" w:space="0" w:color="auto"/>
            <w:left w:val="none" w:sz="0" w:space="0" w:color="auto"/>
            <w:bottom w:val="none" w:sz="0" w:space="0" w:color="auto"/>
            <w:right w:val="none" w:sz="0" w:space="0" w:color="auto"/>
          </w:divBdr>
        </w:div>
      </w:divsChild>
    </w:div>
    <w:div w:id="611085998">
      <w:marLeft w:val="0"/>
      <w:marRight w:val="0"/>
      <w:marTop w:val="0"/>
      <w:marBottom w:val="0"/>
      <w:divBdr>
        <w:top w:val="none" w:sz="0" w:space="0" w:color="auto"/>
        <w:left w:val="none" w:sz="0" w:space="0" w:color="auto"/>
        <w:bottom w:val="none" w:sz="0" w:space="0" w:color="auto"/>
        <w:right w:val="none" w:sz="0" w:space="0" w:color="auto"/>
      </w:divBdr>
      <w:divsChild>
        <w:div w:id="863665629">
          <w:marLeft w:val="0"/>
          <w:marRight w:val="0"/>
          <w:marTop w:val="0"/>
          <w:marBottom w:val="0"/>
          <w:divBdr>
            <w:top w:val="none" w:sz="0" w:space="0" w:color="auto"/>
            <w:left w:val="none" w:sz="0" w:space="0" w:color="auto"/>
            <w:bottom w:val="none" w:sz="0" w:space="0" w:color="auto"/>
            <w:right w:val="none" w:sz="0" w:space="0" w:color="auto"/>
          </w:divBdr>
        </w:div>
      </w:divsChild>
    </w:div>
    <w:div w:id="617566234">
      <w:bodyDiv w:val="1"/>
      <w:marLeft w:val="0"/>
      <w:marRight w:val="0"/>
      <w:marTop w:val="0"/>
      <w:marBottom w:val="0"/>
      <w:divBdr>
        <w:top w:val="none" w:sz="0" w:space="0" w:color="auto"/>
        <w:left w:val="none" w:sz="0" w:space="0" w:color="auto"/>
        <w:bottom w:val="none" w:sz="0" w:space="0" w:color="auto"/>
        <w:right w:val="none" w:sz="0" w:space="0" w:color="auto"/>
      </w:divBdr>
    </w:div>
    <w:div w:id="629283875">
      <w:bodyDiv w:val="1"/>
      <w:marLeft w:val="0"/>
      <w:marRight w:val="0"/>
      <w:marTop w:val="0"/>
      <w:marBottom w:val="0"/>
      <w:divBdr>
        <w:top w:val="none" w:sz="0" w:space="0" w:color="auto"/>
        <w:left w:val="none" w:sz="0" w:space="0" w:color="auto"/>
        <w:bottom w:val="none" w:sz="0" w:space="0" w:color="auto"/>
        <w:right w:val="none" w:sz="0" w:space="0" w:color="auto"/>
      </w:divBdr>
    </w:div>
    <w:div w:id="632180267">
      <w:bodyDiv w:val="1"/>
      <w:marLeft w:val="0"/>
      <w:marRight w:val="0"/>
      <w:marTop w:val="0"/>
      <w:marBottom w:val="0"/>
      <w:divBdr>
        <w:top w:val="none" w:sz="0" w:space="0" w:color="auto"/>
        <w:left w:val="none" w:sz="0" w:space="0" w:color="auto"/>
        <w:bottom w:val="none" w:sz="0" w:space="0" w:color="auto"/>
        <w:right w:val="none" w:sz="0" w:space="0" w:color="auto"/>
      </w:divBdr>
    </w:div>
    <w:div w:id="632517682">
      <w:bodyDiv w:val="1"/>
      <w:marLeft w:val="0"/>
      <w:marRight w:val="0"/>
      <w:marTop w:val="0"/>
      <w:marBottom w:val="0"/>
      <w:divBdr>
        <w:top w:val="none" w:sz="0" w:space="0" w:color="auto"/>
        <w:left w:val="none" w:sz="0" w:space="0" w:color="auto"/>
        <w:bottom w:val="none" w:sz="0" w:space="0" w:color="auto"/>
        <w:right w:val="none" w:sz="0" w:space="0" w:color="auto"/>
      </w:divBdr>
    </w:div>
    <w:div w:id="633027712">
      <w:bodyDiv w:val="1"/>
      <w:marLeft w:val="0"/>
      <w:marRight w:val="0"/>
      <w:marTop w:val="0"/>
      <w:marBottom w:val="0"/>
      <w:divBdr>
        <w:top w:val="none" w:sz="0" w:space="0" w:color="auto"/>
        <w:left w:val="none" w:sz="0" w:space="0" w:color="auto"/>
        <w:bottom w:val="none" w:sz="0" w:space="0" w:color="auto"/>
        <w:right w:val="none" w:sz="0" w:space="0" w:color="auto"/>
      </w:divBdr>
    </w:div>
    <w:div w:id="634212849">
      <w:bodyDiv w:val="1"/>
      <w:marLeft w:val="0"/>
      <w:marRight w:val="0"/>
      <w:marTop w:val="0"/>
      <w:marBottom w:val="0"/>
      <w:divBdr>
        <w:top w:val="none" w:sz="0" w:space="0" w:color="auto"/>
        <w:left w:val="none" w:sz="0" w:space="0" w:color="auto"/>
        <w:bottom w:val="none" w:sz="0" w:space="0" w:color="auto"/>
        <w:right w:val="none" w:sz="0" w:space="0" w:color="auto"/>
      </w:divBdr>
    </w:div>
    <w:div w:id="635185732">
      <w:marLeft w:val="0"/>
      <w:marRight w:val="0"/>
      <w:marTop w:val="0"/>
      <w:marBottom w:val="0"/>
      <w:divBdr>
        <w:top w:val="none" w:sz="0" w:space="0" w:color="auto"/>
        <w:left w:val="none" w:sz="0" w:space="0" w:color="auto"/>
        <w:bottom w:val="none" w:sz="0" w:space="0" w:color="auto"/>
        <w:right w:val="none" w:sz="0" w:space="0" w:color="auto"/>
      </w:divBdr>
      <w:divsChild>
        <w:div w:id="1122842689">
          <w:marLeft w:val="0"/>
          <w:marRight w:val="0"/>
          <w:marTop w:val="0"/>
          <w:marBottom w:val="0"/>
          <w:divBdr>
            <w:top w:val="none" w:sz="0" w:space="0" w:color="auto"/>
            <w:left w:val="none" w:sz="0" w:space="0" w:color="auto"/>
            <w:bottom w:val="none" w:sz="0" w:space="0" w:color="auto"/>
            <w:right w:val="none" w:sz="0" w:space="0" w:color="auto"/>
          </w:divBdr>
        </w:div>
      </w:divsChild>
    </w:div>
    <w:div w:id="639842772">
      <w:bodyDiv w:val="1"/>
      <w:marLeft w:val="0"/>
      <w:marRight w:val="0"/>
      <w:marTop w:val="0"/>
      <w:marBottom w:val="0"/>
      <w:divBdr>
        <w:top w:val="none" w:sz="0" w:space="0" w:color="auto"/>
        <w:left w:val="none" w:sz="0" w:space="0" w:color="auto"/>
        <w:bottom w:val="none" w:sz="0" w:space="0" w:color="auto"/>
        <w:right w:val="none" w:sz="0" w:space="0" w:color="auto"/>
      </w:divBdr>
    </w:div>
    <w:div w:id="642197516">
      <w:bodyDiv w:val="1"/>
      <w:marLeft w:val="0"/>
      <w:marRight w:val="0"/>
      <w:marTop w:val="0"/>
      <w:marBottom w:val="0"/>
      <w:divBdr>
        <w:top w:val="none" w:sz="0" w:space="0" w:color="auto"/>
        <w:left w:val="none" w:sz="0" w:space="0" w:color="auto"/>
        <w:bottom w:val="none" w:sz="0" w:space="0" w:color="auto"/>
        <w:right w:val="none" w:sz="0" w:space="0" w:color="auto"/>
      </w:divBdr>
    </w:div>
    <w:div w:id="649165684">
      <w:bodyDiv w:val="1"/>
      <w:marLeft w:val="0"/>
      <w:marRight w:val="0"/>
      <w:marTop w:val="0"/>
      <w:marBottom w:val="0"/>
      <w:divBdr>
        <w:top w:val="none" w:sz="0" w:space="0" w:color="auto"/>
        <w:left w:val="none" w:sz="0" w:space="0" w:color="auto"/>
        <w:bottom w:val="none" w:sz="0" w:space="0" w:color="auto"/>
        <w:right w:val="none" w:sz="0" w:space="0" w:color="auto"/>
      </w:divBdr>
      <w:divsChild>
        <w:div w:id="1224097831">
          <w:marLeft w:val="0"/>
          <w:marRight w:val="0"/>
          <w:marTop w:val="0"/>
          <w:marBottom w:val="0"/>
          <w:divBdr>
            <w:top w:val="none" w:sz="0" w:space="0" w:color="auto"/>
            <w:left w:val="none" w:sz="0" w:space="0" w:color="auto"/>
            <w:bottom w:val="none" w:sz="0" w:space="0" w:color="auto"/>
            <w:right w:val="none" w:sz="0" w:space="0" w:color="auto"/>
          </w:divBdr>
        </w:div>
      </w:divsChild>
    </w:div>
    <w:div w:id="650838835">
      <w:bodyDiv w:val="1"/>
      <w:marLeft w:val="0"/>
      <w:marRight w:val="0"/>
      <w:marTop w:val="0"/>
      <w:marBottom w:val="0"/>
      <w:divBdr>
        <w:top w:val="none" w:sz="0" w:space="0" w:color="auto"/>
        <w:left w:val="none" w:sz="0" w:space="0" w:color="auto"/>
        <w:bottom w:val="none" w:sz="0" w:space="0" w:color="auto"/>
        <w:right w:val="none" w:sz="0" w:space="0" w:color="auto"/>
      </w:divBdr>
      <w:divsChild>
        <w:div w:id="442843385">
          <w:marLeft w:val="0"/>
          <w:marRight w:val="0"/>
          <w:marTop w:val="0"/>
          <w:marBottom w:val="0"/>
          <w:divBdr>
            <w:top w:val="none" w:sz="0" w:space="0" w:color="auto"/>
            <w:left w:val="none" w:sz="0" w:space="0" w:color="auto"/>
            <w:bottom w:val="none" w:sz="0" w:space="0" w:color="auto"/>
            <w:right w:val="none" w:sz="0" w:space="0" w:color="auto"/>
          </w:divBdr>
          <w:divsChild>
            <w:div w:id="172770947">
              <w:marLeft w:val="0"/>
              <w:marRight w:val="0"/>
              <w:marTop w:val="0"/>
              <w:marBottom w:val="0"/>
              <w:divBdr>
                <w:top w:val="none" w:sz="0" w:space="0" w:color="auto"/>
                <w:left w:val="none" w:sz="0" w:space="0" w:color="auto"/>
                <w:bottom w:val="none" w:sz="0" w:space="0" w:color="auto"/>
                <w:right w:val="none" w:sz="0" w:space="0" w:color="auto"/>
              </w:divBdr>
              <w:divsChild>
                <w:div w:id="2109504301">
                  <w:marLeft w:val="0"/>
                  <w:marRight w:val="0"/>
                  <w:marTop w:val="0"/>
                  <w:marBottom w:val="0"/>
                  <w:divBdr>
                    <w:top w:val="none" w:sz="0" w:space="0" w:color="auto"/>
                    <w:left w:val="none" w:sz="0" w:space="0" w:color="auto"/>
                    <w:bottom w:val="none" w:sz="0" w:space="0" w:color="auto"/>
                    <w:right w:val="none" w:sz="0" w:space="0" w:color="auto"/>
                  </w:divBdr>
                  <w:divsChild>
                    <w:div w:id="1656762578">
                      <w:marLeft w:val="0"/>
                      <w:marRight w:val="0"/>
                      <w:marTop w:val="0"/>
                      <w:marBottom w:val="0"/>
                      <w:divBdr>
                        <w:top w:val="none" w:sz="0" w:space="0" w:color="auto"/>
                        <w:left w:val="none" w:sz="0" w:space="0" w:color="auto"/>
                        <w:bottom w:val="none" w:sz="0" w:space="0" w:color="auto"/>
                        <w:right w:val="none" w:sz="0" w:space="0" w:color="auto"/>
                      </w:divBdr>
                      <w:divsChild>
                        <w:div w:id="975337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52679882">
      <w:bodyDiv w:val="1"/>
      <w:marLeft w:val="0"/>
      <w:marRight w:val="0"/>
      <w:marTop w:val="0"/>
      <w:marBottom w:val="0"/>
      <w:divBdr>
        <w:top w:val="none" w:sz="0" w:space="0" w:color="auto"/>
        <w:left w:val="none" w:sz="0" w:space="0" w:color="auto"/>
        <w:bottom w:val="none" w:sz="0" w:space="0" w:color="auto"/>
        <w:right w:val="none" w:sz="0" w:space="0" w:color="auto"/>
      </w:divBdr>
    </w:div>
    <w:div w:id="656689262">
      <w:bodyDiv w:val="1"/>
      <w:marLeft w:val="0"/>
      <w:marRight w:val="0"/>
      <w:marTop w:val="0"/>
      <w:marBottom w:val="0"/>
      <w:divBdr>
        <w:top w:val="none" w:sz="0" w:space="0" w:color="auto"/>
        <w:left w:val="none" w:sz="0" w:space="0" w:color="auto"/>
        <w:bottom w:val="none" w:sz="0" w:space="0" w:color="auto"/>
        <w:right w:val="none" w:sz="0" w:space="0" w:color="auto"/>
      </w:divBdr>
      <w:divsChild>
        <w:div w:id="918369992">
          <w:marLeft w:val="0"/>
          <w:marRight w:val="0"/>
          <w:marTop w:val="0"/>
          <w:marBottom w:val="0"/>
          <w:divBdr>
            <w:top w:val="none" w:sz="0" w:space="0" w:color="auto"/>
            <w:left w:val="none" w:sz="0" w:space="0" w:color="auto"/>
            <w:bottom w:val="none" w:sz="0" w:space="0" w:color="auto"/>
            <w:right w:val="none" w:sz="0" w:space="0" w:color="auto"/>
          </w:divBdr>
          <w:divsChild>
            <w:div w:id="11298603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3973578">
      <w:bodyDiv w:val="1"/>
      <w:marLeft w:val="0"/>
      <w:marRight w:val="0"/>
      <w:marTop w:val="0"/>
      <w:marBottom w:val="0"/>
      <w:divBdr>
        <w:top w:val="none" w:sz="0" w:space="0" w:color="auto"/>
        <w:left w:val="none" w:sz="0" w:space="0" w:color="auto"/>
        <w:bottom w:val="none" w:sz="0" w:space="0" w:color="auto"/>
        <w:right w:val="none" w:sz="0" w:space="0" w:color="auto"/>
      </w:divBdr>
    </w:div>
    <w:div w:id="675612838">
      <w:bodyDiv w:val="1"/>
      <w:marLeft w:val="0"/>
      <w:marRight w:val="0"/>
      <w:marTop w:val="0"/>
      <w:marBottom w:val="0"/>
      <w:divBdr>
        <w:top w:val="none" w:sz="0" w:space="0" w:color="auto"/>
        <w:left w:val="none" w:sz="0" w:space="0" w:color="auto"/>
        <w:bottom w:val="none" w:sz="0" w:space="0" w:color="auto"/>
        <w:right w:val="none" w:sz="0" w:space="0" w:color="auto"/>
      </w:divBdr>
    </w:div>
    <w:div w:id="683169368">
      <w:bodyDiv w:val="1"/>
      <w:marLeft w:val="0"/>
      <w:marRight w:val="0"/>
      <w:marTop w:val="0"/>
      <w:marBottom w:val="0"/>
      <w:divBdr>
        <w:top w:val="none" w:sz="0" w:space="0" w:color="auto"/>
        <w:left w:val="none" w:sz="0" w:space="0" w:color="auto"/>
        <w:bottom w:val="none" w:sz="0" w:space="0" w:color="auto"/>
        <w:right w:val="none" w:sz="0" w:space="0" w:color="auto"/>
      </w:divBdr>
      <w:divsChild>
        <w:div w:id="1855145326">
          <w:marLeft w:val="0"/>
          <w:marRight w:val="0"/>
          <w:marTop w:val="0"/>
          <w:marBottom w:val="0"/>
          <w:divBdr>
            <w:top w:val="none" w:sz="0" w:space="0" w:color="auto"/>
            <w:left w:val="none" w:sz="0" w:space="0" w:color="auto"/>
            <w:bottom w:val="none" w:sz="0" w:space="0" w:color="auto"/>
            <w:right w:val="none" w:sz="0" w:space="0" w:color="auto"/>
          </w:divBdr>
        </w:div>
      </w:divsChild>
    </w:div>
    <w:div w:id="685406588">
      <w:bodyDiv w:val="1"/>
      <w:marLeft w:val="0"/>
      <w:marRight w:val="0"/>
      <w:marTop w:val="0"/>
      <w:marBottom w:val="0"/>
      <w:divBdr>
        <w:top w:val="none" w:sz="0" w:space="0" w:color="auto"/>
        <w:left w:val="none" w:sz="0" w:space="0" w:color="auto"/>
        <w:bottom w:val="none" w:sz="0" w:space="0" w:color="auto"/>
        <w:right w:val="none" w:sz="0" w:space="0" w:color="auto"/>
      </w:divBdr>
    </w:div>
    <w:div w:id="691222412">
      <w:bodyDiv w:val="1"/>
      <w:marLeft w:val="0"/>
      <w:marRight w:val="0"/>
      <w:marTop w:val="0"/>
      <w:marBottom w:val="0"/>
      <w:divBdr>
        <w:top w:val="none" w:sz="0" w:space="0" w:color="auto"/>
        <w:left w:val="none" w:sz="0" w:space="0" w:color="auto"/>
        <w:bottom w:val="none" w:sz="0" w:space="0" w:color="auto"/>
        <w:right w:val="none" w:sz="0" w:space="0" w:color="auto"/>
      </w:divBdr>
      <w:divsChild>
        <w:div w:id="991981910">
          <w:marLeft w:val="0"/>
          <w:marRight w:val="0"/>
          <w:marTop w:val="0"/>
          <w:marBottom w:val="0"/>
          <w:divBdr>
            <w:top w:val="none" w:sz="0" w:space="0" w:color="auto"/>
            <w:left w:val="none" w:sz="0" w:space="0" w:color="auto"/>
            <w:bottom w:val="none" w:sz="0" w:space="0" w:color="auto"/>
            <w:right w:val="none" w:sz="0" w:space="0" w:color="auto"/>
          </w:divBdr>
        </w:div>
      </w:divsChild>
    </w:div>
    <w:div w:id="692651021">
      <w:bodyDiv w:val="1"/>
      <w:marLeft w:val="0"/>
      <w:marRight w:val="0"/>
      <w:marTop w:val="0"/>
      <w:marBottom w:val="0"/>
      <w:divBdr>
        <w:top w:val="none" w:sz="0" w:space="0" w:color="auto"/>
        <w:left w:val="none" w:sz="0" w:space="0" w:color="auto"/>
        <w:bottom w:val="none" w:sz="0" w:space="0" w:color="auto"/>
        <w:right w:val="none" w:sz="0" w:space="0" w:color="auto"/>
      </w:divBdr>
    </w:div>
    <w:div w:id="696808808">
      <w:bodyDiv w:val="1"/>
      <w:marLeft w:val="0"/>
      <w:marRight w:val="0"/>
      <w:marTop w:val="0"/>
      <w:marBottom w:val="0"/>
      <w:divBdr>
        <w:top w:val="none" w:sz="0" w:space="0" w:color="auto"/>
        <w:left w:val="none" w:sz="0" w:space="0" w:color="auto"/>
        <w:bottom w:val="none" w:sz="0" w:space="0" w:color="auto"/>
        <w:right w:val="none" w:sz="0" w:space="0" w:color="auto"/>
      </w:divBdr>
    </w:div>
    <w:div w:id="696850208">
      <w:bodyDiv w:val="1"/>
      <w:marLeft w:val="0"/>
      <w:marRight w:val="0"/>
      <w:marTop w:val="0"/>
      <w:marBottom w:val="0"/>
      <w:divBdr>
        <w:top w:val="none" w:sz="0" w:space="0" w:color="auto"/>
        <w:left w:val="none" w:sz="0" w:space="0" w:color="auto"/>
        <w:bottom w:val="none" w:sz="0" w:space="0" w:color="auto"/>
        <w:right w:val="none" w:sz="0" w:space="0" w:color="auto"/>
      </w:divBdr>
    </w:div>
    <w:div w:id="698241474">
      <w:bodyDiv w:val="1"/>
      <w:marLeft w:val="0"/>
      <w:marRight w:val="0"/>
      <w:marTop w:val="0"/>
      <w:marBottom w:val="0"/>
      <w:divBdr>
        <w:top w:val="none" w:sz="0" w:space="0" w:color="auto"/>
        <w:left w:val="none" w:sz="0" w:space="0" w:color="auto"/>
        <w:bottom w:val="none" w:sz="0" w:space="0" w:color="auto"/>
        <w:right w:val="none" w:sz="0" w:space="0" w:color="auto"/>
      </w:divBdr>
    </w:div>
    <w:div w:id="698555337">
      <w:bodyDiv w:val="1"/>
      <w:marLeft w:val="0"/>
      <w:marRight w:val="0"/>
      <w:marTop w:val="0"/>
      <w:marBottom w:val="0"/>
      <w:divBdr>
        <w:top w:val="none" w:sz="0" w:space="0" w:color="auto"/>
        <w:left w:val="none" w:sz="0" w:space="0" w:color="auto"/>
        <w:bottom w:val="none" w:sz="0" w:space="0" w:color="auto"/>
        <w:right w:val="none" w:sz="0" w:space="0" w:color="auto"/>
      </w:divBdr>
      <w:divsChild>
        <w:div w:id="512695629">
          <w:marLeft w:val="0"/>
          <w:marRight w:val="0"/>
          <w:marTop w:val="0"/>
          <w:marBottom w:val="0"/>
          <w:divBdr>
            <w:top w:val="none" w:sz="0" w:space="0" w:color="auto"/>
            <w:left w:val="none" w:sz="0" w:space="0" w:color="auto"/>
            <w:bottom w:val="none" w:sz="0" w:space="0" w:color="auto"/>
            <w:right w:val="none" w:sz="0" w:space="0" w:color="auto"/>
          </w:divBdr>
        </w:div>
      </w:divsChild>
    </w:div>
    <w:div w:id="701783441">
      <w:bodyDiv w:val="1"/>
      <w:marLeft w:val="0"/>
      <w:marRight w:val="0"/>
      <w:marTop w:val="0"/>
      <w:marBottom w:val="0"/>
      <w:divBdr>
        <w:top w:val="none" w:sz="0" w:space="0" w:color="auto"/>
        <w:left w:val="none" w:sz="0" w:space="0" w:color="auto"/>
        <w:bottom w:val="none" w:sz="0" w:space="0" w:color="auto"/>
        <w:right w:val="none" w:sz="0" w:space="0" w:color="auto"/>
      </w:divBdr>
      <w:divsChild>
        <w:div w:id="791900088">
          <w:marLeft w:val="0"/>
          <w:marRight w:val="0"/>
          <w:marTop w:val="0"/>
          <w:marBottom w:val="0"/>
          <w:divBdr>
            <w:top w:val="none" w:sz="0" w:space="0" w:color="auto"/>
            <w:left w:val="none" w:sz="0" w:space="0" w:color="auto"/>
            <w:bottom w:val="none" w:sz="0" w:space="0" w:color="auto"/>
            <w:right w:val="none" w:sz="0" w:space="0" w:color="auto"/>
          </w:divBdr>
        </w:div>
      </w:divsChild>
    </w:div>
    <w:div w:id="703604685">
      <w:bodyDiv w:val="1"/>
      <w:marLeft w:val="0"/>
      <w:marRight w:val="0"/>
      <w:marTop w:val="0"/>
      <w:marBottom w:val="0"/>
      <w:divBdr>
        <w:top w:val="none" w:sz="0" w:space="0" w:color="auto"/>
        <w:left w:val="none" w:sz="0" w:space="0" w:color="auto"/>
        <w:bottom w:val="none" w:sz="0" w:space="0" w:color="auto"/>
        <w:right w:val="none" w:sz="0" w:space="0" w:color="auto"/>
      </w:divBdr>
    </w:div>
    <w:div w:id="709376850">
      <w:marLeft w:val="0"/>
      <w:marRight w:val="0"/>
      <w:marTop w:val="0"/>
      <w:marBottom w:val="0"/>
      <w:divBdr>
        <w:top w:val="none" w:sz="0" w:space="0" w:color="auto"/>
        <w:left w:val="none" w:sz="0" w:space="0" w:color="auto"/>
        <w:bottom w:val="none" w:sz="0" w:space="0" w:color="auto"/>
        <w:right w:val="none" w:sz="0" w:space="0" w:color="auto"/>
      </w:divBdr>
      <w:divsChild>
        <w:div w:id="1014382264">
          <w:marLeft w:val="0"/>
          <w:marRight w:val="0"/>
          <w:marTop w:val="0"/>
          <w:marBottom w:val="0"/>
          <w:divBdr>
            <w:top w:val="none" w:sz="0" w:space="0" w:color="auto"/>
            <w:left w:val="none" w:sz="0" w:space="0" w:color="auto"/>
            <w:bottom w:val="none" w:sz="0" w:space="0" w:color="auto"/>
            <w:right w:val="none" w:sz="0" w:space="0" w:color="auto"/>
          </w:divBdr>
        </w:div>
      </w:divsChild>
    </w:div>
    <w:div w:id="711343190">
      <w:bodyDiv w:val="1"/>
      <w:marLeft w:val="0"/>
      <w:marRight w:val="0"/>
      <w:marTop w:val="0"/>
      <w:marBottom w:val="0"/>
      <w:divBdr>
        <w:top w:val="none" w:sz="0" w:space="0" w:color="auto"/>
        <w:left w:val="none" w:sz="0" w:space="0" w:color="auto"/>
        <w:bottom w:val="none" w:sz="0" w:space="0" w:color="auto"/>
        <w:right w:val="none" w:sz="0" w:space="0" w:color="auto"/>
      </w:divBdr>
      <w:divsChild>
        <w:div w:id="156771622">
          <w:marLeft w:val="0"/>
          <w:marRight w:val="0"/>
          <w:marTop w:val="0"/>
          <w:marBottom w:val="0"/>
          <w:divBdr>
            <w:top w:val="none" w:sz="0" w:space="0" w:color="auto"/>
            <w:left w:val="none" w:sz="0" w:space="0" w:color="auto"/>
            <w:bottom w:val="none" w:sz="0" w:space="0" w:color="auto"/>
            <w:right w:val="none" w:sz="0" w:space="0" w:color="auto"/>
          </w:divBdr>
        </w:div>
      </w:divsChild>
    </w:div>
    <w:div w:id="717818799">
      <w:marLeft w:val="0"/>
      <w:marRight w:val="0"/>
      <w:marTop w:val="0"/>
      <w:marBottom w:val="0"/>
      <w:divBdr>
        <w:top w:val="none" w:sz="0" w:space="0" w:color="auto"/>
        <w:left w:val="none" w:sz="0" w:space="0" w:color="auto"/>
        <w:bottom w:val="none" w:sz="0" w:space="0" w:color="auto"/>
        <w:right w:val="none" w:sz="0" w:space="0" w:color="auto"/>
      </w:divBdr>
      <w:divsChild>
        <w:div w:id="1379206812">
          <w:marLeft w:val="0"/>
          <w:marRight w:val="0"/>
          <w:marTop w:val="0"/>
          <w:marBottom w:val="0"/>
          <w:divBdr>
            <w:top w:val="none" w:sz="0" w:space="0" w:color="auto"/>
            <w:left w:val="none" w:sz="0" w:space="0" w:color="auto"/>
            <w:bottom w:val="none" w:sz="0" w:space="0" w:color="auto"/>
            <w:right w:val="none" w:sz="0" w:space="0" w:color="auto"/>
          </w:divBdr>
        </w:div>
      </w:divsChild>
    </w:div>
    <w:div w:id="721294724">
      <w:bodyDiv w:val="1"/>
      <w:marLeft w:val="0"/>
      <w:marRight w:val="0"/>
      <w:marTop w:val="0"/>
      <w:marBottom w:val="0"/>
      <w:divBdr>
        <w:top w:val="none" w:sz="0" w:space="0" w:color="auto"/>
        <w:left w:val="none" w:sz="0" w:space="0" w:color="auto"/>
        <w:bottom w:val="none" w:sz="0" w:space="0" w:color="auto"/>
        <w:right w:val="none" w:sz="0" w:space="0" w:color="auto"/>
      </w:divBdr>
      <w:divsChild>
        <w:div w:id="529299495">
          <w:marLeft w:val="0"/>
          <w:marRight w:val="0"/>
          <w:marTop w:val="0"/>
          <w:marBottom w:val="0"/>
          <w:divBdr>
            <w:top w:val="none" w:sz="0" w:space="0" w:color="auto"/>
            <w:left w:val="none" w:sz="0" w:space="0" w:color="auto"/>
            <w:bottom w:val="none" w:sz="0" w:space="0" w:color="auto"/>
            <w:right w:val="none" w:sz="0" w:space="0" w:color="auto"/>
          </w:divBdr>
        </w:div>
      </w:divsChild>
    </w:div>
    <w:div w:id="727647592">
      <w:bodyDiv w:val="1"/>
      <w:marLeft w:val="0"/>
      <w:marRight w:val="0"/>
      <w:marTop w:val="0"/>
      <w:marBottom w:val="0"/>
      <w:divBdr>
        <w:top w:val="none" w:sz="0" w:space="0" w:color="auto"/>
        <w:left w:val="none" w:sz="0" w:space="0" w:color="auto"/>
        <w:bottom w:val="none" w:sz="0" w:space="0" w:color="auto"/>
        <w:right w:val="none" w:sz="0" w:space="0" w:color="auto"/>
      </w:divBdr>
    </w:div>
    <w:div w:id="739403437">
      <w:bodyDiv w:val="1"/>
      <w:marLeft w:val="0"/>
      <w:marRight w:val="0"/>
      <w:marTop w:val="0"/>
      <w:marBottom w:val="0"/>
      <w:divBdr>
        <w:top w:val="none" w:sz="0" w:space="0" w:color="auto"/>
        <w:left w:val="none" w:sz="0" w:space="0" w:color="auto"/>
        <w:bottom w:val="none" w:sz="0" w:space="0" w:color="auto"/>
        <w:right w:val="none" w:sz="0" w:space="0" w:color="auto"/>
      </w:divBdr>
    </w:div>
    <w:div w:id="743182519">
      <w:bodyDiv w:val="1"/>
      <w:marLeft w:val="0"/>
      <w:marRight w:val="0"/>
      <w:marTop w:val="0"/>
      <w:marBottom w:val="0"/>
      <w:divBdr>
        <w:top w:val="none" w:sz="0" w:space="0" w:color="auto"/>
        <w:left w:val="none" w:sz="0" w:space="0" w:color="auto"/>
        <w:bottom w:val="none" w:sz="0" w:space="0" w:color="auto"/>
        <w:right w:val="none" w:sz="0" w:space="0" w:color="auto"/>
      </w:divBdr>
    </w:div>
    <w:div w:id="749697270">
      <w:bodyDiv w:val="1"/>
      <w:marLeft w:val="0"/>
      <w:marRight w:val="0"/>
      <w:marTop w:val="0"/>
      <w:marBottom w:val="0"/>
      <w:divBdr>
        <w:top w:val="none" w:sz="0" w:space="0" w:color="auto"/>
        <w:left w:val="none" w:sz="0" w:space="0" w:color="auto"/>
        <w:bottom w:val="none" w:sz="0" w:space="0" w:color="auto"/>
        <w:right w:val="none" w:sz="0" w:space="0" w:color="auto"/>
      </w:divBdr>
      <w:divsChild>
        <w:div w:id="263151000">
          <w:marLeft w:val="0"/>
          <w:marRight w:val="0"/>
          <w:marTop w:val="0"/>
          <w:marBottom w:val="0"/>
          <w:divBdr>
            <w:top w:val="none" w:sz="0" w:space="0" w:color="auto"/>
            <w:left w:val="none" w:sz="0" w:space="0" w:color="auto"/>
            <w:bottom w:val="none" w:sz="0" w:space="0" w:color="auto"/>
            <w:right w:val="none" w:sz="0" w:space="0" w:color="auto"/>
          </w:divBdr>
        </w:div>
      </w:divsChild>
    </w:div>
    <w:div w:id="750128774">
      <w:bodyDiv w:val="1"/>
      <w:marLeft w:val="0"/>
      <w:marRight w:val="0"/>
      <w:marTop w:val="0"/>
      <w:marBottom w:val="0"/>
      <w:divBdr>
        <w:top w:val="none" w:sz="0" w:space="0" w:color="auto"/>
        <w:left w:val="none" w:sz="0" w:space="0" w:color="auto"/>
        <w:bottom w:val="none" w:sz="0" w:space="0" w:color="auto"/>
        <w:right w:val="none" w:sz="0" w:space="0" w:color="auto"/>
      </w:divBdr>
    </w:div>
    <w:div w:id="753018762">
      <w:bodyDiv w:val="1"/>
      <w:marLeft w:val="0"/>
      <w:marRight w:val="0"/>
      <w:marTop w:val="0"/>
      <w:marBottom w:val="0"/>
      <w:divBdr>
        <w:top w:val="none" w:sz="0" w:space="0" w:color="auto"/>
        <w:left w:val="none" w:sz="0" w:space="0" w:color="auto"/>
        <w:bottom w:val="none" w:sz="0" w:space="0" w:color="auto"/>
        <w:right w:val="none" w:sz="0" w:space="0" w:color="auto"/>
      </w:divBdr>
      <w:divsChild>
        <w:div w:id="716053110">
          <w:marLeft w:val="0"/>
          <w:marRight w:val="0"/>
          <w:marTop w:val="0"/>
          <w:marBottom w:val="0"/>
          <w:divBdr>
            <w:top w:val="none" w:sz="0" w:space="0" w:color="auto"/>
            <w:left w:val="none" w:sz="0" w:space="0" w:color="auto"/>
            <w:bottom w:val="none" w:sz="0" w:space="0" w:color="auto"/>
            <w:right w:val="none" w:sz="0" w:space="0" w:color="auto"/>
          </w:divBdr>
          <w:divsChild>
            <w:div w:id="65231592">
              <w:marLeft w:val="0"/>
              <w:marRight w:val="0"/>
              <w:marTop w:val="0"/>
              <w:marBottom w:val="0"/>
              <w:divBdr>
                <w:top w:val="none" w:sz="0" w:space="0" w:color="auto"/>
                <w:left w:val="none" w:sz="0" w:space="0" w:color="auto"/>
                <w:bottom w:val="none" w:sz="0" w:space="0" w:color="auto"/>
                <w:right w:val="none" w:sz="0" w:space="0" w:color="auto"/>
              </w:divBdr>
              <w:divsChild>
                <w:div w:id="15220109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4089384">
          <w:marLeft w:val="0"/>
          <w:marRight w:val="0"/>
          <w:marTop w:val="0"/>
          <w:marBottom w:val="450"/>
          <w:divBdr>
            <w:top w:val="none" w:sz="0" w:space="0" w:color="auto"/>
            <w:left w:val="none" w:sz="0" w:space="0" w:color="auto"/>
            <w:bottom w:val="none" w:sz="0" w:space="0" w:color="auto"/>
            <w:right w:val="none" w:sz="0" w:space="0" w:color="auto"/>
          </w:divBdr>
          <w:divsChild>
            <w:div w:id="105464485">
              <w:marLeft w:val="0"/>
              <w:marRight w:val="0"/>
              <w:marTop w:val="0"/>
              <w:marBottom w:val="0"/>
              <w:divBdr>
                <w:top w:val="none" w:sz="0" w:space="0" w:color="auto"/>
                <w:left w:val="none" w:sz="0" w:space="0" w:color="auto"/>
                <w:bottom w:val="none" w:sz="0" w:space="0" w:color="auto"/>
                <w:right w:val="none" w:sz="0" w:space="0" w:color="auto"/>
              </w:divBdr>
              <w:divsChild>
                <w:div w:id="1865242960">
                  <w:marLeft w:val="0"/>
                  <w:marRight w:val="0"/>
                  <w:marTop w:val="0"/>
                  <w:marBottom w:val="0"/>
                  <w:divBdr>
                    <w:top w:val="none" w:sz="0" w:space="0" w:color="auto"/>
                    <w:left w:val="none" w:sz="0" w:space="0" w:color="auto"/>
                    <w:bottom w:val="none" w:sz="0" w:space="0" w:color="auto"/>
                    <w:right w:val="none" w:sz="0" w:space="0" w:color="auto"/>
                  </w:divBdr>
                  <w:divsChild>
                    <w:div w:id="5906232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7520786">
          <w:marLeft w:val="0"/>
          <w:marRight w:val="0"/>
          <w:marTop w:val="0"/>
          <w:marBottom w:val="0"/>
          <w:divBdr>
            <w:top w:val="none" w:sz="0" w:space="0" w:color="auto"/>
            <w:left w:val="none" w:sz="0" w:space="0" w:color="auto"/>
            <w:bottom w:val="none" w:sz="0" w:space="0" w:color="auto"/>
            <w:right w:val="none" w:sz="0" w:space="0" w:color="auto"/>
          </w:divBdr>
          <w:divsChild>
            <w:div w:id="424345929">
              <w:marLeft w:val="0"/>
              <w:marRight w:val="0"/>
              <w:marTop w:val="0"/>
              <w:marBottom w:val="0"/>
              <w:divBdr>
                <w:top w:val="none" w:sz="0" w:space="0" w:color="auto"/>
                <w:left w:val="none" w:sz="0" w:space="0" w:color="auto"/>
                <w:bottom w:val="none" w:sz="0" w:space="0" w:color="auto"/>
                <w:right w:val="none" w:sz="0" w:space="0" w:color="auto"/>
              </w:divBdr>
              <w:divsChild>
                <w:div w:id="3872695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3626368">
      <w:bodyDiv w:val="1"/>
      <w:marLeft w:val="0"/>
      <w:marRight w:val="0"/>
      <w:marTop w:val="0"/>
      <w:marBottom w:val="0"/>
      <w:divBdr>
        <w:top w:val="none" w:sz="0" w:space="0" w:color="auto"/>
        <w:left w:val="none" w:sz="0" w:space="0" w:color="auto"/>
        <w:bottom w:val="none" w:sz="0" w:space="0" w:color="auto"/>
        <w:right w:val="none" w:sz="0" w:space="0" w:color="auto"/>
      </w:divBdr>
      <w:divsChild>
        <w:div w:id="1977684437">
          <w:marLeft w:val="0"/>
          <w:marRight w:val="0"/>
          <w:marTop w:val="0"/>
          <w:marBottom w:val="0"/>
          <w:divBdr>
            <w:top w:val="none" w:sz="0" w:space="0" w:color="auto"/>
            <w:left w:val="none" w:sz="0" w:space="0" w:color="auto"/>
            <w:bottom w:val="none" w:sz="0" w:space="0" w:color="auto"/>
            <w:right w:val="none" w:sz="0" w:space="0" w:color="auto"/>
          </w:divBdr>
        </w:div>
      </w:divsChild>
    </w:div>
    <w:div w:id="758141953">
      <w:bodyDiv w:val="1"/>
      <w:marLeft w:val="0"/>
      <w:marRight w:val="0"/>
      <w:marTop w:val="0"/>
      <w:marBottom w:val="0"/>
      <w:divBdr>
        <w:top w:val="none" w:sz="0" w:space="0" w:color="auto"/>
        <w:left w:val="none" w:sz="0" w:space="0" w:color="auto"/>
        <w:bottom w:val="none" w:sz="0" w:space="0" w:color="auto"/>
        <w:right w:val="none" w:sz="0" w:space="0" w:color="auto"/>
      </w:divBdr>
    </w:div>
    <w:div w:id="762578268">
      <w:marLeft w:val="0"/>
      <w:marRight w:val="0"/>
      <w:marTop w:val="0"/>
      <w:marBottom w:val="0"/>
      <w:divBdr>
        <w:top w:val="none" w:sz="0" w:space="0" w:color="auto"/>
        <w:left w:val="none" w:sz="0" w:space="0" w:color="auto"/>
        <w:bottom w:val="none" w:sz="0" w:space="0" w:color="auto"/>
        <w:right w:val="none" w:sz="0" w:space="0" w:color="auto"/>
      </w:divBdr>
      <w:divsChild>
        <w:div w:id="986974403">
          <w:marLeft w:val="0"/>
          <w:marRight w:val="0"/>
          <w:marTop w:val="0"/>
          <w:marBottom w:val="0"/>
          <w:divBdr>
            <w:top w:val="none" w:sz="0" w:space="0" w:color="auto"/>
            <w:left w:val="none" w:sz="0" w:space="0" w:color="auto"/>
            <w:bottom w:val="none" w:sz="0" w:space="0" w:color="auto"/>
            <w:right w:val="none" w:sz="0" w:space="0" w:color="auto"/>
          </w:divBdr>
        </w:div>
      </w:divsChild>
    </w:div>
    <w:div w:id="762992251">
      <w:bodyDiv w:val="1"/>
      <w:marLeft w:val="0"/>
      <w:marRight w:val="0"/>
      <w:marTop w:val="0"/>
      <w:marBottom w:val="0"/>
      <w:divBdr>
        <w:top w:val="none" w:sz="0" w:space="0" w:color="auto"/>
        <w:left w:val="none" w:sz="0" w:space="0" w:color="auto"/>
        <w:bottom w:val="none" w:sz="0" w:space="0" w:color="auto"/>
        <w:right w:val="none" w:sz="0" w:space="0" w:color="auto"/>
      </w:divBdr>
      <w:divsChild>
        <w:div w:id="1812138519">
          <w:marLeft w:val="0"/>
          <w:marRight w:val="0"/>
          <w:marTop w:val="0"/>
          <w:marBottom w:val="0"/>
          <w:divBdr>
            <w:top w:val="none" w:sz="0" w:space="0" w:color="auto"/>
            <w:left w:val="none" w:sz="0" w:space="0" w:color="auto"/>
            <w:bottom w:val="none" w:sz="0" w:space="0" w:color="auto"/>
            <w:right w:val="none" w:sz="0" w:space="0" w:color="auto"/>
          </w:divBdr>
        </w:div>
      </w:divsChild>
    </w:div>
    <w:div w:id="778990450">
      <w:bodyDiv w:val="1"/>
      <w:marLeft w:val="0"/>
      <w:marRight w:val="0"/>
      <w:marTop w:val="0"/>
      <w:marBottom w:val="0"/>
      <w:divBdr>
        <w:top w:val="none" w:sz="0" w:space="0" w:color="auto"/>
        <w:left w:val="none" w:sz="0" w:space="0" w:color="auto"/>
        <w:bottom w:val="none" w:sz="0" w:space="0" w:color="auto"/>
        <w:right w:val="none" w:sz="0" w:space="0" w:color="auto"/>
      </w:divBdr>
    </w:div>
    <w:div w:id="779179802">
      <w:bodyDiv w:val="1"/>
      <w:marLeft w:val="0"/>
      <w:marRight w:val="0"/>
      <w:marTop w:val="0"/>
      <w:marBottom w:val="0"/>
      <w:divBdr>
        <w:top w:val="none" w:sz="0" w:space="0" w:color="auto"/>
        <w:left w:val="none" w:sz="0" w:space="0" w:color="auto"/>
        <w:bottom w:val="none" w:sz="0" w:space="0" w:color="auto"/>
        <w:right w:val="none" w:sz="0" w:space="0" w:color="auto"/>
      </w:divBdr>
      <w:divsChild>
        <w:div w:id="1758936792">
          <w:marLeft w:val="0"/>
          <w:marRight w:val="0"/>
          <w:marTop w:val="0"/>
          <w:marBottom w:val="0"/>
          <w:divBdr>
            <w:top w:val="none" w:sz="0" w:space="0" w:color="auto"/>
            <w:left w:val="none" w:sz="0" w:space="0" w:color="auto"/>
            <w:bottom w:val="none" w:sz="0" w:space="0" w:color="auto"/>
            <w:right w:val="none" w:sz="0" w:space="0" w:color="auto"/>
          </w:divBdr>
          <w:divsChild>
            <w:div w:id="1995252060">
              <w:marLeft w:val="0"/>
              <w:marRight w:val="0"/>
              <w:marTop w:val="0"/>
              <w:marBottom w:val="0"/>
              <w:divBdr>
                <w:top w:val="none" w:sz="0" w:space="0" w:color="auto"/>
                <w:left w:val="none" w:sz="0" w:space="0" w:color="auto"/>
                <w:bottom w:val="none" w:sz="0" w:space="0" w:color="auto"/>
                <w:right w:val="none" w:sz="0" w:space="0" w:color="auto"/>
              </w:divBdr>
              <w:divsChild>
                <w:div w:id="240649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9690120">
          <w:marLeft w:val="0"/>
          <w:marRight w:val="0"/>
          <w:marTop w:val="0"/>
          <w:marBottom w:val="450"/>
          <w:divBdr>
            <w:top w:val="none" w:sz="0" w:space="0" w:color="auto"/>
            <w:left w:val="none" w:sz="0" w:space="0" w:color="auto"/>
            <w:bottom w:val="none" w:sz="0" w:space="0" w:color="auto"/>
            <w:right w:val="none" w:sz="0" w:space="0" w:color="auto"/>
          </w:divBdr>
          <w:divsChild>
            <w:div w:id="489566154">
              <w:marLeft w:val="0"/>
              <w:marRight w:val="0"/>
              <w:marTop w:val="0"/>
              <w:marBottom w:val="0"/>
              <w:divBdr>
                <w:top w:val="none" w:sz="0" w:space="0" w:color="auto"/>
                <w:left w:val="none" w:sz="0" w:space="0" w:color="auto"/>
                <w:bottom w:val="none" w:sz="0" w:space="0" w:color="auto"/>
                <w:right w:val="none" w:sz="0" w:space="0" w:color="auto"/>
              </w:divBdr>
              <w:divsChild>
                <w:div w:id="1952779242">
                  <w:marLeft w:val="0"/>
                  <w:marRight w:val="0"/>
                  <w:marTop w:val="0"/>
                  <w:marBottom w:val="0"/>
                  <w:divBdr>
                    <w:top w:val="none" w:sz="0" w:space="0" w:color="auto"/>
                    <w:left w:val="none" w:sz="0" w:space="0" w:color="auto"/>
                    <w:bottom w:val="none" w:sz="0" w:space="0" w:color="auto"/>
                    <w:right w:val="none" w:sz="0" w:space="0" w:color="auto"/>
                  </w:divBdr>
                  <w:divsChild>
                    <w:div w:id="1721868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93140919">
      <w:bodyDiv w:val="1"/>
      <w:marLeft w:val="0"/>
      <w:marRight w:val="0"/>
      <w:marTop w:val="0"/>
      <w:marBottom w:val="0"/>
      <w:divBdr>
        <w:top w:val="none" w:sz="0" w:space="0" w:color="auto"/>
        <w:left w:val="none" w:sz="0" w:space="0" w:color="auto"/>
        <w:bottom w:val="none" w:sz="0" w:space="0" w:color="auto"/>
        <w:right w:val="none" w:sz="0" w:space="0" w:color="auto"/>
      </w:divBdr>
    </w:div>
    <w:div w:id="806631967">
      <w:bodyDiv w:val="1"/>
      <w:marLeft w:val="0"/>
      <w:marRight w:val="0"/>
      <w:marTop w:val="0"/>
      <w:marBottom w:val="0"/>
      <w:divBdr>
        <w:top w:val="none" w:sz="0" w:space="0" w:color="auto"/>
        <w:left w:val="none" w:sz="0" w:space="0" w:color="auto"/>
        <w:bottom w:val="none" w:sz="0" w:space="0" w:color="auto"/>
        <w:right w:val="none" w:sz="0" w:space="0" w:color="auto"/>
      </w:divBdr>
    </w:div>
    <w:div w:id="814831690">
      <w:bodyDiv w:val="1"/>
      <w:marLeft w:val="0"/>
      <w:marRight w:val="0"/>
      <w:marTop w:val="0"/>
      <w:marBottom w:val="0"/>
      <w:divBdr>
        <w:top w:val="none" w:sz="0" w:space="0" w:color="auto"/>
        <w:left w:val="none" w:sz="0" w:space="0" w:color="auto"/>
        <w:bottom w:val="none" w:sz="0" w:space="0" w:color="auto"/>
        <w:right w:val="none" w:sz="0" w:space="0" w:color="auto"/>
      </w:divBdr>
      <w:divsChild>
        <w:div w:id="754322780">
          <w:marLeft w:val="0"/>
          <w:marRight w:val="0"/>
          <w:marTop w:val="0"/>
          <w:marBottom w:val="0"/>
          <w:divBdr>
            <w:top w:val="none" w:sz="0" w:space="0" w:color="auto"/>
            <w:left w:val="none" w:sz="0" w:space="0" w:color="auto"/>
            <w:bottom w:val="none" w:sz="0" w:space="0" w:color="auto"/>
            <w:right w:val="none" w:sz="0" w:space="0" w:color="auto"/>
          </w:divBdr>
        </w:div>
      </w:divsChild>
    </w:div>
    <w:div w:id="814875105">
      <w:bodyDiv w:val="1"/>
      <w:marLeft w:val="0"/>
      <w:marRight w:val="0"/>
      <w:marTop w:val="0"/>
      <w:marBottom w:val="0"/>
      <w:divBdr>
        <w:top w:val="none" w:sz="0" w:space="0" w:color="auto"/>
        <w:left w:val="none" w:sz="0" w:space="0" w:color="auto"/>
        <w:bottom w:val="none" w:sz="0" w:space="0" w:color="auto"/>
        <w:right w:val="none" w:sz="0" w:space="0" w:color="auto"/>
      </w:divBdr>
      <w:divsChild>
        <w:div w:id="945120855">
          <w:marLeft w:val="547"/>
          <w:marRight w:val="0"/>
          <w:marTop w:val="86"/>
          <w:marBottom w:val="0"/>
          <w:divBdr>
            <w:top w:val="none" w:sz="0" w:space="0" w:color="auto"/>
            <w:left w:val="none" w:sz="0" w:space="0" w:color="auto"/>
            <w:bottom w:val="none" w:sz="0" w:space="0" w:color="auto"/>
            <w:right w:val="none" w:sz="0" w:space="0" w:color="auto"/>
          </w:divBdr>
        </w:div>
        <w:div w:id="1187332369">
          <w:marLeft w:val="547"/>
          <w:marRight w:val="0"/>
          <w:marTop w:val="86"/>
          <w:marBottom w:val="0"/>
          <w:divBdr>
            <w:top w:val="none" w:sz="0" w:space="0" w:color="auto"/>
            <w:left w:val="none" w:sz="0" w:space="0" w:color="auto"/>
            <w:bottom w:val="none" w:sz="0" w:space="0" w:color="auto"/>
            <w:right w:val="none" w:sz="0" w:space="0" w:color="auto"/>
          </w:divBdr>
        </w:div>
      </w:divsChild>
    </w:div>
    <w:div w:id="822895744">
      <w:bodyDiv w:val="1"/>
      <w:marLeft w:val="0"/>
      <w:marRight w:val="0"/>
      <w:marTop w:val="0"/>
      <w:marBottom w:val="0"/>
      <w:divBdr>
        <w:top w:val="none" w:sz="0" w:space="0" w:color="auto"/>
        <w:left w:val="none" w:sz="0" w:space="0" w:color="auto"/>
        <w:bottom w:val="none" w:sz="0" w:space="0" w:color="auto"/>
        <w:right w:val="none" w:sz="0" w:space="0" w:color="auto"/>
      </w:divBdr>
    </w:div>
    <w:div w:id="822966195">
      <w:bodyDiv w:val="1"/>
      <w:marLeft w:val="0"/>
      <w:marRight w:val="0"/>
      <w:marTop w:val="0"/>
      <w:marBottom w:val="0"/>
      <w:divBdr>
        <w:top w:val="none" w:sz="0" w:space="0" w:color="auto"/>
        <w:left w:val="none" w:sz="0" w:space="0" w:color="auto"/>
        <w:bottom w:val="none" w:sz="0" w:space="0" w:color="auto"/>
        <w:right w:val="none" w:sz="0" w:space="0" w:color="auto"/>
      </w:divBdr>
    </w:div>
    <w:div w:id="825053764">
      <w:bodyDiv w:val="1"/>
      <w:marLeft w:val="0"/>
      <w:marRight w:val="0"/>
      <w:marTop w:val="0"/>
      <w:marBottom w:val="0"/>
      <w:divBdr>
        <w:top w:val="none" w:sz="0" w:space="0" w:color="auto"/>
        <w:left w:val="none" w:sz="0" w:space="0" w:color="auto"/>
        <w:bottom w:val="none" w:sz="0" w:space="0" w:color="auto"/>
        <w:right w:val="none" w:sz="0" w:space="0" w:color="auto"/>
      </w:divBdr>
      <w:divsChild>
        <w:div w:id="1238321225">
          <w:marLeft w:val="0"/>
          <w:marRight w:val="0"/>
          <w:marTop w:val="0"/>
          <w:marBottom w:val="0"/>
          <w:divBdr>
            <w:top w:val="none" w:sz="0" w:space="0" w:color="auto"/>
            <w:left w:val="none" w:sz="0" w:space="0" w:color="auto"/>
            <w:bottom w:val="none" w:sz="0" w:space="0" w:color="auto"/>
            <w:right w:val="none" w:sz="0" w:space="0" w:color="auto"/>
          </w:divBdr>
        </w:div>
      </w:divsChild>
    </w:div>
    <w:div w:id="826558213">
      <w:bodyDiv w:val="1"/>
      <w:marLeft w:val="0"/>
      <w:marRight w:val="0"/>
      <w:marTop w:val="0"/>
      <w:marBottom w:val="0"/>
      <w:divBdr>
        <w:top w:val="none" w:sz="0" w:space="0" w:color="auto"/>
        <w:left w:val="none" w:sz="0" w:space="0" w:color="auto"/>
        <w:bottom w:val="none" w:sz="0" w:space="0" w:color="auto"/>
        <w:right w:val="none" w:sz="0" w:space="0" w:color="auto"/>
      </w:divBdr>
      <w:divsChild>
        <w:div w:id="471677407">
          <w:marLeft w:val="0"/>
          <w:marRight w:val="0"/>
          <w:marTop w:val="0"/>
          <w:marBottom w:val="0"/>
          <w:divBdr>
            <w:top w:val="none" w:sz="0" w:space="0" w:color="auto"/>
            <w:left w:val="none" w:sz="0" w:space="0" w:color="auto"/>
            <w:bottom w:val="none" w:sz="0" w:space="0" w:color="auto"/>
            <w:right w:val="none" w:sz="0" w:space="0" w:color="auto"/>
          </w:divBdr>
        </w:div>
      </w:divsChild>
    </w:div>
    <w:div w:id="827096912">
      <w:bodyDiv w:val="1"/>
      <w:marLeft w:val="0"/>
      <w:marRight w:val="0"/>
      <w:marTop w:val="0"/>
      <w:marBottom w:val="0"/>
      <w:divBdr>
        <w:top w:val="none" w:sz="0" w:space="0" w:color="auto"/>
        <w:left w:val="none" w:sz="0" w:space="0" w:color="auto"/>
        <w:bottom w:val="none" w:sz="0" w:space="0" w:color="auto"/>
        <w:right w:val="none" w:sz="0" w:space="0" w:color="auto"/>
      </w:divBdr>
    </w:div>
    <w:div w:id="829752487">
      <w:bodyDiv w:val="1"/>
      <w:marLeft w:val="0"/>
      <w:marRight w:val="0"/>
      <w:marTop w:val="0"/>
      <w:marBottom w:val="0"/>
      <w:divBdr>
        <w:top w:val="none" w:sz="0" w:space="0" w:color="auto"/>
        <w:left w:val="none" w:sz="0" w:space="0" w:color="auto"/>
        <w:bottom w:val="none" w:sz="0" w:space="0" w:color="auto"/>
        <w:right w:val="none" w:sz="0" w:space="0" w:color="auto"/>
      </w:divBdr>
      <w:divsChild>
        <w:div w:id="1970278222">
          <w:marLeft w:val="0"/>
          <w:marRight w:val="0"/>
          <w:marTop w:val="0"/>
          <w:marBottom w:val="0"/>
          <w:divBdr>
            <w:top w:val="none" w:sz="0" w:space="0" w:color="auto"/>
            <w:left w:val="none" w:sz="0" w:space="0" w:color="auto"/>
            <w:bottom w:val="none" w:sz="0" w:space="0" w:color="auto"/>
            <w:right w:val="none" w:sz="0" w:space="0" w:color="auto"/>
          </w:divBdr>
        </w:div>
      </w:divsChild>
    </w:div>
    <w:div w:id="831988800">
      <w:bodyDiv w:val="1"/>
      <w:marLeft w:val="0"/>
      <w:marRight w:val="0"/>
      <w:marTop w:val="0"/>
      <w:marBottom w:val="0"/>
      <w:divBdr>
        <w:top w:val="none" w:sz="0" w:space="0" w:color="auto"/>
        <w:left w:val="none" w:sz="0" w:space="0" w:color="auto"/>
        <w:bottom w:val="none" w:sz="0" w:space="0" w:color="auto"/>
        <w:right w:val="none" w:sz="0" w:space="0" w:color="auto"/>
      </w:divBdr>
      <w:divsChild>
        <w:div w:id="1802530508">
          <w:marLeft w:val="0"/>
          <w:marRight w:val="0"/>
          <w:marTop w:val="0"/>
          <w:marBottom w:val="0"/>
          <w:divBdr>
            <w:top w:val="none" w:sz="0" w:space="0" w:color="auto"/>
            <w:left w:val="none" w:sz="0" w:space="0" w:color="auto"/>
            <w:bottom w:val="none" w:sz="0" w:space="0" w:color="auto"/>
            <w:right w:val="none" w:sz="0" w:space="0" w:color="auto"/>
          </w:divBdr>
        </w:div>
      </w:divsChild>
    </w:div>
    <w:div w:id="837429742">
      <w:bodyDiv w:val="1"/>
      <w:marLeft w:val="0"/>
      <w:marRight w:val="0"/>
      <w:marTop w:val="0"/>
      <w:marBottom w:val="0"/>
      <w:divBdr>
        <w:top w:val="none" w:sz="0" w:space="0" w:color="auto"/>
        <w:left w:val="none" w:sz="0" w:space="0" w:color="auto"/>
        <w:bottom w:val="none" w:sz="0" w:space="0" w:color="auto"/>
        <w:right w:val="none" w:sz="0" w:space="0" w:color="auto"/>
      </w:divBdr>
      <w:divsChild>
        <w:div w:id="379597735">
          <w:marLeft w:val="0"/>
          <w:marRight w:val="0"/>
          <w:marTop w:val="0"/>
          <w:marBottom w:val="0"/>
          <w:divBdr>
            <w:top w:val="none" w:sz="0" w:space="0" w:color="auto"/>
            <w:left w:val="none" w:sz="0" w:space="0" w:color="auto"/>
            <w:bottom w:val="none" w:sz="0" w:space="0" w:color="auto"/>
            <w:right w:val="none" w:sz="0" w:space="0" w:color="auto"/>
          </w:divBdr>
        </w:div>
      </w:divsChild>
    </w:div>
    <w:div w:id="837694753">
      <w:bodyDiv w:val="1"/>
      <w:marLeft w:val="0"/>
      <w:marRight w:val="0"/>
      <w:marTop w:val="0"/>
      <w:marBottom w:val="0"/>
      <w:divBdr>
        <w:top w:val="none" w:sz="0" w:space="0" w:color="auto"/>
        <w:left w:val="none" w:sz="0" w:space="0" w:color="auto"/>
        <w:bottom w:val="none" w:sz="0" w:space="0" w:color="auto"/>
        <w:right w:val="none" w:sz="0" w:space="0" w:color="auto"/>
      </w:divBdr>
    </w:div>
    <w:div w:id="837697115">
      <w:bodyDiv w:val="1"/>
      <w:marLeft w:val="0"/>
      <w:marRight w:val="0"/>
      <w:marTop w:val="0"/>
      <w:marBottom w:val="0"/>
      <w:divBdr>
        <w:top w:val="none" w:sz="0" w:space="0" w:color="auto"/>
        <w:left w:val="none" w:sz="0" w:space="0" w:color="auto"/>
        <w:bottom w:val="none" w:sz="0" w:space="0" w:color="auto"/>
        <w:right w:val="none" w:sz="0" w:space="0" w:color="auto"/>
      </w:divBdr>
    </w:div>
    <w:div w:id="840388426">
      <w:bodyDiv w:val="1"/>
      <w:marLeft w:val="0"/>
      <w:marRight w:val="0"/>
      <w:marTop w:val="0"/>
      <w:marBottom w:val="0"/>
      <w:divBdr>
        <w:top w:val="none" w:sz="0" w:space="0" w:color="auto"/>
        <w:left w:val="none" w:sz="0" w:space="0" w:color="auto"/>
        <w:bottom w:val="none" w:sz="0" w:space="0" w:color="auto"/>
        <w:right w:val="none" w:sz="0" w:space="0" w:color="auto"/>
      </w:divBdr>
    </w:div>
    <w:div w:id="842161060">
      <w:bodyDiv w:val="1"/>
      <w:marLeft w:val="0"/>
      <w:marRight w:val="0"/>
      <w:marTop w:val="0"/>
      <w:marBottom w:val="0"/>
      <w:divBdr>
        <w:top w:val="none" w:sz="0" w:space="0" w:color="auto"/>
        <w:left w:val="none" w:sz="0" w:space="0" w:color="auto"/>
        <w:bottom w:val="none" w:sz="0" w:space="0" w:color="auto"/>
        <w:right w:val="none" w:sz="0" w:space="0" w:color="auto"/>
      </w:divBdr>
    </w:div>
    <w:div w:id="848981303">
      <w:marLeft w:val="0"/>
      <w:marRight w:val="0"/>
      <w:marTop w:val="0"/>
      <w:marBottom w:val="0"/>
      <w:divBdr>
        <w:top w:val="none" w:sz="0" w:space="0" w:color="auto"/>
        <w:left w:val="none" w:sz="0" w:space="0" w:color="auto"/>
        <w:bottom w:val="none" w:sz="0" w:space="0" w:color="auto"/>
        <w:right w:val="none" w:sz="0" w:space="0" w:color="auto"/>
      </w:divBdr>
      <w:divsChild>
        <w:div w:id="344095620">
          <w:marLeft w:val="0"/>
          <w:marRight w:val="0"/>
          <w:marTop w:val="0"/>
          <w:marBottom w:val="0"/>
          <w:divBdr>
            <w:top w:val="none" w:sz="0" w:space="0" w:color="auto"/>
            <w:left w:val="none" w:sz="0" w:space="0" w:color="auto"/>
            <w:bottom w:val="none" w:sz="0" w:space="0" w:color="auto"/>
            <w:right w:val="none" w:sz="0" w:space="0" w:color="auto"/>
          </w:divBdr>
        </w:div>
      </w:divsChild>
    </w:div>
    <w:div w:id="856043522">
      <w:bodyDiv w:val="1"/>
      <w:marLeft w:val="0"/>
      <w:marRight w:val="0"/>
      <w:marTop w:val="0"/>
      <w:marBottom w:val="0"/>
      <w:divBdr>
        <w:top w:val="none" w:sz="0" w:space="0" w:color="auto"/>
        <w:left w:val="none" w:sz="0" w:space="0" w:color="auto"/>
        <w:bottom w:val="none" w:sz="0" w:space="0" w:color="auto"/>
        <w:right w:val="none" w:sz="0" w:space="0" w:color="auto"/>
      </w:divBdr>
    </w:div>
    <w:div w:id="856122232">
      <w:bodyDiv w:val="1"/>
      <w:marLeft w:val="0"/>
      <w:marRight w:val="0"/>
      <w:marTop w:val="0"/>
      <w:marBottom w:val="0"/>
      <w:divBdr>
        <w:top w:val="none" w:sz="0" w:space="0" w:color="auto"/>
        <w:left w:val="none" w:sz="0" w:space="0" w:color="auto"/>
        <w:bottom w:val="none" w:sz="0" w:space="0" w:color="auto"/>
        <w:right w:val="none" w:sz="0" w:space="0" w:color="auto"/>
      </w:divBdr>
    </w:div>
    <w:div w:id="859590838">
      <w:bodyDiv w:val="1"/>
      <w:marLeft w:val="0"/>
      <w:marRight w:val="0"/>
      <w:marTop w:val="0"/>
      <w:marBottom w:val="0"/>
      <w:divBdr>
        <w:top w:val="none" w:sz="0" w:space="0" w:color="auto"/>
        <w:left w:val="none" w:sz="0" w:space="0" w:color="auto"/>
        <w:bottom w:val="none" w:sz="0" w:space="0" w:color="auto"/>
        <w:right w:val="none" w:sz="0" w:space="0" w:color="auto"/>
      </w:divBdr>
    </w:div>
    <w:div w:id="861817915">
      <w:bodyDiv w:val="1"/>
      <w:marLeft w:val="0"/>
      <w:marRight w:val="0"/>
      <w:marTop w:val="0"/>
      <w:marBottom w:val="0"/>
      <w:divBdr>
        <w:top w:val="none" w:sz="0" w:space="0" w:color="auto"/>
        <w:left w:val="none" w:sz="0" w:space="0" w:color="auto"/>
        <w:bottom w:val="none" w:sz="0" w:space="0" w:color="auto"/>
        <w:right w:val="none" w:sz="0" w:space="0" w:color="auto"/>
      </w:divBdr>
      <w:divsChild>
        <w:div w:id="433331240">
          <w:marLeft w:val="0"/>
          <w:marRight w:val="0"/>
          <w:marTop w:val="0"/>
          <w:marBottom w:val="0"/>
          <w:divBdr>
            <w:top w:val="none" w:sz="0" w:space="0" w:color="auto"/>
            <w:left w:val="none" w:sz="0" w:space="0" w:color="auto"/>
            <w:bottom w:val="none" w:sz="0" w:space="0" w:color="auto"/>
            <w:right w:val="none" w:sz="0" w:space="0" w:color="auto"/>
          </w:divBdr>
        </w:div>
      </w:divsChild>
    </w:div>
    <w:div w:id="861818251">
      <w:bodyDiv w:val="1"/>
      <w:marLeft w:val="0"/>
      <w:marRight w:val="0"/>
      <w:marTop w:val="0"/>
      <w:marBottom w:val="0"/>
      <w:divBdr>
        <w:top w:val="none" w:sz="0" w:space="0" w:color="auto"/>
        <w:left w:val="none" w:sz="0" w:space="0" w:color="auto"/>
        <w:bottom w:val="none" w:sz="0" w:space="0" w:color="auto"/>
        <w:right w:val="none" w:sz="0" w:space="0" w:color="auto"/>
      </w:divBdr>
      <w:divsChild>
        <w:div w:id="1037782616">
          <w:marLeft w:val="0"/>
          <w:marRight w:val="0"/>
          <w:marTop w:val="0"/>
          <w:marBottom w:val="0"/>
          <w:divBdr>
            <w:top w:val="none" w:sz="0" w:space="0" w:color="auto"/>
            <w:left w:val="none" w:sz="0" w:space="0" w:color="auto"/>
            <w:bottom w:val="none" w:sz="0" w:space="0" w:color="auto"/>
            <w:right w:val="none" w:sz="0" w:space="0" w:color="auto"/>
          </w:divBdr>
        </w:div>
      </w:divsChild>
    </w:div>
    <w:div w:id="864366541">
      <w:bodyDiv w:val="1"/>
      <w:marLeft w:val="0"/>
      <w:marRight w:val="0"/>
      <w:marTop w:val="0"/>
      <w:marBottom w:val="0"/>
      <w:divBdr>
        <w:top w:val="none" w:sz="0" w:space="0" w:color="auto"/>
        <w:left w:val="none" w:sz="0" w:space="0" w:color="auto"/>
        <w:bottom w:val="none" w:sz="0" w:space="0" w:color="auto"/>
        <w:right w:val="none" w:sz="0" w:space="0" w:color="auto"/>
      </w:divBdr>
    </w:div>
    <w:div w:id="865866875">
      <w:bodyDiv w:val="1"/>
      <w:marLeft w:val="0"/>
      <w:marRight w:val="0"/>
      <w:marTop w:val="0"/>
      <w:marBottom w:val="0"/>
      <w:divBdr>
        <w:top w:val="none" w:sz="0" w:space="0" w:color="auto"/>
        <w:left w:val="none" w:sz="0" w:space="0" w:color="auto"/>
        <w:bottom w:val="none" w:sz="0" w:space="0" w:color="auto"/>
        <w:right w:val="none" w:sz="0" w:space="0" w:color="auto"/>
      </w:divBdr>
    </w:div>
    <w:div w:id="866407918">
      <w:marLeft w:val="0"/>
      <w:marRight w:val="0"/>
      <w:marTop w:val="0"/>
      <w:marBottom w:val="0"/>
      <w:divBdr>
        <w:top w:val="none" w:sz="0" w:space="0" w:color="auto"/>
        <w:left w:val="none" w:sz="0" w:space="0" w:color="auto"/>
        <w:bottom w:val="none" w:sz="0" w:space="0" w:color="auto"/>
        <w:right w:val="none" w:sz="0" w:space="0" w:color="auto"/>
      </w:divBdr>
      <w:divsChild>
        <w:div w:id="524096338">
          <w:marLeft w:val="0"/>
          <w:marRight w:val="0"/>
          <w:marTop w:val="0"/>
          <w:marBottom w:val="0"/>
          <w:divBdr>
            <w:top w:val="none" w:sz="0" w:space="0" w:color="auto"/>
            <w:left w:val="none" w:sz="0" w:space="0" w:color="auto"/>
            <w:bottom w:val="none" w:sz="0" w:space="0" w:color="auto"/>
            <w:right w:val="none" w:sz="0" w:space="0" w:color="auto"/>
          </w:divBdr>
        </w:div>
      </w:divsChild>
    </w:div>
    <w:div w:id="873729891">
      <w:bodyDiv w:val="1"/>
      <w:marLeft w:val="0"/>
      <w:marRight w:val="0"/>
      <w:marTop w:val="0"/>
      <w:marBottom w:val="0"/>
      <w:divBdr>
        <w:top w:val="none" w:sz="0" w:space="0" w:color="auto"/>
        <w:left w:val="none" w:sz="0" w:space="0" w:color="auto"/>
        <w:bottom w:val="none" w:sz="0" w:space="0" w:color="auto"/>
        <w:right w:val="none" w:sz="0" w:space="0" w:color="auto"/>
      </w:divBdr>
    </w:div>
    <w:div w:id="877006892">
      <w:bodyDiv w:val="1"/>
      <w:marLeft w:val="0"/>
      <w:marRight w:val="0"/>
      <w:marTop w:val="0"/>
      <w:marBottom w:val="0"/>
      <w:divBdr>
        <w:top w:val="none" w:sz="0" w:space="0" w:color="auto"/>
        <w:left w:val="none" w:sz="0" w:space="0" w:color="auto"/>
        <w:bottom w:val="none" w:sz="0" w:space="0" w:color="auto"/>
        <w:right w:val="none" w:sz="0" w:space="0" w:color="auto"/>
      </w:divBdr>
    </w:div>
    <w:div w:id="882248729">
      <w:bodyDiv w:val="1"/>
      <w:marLeft w:val="0"/>
      <w:marRight w:val="0"/>
      <w:marTop w:val="0"/>
      <w:marBottom w:val="0"/>
      <w:divBdr>
        <w:top w:val="none" w:sz="0" w:space="0" w:color="auto"/>
        <w:left w:val="none" w:sz="0" w:space="0" w:color="auto"/>
        <w:bottom w:val="none" w:sz="0" w:space="0" w:color="auto"/>
        <w:right w:val="none" w:sz="0" w:space="0" w:color="auto"/>
      </w:divBdr>
    </w:div>
    <w:div w:id="886918934">
      <w:bodyDiv w:val="1"/>
      <w:marLeft w:val="0"/>
      <w:marRight w:val="0"/>
      <w:marTop w:val="0"/>
      <w:marBottom w:val="0"/>
      <w:divBdr>
        <w:top w:val="none" w:sz="0" w:space="0" w:color="auto"/>
        <w:left w:val="none" w:sz="0" w:space="0" w:color="auto"/>
        <w:bottom w:val="none" w:sz="0" w:space="0" w:color="auto"/>
        <w:right w:val="none" w:sz="0" w:space="0" w:color="auto"/>
      </w:divBdr>
    </w:div>
    <w:div w:id="887959117">
      <w:marLeft w:val="0"/>
      <w:marRight w:val="0"/>
      <w:marTop w:val="0"/>
      <w:marBottom w:val="0"/>
      <w:divBdr>
        <w:top w:val="none" w:sz="0" w:space="0" w:color="auto"/>
        <w:left w:val="none" w:sz="0" w:space="0" w:color="auto"/>
        <w:bottom w:val="none" w:sz="0" w:space="0" w:color="auto"/>
        <w:right w:val="none" w:sz="0" w:space="0" w:color="auto"/>
      </w:divBdr>
      <w:divsChild>
        <w:div w:id="353581018">
          <w:marLeft w:val="0"/>
          <w:marRight w:val="0"/>
          <w:marTop w:val="0"/>
          <w:marBottom w:val="0"/>
          <w:divBdr>
            <w:top w:val="none" w:sz="0" w:space="0" w:color="auto"/>
            <w:left w:val="none" w:sz="0" w:space="0" w:color="auto"/>
            <w:bottom w:val="none" w:sz="0" w:space="0" w:color="auto"/>
            <w:right w:val="none" w:sz="0" w:space="0" w:color="auto"/>
          </w:divBdr>
        </w:div>
      </w:divsChild>
    </w:div>
    <w:div w:id="895971567">
      <w:bodyDiv w:val="1"/>
      <w:marLeft w:val="0"/>
      <w:marRight w:val="0"/>
      <w:marTop w:val="0"/>
      <w:marBottom w:val="0"/>
      <w:divBdr>
        <w:top w:val="none" w:sz="0" w:space="0" w:color="auto"/>
        <w:left w:val="none" w:sz="0" w:space="0" w:color="auto"/>
        <w:bottom w:val="none" w:sz="0" w:space="0" w:color="auto"/>
        <w:right w:val="none" w:sz="0" w:space="0" w:color="auto"/>
      </w:divBdr>
      <w:divsChild>
        <w:div w:id="1690057783">
          <w:marLeft w:val="0"/>
          <w:marRight w:val="0"/>
          <w:marTop w:val="0"/>
          <w:marBottom w:val="0"/>
          <w:divBdr>
            <w:top w:val="none" w:sz="0" w:space="0" w:color="auto"/>
            <w:left w:val="none" w:sz="0" w:space="0" w:color="auto"/>
            <w:bottom w:val="none" w:sz="0" w:space="0" w:color="auto"/>
            <w:right w:val="none" w:sz="0" w:space="0" w:color="auto"/>
          </w:divBdr>
        </w:div>
      </w:divsChild>
    </w:div>
    <w:div w:id="897131653">
      <w:bodyDiv w:val="1"/>
      <w:marLeft w:val="0"/>
      <w:marRight w:val="0"/>
      <w:marTop w:val="0"/>
      <w:marBottom w:val="0"/>
      <w:divBdr>
        <w:top w:val="none" w:sz="0" w:space="0" w:color="auto"/>
        <w:left w:val="none" w:sz="0" w:space="0" w:color="auto"/>
        <w:bottom w:val="none" w:sz="0" w:space="0" w:color="auto"/>
        <w:right w:val="none" w:sz="0" w:space="0" w:color="auto"/>
      </w:divBdr>
    </w:div>
    <w:div w:id="901140860">
      <w:bodyDiv w:val="1"/>
      <w:marLeft w:val="0"/>
      <w:marRight w:val="0"/>
      <w:marTop w:val="0"/>
      <w:marBottom w:val="0"/>
      <w:divBdr>
        <w:top w:val="none" w:sz="0" w:space="0" w:color="auto"/>
        <w:left w:val="none" w:sz="0" w:space="0" w:color="auto"/>
        <w:bottom w:val="none" w:sz="0" w:space="0" w:color="auto"/>
        <w:right w:val="none" w:sz="0" w:space="0" w:color="auto"/>
      </w:divBdr>
    </w:div>
    <w:div w:id="904681269">
      <w:bodyDiv w:val="1"/>
      <w:marLeft w:val="0"/>
      <w:marRight w:val="0"/>
      <w:marTop w:val="0"/>
      <w:marBottom w:val="0"/>
      <w:divBdr>
        <w:top w:val="none" w:sz="0" w:space="0" w:color="auto"/>
        <w:left w:val="none" w:sz="0" w:space="0" w:color="auto"/>
        <w:bottom w:val="none" w:sz="0" w:space="0" w:color="auto"/>
        <w:right w:val="none" w:sz="0" w:space="0" w:color="auto"/>
      </w:divBdr>
    </w:div>
    <w:div w:id="914625638">
      <w:bodyDiv w:val="1"/>
      <w:marLeft w:val="0"/>
      <w:marRight w:val="0"/>
      <w:marTop w:val="0"/>
      <w:marBottom w:val="0"/>
      <w:divBdr>
        <w:top w:val="none" w:sz="0" w:space="0" w:color="auto"/>
        <w:left w:val="none" w:sz="0" w:space="0" w:color="auto"/>
        <w:bottom w:val="none" w:sz="0" w:space="0" w:color="auto"/>
        <w:right w:val="none" w:sz="0" w:space="0" w:color="auto"/>
      </w:divBdr>
    </w:div>
    <w:div w:id="914706327">
      <w:bodyDiv w:val="1"/>
      <w:marLeft w:val="0"/>
      <w:marRight w:val="0"/>
      <w:marTop w:val="0"/>
      <w:marBottom w:val="0"/>
      <w:divBdr>
        <w:top w:val="none" w:sz="0" w:space="0" w:color="auto"/>
        <w:left w:val="none" w:sz="0" w:space="0" w:color="auto"/>
        <w:bottom w:val="none" w:sz="0" w:space="0" w:color="auto"/>
        <w:right w:val="none" w:sz="0" w:space="0" w:color="auto"/>
      </w:divBdr>
    </w:div>
    <w:div w:id="925572152">
      <w:bodyDiv w:val="1"/>
      <w:marLeft w:val="0"/>
      <w:marRight w:val="0"/>
      <w:marTop w:val="0"/>
      <w:marBottom w:val="0"/>
      <w:divBdr>
        <w:top w:val="none" w:sz="0" w:space="0" w:color="auto"/>
        <w:left w:val="none" w:sz="0" w:space="0" w:color="auto"/>
        <w:bottom w:val="none" w:sz="0" w:space="0" w:color="auto"/>
        <w:right w:val="none" w:sz="0" w:space="0" w:color="auto"/>
      </w:divBdr>
      <w:divsChild>
        <w:div w:id="1085960898">
          <w:marLeft w:val="0"/>
          <w:marRight w:val="0"/>
          <w:marTop w:val="0"/>
          <w:marBottom w:val="0"/>
          <w:divBdr>
            <w:top w:val="none" w:sz="0" w:space="0" w:color="auto"/>
            <w:left w:val="none" w:sz="0" w:space="0" w:color="auto"/>
            <w:bottom w:val="none" w:sz="0" w:space="0" w:color="auto"/>
            <w:right w:val="none" w:sz="0" w:space="0" w:color="auto"/>
          </w:divBdr>
        </w:div>
      </w:divsChild>
    </w:div>
    <w:div w:id="937714881">
      <w:bodyDiv w:val="1"/>
      <w:marLeft w:val="0"/>
      <w:marRight w:val="0"/>
      <w:marTop w:val="0"/>
      <w:marBottom w:val="0"/>
      <w:divBdr>
        <w:top w:val="none" w:sz="0" w:space="0" w:color="auto"/>
        <w:left w:val="none" w:sz="0" w:space="0" w:color="auto"/>
        <w:bottom w:val="none" w:sz="0" w:space="0" w:color="auto"/>
        <w:right w:val="none" w:sz="0" w:space="0" w:color="auto"/>
      </w:divBdr>
      <w:divsChild>
        <w:div w:id="2144763147">
          <w:marLeft w:val="0"/>
          <w:marRight w:val="0"/>
          <w:marTop w:val="0"/>
          <w:marBottom w:val="0"/>
          <w:divBdr>
            <w:top w:val="none" w:sz="0" w:space="0" w:color="auto"/>
            <w:left w:val="none" w:sz="0" w:space="0" w:color="auto"/>
            <w:bottom w:val="none" w:sz="0" w:space="0" w:color="auto"/>
            <w:right w:val="none" w:sz="0" w:space="0" w:color="auto"/>
          </w:divBdr>
        </w:div>
      </w:divsChild>
    </w:div>
    <w:div w:id="939870088">
      <w:bodyDiv w:val="1"/>
      <w:marLeft w:val="0"/>
      <w:marRight w:val="0"/>
      <w:marTop w:val="0"/>
      <w:marBottom w:val="0"/>
      <w:divBdr>
        <w:top w:val="none" w:sz="0" w:space="0" w:color="auto"/>
        <w:left w:val="none" w:sz="0" w:space="0" w:color="auto"/>
        <w:bottom w:val="none" w:sz="0" w:space="0" w:color="auto"/>
        <w:right w:val="none" w:sz="0" w:space="0" w:color="auto"/>
      </w:divBdr>
      <w:divsChild>
        <w:div w:id="417286858">
          <w:marLeft w:val="0"/>
          <w:marRight w:val="0"/>
          <w:marTop w:val="0"/>
          <w:marBottom w:val="0"/>
          <w:divBdr>
            <w:top w:val="none" w:sz="0" w:space="0" w:color="auto"/>
            <w:left w:val="none" w:sz="0" w:space="0" w:color="auto"/>
            <w:bottom w:val="none" w:sz="0" w:space="0" w:color="auto"/>
            <w:right w:val="none" w:sz="0" w:space="0" w:color="auto"/>
          </w:divBdr>
        </w:div>
      </w:divsChild>
    </w:div>
    <w:div w:id="941106789">
      <w:bodyDiv w:val="1"/>
      <w:marLeft w:val="0"/>
      <w:marRight w:val="0"/>
      <w:marTop w:val="0"/>
      <w:marBottom w:val="0"/>
      <w:divBdr>
        <w:top w:val="none" w:sz="0" w:space="0" w:color="auto"/>
        <w:left w:val="none" w:sz="0" w:space="0" w:color="auto"/>
        <w:bottom w:val="none" w:sz="0" w:space="0" w:color="auto"/>
        <w:right w:val="none" w:sz="0" w:space="0" w:color="auto"/>
      </w:divBdr>
    </w:div>
    <w:div w:id="952322906">
      <w:bodyDiv w:val="1"/>
      <w:marLeft w:val="0"/>
      <w:marRight w:val="0"/>
      <w:marTop w:val="0"/>
      <w:marBottom w:val="0"/>
      <w:divBdr>
        <w:top w:val="none" w:sz="0" w:space="0" w:color="auto"/>
        <w:left w:val="none" w:sz="0" w:space="0" w:color="auto"/>
        <w:bottom w:val="none" w:sz="0" w:space="0" w:color="auto"/>
        <w:right w:val="none" w:sz="0" w:space="0" w:color="auto"/>
      </w:divBdr>
      <w:divsChild>
        <w:div w:id="186915293">
          <w:marLeft w:val="0"/>
          <w:marRight w:val="0"/>
          <w:marTop w:val="0"/>
          <w:marBottom w:val="0"/>
          <w:divBdr>
            <w:top w:val="none" w:sz="0" w:space="0" w:color="auto"/>
            <w:left w:val="none" w:sz="0" w:space="0" w:color="auto"/>
            <w:bottom w:val="none" w:sz="0" w:space="0" w:color="auto"/>
            <w:right w:val="none" w:sz="0" w:space="0" w:color="auto"/>
          </w:divBdr>
        </w:div>
        <w:div w:id="310141437">
          <w:marLeft w:val="0"/>
          <w:marRight w:val="0"/>
          <w:marTop w:val="0"/>
          <w:marBottom w:val="0"/>
          <w:divBdr>
            <w:top w:val="none" w:sz="0" w:space="0" w:color="auto"/>
            <w:left w:val="none" w:sz="0" w:space="0" w:color="auto"/>
            <w:bottom w:val="none" w:sz="0" w:space="0" w:color="auto"/>
            <w:right w:val="none" w:sz="0" w:space="0" w:color="auto"/>
          </w:divBdr>
        </w:div>
        <w:div w:id="394669521">
          <w:marLeft w:val="0"/>
          <w:marRight w:val="0"/>
          <w:marTop w:val="0"/>
          <w:marBottom w:val="0"/>
          <w:divBdr>
            <w:top w:val="none" w:sz="0" w:space="0" w:color="auto"/>
            <w:left w:val="none" w:sz="0" w:space="0" w:color="auto"/>
            <w:bottom w:val="none" w:sz="0" w:space="0" w:color="auto"/>
            <w:right w:val="none" w:sz="0" w:space="0" w:color="auto"/>
          </w:divBdr>
        </w:div>
        <w:div w:id="983774819">
          <w:marLeft w:val="0"/>
          <w:marRight w:val="0"/>
          <w:marTop w:val="0"/>
          <w:marBottom w:val="0"/>
          <w:divBdr>
            <w:top w:val="none" w:sz="0" w:space="0" w:color="auto"/>
            <w:left w:val="none" w:sz="0" w:space="0" w:color="auto"/>
            <w:bottom w:val="none" w:sz="0" w:space="0" w:color="auto"/>
            <w:right w:val="none" w:sz="0" w:space="0" w:color="auto"/>
          </w:divBdr>
        </w:div>
        <w:div w:id="1060322529">
          <w:marLeft w:val="0"/>
          <w:marRight w:val="0"/>
          <w:marTop w:val="0"/>
          <w:marBottom w:val="0"/>
          <w:divBdr>
            <w:top w:val="none" w:sz="0" w:space="0" w:color="auto"/>
            <w:left w:val="none" w:sz="0" w:space="0" w:color="auto"/>
            <w:bottom w:val="none" w:sz="0" w:space="0" w:color="auto"/>
            <w:right w:val="none" w:sz="0" w:space="0" w:color="auto"/>
          </w:divBdr>
        </w:div>
        <w:div w:id="1141121347">
          <w:marLeft w:val="0"/>
          <w:marRight w:val="0"/>
          <w:marTop w:val="0"/>
          <w:marBottom w:val="0"/>
          <w:divBdr>
            <w:top w:val="none" w:sz="0" w:space="0" w:color="auto"/>
            <w:left w:val="none" w:sz="0" w:space="0" w:color="auto"/>
            <w:bottom w:val="none" w:sz="0" w:space="0" w:color="auto"/>
            <w:right w:val="none" w:sz="0" w:space="0" w:color="auto"/>
          </w:divBdr>
        </w:div>
        <w:div w:id="1255751075">
          <w:marLeft w:val="0"/>
          <w:marRight w:val="0"/>
          <w:marTop w:val="0"/>
          <w:marBottom w:val="0"/>
          <w:divBdr>
            <w:top w:val="none" w:sz="0" w:space="0" w:color="auto"/>
            <w:left w:val="none" w:sz="0" w:space="0" w:color="auto"/>
            <w:bottom w:val="none" w:sz="0" w:space="0" w:color="auto"/>
            <w:right w:val="none" w:sz="0" w:space="0" w:color="auto"/>
          </w:divBdr>
        </w:div>
        <w:div w:id="1317952612">
          <w:marLeft w:val="0"/>
          <w:marRight w:val="0"/>
          <w:marTop w:val="0"/>
          <w:marBottom w:val="0"/>
          <w:divBdr>
            <w:top w:val="none" w:sz="0" w:space="0" w:color="auto"/>
            <w:left w:val="none" w:sz="0" w:space="0" w:color="auto"/>
            <w:bottom w:val="none" w:sz="0" w:space="0" w:color="auto"/>
            <w:right w:val="none" w:sz="0" w:space="0" w:color="auto"/>
          </w:divBdr>
        </w:div>
        <w:div w:id="1394693074">
          <w:marLeft w:val="0"/>
          <w:marRight w:val="0"/>
          <w:marTop w:val="0"/>
          <w:marBottom w:val="0"/>
          <w:divBdr>
            <w:top w:val="none" w:sz="0" w:space="0" w:color="auto"/>
            <w:left w:val="none" w:sz="0" w:space="0" w:color="auto"/>
            <w:bottom w:val="none" w:sz="0" w:space="0" w:color="auto"/>
            <w:right w:val="none" w:sz="0" w:space="0" w:color="auto"/>
          </w:divBdr>
        </w:div>
        <w:div w:id="1730568484">
          <w:marLeft w:val="0"/>
          <w:marRight w:val="0"/>
          <w:marTop w:val="0"/>
          <w:marBottom w:val="0"/>
          <w:divBdr>
            <w:top w:val="none" w:sz="0" w:space="0" w:color="auto"/>
            <w:left w:val="none" w:sz="0" w:space="0" w:color="auto"/>
            <w:bottom w:val="none" w:sz="0" w:space="0" w:color="auto"/>
            <w:right w:val="none" w:sz="0" w:space="0" w:color="auto"/>
          </w:divBdr>
        </w:div>
        <w:div w:id="2046516894">
          <w:marLeft w:val="0"/>
          <w:marRight w:val="0"/>
          <w:marTop w:val="0"/>
          <w:marBottom w:val="0"/>
          <w:divBdr>
            <w:top w:val="none" w:sz="0" w:space="0" w:color="auto"/>
            <w:left w:val="none" w:sz="0" w:space="0" w:color="auto"/>
            <w:bottom w:val="none" w:sz="0" w:space="0" w:color="auto"/>
            <w:right w:val="none" w:sz="0" w:space="0" w:color="auto"/>
          </w:divBdr>
        </w:div>
        <w:div w:id="2056347718">
          <w:marLeft w:val="0"/>
          <w:marRight w:val="0"/>
          <w:marTop w:val="0"/>
          <w:marBottom w:val="0"/>
          <w:divBdr>
            <w:top w:val="none" w:sz="0" w:space="0" w:color="auto"/>
            <w:left w:val="none" w:sz="0" w:space="0" w:color="auto"/>
            <w:bottom w:val="none" w:sz="0" w:space="0" w:color="auto"/>
            <w:right w:val="none" w:sz="0" w:space="0" w:color="auto"/>
          </w:divBdr>
        </w:div>
        <w:div w:id="2083942889">
          <w:marLeft w:val="0"/>
          <w:marRight w:val="0"/>
          <w:marTop w:val="0"/>
          <w:marBottom w:val="0"/>
          <w:divBdr>
            <w:top w:val="none" w:sz="0" w:space="0" w:color="auto"/>
            <w:left w:val="none" w:sz="0" w:space="0" w:color="auto"/>
            <w:bottom w:val="none" w:sz="0" w:space="0" w:color="auto"/>
            <w:right w:val="none" w:sz="0" w:space="0" w:color="auto"/>
          </w:divBdr>
        </w:div>
      </w:divsChild>
    </w:div>
    <w:div w:id="952715622">
      <w:bodyDiv w:val="1"/>
      <w:marLeft w:val="0"/>
      <w:marRight w:val="0"/>
      <w:marTop w:val="0"/>
      <w:marBottom w:val="0"/>
      <w:divBdr>
        <w:top w:val="none" w:sz="0" w:space="0" w:color="auto"/>
        <w:left w:val="none" w:sz="0" w:space="0" w:color="auto"/>
        <w:bottom w:val="none" w:sz="0" w:space="0" w:color="auto"/>
        <w:right w:val="none" w:sz="0" w:space="0" w:color="auto"/>
      </w:divBdr>
    </w:div>
    <w:div w:id="973176714">
      <w:bodyDiv w:val="1"/>
      <w:marLeft w:val="0"/>
      <w:marRight w:val="0"/>
      <w:marTop w:val="0"/>
      <w:marBottom w:val="0"/>
      <w:divBdr>
        <w:top w:val="none" w:sz="0" w:space="0" w:color="auto"/>
        <w:left w:val="none" w:sz="0" w:space="0" w:color="auto"/>
        <w:bottom w:val="none" w:sz="0" w:space="0" w:color="auto"/>
        <w:right w:val="none" w:sz="0" w:space="0" w:color="auto"/>
      </w:divBdr>
      <w:divsChild>
        <w:div w:id="1701281321">
          <w:marLeft w:val="0"/>
          <w:marRight w:val="0"/>
          <w:marTop w:val="0"/>
          <w:marBottom w:val="0"/>
          <w:divBdr>
            <w:top w:val="none" w:sz="0" w:space="0" w:color="auto"/>
            <w:left w:val="none" w:sz="0" w:space="0" w:color="auto"/>
            <w:bottom w:val="none" w:sz="0" w:space="0" w:color="auto"/>
            <w:right w:val="none" w:sz="0" w:space="0" w:color="auto"/>
          </w:divBdr>
        </w:div>
      </w:divsChild>
    </w:div>
    <w:div w:id="1000352195">
      <w:marLeft w:val="0"/>
      <w:marRight w:val="0"/>
      <w:marTop w:val="0"/>
      <w:marBottom w:val="0"/>
      <w:divBdr>
        <w:top w:val="none" w:sz="0" w:space="0" w:color="auto"/>
        <w:left w:val="none" w:sz="0" w:space="0" w:color="auto"/>
        <w:bottom w:val="none" w:sz="0" w:space="0" w:color="auto"/>
        <w:right w:val="none" w:sz="0" w:space="0" w:color="auto"/>
      </w:divBdr>
      <w:divsChild>
        <w:div w:id="1522545826">
          <w:marLeft w:val="0"/>
          <w:marRight w:val="0"/>
          <w:marTop w:val="0"/>
          <w:marBottom w:val="0"/>
          <w:divBdr>
            <w:top w:val="none" w:sz="0" w:space="0" w:color="auto"/>
            <w:left w:val="none" w:sz="0" w:space="0" w:color="auto"/>
            <w:bottom w:val="none" w:sz="0" w:space="0" w:color="auto"/>
            <w:right w:val="none" w:sz="0" w:space="0" w:color="auto"/>
          </w:divBdr>
        </w:div>
      </w:divsChild>
    </w:div>
    <w:div w:id="1006905232">
      <w:bodyDiv w:val="1"/>
      <w:marLeft w:val="0"/>
      <w:marRight w:val="0"/>
      <w:marTop w:val="0"/>
      <w:marBottom w:val="0"/>
      <w:divBdr>
        <w:top w:val="none" w:sz="0" w:space="0" w:color="auto"/>
        <w:left w:val="none" w:sz="0" w:space="0" w:color="auto"/>
        <w:bottom w:val="none" w:sz="0" w:space="0" w:color="auto"/>
        <w:right w:val="none" w:sz="0" w:space="0" w:color="auto"/>
      </w:divBdr>
      <w:divsChild>
        <w:div w:id="224798407">
          <w:marLeft w:val="0"/>
          <w:marRight w:val="0"/>
          <w:marTop w:val="0"/>
          <w:marBottom w:val="0"/>
          <w:divBdr>
            <w:top w:val="none" w:sz="0" w:space="0" w:color="auto"/>
            <w:left w:val="none" w:sz="0" w:space="0" w:color="auto"/>
            <w:bottom w:val="none" w:sz="0" w:space="0" w:color="auto"/>
            <w:right w:val="none" w:sz="0" w:space="0" w:color="auto"/>
          </w:divBdr>
        </w:div>
      </w:divsChild>
    </w:div>
    <w:div w:id="1008826829">
      <w:bodyDiv w:val="1"/>
      <w:marLeft w:val="0"/>
      <w:marRight w:val="0"/>
      <w:marTop w:val="0"/>
      <w:marBottom w:val="0"/>
      <w:divBdr>
        <w:top w:val="none" w:sz="0" w:space="0" w:color="auto"/>
        <w:left w:val="none" w:sz="0" w:space="0" w:color="auto"/>
        <w:bottom w:val="none" w:sz="0" w:space="0" w:color="auto"/>
        <w:right w:val="none" w:sz="0" w:space="0" w:color="auto"/>
      </w:divBdr>
    </w:div>
    <w:div w:id="1013603317">
      <w:bodyDiv w:val="1"/>
      <w:marLeft w:val="0"/>
      <w:marRight w:val="0"/>
      <w:marTop w:val="0"/>
      <w:marBottom w:val="0"/>
      <w:divBdr>
        <w:top w:val="none" w:sz="0" w:space="0" w:color="auto"/>
        <w:left w:val="none" w:sz="0" w:space="0" w:color="auto"/>
        <w:bottom w:val="none" w:sz="0" w:space="0" w:color="auto"/>
        <w:right w:val="none" w:sz="0" w:space="0" w:color="auto"/>
      </w:divBdr>
      <w:divsChild>
        <w:div w:id="734816048">
          <w:marLeft w:val="0"/>
          <w:marRight w:val="0"/>
          <w:marTop w:val="0"/>
          <w:marBottom w:val="0"/>
          <w:divBdr>
            <w:top w:val="none" w:sz="0" w:space="0" w:color="auto"/>
            <w:left w:val="none" w:sz="0" w:space="0" w:color="auto"/>
            <w:bottom w:val="none" w:sz="0" w:space="0" w:color="auto"/>
            <w:right w:val="none" w:sz="0" w:space="0" w:color="auto"/>
          </w:divBdr>
        </w:div>
      </w:divsChild>
    </w:div>
    <w:div w:id="1015498869">
      <w:bodyDiv w:val="1"/>
      <w:marLeft w:val="0"/>
      <w:marRight w:val="0"/>
      <w:marTop w:val="0"/>
      <w:marBottom w:val="0"/>
      <w:divBdr>
        <w:top w:val="none" w:sz="0" w:space="0" w:color="auto"/>
        <w:left w:val="none" w:sz="0" w:space="0" w:color="auto"/>
        <w:bottom w:val="none" w:sz="0" w:space="0" w:color="auto"/>
        <w:right w:val="none" w:sz="0" w:space="0" w:color="auto"/>
      </w:divBdr>
    </w:div>
    <w:div w:id="1034113815">
      <w:marLeft w:val="0"/>
      <w:marRight w:val="0"/>
      <w:marTop w:val="0"/>
      <w:marBottom w:val="0"/>
      <w:divBdr>
        <w:top w:val="none" w:sz="0" w:space="0" w:color="auto"/>
        <w:left w:val="none" w:sz="0" w:space="0" w:color="auto"/>
        <w:bottom w:val="none" w:sz="0" w:space="0" w:color="auto"/>
        <w:right w:val="none" w:sz="0" w:space="0" w:color="auto"/>
      </w:divBdr>
      <w:divsChild>
        <w:div w:id="681246882">
          <w:marLeft w:val="0"/>
          <w:marRight w:val="0"/>
          <w:marTop w:val="0"/>
          <w:marBottom w:val="0"/>
          <w:divBdr>
            <w:top w:val="none" w:sz="0" w:space="0" w:color="auto"/>
            <w:left w:val="none" w:sz="0" w:space="0" w:color="auto"/>
            <w:bottom w:val="none" w:sz="0" w:space="0" w:color="auto"/>
            <w:right w:val="none" w:sz="0" w:space="0" w:color="auto"/>
          </w:divBdr>
        </w:div>
      </w:divsChild>
    </w:div>
    <w:div w:id="1034573470">
      <w:bodyDiv w:val="1"/>
      <w:marLeft w:val="0"/>
      <w:marRight w:val="0"/>
      <w:marTop w:val="0"/>
      <w:marBottom w:val="0"/>
      <w:divBdr>
        <w:top w:val="none" w:sz="0" w:space="0" w:color="auto"/>
        <w:left w:val="none" w:sz="0" w:space="0" w:color="auto"/>
        <w:bottom w:val="none" w:sz="0" w:space="0" w:color="auto"/>
        <w:right w:val="none" w:sz="0" w:space="0" w:color="auto"/>
      </w:divBdr>
    </w:div>
    <w:div w:id="1042050768">
      <w:bodyDiv w:val="1"/>
      <w:marLeft w:val="0"/>
      <w:marRight w:val="0"/>
      <w:marTop w:val="0"/>
      <w:marBottom w:val="0"/>
      <w:divBdr>
        <w:top w:val="none" w:sz="0" w:space="0" w:color="auto"/>
        <w:left w:val="none" w:sz="0" w:space="0" w:color="auto"/>
        <w:bottom w:val="none" w:sz="0" w:space="0" w:color="auto"/>
        <w:right w:val="none" w:sz="0" w:space="0" w:color="auto"/>
      </w:divBdr>
    </w:div>
    <w:div w:id="1050150169">
      <w:bodyDiv w:val="1"/>
      <w:marLeft w:val="0"/>
      <w:marRight w:val="0"/>
      <w:marTop w:val="0"/>
      <w:marBottom w:val="0"/>
      <w:divBdr>
        <w:top w:val="none" w:sz="0" w:space="0" w:color="auto"/>
        <w:left w:val="none" w:sz="0" w:space="0" w:color="auto"/>
        <w:bottom w:val="none" w:sz="0" w:space="0" w:color="auto"/>
        <w:right w:val="none" w:sz="0" w:space="0" w:color="auto"/>
      </w:divBdr>
    </w:div>
    <w:div w:id="1061446048">
      <w:bodyDiv w:val="1"/>
      <w:marLeft w:val="0"/>
      <w:marRight w:val="0"/>
      <w:marTop w:val="0"/>
      <w:marBottom w:val="0"/>
      <w:divBdr>
        <w:top w:val="none" w:sz="0" w:space="0" w:color="auto"/>
        <w:left w:val="none" w:sz="0" w:space="0" w:color="auto"/>
        <w:bottom w:val="none" w:sz="0" w:space="0" w:color="auto"/>
        <w:right w:val="none" w:sz="0" w:space="0" w:color="auto"/>
      </w:divBdr>
      <w:divsChild>
        <w:div w:id="631593418">
          <w:marLeft w:val="0"/>
          <w:marRight w:val="0"/>
          <w:marTop w:val="0"/>
          <w:marBottom w:val="0"/>
          <w:divBdr>
            <w:top w:val="none" w:sz="0" w:space="0" w:color="auto"/>
            <w:left w:val="none" w:sz="0" w:space="0" w:color="auto"/>
            <w:bottom w:val="none" w:sz="0" w:space="0" w:color="auto"/>
            <w:right w:val="none" w:sz="0" w:space="0" w:color="auto"/>
          </w:divBdr>
        </w:div>
      </w:divsChild>
    </w:div>
    <w:div w:id="1066496176">
      <w:bodyDiv w:val="1"/>
      <w:marLeft w:val="0"/>
      <w:marRight w:val="0"/>
      <w:marTop w:val="0"/>
      <w:marBottom w:val="0"/>
      <w:divBdr>
        <w:top w:val="none" w:sz="0" w:space="0" w:color="auto"/>
        <w:left w:val="none" w:sz="0" w:space="0" w:color="auto"/>
        <w:bottom w:val="none" w:sz="0" w:space="0" w:color="auto"/>
        <w:right w:val="none" w:sz="0" w:space="0" w:color="auto"/>
      </w:divBdr>
    </w:div>
    <w:div w:id="1069383167">
      <w:bodyDiv w:val="1"/>
      <w:marLeft w:val="0"/>
      <w:marRight w:val="0"/>
      <w:marTop w:val="0"/>
      <w:marBottom w:val="0"/>
      <w:divBdr>
        <w:top w:val="none" w:sz="0" w:space="0" w:color="auto"/>
        <w:left w:val="none" w:sz="0" w:space="0" w:color="auto"/>
        <w:bottom w:val="none" w:sz="0" w:space="0" w:color="auto"/>
        <w:right w:val="none" w:sz="0" w:space="0" w:color="auto"/>
      </w:divBdr>
    </w:div>
    <w:div w:id="1073970951">
      <w:bodyDiv w:val="1"/>
      <w:marLeft w:val="0"/>
      <w:marRight w:val="0"/>
      <w:marTop w:val="0"/>
      <w:marBottom w:val="0"/>
      <w:divBdr>
        <w:top w:val="none" w:sz="0" w:space="0" w:color="auto"/>
        <w:left w:val="none" w:sz="0" w:space="0" w:color="auto"/>
        <w:bottom w:val="none" w:sz="0" w:space="0" w:color="auto"/>
        <w:right w:val="none" w:sz="0" w:space="0" w:color="auto"/>
      </w:divBdr>
      <w:divsChild>
        <w:div w:id="284167396">
          <w:marLeft w:val="0"/>
          <w:marRight w:val="0"/>
          <w:marTop w:val="0"/>
          <w:marBottom w:val="0"/>
          <w:divBdr>
            <w:top w:val="none" w:sz="0" w:space="0" w:color="auto"/>
            <w:left w:val="none" w:sz="0" w:space="0" w:color="auto"/>
            <w:bottom w:val="none" w:sz="0" w:space="0" w:color="auto"/>
            <w:right w:val="none" w:sz="0" w:space="0" w:color="auto"/>
          </w:divBdr>
        </w:div>
        <w:div w:id="458956509">
          <w:marLeft w:val="0"/>
          <w:marRight w:val="0"/>
          <w:marTop w:val="0"/>
          <w:marBottom w:val="0"/>
          <w:divBdr>
            <w:top w:val="none" w:sz="0" w:space="0" w:color="auto"/>
            <w:left w:val="none" w:sz="0" w:space="0" w:color="auto"/>
            <w:bottom w:val="none" w:sz="0" w:space="0" w:color="auto"/>
            <w:right w:val="none" w:sz="0" w:space="0" w:color="auto"/>
          </w:divBdr>
        </w:div>
        <w:div w:id="463892665">
          <w:marLeft w:val="0"/>
          <w:marRight w:val="0"/>
          <w:marTop w:val="0"/>
          <w:marBottom w:val="0"/>
          <w:divBdr>
            <w:top w:val="none" w:sz="0" w:space="0" w:color="auto"/>
            <w:left w:val="none" w:sz="0" w:space="0" w:color="auto"/>
            <w:bottom w:val="none" w:sz="0" w:space="0" w:color="auto"/>
            <w:right w:val="none" w:sz="0" w:space="0" w:color="auto"/>
          </w:divBdr>
        </w:div>
        <w:div w:id="481773367">
          <w:marLeft w:val="0"/>
          <w:marRight w:val="0"/>
          <w:marTop w:val="0"/>
          <w:marBottom w:val="0"/>
          <w:divBdr>
            <w:top w:val="none" w:sz="0" w:space="0" w:color="auto"/>
            <w:left w:val="none" w:sz="0" w:space="0" w:color="auto"/>
            <w:bottom w:val="none" w:sz="0" w:space="0" w:color="auto"/>
            <w:right w:val="none" w:sz="0" w:space="0" w:color="auto"/>
          </w:divBdr>
        </w:div>
        <w:div w:id="708409169">
          <w:marLeft w:val="0"/>
          <w:marRight w:val="0"/>
          <w:marTop w:val="0"/>
          <w:marBottom w:val="0"/>
          <w:divBdr>
            <w:top w:val="none" w:sz="0" w:space="0" w:color="auto"/>
            <w:left w:val="none" w:sz="0" w:space="0" w:color="auto"/>
            <w:bottom w:val="none" w:sz="0" w:space="0" w:color="auto"/>
            <w:right w:val="none" w:sz="0" w:space="0" w:color="auto"/>
          </w:divBdr>
        </w:div>
      </w:divsChild>
    </w:div>
    <w:div w:id="1075056957">
      <w:bodyDiv w:val="1"/>
      <w:marLeft w:val="0"/>
      <w:marRight w:val="0"/>
      <w:marTop w:val="0"/>
      <w:marBottom w:val="0"/>
      <w:divBdr>
        <w:top w:val="none" w:sz="0" w:space="0" w:color="auto"/>
        <w:left w:val="none" w:sz="0" w:space="0" w:color="auto"/>
        <w:bottom w:val="none" w:sz="0" w:space="0" w:color="auto"/>
        <w:right w:val="none" w:sz="0" w:space="0" w:color="auto"/>
      </w:divBdr>
    </w:div>
    <w:div w:id="1076974871">
      <w:bodyDiv w:val="1"/>
      <w:marLeft w:val="0"/>
      <w:marRight w:val="0"/>
      <w:marTop w:val="0"/>
      <w:marBottom w:val="0"/>
      <w:divBdr>
        <w:top w:val="none" w:sz="0" w:space="0" w:color="auto"/>
        <w:left w:val="none" w:sz="0" w:space="0" w:color="auto"/>
        <w:bottom w:val="none" w:sz="0" w:space="0" w:color="auto"/>
        <w:right w:val="none" w:sz="0" w:space="0" w:color="auto"/>
      </w:divBdr>
    </w:div>
    <w:div w:id="1081365124">
      <w:bodyDiv w:val="1"/>
      <w:marLeft w:val="0"/>
      <w:marRight w:val="0"/>
      <w:marTop w:val="0"/>
      <w:marBottom w:val="0"/>
      <w:divBdr>
        <w:top w:val="none" w:sz="0" w:space="0" w:color="auto"/>
        <w:left w:val="none" w:sz="0" w:space="0" w:color="auto"/>
        <w:bottom w:val="none" w:sz="0" w:space="0" w:color="auto"/>
        <w:right w:val="none" w:sz="0" w:space="0" w:color="auto"/>
      </w:divBdr>
    </w:div>
    <w:div w:id="1093890660">
      <w:bodyDiv w:val="1"/>
      <w:marLeft w:val="0"/>
      <w:marRight w:val="0"/>
      <w:marTop w:val="0"/>
      <w:marBottom w:val="0"/>
      <w:divBdr>
        <w:top w:val="none" w:sz="0" w:space="0" w:color="auto"/>
        <w:left w:val="none" w:sz="0" w:space="0" w:color="auto"/>
        <w:bottom w:val="none" w:sz="0" w:space="0" w:color="auto"/>
        <w:right w:val="none" w:sz="0" w:space="0" w:color="auto"/>
      </w:divBdr>
      <w:divsChild>
        <w:div w:id="1377197731">
          <w:marLeft w:val="0"/>
          <w:marRight w:val="0"/>
          <w:marTop w:val="0"/>
          <w:marBottom w:val="0"/>
          <w:divBdr>
            <w:top w:val="none" w:sz="0" w:space="0" w:color="auto"/>
            <w:left w:val="none" w:sz="0" w:space="0" w:color="auto"/>
            <w:bottom w:val="none" w:sz="0" w:space="0" w:color="auto"/>
            <w:right w:val="none" w:sz="0" w:space="0" w:color="auto"/>
          </w:divBdr>
        </w:div>
      </w:divsChild>
    </w:div>
    <w:div w:id="1100754373">
      <w:bodyDiv w:val="1"/>
      <w:marLeft w:val="0"/>
      <w:marRight w:val="0"/>
      <w:marTop w:val="0"/>
      <w:marBottom w:val="0"/>
      <w:divBdr>
        <w:top w:val="none" w:sz="0" w:space="0" w:color="auto"/>
        <w:left w:val="none" w:sz="0" w:space="0" w:color="auto"/>
        <w:bottom w:val="none" w:sz="0" w:space="0" w:color="auto"/>
        <w:right w:val="none" w:sz="0" w:space="0" w:color="auto"/>
      </w:divBdr>
    </w:div>
    <w:div w:id="1101804948">
      <w:bodyDiv w:val="1"/>
      <w:marLeft w:val="0"/>
      <w:marRight w:val="0"/>
      <w:marTop w:val="0"/>
      <w:marBottom w:val="0"/>
      <w:divBdr>
        <w:top w:val="none" w:sz="0" w:space="0" w:color="auto"/>
        <w:left w:val="none" w:sz="0" w:space="0" w:color="auto"/>
        <w:bottom w:val="none" w:sz="0" w:space="0" w:color="auto"/>
        <w:right w:val="none" w:sz="0" w:space="0" w:color="auto"/>
      </w:divBdr>
    </w:div>
    <w:div w:id="1102804771">
      <w:marLeft w:val="0"/>
      <w:marRight w:val="0"/>
      <w:marTop w:val="0"/>
      <w:marBottom w:val="0"/>
      <w:divBdr>
        <w:top w:val="none" w:sz="0" w:space="0" w:color="auto"/>
        <w:left w:val="none" w:sz="0" w:space="0" w:color="auto"/>
        <w:bottom w:val="none" w:sz="0" w:space="0" w:color="auto"/>
        <w:right w:val="none" w:sz="0" w:space="0" w:color="auto"/>
      </w:divBdr>
      <w:divsChild>
        <w:div w:id="1813019094">
          <w:marLeft w:val="0"/>
          <w:marRight w:val="0"/>
          <w:marTop w:val="0"/>
          <w:marBottom w:val="0"/>
          <w:divBdr>
            <w:top w:val="none" w:sz="0" w:space="0" w:color="auto"/>
            <w:left w:val="none" w:sz="0" w:space="0" w:color="auto"/>
            <w:bottom w:val="none" w:sz="0" w:space="0" w:color="auto"/>
            <w:right w:val="none" w:sz="0" w:space="0" w:color="auto"/>
          </w:divBdr>
        </w:div>
      </w:divsChild>
    </w:div>
    <w:div w:id="1120103162">
      <w:bodyDiv w:val="1"/>
      <w:marLeft w:val="0"/>
      <w:marRight w:val="0"/>
      <w:marTop w:val="0"/>
      <w:marBottom w:val="0"/>
      <w:divBdr>
        <w:top w:val="none" w:sz="0" w:space="0" w:color="auto"/>
        <w:left w:val="none" w:sz="0" w:space="0" w:color="auto"/>
        <w:bottom w:val="none" w:sz="0" w:space="0" w:color="auto"/>
        <w:right w:val="none" w:sz="0" w:space="0" w:color="auto"/>
      </w:divBdr>
    </w:div>
    <w:div w:id="1126436363">
      <w:bodyDiv w:val="1"/>
      <w:marLeft w:val="0"/>
      <w:marRight w:val="0"/>
      <w:marTop w:val="0"/>
      <w:marBottom w:val="0"/>
      <w:divBdr>
        <w:top w:val="none" w:sz="0" w:space="0" w:color="auto"/>
        <w:left w:val="none" w:sz="0" w:space="0" w:color="auto"/>
        <w:bottom w:val="none" w:sz="0" w:space="0" w:color="auto"/>
        <w:right w:val="none" w:sz="0" w:space="0" w:color="auto"/>
      </w:divBdr>
    </w:div>
    <w:div w:id="1129133051">
      <w:bodyDiv w:val="1"/>
      <w:marLeft w:val="0"/>
      <w:marRight w:val="0"/>
      <w:marTop w:val="0"/>
      <w:marBottom w:val="0"/>
      <w:divBdr>
        <w:top w:val="none" w:sz="0" w:space="0" w:color="auto"/>
        <w:left w:val="none" w:sz="0" w:space="0" w:color="auto"/>
        <w:bottom w:val="none" w:sz="0" w:space="0" w:color="auto"/>
        <w:right w:val="none" w:sz="0" w:space="0" w:color="auto"/>
      </w:divBdr>
    </w:div>
    <w:div w:id="1136526836">
      <w:marLeft w:val="0"/>
      <w:marRight w:val="0"/>
      <w:marTop w:val="0"/>
      <w:marBottom w:val="0"/>
      <w:divBdr>
        <w:top w:val="none" w:sz="0" w:space="0" w:color="auto"/>
        <w:left w:val="none" w:sz="0" w:space="0" w:color="auto"/>
        <w:bottom w:val="none" w:sz="0" w:space="0" w:color="auto"/>
        <w:right w:val="none" w:sz="0" w:space="0" w:color="auto"/>
      </w:divBdr>
      <w:divsChild>
        <w:div w:id="1669551101">
          <w:marLeft w:val="0"/>
          <w:marRight w:val="0"/>
          <w:marTop w:val="0"/>
          <w:marBottom w:val="0"/>
          <w:divBdr>
            <w:top w:val="none" w:sz="0" w:space="0" w:color="auto"/>
            <w:left w:val="none" w:sz="0" w:space="0" w:color="auto"/>
            <w:bottom w:val="none" w:sz="0" w:space="0" w:color="auto"/>
            <w:right w:val="none" w:sz="0" w:space="0" w:color="auto"/>
          </w:divBdr>
        </w:div>
      </w:divsChild>
    </w:div>
    <w:div w:id="1139884459">
      <w:marLeft w:val="0"/>
      <w:marRight w:val="0"/>
      <w:marTop w:val="0"/>
      <w:marBottom w:val="0"/>
      <w:divBdr>
        <w:top w:val="none" w:sz="0" w:space="0" w:color="auto"/>
        <w:left w:val="none" w:sz="0" w:space="0" w:color="auto"/>
        <w:bottom w:val="none" w:sz="0" w:space="0" w:color="auto"/>
        <w:right w:val="none" w:sz="0" w:space="0" w:color="auto"/>
      </w:divBdr>
      <w:divsChild>
        <w:div w:id="460003882">
          <w:marLeft w:val="0"/>
          <w:marRight w:val="0"/>
          <w:marTop w:val="0"/>
          <w:marBottom w:val="0"/>
          <w:divBdr>
            <w:top w:val="none" w:sz="0" w:space="0" w:color="auto"/>
            <w:left w:val="none" w:sz="0" w:space="0" w:color="auto"/>
            <w:bottom w:val="none" w:sz="0" w:space="0" w:color="auto"/>
            <w:right w:val="none" w:sz="0" w:space="0" w:color="auto"/>
          </w:divBdr>
        </w:div>
      </w:divsChild>
    </w:div>
    <w:div w:id="1146315245">
      <w:bodyDiv w:val="1"/>
      <w:marLeft w:val="0"/>
      <w:marRight w:val="0"/>
      <w:marTop w:val="0"/>
      <w:marBottom w:val="0"/>
      <w:divBdr>
        <w:top w:val="none" w:sz="0" w:space="0" w:color="auto"/>
        <w:left w:val="none" w:sz="0" w:space="0" w:color="auto"/>
        <w:bottom w:val="none" w:sz="0" w:space="0" w:color="auto"/>
        <w:right w:val="none" w:sz="0" w:space="0" w:color="auto"/>
      </w:divBdr>
    </w:div>
    <w:div w:id="1148787629">
      <w:bodyDiv w:val="1"/>
      <w:marLeft w:val="0"/>
      <w:marRight w:val="0"/>
      <w:marTop w:val="0"/>
      <w:marBottom w:val="0"/>
      <w:divBdr>
        <w:top w:val="none" w:sz="0" w:space="0" w:color="auto"/>
        <w:left w:val="none" w:sz="0" w:space="0" w:color="auto"/>
        <w:bottom w:val="none" w:sz="0" w:space="0" w:color="auto"/>
        <w:right w:val="none" w:sz="0" w:space="0" w:color="auto"/>
      </w:divBdr>
      <w:divsChild>
        <w:div w:id="1258323011">
          <w:marLeft w:val="0"/>
          <w:marRight w:val="0"/>
          <w:marTop w:val="0"/>
          <w:marBottom w:val="0"/>
          <w:divBdr>
            <w:top w:val="none" w:sz="0" w:space="0" w:color="auto"/>
            <w:left w:val="none" w:sz="0" w:space="0" w:color="auto"/>
            <w:bottom w:val="none" w:sz="0" w:space="0" w:color="auto"/>
            <w:right w:val="none" w:sz="0" w:space="0" w:color="auto"/>
          </w:divBdr>
        </w:div>
      </w:divsChild>
    </w:div>
    <w:div w:id="1152984094">
      <w:marLeft w:val="0"/>
      <w:marRight w:val="0"/>
      <w:marTop w:val="0"/>
      <w:marBottom w:val="0"/>
      <w:divBdr>
        <w:top w:val="none" w:sz="0" w:space="0" w:color="auto"/>
        <w:left w:val="none" w:sz="0" w:space="0" w:color="auto"/>
        <w:bottom w:val="none" w:sz="0" w:space="0" w:color="auto"/>
        <w:right w:val="none" w:sz="0" w:space="0" w:color="auto"/>
      </w:divBdr>
      <w:divsChild>
        <w:div w:id="506867070">
          <w:marLeft w:val="0"/>
          <w:marRight w:val="0"/>
          <w:marTop w:val="0"/>
          <w:marBottom w:val="0"/>
          <w:divBdr>
            <w:top w:val="none" w:sz="0" w:space="0" w:color="auto"/>
            <w:left w:val="none" w:sz="0" w:space="0" w:color="auto"/>
            <w:bottom w:val="none" w:sz="0" w:space="0" w:color="auto"/>
            <w:right w:val="none" w:sz="0" w:space="0" w:color="auto"/>
          </w:divBdr>
        </w:div>
      </w:divsChild>
    </w:div>
    <w:div w:id="1156611769">
      <w:bodyDiv w:val="1"/>
      <w:marLeft w:val="0"/>
      <w:marRight w:val="0"/>
      <w:marTop w:val="0"/>
      <w:marBottom w:val="0"/>
      <w:divBdr>
        <w:top w:val="none" w:sz="0" w:space="0" w:color="auto"/>
        <w:left w:val="none" w:sz="0" w:space="0" w:color="auto"/>
        <w:bottom w:val="none" w:sz="0" w:space="0" w:color="auto"/>
        <w:right w:val="none" w:sz="0" w:space="0" w:color="auto"/>
      </w:divBdr>
      <w:divsChild>
        <w:div w:id="1888954002">
          <w:marLeft w:val="0"/>
          <w:marRight w:val="0"/>
          <w:marTop w:val="0"/>
          <w:marBottom w:val="0"/>
          <w:divBdr>
            <w:top w:val="none" w:sz="0" w:space="0" w:color="auto"/>
            <w:left w:val="none" w:sz="0" w:space="0" w:color="auto"/>
            <w:bottom w:val="none" w:sz="0" w:space="0" w:color="auto"/>
            <w:right w:val="none" w:sz="0" w:space="0" w:color="auto"/>
          </w:divBdr>
        </w:div>
      </w:divsChild>
    </w:div>
    <w:div w:id="1160854408">
      <w:marLeft w:val="0"/>
      <w:marRight w:val="0"/>
      <w:marTop w:val="0"/>
      <w:marBottom w:val="0"/>
      <w:divBdr>
        <w:top w:val="none" w:sz="0" w:space="0" w:color="auto"/>
        <w:left w:val="none" w:sz="0" w:space="0" w:color="auto"/>
        <w:bottom w:val="none" w:sz="0" w:space="0" w:color="auto"/>
        <w:right w:val="none" w:sz="0" w:space="0" w:color="auto"/>
      </w:divBdr>
      <w:divsChild>
        <w:div w:id="1192767613">
          <w:marLeft w:val="0"/>
          <w:marRight w:val="0"/>
          <w:marTop w:val="0"/>
          <w:marBottom w:val="0"/>
          <w:divBdr>
            <w:top w:val="none" w:sz="0" w:space="0" w:color="auto"/>
            <w:left w:val="none" w:sz="0" w:space="0" w:color="auto"/>
            <w:bottom w:val="none" w:sz="0" w:space="0" w:color="auto"/>
            <w:right w:val="none" w:sz="0" w:space="0" w:color="auto"/>
          </w:divBdr>
        </w:div>
      </w:divsChild>
    </w:div>
    <w:div w:id="1165900491">
      <w:bodyDiv w:val="1"/>
      <w:marLeft w:val="0"/>
      <w:marRight w:val="0"/>
      <w:marTop w:val="0"/>
      <w:marBottom w:val="0"/>
      <w:divBdr>
        <w:top w:val="none" w:sz="0" w:space="0" w:color="auto"/>
        <w:left w:val="none" w:sz="0" w:space="0" w:color="auto"/>
        <w:bottom w:val="none" w:sz="0" w:space="0" w:color="auto"/>
        <w:right w:val="none" w:sz="0" w:space="0" w:color="auto"/>
      </w:divBdr>
    </w:div>
    <w:div w:id="1168904189">
      <w:marLeft w:val="0"/>
      <w:marRight w:val="0"/>
      <w:marTop w:val="0"/>
      <w:marBottom w:val="0"/>
      <w:divBdr>
        <w:top w:val="none" w:sz="0" w:space="0" w:color="auto"/>
        <w:left w:val="none" w:sz="0" w:space="0" w:color="auto"/>
        <w:bottom w:val="none" w:sz="0" w:space="0" w:color="auto"/>
        <w:right w:val="none" w:sz="0" w:space="0" w:color="auto"/>
      </w:divBdr>
      <w:divsChild>
        <w:div w:id="409236136">
          <w:marLeft w:val="0"/>
          <w:marRight w:val="0"/>
          <w:marTop w:val="0"/>
          <w:marBottom w:val="0"/>
          <w:divBdr>
            <w:top w:val="none" w:sz="0" w:space="0" w:color="auto"/>
            <w:left w:val="none" w:sz="0" w:space="0" w:color="auto"/>
            <w:bottom w:val="none" w:sz="0" w:space="0" w:color="auto"/>
            <w:right w:val="none" w:sz="0" w:space="0" w:color="auto"/>
          </w:divBdr>
        </w:div>
      </w:divsChild>
    </w:div>
    <w:div w:id="1169756338">
      <w:bodyDiv w:val="1"/>
      <w:marLeft w:val="0"/>
      <w:marRight w:val="0"/>
      <w:marTop w:val="0"/>
      <w:marBottom w:val="0"/>
      <w:divBdr>
        <w:top w:val="none" w:sz="0" w:space="0" w:color="auto"/>
        <w:left w:val="none" w:sz="0" w:space="0" w:color="auto"/>
        <w:bottom w:val="none" w:sz="0" w:space="0" w:color="auto"/>
        <w:right w:val="none" w:sz="0" w:space="0" w:color="auto"/>
      </w:divBdr>
    </w:div>
    <w:div w:id="1175650805">
      <w:bodyDiv w:val="1"/>
      <w:marLeft w:val="0"/>
      <w:marRight w:val="0"/>
      <w:marTop w:val="0"/>
      <w:marBottom w:val="0"/>
      <w:divBdr>
        <w:top w:val="none" w:sz="0" w:space="0" w:color="auto"/>
        <w:left w:val="none" w:sz="0" w:space="0" w:color="auto"/>
        <w:bottom w:val="none" w:sz="0" w:space="0" w:color="auto"/>
        <w:right w:val="none" w:sz="0" w:space="0" w:color="auto"/>
      </w:divBdr>
    </w:div>
    <w:div w:id="1177773507">
      <w:bodyDiv w:val="1"/>
      <w:marLeft w:val="0"/>
      <w:marRight w:val="0"/>
      <w:marTop w:val="0"/>
      <w:marBottom w:val="0"/>
      <w:divBdr>
        <w:top w:val="none" w:sz="0" w:space="0" w:color="auto"/>
        <w:left w:val="none" w:sz="0" w:space="0" w:color="auto"/>
        <w:bottom w:val="none" w:sz="0" w:space="0" w:color="auto"/>
        <w:right w:val="none" w:sz="0" w:space="0" w:color="auto"/>
      </w:divBdr>
    </w:div>
    <w:div w:id="1177890393">
      <w:marLeft w:val="0"/>
      <w:marRight w:val="0"/>
      <w:marTop w:val="0"/>
      <w:marBottom w:val="0"/>
      <w:divBdr>
        <w:top w:val="none" w:sz="0" w:space="0" w:color="auto"/>
        <w:left w:val="none" w:sz="0" w:space="0" w:color="auto"/>
        <w:bottom w:val="none" w:sz="0" w:space="0" w:color="auto"/>
        <w:right w:val="none" w:sz="0" w:space="0" w:color="auto"/>
      </w:divBdr>
      <w:divsChild>
        <w:div w:id="1710106498">
          <w:marLeft w:val="0"/>
          <w:marRight w:val="0"/>
          <w:marTop w:val="0"/>
          <w:marBottom w:val="0"/>
          <w:divBdr>
            <w:top w:val="none" w:sz="0" w:space="0" w:color="auto"/>
            <w:left w:val="none" w:sz="0" w:space="0" w:color="auto"/>
            <w:bottom w:val="none" w:sz="0" w:space="0" w:color="auto"/>
            <w:right w:val="none" w:sz="0" w:space="0" w:color="auto"/>
          </w:divBdr>
        </w:div>
      </w:divsChild>
    </w:div>
    <w:div w:id="1180512305">
      <w:bodyDiv w:val="1"/>
      <w:marLeft w:val="0"/>
      <w:marRight w:val="0"/>
      <w:marTop w:val="0"/>
      <w:marBottom w:val="0"/>
      <w:divBdr>
        <w:top w:val="none" w:sz="0" w:space="0" w:color="auto"/>
        <w:left w:val="none" w:sz="0" w:space="0" w:color="auto"/>
        <w:bottom w:val="none" w:sz="0" w:space="0" w:color="auto"/>
        <w:right w:val="none" w:sz="0" w:space="0" w:color="auto"/>
      </w:divBdr>
    </w:div>
    <w:div w:id="1197088138">
      <w:bodyDiv w:val="1"/>
      <w:marLeft w:val="0"/>
      <w:marRight w:val="0"/>
      <w:marTop w:val="0"/>
      <w:marBottom w:val="0"/>
      <w:divBdr>
        <w:top w:val="none" w:sz="0" w:space="0" w:color="auto"/>
        <w:left w:val="none" w:sz="0" w:space="0" w:color="auto"/>
        <w:bottom w:val="none" w:sz="0" w:space="0" w:color="auto"/>
        <w:right w:val="none" w:sz="0" w:space="0" w:color="auto"/>
      </w:divBdr>
    </w:div>
    <w:div w:id="1204712121">
      <w:bodyDiv w:val="1"/>
      <w:marLeft w:val="0"/>
      <w:marRight w:val="0"/>
      <w:marTop w:val="0"/>
      <w:marBottom w:val="0"/>
      <w:divBdr>
        <w:top w:val="none" w:sz="0" w:space="0" w:color="auto"/>
        <w:left w:val="none" w:sz="0" w:space="0" w:color="auto"/>
        <w:bottom w:val="none" w:sz="0" w:space="0" w:color="auto"/>
        <w:right w:val="none" w:sz="0" w:space="0" w:color="auto"/>
      </w:divBdr>
    </w:div>
    <w:div w:id="1205799263">
      <w:bodyDiv w:val="1"/>
      <w:marLeft w:val="0"/>
      <w:marRight w:val="0"/>
      <w:marTop w:val="0"/>
      <w:marBottom w:val="0"/>
      <w:divBdr>
        <w:top w:val="none" w:sz="0" w:space="0" w:color="auto"/>
        <w:left w:val="none" w:sz="0" w:space="0" w:color="auto"/>
        <w:bottom w:val="none" w:sz="0" w:space="0" w:color="auto"/>
        <w:right w:val="none" w:sz="0" w:space="0" w:color="auto"/>
      </w:divBdr>
    </w:div>
    <w:div w:id="1211958010">
      <w:bodyDiv w:val="1"/>
      <w:marLeft w:val="0"/>
      <w:marRight w:val="0"/>
      <w:marTop w:val="0"/>
      <w:marBottom w:val="0"/>
      <w:divBdr>
        <w:top w:val="none" w:sz="0" w:space="0" w:color="auto"/>
        <w:left w:val="none" w:sz="0" w:space="0" w:color="auto"/>
        <w:bottom w:val="none" w:sz="0" w:space="0" w:color="auto"/>
        <w:right w:val="none" w:sz="0" w:space="0" w:color="auto"/>
      </w:divBdr>
    </w:div>
    <w:div w:id="1214803736">
      <w:bodyDiv w:val="1"/>
      <w:marLeft w:val="0"/>
      <w:marRight w:val="0"/>
      <w:marTop w:val="0"/>
      <w:marBottom w:val="0"/>
      <w:divBdr>
        <w:top w:val="none" w:sz="0" w:space="0" w:color="auto"/>
        <w:left w:val="none" w:sz="0" w:space="0" w:color="auto"/>
        <w:bottom w:val="none" w:sz="0" w:space="0" w:color="auto"/>
        <w:right w:val="none" w:sz="0" w:space="0" w:color="auto"/>
      </w:divBdr>
    </w:div>
    <w:div w:id="1215771027">
      <w:bodyDiv w:val="1"/>
      <w:marLeft w:val="0"/>
      <w:marRight w:val="0"/>
      <w:marTop w:val="0"/>
      <w:marBottom w:val="0"/>
      <w:divBdr>
        <w:top w:val="none" w:sz="0" w:space="0" w:color="auto"/>
        <w:left w:val="none" w:sz="0" w:space="0" w:color="auto"/>
        <w:bottom w:val="none" w:sz="0" w:space="0" w:color="auto"/>
        <w:right w:val="none" w:sz="0" w:space="0" w:color="auto"/>
      </w:divBdr>
      <w:divsChild>
        <w:div w:id="791942427">
          <w:marLeft w:val="0"/>
          <w:marRight w:val="0"/>
          <w:marTop w:val="0"/>
          <w:marBottom w:val="0"/>
          <w:divBdr>
            <w:top w:val="none" w:sz="0" w:space="0" w:color="auto"/>
            <w:left w:val="none" w:sz="0" w:space="0" w:color="auto"/>
            <w:bottom w:val="none" w:sz="0" w:space="0" w:color="auto"/>
            <w:right w:val="none" w:sz="0" w:space="0" w:color="auto"/>
          </w:divBdr>
        </w:div>
      </w:divsChild>
    </w:div>
    <w:div w:id="1218198525">
      <w:bodyDiv w:val="1"/>
      <w:marLeft w:val="0"/>
      <w:marRight w:val="0"/>
      <w:marTop w:val="0"/>
      <w:marBottom w:val="0"/>
      <w:divBdr>
        <w:top w:val="none" w:sz="0" w:space="0" w:color="auto"/>
        <w:left w:val="none" w:sz="0" w:space="0" w:color="auto"/>
        <w:bottom w:val="none" w:sz="0" w:space="0" w:color="auto"/>
        <w:right w:val="none" w:sz="0" w:space="0" w:color="auto"/>
      </w:divBdr>
    </w:div>
    <w:div w:id="1228032322">
      <w:bodyDiv w:val="1"/>
      <w:marLeft w:val="0"/>
      <w:marRight w:val="0"/>
      <w:marTop w:val="0"/>
      <w:marBottom w:val="0"/>
      <w:divBdr>
        <w:top w:val="none" w:sz="0" w:space="0" w:color="auto"/>
        <w:left w:val="none" w:sz="0" w:space="0" w:color="auto"/>
        <w:bottom w:val="none" w:sz="0" w:space="0" w:color="auto"/>
        <w:right w:val="none" w:sz="0" w:space="0" w:color="auto"/>
      </w:divBdr>
      <w:divsChild>
        <w:div w:id="916285272">
          <w:marLeft w:val="0"/>
          <w:marRight w:val="0"/>
          <w:marTop w:val="0"/>
          <w:marBottom w:val="0"/>
          <w:divBdr>
            <w:top w:val="none" w:sz="0" w:space="0" w:color="auto"/>
            <w:left w:val="none" w:sz="0" w:space="0" w:color="auto"/>
            <w:bottom w:val="none" w:sz="0" w:space="0" w:color="auto"/>
            <w:right w:val="none" w:sz="0" w:space="0" w:color="auto"/>
          </w:divBdr>
        </w:div>
      </w:divsChild>
    </w:div>
    <w:div w:id="1238131793">
      <w:marLeft w:val="0"/>
      <w:marRight w:val="0"/>
      <w:marTop w:val="0"/>
      <w:marBottom w:val="0"/>
      <w:divBdr>
        <w:top w:val="none" w:sz="0" w:space="0" w:color="auto"/>
        <w:left w:val="none" w:sz="0" w:space="0" w:color="auto"/>
        <w:bottom w:val="none" w:sz="0" w:space="0" w:color="auto"/>
        <w:right w:val="none" w:sz="0" w:space="0" w:color="auto"/>
      </w:divBdr>
      <w:divsChild>
        <w:div w:id="1966999991">
          <w:marLeft w:val="0"/>
          <w:marRight w:val="0"/>
          <w:marTop w:val="0"/>
          <w:marBottom w:val="0"/>
          <w:divBdr>
            <w:top w:val="none" w:sz="0" w:space="0" w:color="auto"/>
            <w:left w:val="none" w:sz="0" w:space="0" w:color="auto"/>
            <w:bottom w:val="none" w:sz="0" w:space="0" w:color="auto"/>
            <w:right w:val="none" w:sz="0" w:space="0" w:color="auto"/>
          </w:divBdr>
        </w:div>
      </w:divsChild>
    </w:div>
    <w:div w:id="1246456939">
      <w:bodyDiv w:val="1"/>
      <w:marLeft w:val="0"/>
      <w:marRight w:val="0"/>
      <w:marTop w:val="0"/>
      <w:marBottom w:val="0"/>
      <w:divBdr>
        <w:top w:val="none" w:sz="0" w:space="0" w:color="auto"/>
        <w:left w:val="none" w:sz="0" w:space="0" w:color="auto"/>
        <w:bottom w:val="none" w:sz="0" w:space="0" w:color="auto"/>
        <w:right w:val="none" w:sz="0" w:space="0" w:color="auto"/>
      </w:divBdr>
      <w:divsChild>
        <w:div w:id="1784035694">
          <w:marLeft w:val="0"/>
          <w:marRight w:val="0"/>
          <w:marTop w:val="0"/>
          <w:marBottom w:val="0"/>
          <w:divBdr>
            <w:top w:val="none" w:sz="0" w:space="0" w:color="auto"/>
            <w:left w:val="none" w:sz="0" w:space="0" w:color="auto"/>
            <w:bottom w:val="none" w:sz="0" w:space="0" w:color="auto"/>
            <w:right w:val="none" w:sz="0" w:space="0" w:color="auto"/>
          </w:divBdr>
        </w:div>
      </w:divsChild>
    </w:div>
    <w:div w:id="1250428766">
      <w:bodyDiv w:val="1"/>
      <w:marLeft w:val="0"/>
      <w:marRight w:val="0"/>
      <w:marTop w:val="0"/>
      <w:marBottom w:val="0"/>
      <w:divBdr>
        <w:top w:val="none" w:sz="0" w:space="0" w:color="auto"/>
        <w:left w:val="none" w:sz="0" w:space="0" w:color="auto"/>
        <w:bottom w:val="none" w:sz="0" w:space="0" w:color="auto"/>
        <w:right w:val="none" w:sz="0" w:space="0" w:color="auto"/>
      </w:divBdr>
    </w:div>
    <w:div w:id="1258060703">
      <w:bodyDiv w:val="1"/>
      <w:marLeft w:val="0"/>
      <w:marRight w:val="0"/>
      <w:marTop w:val="0"/>
      <w:marBottom w:val="0"/>
      <w:divBdr>
        <w:top w:val="none" w:sz="0" w:space="0" w:color="auto"/>
        <w:left w:val="none" w:sz="0" w:space="0" w:color="auto"/>
        <w:bottom w:val="none" w:sz="0" w:space="0" w:color="auto"/>
        <w:right w:val="none" w:sz="0" w:space="0" w:color="auto"/>
      </w:divBdr>
      <w:divsChild>
        <w:div w:id="1796631975">
          <w:marLeft w:val="0"/>
          <w:marRight w:val="0"/>
          <w:marTop w:val="0"/>
          <w:marBottom w:val="0"/>
          <w:divBdr>
            <w:top w:val="none" w:sz="0" w:space="0" w:color="auto"/>
            <w:left w:val="none" w:sz="0" w:space="0" w:color="auto"/>
            <w:bottom w:val="none" w:sz="0" w:space="0" w:color="auto"/>
            <w:right w:val="none" w:sz="0" w:space="0" w:color="auto"/>
          </w:divBdr>
        </w:div>
      </w:divsChild>
    </w:div>
    <w:div w:id="1262646243">
      <w:bodyDiv w:val="1"/>
      <w:marLeft w:val="0"/>
      <w:marRight w:val="0"/>
      <w:marTop w:val="0"/>
      <w:marBottom w:val="0"/>
      <w:divBdr>
        <w:top w:val="none" w:sz="0" w:space="0" w:color="auto"/>
        <w:left w:val="none" w:sz="0" w:space="0" w:color="auto"/>
        <w:bottom w:val="none" w:sz="0" w:space="0" w:color="auto"/>
        <w:right w:val="none" w:sz="0" w:space="0" w:color="auto"/>
      </w:divBdr>
    </w:div>
    <w:div w:id="1268196749">
      <w:bodyDiv w:val="1"/>
      <w:marLeft w:val="0"/>
      <w:marRight w:val="0"/>
      <w:marTop w:val="0"/>
      <w:marBottom w:val="0"/>
      <w:divBdr>
        <w:top w:val="none" w:sz="0" w:space="0" w:color="auto"/>
        <w:left w:val="none" w:sz="0" w:space="0" w:color="auto"/>
        <w:bottom w:val="none" w:sz="0" w:space="0" w:color="auto"/>
        <w:right w:val="none" w:sz="0" w:space="0" w:color="auto"/>
      </w:divBdr>
      <w:divsChild>
        <w:div w:id="4940886">
          <w:marLeft w:val="0"/>
          <w:marRight w:val="0"/>
          <w:marTop w:val="0"/>
          <w:marBottom w:val="0"/>
          <w:divBdr>
            <w:top w:val="none" w:sz="0" w:space="0" w:color="auto"/>
            <w:left w:val="none" w:sz="0" w:space="0" w:color="auto"/>
            <w:bottom w:val="none" w:sz="0" w:space="0" w:color="auto"/>
            <w:right w:val="none" w:sz="0" w:space="0" w:color="auto"/>
          </w:divBdr>
        </w:div>
      </w:divsChild>
    </w:div>
    <w:div w:id="1275555550">
      <w:bodyDiv w:val="1"/>
      <w:marLeft w:val="0"/>
      <w:marRight w:val="0"/>
      <w:marTop w:val="0"/>
      <w:marBottom w:val="0"/>
      <w:divBdr>
        <w:top w:val="none" w:sz="0" w:space="0" w:color="auto"/>
        <w:left w:val="none" w:sz="0" w:space="0" w:color="auto"/>
        <w:bottom w:val="none" w:sz="0" w:space="0" w:color="auto"/>
        <w:right w:val="none" w:sz="0" w:space="0" w:color="auto"/>
      </w:divBdr>
    </w:div>
    <w:div w:id="1279415862">
      <w:marLeft w:val="0"/>
      <w:marRight w:val="0"/>
      <w:marTop w:val="0"/>
      <w:marBottom w:val="0"/>
      <w:divBdr>
        <w:top w:val="none" w:sz="0" w:space="0" w:color="auto"/>
        <w:left w:val="none" w:sz="0" w:space="0" w:color="auto"/>
        <w:bottom w:val="none" w:sz="0" w:space="0" w:color="auto"/>
        <w:right w:val="none" w:sz="0" w:space="0" w:color="auto"/>
      </w:divBdr>
      <w:divsChild>
        <w:div w:id="1089959099">
          <w:marLeft w:val="0"/>
          <w:marRight w:val="0"/>
          <w:marTop w:val="0"/>
          <w:marBottom w:val="0"/>
          <w:divBdr>
            <w:top w:val="none" w:sz="0" w:space="0" w:color="auto"/>
            <w:left w:val="none" w:sz="0" w:space="0" w:color="auto"/>
            <w:bottom w:val="none" w:sz="0" w:space="0" w:color="auto"/>
            <w:right w:val="none" w:sz="0" w:space="0" w:color="auto"/>
          </w:divBdr>
        </w:div>
      </w:divsChild>
    </w:div>
    <w:div w:id="1294559047">
      <w:bodyDiv w:val="1"/>
      <w:marLeft w:val="0"/>
      <w:marRight w:val="0"/>
      <w:marTop w:val="0"/>
      <w:marBottom w:val="0"/>
      <w:divBdr>
        <w:top w:val="none" w:sz="0" w:space="0" w:color="auto"/>
        <w:left w:val="none" w:sz="0" w:space="0" w:color="auto"/>
        <w:bottom w:val="none" w:sz="0" w:space="0" w:color="auto"/>
        <w:right w:val="none" w:sz="0" w:space="0" w:color="auto"/>
      </w:divBdr>
      <w:divsChild>
        <w:div w:id="1756825823">
          <w:marLeft w:val="0"/>
          <w:marRight w:val="0"/>
          <w:marTop w:val="0"/>
          <w:marBottom w:val="0"/>
          <w:divBdr>
            <w:top w:val="none" w:sz="0" w:space="0" w:color="auto"/>
            <w:left w:val="none" w:sz="0" w:space="0" w:color="auto"/>
            <w:bottom w:val="none" w:sz="0" w:space="0" w:color="auto"/>
            <w:right w:val="none" w:sz="0" w:space="0" w:color="auto"/>
          </w:divBdr>
        </w:div>
      </w:divsChild>
    </w:div>
    <w:div w:id="1295713562">
      <w:marLeft w:val="0"/>
      <w:marRight w:val="0"/>
      <w:marTop w:val="0"/>
      <w:marBottom w:val="0"/>
      <w:divBdr>
        <w:top w:val="none" w:sz="0" w:space="0" w:color="auto"/>
        <w:left w:val="none" w:sz="0" w:space="0" w:color="auto"/>
        <w:bottom w:val="none" w:sz="0" w:space="0" w:color="auto"/>
        <w:right w:val="none" w:sz="0" w:space="0" w:color="auto"/>
      </w:divBdr>
      <w:divsChild>
        <w:div w:id="266894350">
          <w:marLeft w:val="0"/>
          <w:marRight w:val="0"/>
          <w:marTop w:val="0"/>
          <w:marBottom w:val="0"/>
          <w:divBdr>
            <w:top w:val="none" w:sz="0" w:space="0" w:color="auto"/>
            <w:left w:val="none" w:sz="0" w:space="0" w:color="auto"/>
            <w:bottom w:val="none" w:sz="0" w:space="0" w:color="auto"/>
            <w:right w:val="none" w:sz="0" w:space="0" w:color="auto"/>
          </w:divBdr>
        </w:div>
      </w:divsChild>
    </w:div>
    <w:div w:id="1297837877">
      <w:bodyDiv w:val="1"/>
      <w:marLeft w:val="0"/>
      <w:marRight w:val="0"/>
      <w:marTop w:val="0"/>
      <w:marBottom w:val="0"/>
      <w:divBdr>
        <w:top w:val="none" w:sz="0" w:space="0" w:color="auto"/>
        <w:left w:val="none" w:sz="0" w:space="0" w:color="auto"/>
        <w:bottom w:val="none" w:sz="0" w:space="0" w:color="auto"/>
        <w:right w:val="none" w:sz="0" w:space="0" w:color="auto"/>
      </w:divBdr>
    </w:div>
    <w:div w:id="1297949142">
      <w:bodyDiv w:val="1"/>
      <w:marLeft w:val="0"/>
      <w:marRight w:val="0"/>
      <w:marTop w:val="0"/>
      <w:marBottom w:val="0"/>
      <w:divBdr>
        <w:top w:val="none" w:sz="0" w:space="0" w:color="auto"/>
        <w:left w:val="none" w:sz="0" w:space="0" w:color="auto"/>
        <w:bottom w:val="none" w:sz="0" w:space="0" w:color="auto"/>
        <w:right w:val="none" w:sz="0" w:space="0" w:color="auto"/>
      </w:divBdr>
      <w:divsChild>
        <w:div w:id="1239752818">
          <w:marLeft w:val="0"/>
          <w:marRight w:val="0"/>
          <w:marTop w:val="0"/>
          <w:marBottom w:val="0"/>
          <w:divBdr>
            <w:top w:val="none" w:sz="0" w:space="0" w:color="auto"/>
            <w:left w:val="none" w:sz="0" w:space="0" w:color="auto"/>
            <w:bottom w:val="none" w:sz="0" w:space="0" w:color="auto"/>
            <w:right w:val="none" w:sz="0" w:space="0" w:color="auto"/>
          </w:divBdr>
        </w:div>
      </w:divsChild>
    </w:div>
    <w:div w:id="1302224039">
      <w:bodyDiv w:val="1"/>
      <w:marLeft w:val="0"/>
      <w:marRight w:val="0"/>
      <w:marTop w:val="0"/>
      <w:marBottom w:val="0"/>
      <w:divBdr>
        <w:top w:val="none" w:sz="0" w:space="0" w:color="auto"/>
        <w:left w:val="none" w:sz="0" w:space="0" w:color="auto"/>
        <w:bottom w:val="none" w:sz="0" w:space="0" w:color="auto"/>
        <w:right w:val="none" w:sz="0" w:space="0" w:color="auto"/>
      </w:divBdr>
    </w:div>
    <w:div w:id="1311785522">
      <w:bodyDiv w:val="1"/>
      <w:marLeft w:val="0"/>
      <w:marRight w:val="0"/>
      <w:marTop w:val="0"/>
      <w:marBottom w:val="0"/>
      <w:divBdr>
        <w:top w:val="none" w:sz="0" w:space="0" w:color="auto"/>
        <w:left w:val="none" w:sz="0" w:space="0" w:color="auto"/>
        <w:bottom w:val="none" w:sz="0" w:space="0" w:color="auto"/>
        <w:right w:val="none" w:sz="0" w:space="0" w:color="auto"/>
      </w:divBdr>
    </w:div>
    <w:div w:id="1312058507">
      <w:marLeft w:val="0"/>
      <w:marRight w:val="0"/>
      <w:marTop w:val="0"/>
      <w:marBottom w:val="0"/>
      <w:divBdr>
        <w:top w:val="none" w:sz="0" w:space="0" w:color="auto"/>
        <w:left w:val="none" w:sz="0" w:space="0" w:color="auto"/>
        <w:bottom w:val="none" w:sz="0" w:space="0" w:color="auto"/>
        <w:right w:val="none" w:sz="0" w:space="0" w:color="auto"/>
      </w:divBdr>
      <w:divsChild>
        <w:div w:id="1690599044">
          <w:marLeft w:val="0"/>
          <w:marRight w:val="0"/>
          <w:marTop w:val="0"/>
          <w:marBottom w:val="0"/>
          <w:divBdr>
            <w:top w:val="none" w:sz="0" w:space="0" w:color="auto"/>
            <w:left w:val="none" w:sz="0" w:space="0" w:color="auto"/>
            <w:bottom w:val="none" w:sz="0" w:space="0" w:color="auto"/>
            <w:right w:val="none" w:sz="0" w:space="0" w:color="auto"/>
          </w:divBdr>
        </w:div>
      </w:divsChild>
    </w:div>
    <w:div w:id="1324550294">
      <w:bodyDiv w:val="1"/>
      <w:marLeft w:val="0"/>
      <w:marRight w:val="0"/>
      <w:marTop w:val="0"/>
      <w:marBottom w:val="0"/>
      <w:divBdr>
        <w:top w:val="none" w:sz="0" w:space="0" w:color="auto"/>
        <w:left w:val="none" w:sz="0" w:space="0" w:color="auto"/>
        <w:bottom w:val="none" w:sz="0" w:space="0" w:color="auto"/>
        <w:right w:val="none" w:sz="0" w:space="0" w:color="auto"/>
      </w:divBdr>
    </w:div>
    <w:div w:id="1326128068">
      <w:bodyDiv w:val="1"/>
      <w:marLeft w:val="0"/>
      <w:marRight w:val="0"/>
      <w:marTop w:val="0"/>
      <w:marBottom w:val="0"/>
      <w:divBdr>
        <w:top w:val="none" w:sz="0" w:space="0" w:color="auto"/>
        <w:left w:val="none" w:sz="0" w:space="0" w:color="auto"/>
        <w:bottom w:val="none" w:sz="0" w:space="0" w:color="auto"/>
        <w:right w:val="none" w:sz="0" w:space="0" w:color="auto"/>
      </w:divBdr>
    </w:div>
    <w:div w:id="1328482612">
      <w:bodyDiv w:val="1"/>
      <w:marLeft w:val="0"/>
      <w:marRight w:val="0"/>
      <w:marTop w:val="0"/>
      <w:marBottom w:val="0"/>
      <w:divBdr>
        <w:top w:val="none" w:sz="0" w:space="0" w:color="auto"/>
        <w:left w:val="none" w:sz="0" w:space="0" w:color="auto"/>
        <w:bottom w:val="none" w:sz="0" w:space="0" w:color="auto"/>
        <w:right w:val="none" w:sz="0" w:space="0" w:color="auto"/>
      </w:divBdr>
      <w:divsChild>
        <w:div w:id="119880644">
          <w:marLeft w:val="0"/>
          <w:marRight w:val="0"/>
          <w:marTop w:val="0"/>
          <w:marBottom w:val="0"/>
          <w:divBdr>
            <w:top w:val="none" w:sz="0" w:space="0" w:color="auto"/>
            <w:left w:val="none" w:sz="0" w:space="0" w:color="auto"/>
            <w:bottom w:val="none" w:sz="0" w:space="0" w:color="auto"/>
            <w:right w:val="none" w:sz="0" w:space="0" w:color="auto"/>
          </w:divBdr>
        </w:div>
      </w:divsChild>
    </w:div>
    <w:div w:id="1329675828">
      <w:marLeft w:val="0"/>
      <w:marRight w:val="0"/>
      <w:marTop w:val="0"/>
      <w:marBottom w:val="0"/>
      <w:divBdr>
        <w:top w:val="none" w:sz="0" w:space="0" w:color="auto"/>
        <w:left w:val="none" w:sz="0" w:space="0" w:color="auto"/>
        <w:bottom w:val="none" w:sz="0" w:space="0" w:color="auto"/>
        <w:right w:val="none" w:sz="0" w:space="0" w:color="auto"/>
      </w:divBdr>
      <w:divsChild>
        <w:div w:id="865798637">
          <w:marLeft w:val="0"/>
          <w:marRight w:val="0"/>
          <w:marTop w:val="0"/>
          <w:marBottom w:val="0"/>
          <w:divBdr>
            <w:top w:val="none" w:sz="0" w:space="0" w:color="auto"/>
            <w:left w:val="none" w:sz="0" w:space="0" w:color="auto"/>
            <w:bottom w:val="none" w:sz="0" w:space="0" w:color="auto"/>
            <w:right w:val="none" w:sz="0" w:space="0" w:color="auto"/>
          </w:divBdr>
        </w:div>
      </w:divsChild>
    </w:div>
    <w:div w:id="1330134635">
      <w:bodyDiv w:val="1"/>
      <w:marLeft w:val="0"/>
      <w:marRight w:val="0"/>
      <w:marTop w:val="0"/>
      <w:marBottom w:val="0"/>
      <w:divBdr>
        <w:top w:val="none" w:sz="0" w:space="0" w:color="auto"/>
        <w:left w:val="none" w:sz="0" w:space="0" w:color="auto"/>
        <w:bottom w:val="none" w:sz="0" w:space="0" w:color="auto"/>
        <w:right w:val="none" w:sz="0" w:space="0" w:color="auto"/>
      </w:divBdr>
    </w:div>
    <w:div w:id="1335182783">
      <w:bodyDiv w:val="1"/>
      <w:marLeft w:val="0"/>
      <w:marRight w:val="0"/>
      <w:marTop w:val="0"/>
      <w:marBottom w:val="0"/>
      <w:divBdr>
        <w:top w:val="none" w:sz="0" w:space="0" w:color="auto"/>
        <w:left w:val="none" w:sz="0" w:space="0" w:color="auto"/>
        <w:bottom w:val="none" w:sz="0" w:space="0" w:color="auto"/>
        <w:right w:val="none" w:sz="0" w:space="0" w:color="auto"/>
      </w:divBdr>
    </w:div>
    <w:div w:id="1342274220">
      <w:bodyDiv w:val="1"/>
      <w:marLeft w:val="0"/>
      <w:marRight w:val="0"/>
      <w:marTop w:val="0"/>
      <w:marBottom w:val="0"/>
      <w:divBdr>
        <w:top w:val="none" w:sz="0" w:space="0" w:color="auto"/>
        <w:left w:val="none" w:sz="0" w:space="0" w:color="auto"/>
        <w:bottom w:val="none" w:sz="0" w:space="0" w:color="auto"/>
        <w:right w:val="none" w:sz="0" w:space="0" w:color="auto"/>
      </w:divBdr>
      <w:divsChild>
        <w:div w:id="398555957">
          <w:marLeft w:val="0"/>
          <w:marRight w:val="0"/>
          <w:marTop w:val="0"/>
          <w:marBottom w:val="0"/>
          <w:divBdr>
            <w:top w:val="none" w:sz="0" w:space="0" w:color="auto"/>
            <w:left w:val="none" w:sz="0" w:space="0" w:color="auto"/>
            <w:bottom w:val="none" w:sz="0" w:space="0" w:color="auto"/>
            <w:right w:val="none" w:sz="0" w:space="0" w:color="auto"/>
          </w:divBdr>
        </w:div>
      </w:divsChild>
    </w:div>
    <w:div w:id="1350181629">
      <w:marLeft w:val="0"/>
      <w:marRight w:val="0"/>
      <w:marTop w:val="0"/>
      <w:marBottom w:val="0"/>
      <w:divBdr>
        <w:top w:val="none" w:sz="0" w:space="0" w:color="auto"/>
        <w:left w:val="none" w:sz="0" w:space="0" w:color="auto"/>
        <w:bottom w:val="none" w:sz="0" w:space="0" w:color="auto"/>
        <w:right w:val="none" w:sz="0" w:space="0" w:color="auto"/>
      </w:divBdr>
      <w:divsChild>
        <w:div w:id="2132430158">
          <w:marLeft w:val="0"/>
          <w:marRight w:val="0"/>
          <w:marTop w:val="0"/>
          <w:marBottom w:val="0"/>
          <w:divBdr>
            <w:top w:val="none" w:sz="0" w:space="0" w:color="auto"/>
            <w:left w:val="none" w:sz="0" w:space="0" w:color="auto"/>
            <w:bottom w:val="none" w:sz="0" w:space="0" w:color="auto"/>
            <w:right w:val="none" w:sz="0" w:space="0" w:color="auto"/>
          </w:divBdr>
        </w:div>
      </w:divsChild>
    </w:div>
    <w:div w:id="1353141696">
      <w:bodyDiv w:val="1"/>
      <w:marLeft w:val="0"/>
      <w:marRight w:val="0"/>
      <w:marTop w:val="0"/>
      <w:marBottom w:val="0"/>
      <w:divBdr>
        <w:top w:val="none" w:sz="0" w:space="0" w:color="auto"/>
        <w:left w:val="none" w:sz="0" w:space="0" w:color="auto"/>
        <w:bottom w:val="none" w:sz="0" w:space="0" w:color="auto"/>
        <w:right w:val="none" w:sz="0" w:space="0" w:color="auto"/>
      </w:divBdr>
    </w:div>
    <w:div w:id="1354573867">
      <w:bodyDiv w:val="1"/>
      <w:marLeft w:val="0"/>
      <w:marRight w:val="0"/>
      <w:marTop w:val="0"/>
      <w:marBottom w:val="0"/>
      <w:divBdr>
        <w:top w:val="none" w:sz="0" w:space="0" w:color="auto"/>
        <w:left w:val="none" w:sz="0" w:space="0" w:color="auto"/>
        <w:bottom w:val="none" w:sz="0" w:space="0" w:color="auto"/>
        <w:right w:val="none" w:sz="0" w:space="0" w:color="auto"/>
      </w:divBdr>
    </w:div>
    <w:div w:id="1359283202">
      <w:bodyDiv w:val="1"/>
      <w:marLeft w:val="0"/>
      <w:marRight w:val="0"/>
      <w:marTop w:val="0"/>
      <w:marBottom w:val="0"/>
      <w:divBdr>
        <w:top w:val="none" w:sz="0" w:space="0" w:color="auto"/>
        <w:left w:val="none" w:sz="0" w:space="0" w:color="auto"/>
        <w:bottom w:val="none" w:sz="0" w:space="0" w:color="auto"/>
        <w:right w:val="none" w:sz="0" w:space="0" w:color="auto"/>
      </w:divBdr>
    </w:div>
    <w:div w:id="1363820334">
      <w:marLeft w:val="0"/>
      <w:marRight w:val="0"/>
      <w:marTop w:val="0"/>
      <w:marBottom w:val="0"/>
      <w:divBdr>
        <w:top w:val="none" w:sz="0" w:space="0" w:color="auto"/>
        <w:left w:val="none" w:sz="0" w:space="0" w:color="auto"/>
        <w:bottom w:val="none" w:sz="0" w:space="0" w:color="auto"/>
        <w:right w:val="none" w:sz="0" w:space="0" w:color="auto"/>
      </w:divBdr>
      <w:divsChild>
        <w:div w:id="1272204182">
          <w:marLeft w:val="0"/>
          <w:marRight w:val="0"/>
          <w:marTop w:val="0"/>
          <w:marBottom w:val="0"/>
          <w:divBdr>
            <w:top w:val="none" w:sz="0" w:space="0" w:color="auto"/>
            <w:left w:val="none" w:sz="0" w:space="0" w:color="auto"/>
            <w:bottom w:val="none" w:sz="0" w:space="0" w:color="auto"/>
            <w:right w:val="none" w:sz="0" w:space="0" w:color="auto"/>
          </w:divBdr>
        </w:div>
      </w:divsChild>
    </w:div>
    <w:div w:id="1371104500">
      <w:bodyDiv w:val="1"/>
      <w:marLeft w:val="0"/>
      <w:marRight w:val="0"/>
      <w:marTop w:val="0"/>
      <w:marBottom w:val="0"/>
      <w:divBdr>
        <w:top w:val="none" w:sz="0" w:space="0" w:color="auto"/>
        <w:left w:val="none" w:sz="0" w:space="0" w:color="auto"/>
        <w:bottom w:val="none" w:sz="0" w:space="0" w:color="auto"/>
        <w:right w:val="none" w:sz="0" w:space="0" w:color="auto"/>
      </w:divBdr>
    </w:div>
    <w:div w:id="1372221858">
      <w:bodyDiv w:val="1"/>
      <w:marLeft w:val="0"/>
      <w:marRight w:val="0"/>
      <w:marTop w:val="0"/>
      <w:marBottom w:val="0"/>
      <w:divBdr>
        <w:top w:val="none" w:sz="0" w:space="0" w:color="auto"/>
        <w:left w:val="none" w:sz="0" w:space="0" w:color="auto"/>
        <w:bottom w:val="none" w:sz="0" w:space="0" w:color="auto"/>
        <w:right w:val="none" w:sz="0" w:space="0" w:color="auto"/>
      </w:divBdr>
    </w:div>
    <w:div w:id="1390493225">
      <w:bodyDiv w:val="1"/>
      <w:marLeft w:val="0"/>
      <w:marRight w:val="0"/>
      <w:marTop w:val="0"/>
      <w:marBottom w:val="0"/>
      <w:divBdr>
        <w:top w:val="none" w:sz="0" w:space="0" w:color="auto"/>
        <w:left w:val="none" w:sz="0" w:space="0" w:color="auto"/>
        <w:bottom w:val="none" w:sz="0" w:space="0" w:color="auto"/>
        <w:right w:val="none" w:sz="0" w:space="0" w:color="auto"/>
      </w:divBdr>
    </w:div>
    <w:div w:id="1392540178">
      <w:bodyDiv w:val="1"/>
      <w:marLeft w:val="0"/>
      <w:marRight w:val="0"/>
      <w:marTop w:val="0"/>
      <w:marBottom w:val="0"/>
      <w:divBdr>
        <w:top w:val="none" w:sz="0" w:space="0" w:color="auto"/>
        <w:left w:val="none" w:sz="0" w:space="0" w:color="auto"/>
        <w:bottom w:val="none" w:sz="0" w:space="0" w:color="auto"/>
        <w:right w:val="none" w:sz="0" w:space="0" w:color="auto"/>
      </w:divBdr>
    </w:div>
    <w:div w:id="1396508853">
      <w:bodyDiv w:val="1"/>
      <w:marLeft w:val="0"/>
      <w:marRight w:val="0"/>
      <w:marTop w:val="0"/>
      <w:marBottom w:val="0"/>
      <w:divBdr>
        <w:top w:val="none" w:sz="0" w:space="0" w:color="auto"/>
        <w:left w:val="none" w:sz="0" w:space="0" w:color="auto"/>
        <w:bottom w:val="none" w:sz="0" w:space="0" w:color="auto"/>
        <w:right w:val="none" w:sz="0" w:space="0" w:color="auto"/>
      </w:divBdr>
      <w:divsChild>
        <w:div w:id="1119648639">
          <w:marLeft w:val="0"/>
          <w:marRight w:val="0"/>
          <w:marTop w:val="0"/>
          <w:marBottom w:val="0"/>
          <w:divBdr>
            <w:top w:val="none" w:sz="0" w:space="0" w:color="auto"/>
            <w:left w:val="none" w:sz="0" w:space="0" w:color="auto"/>
            <w:bottom w:val="none" w:sz="0" w:space="0" w:color="auto"/>
            <w:right w:val="none" w:sz="0" w:space="0" w:color="auto"/>
          </w:divBdr>
        </w:div>
      </w:divsChild>
    </w:div>
    <w:div w:id="1403329417">
      <w:bodyDiv w:val="1"/>
      <w:marLeft w:val="0"/>
      <w:marRight w:val="0"/>
      <w:marTop w:val="0"/>
      <w:marBottom w:val="0"/>
      <w:divBdr>
        <w:top w:val="none" w:sz="0" w:space="0" w:color="auto"/>
        <w:left w:val="none" w:sz="0" w:space="0" w:color="auto"/>
        <w:bottom w:val="none" w:sz="0" w:space="0" w:color="auto"/>
        <w:right w:val="none" w:sz="0" w:space="0" w:color="auto"/>
      </w:divBdr>
      <w:divsChild>
        <w:div w:id="933364842">
          <w:marLeft w:val="0"/>
          <w:marRight w:val="0"/>
          <w:marTop w:val="0"/>
          <w:marBottom w:val="0"/>
          <w:divBdr>
            <w:top w:val="none" w:sz="0" w:space="0" w:color="auto"/>
            <w:left w:val="none" w:sz="0" w:space="0" w:color="auto"/>
            <w:bottom w:val="none" w:sz="0" w:space="0" w:color="auto"/>
            <w:right w:val="none" w:sz="0" w:space="0" w:color="auto"/>
          </w:divBdr>
        </w:div>
      </w:divsChild>
    </w:div>
    <w:div w:id="1413040961">
      <w:bodyDiv w:val="1"/>
      <w:marLeft w:val="0"/>
      <w:marRight w:val="0"/>
      <w:marTop w:val="0"/>
      <w:marBottom w:val="0"/>
      <w:divBdr>
        <w:top w:val="none" w:sz="0" w:space="0" w:color="auto"/>
        <w:left w:val="none" w:sz="0" w:space="0" w:color="auto"/>
        <w:bottom w:val="none" w:sz="0" w:space="0" w:color="auto"/>
        <w:right w:val="none" w:sz="0" w:space="0" w:color="auto"/>
      </w:divBdr>
    </w:div>
    <w:div w:id="1430278300">
      <w:bodyDiv w:val="1"/>
      <w:marLeft w:val="0"/>
      <w:marRight w:val="0"/>
      <w:marTop w:val="0"/>
      <w:marBottom w:val="0"/>
      <w:divBdr>
        <w:top w:val="none" w:sz="0" w:space="0" w:color="auto"/>
        <w:left w:val="none" w:sz="0" w:space="0" w:color="auto"/>
        <w:bottom w:val="none" w:sz="0" w:space="0" w:color="auto"/>
        <w:right w:val="none" w:sz="0" w:space="0" w:color="auto"/>
      </w:divBdr>
      <w:divsChild>
        <w:div w:id="1939632428">
          <w:marLeft w:val="0"/>
          <w:marRight w:val="0"/>
          <w:marTop w:val="0"/>
          <w:marBottom w:val="0"/>
          <w:divBdr>
            <w:top w:val="none" w:sz="0" w:space="0" w:color="auto"/>
            <w:left w:val="none" w:sz="0" w:space="0" w:color="auto"/>
            <w:bottom w:val="none" w:sz="0" w:space="0" w:color="auto"/>
            <w:right w:val="none" w:sz="0" w:space="0" w:color="auto"/>
          </w:divBdr>
        </w:div>
      </w:divsChild>
    </w:div>
    <w:div w:id="1441560832">
      <w:marLeft w:val="0"/>
      <w:marRight w:val="0"/>
      <w:marTop w:val="0"/>
      <w:marBottom w:val="0"/>
      <w:divBdr>
        <w:top w:val="none" w:sz="0" w:space="0" w:color="auto"/>
        <w:left w:val="none" w:sz="0" w:space="0" w:color="auto"/>
        <w:bottom w:val="none" w:sz="0" w:space="0" w:color="auto"/>
        <w:right w:val="none" w:sz="0" w:space="0" w:color="auto"/>
      </w:divBdr>
      <w:divsChild>
        <w:div w:id="1006903964">
          <w:marLeft w:val="0"/>
          <w:marRight w:val="0"/>
          <w:marTop w:val="0"/>
          <w:marBottom w:val="0"/>
          <w:divBdr>
            <w:top w:val="none" w:sz="0" w:space="0" w:color="auto"/>
            <w:left w:val="none" w:sz="0" w:space="0" w:color="auto"/>
            <w:bottom w:val="none" w:sz="0" w:space="0" w:color="auto"/>
            <w:right w:val="none" w:sz="0" w:space="0" w:color="auto"/>
          </w:divBdr>
        </w:div>
      </w:divsChild>
    </w:div>
    <w:div w:id="1442918583">
      <w:bodyDiv w:val="1"/>
      <w:marLeft w:val="0"/>
      <w:marRight w:val="0"/>
      <w:marTop w:val="0"/>
      <w:marBottom w:val="0"/>
      <w:divBdr>
        <w:top w:val="none" w:sz="0" w:space="0" w:color="auto"/>
        <w:left w:val="none" w:sz="0" w:space="0" w:color="auto"/>
        <w:bottom w:val="none" w:sz="0" w:space="0" w:color="auto"/>
        <w:right w:val="none" w:sz="0" w:space="0" w:color="auto"/>
      </w:divBdr>
    </w:div>
    <w:div w:id="1451779106">
      <w:bodyDiv w:val="1"/>
      <w:marLeft w:val="0"/>
      <w:marRight w:val="0"/>
      <w:marTop w:val="0"/>
      <w:marBottom w:val="0"/>
      <w:divBdr>
        <w:top w:val="none" w:sz="0" w:space="0" w:color="auto"/>
        <w:left w:val="none" w:sz="0" w:space="0" w:color="auto"/>
        <w:bottom w:val="none" w:sz="0" w:space="0" w:color="auto"/>
        <w:right w:val="none" w:sz="0" w:space="0" w:color="auto"/>
      </w:divBdr>
    </w:div>
    <w:div w:id="1456676419">
      <w:bodyDiv w:val="1"/>
      <w:marLeft w:val="0"/>
      <w:marRight w:val="0"/>
      <w:marTop w:val="0"/>
      <w:marBottom w:val="0"/>
      <w:divBdr>
        <w:top w:val="none" w:sz="0" w:space="0" w:color="auto"/>
        <w:left w:val="none" w:sz="0" w:space="0" w:color="auto"/>
        <w:bottom w:val="none" w:sz="0" w:space="0" w:color="auto"/>
        <w:right w:val="none" w:sz="0" w:space="0" w:color="auto"/>
      </w:divBdr>
    </w:div>
    <w:div w:id="1470367470">
      <w:bodyDiv w:val="1"/>
      <w:marLeft w:val="0"/>
      <w:marRight w:val="0"/>
      <w:marTop w:val="0"/>
      <w:marBottom w:val="0"/>
      <w:divBdr>
        <w:top w:val="none" w:sz="0" w:space="0" w:color="auto"/>
        <w:left w:val="none" w:sz="0" w:space="0" w:color="auto"/>
        <w:bottom w:val="none" w:sz="0" w:space="0" w:color="auto"/>
        <w:right w:val="none" w:sz="0" w:space="0" w:color="auto"/>
      </w:divBdr>
    </w:div>
    <w:div w:id="1480881142">
      <w:marLeft w:val="0"/>
      <w:marRight w:val="0"/>
      <w:marTop w:val="0"/>
      <w:marBottom w:val="0"/>
      <w:divBdr>
        <w:top w:val="none" w:sz="0" w:space="0" w:color="auto"/>
        <w:left w:val="none" w:sz="0" w:space="0" w:color="auto"/>
        <w:bottom w:val="none" w:sz="0" w:space="0" w:color="auto"/>
        <w:right w:val="none" w:sz="0" w:space="0" w:color="auto"/>
      </w:divBdr>
      <w:divsChild>
        <w:div w:id="1077436051">
          <w:marLeft w:val="0"/>
          <w:marRight w:val="0"/>
          <w:marTop w:val="0"/>
          <w:marBottom w:val="0"/>
          <w:divBdr>
            <w:top w:val="none" w:sz="0" w:space="0" w:color="auto"/>
            <w:left w:val="none" w:sz="0" w:space="0" w:color="auto"/>
            <w:bottom w:val="none" w:sz="0" w:space="0" w:color="auto"/>
            <w:right w:val="none" w:sz="0" w:space="0" w:color="auto"/>
          </w:divBdr>
        </w:div>
      </w:divsChild>
    </w:div>
    <w:div w:id="1485513741">
      <w:bodyDiv w:val="1"/>
      <w:marLeft w:val="0"/>
      <w:marRight w:val="0"/>
      <w:marTop w:val="0"/>
      <w:marBottom w:val="0"/>
      <w:divBdr>
        <w:top w:val="none" w:sz="0" w:space="0" w:color="auto"/>
        <w:left w:val="none" w:sz="0" w:space="0" w:color="auto"/>
        <w:bottom w:val="none" w:sz="0" w:space="0" w:color="auto"/>
        <w:right w:val="none" w:sz="0" w:space="0" w:color="auto"/>
      </w:divBdr>
      <w:divsChild>
        <w:div w:id="382216240">
          <w:marLeft w:val="0"/>
          <w:marRight w:val="0"/>
          <w:marTop w:val="0"/>
          <w:marBottom w:val="0"/>
          <w:divBdr>
            <w:top w:val="none" w:sz="0" w:space="0" w:color="auto"/>
            <w:left w:val="none" w:sz="0" w:space="0" w:color="auto"/>
            <w:bottom w:val="none" w:sz="0" w:space="0" w:color="auto"/>
            <w:right w:val="none" w:sz="0" w:space="0" w:color="auto"/>
          </w:divBdr>
        </w:div>
      </w:divsChild>
    </w:div>
    <w:div w:id="1495873847">
      <w:bodyDiv w:val="1"/>
      <w:marLeft w:val="0"/>
      <w:marRight w:val="0"/>
      <w:marTop w:val="0"/>
      <w:marBottom w:val="0"/>
      <w:divBdr>
        <w:top w:val="none" w:sz="0" w:space="0" w:color="auto"/>
        <w:left w:val="none" w:sz="0" w:space="0" w:color="auto"/>
        <w:bottom w:val="none" w:sz="0" w:space="0" w:color="auto"/>
        <w:right w:val="none" w:sz="0" w:space="0" w:color="auto"/>
      </w:divBdr>
    </w:div>
    <w:div w:id="1497918146">
      <w:bodyDiv w:val="1"/>
      <w:marLeft w:val="0"/>
      <w:marRight w:val="0"/>
      <w:marTop w:val="0"/>
      <w:marBottom w:val="0"/>
      <w:divBdr>
        <w:top w:val="none" w:sz="0" w:space="0" w:color="auto"/>
        <w:left w:val="none" w:sz="0" w:space="0" w:color="auto"/>
        <w:bottom w:val="none" w:sz="0" w:space="0" w:color="auto"/>
        <w:right w:val="none" w:sz="0" w:space="0" w:color="auto"/>
      </w:divBdr>
    </w:div>
    <w:div w:id="1499928442">
      <w:marLeft w:val="0"/>
      <w:marRight w:val="0"/>
      <w:marTop w:val="0"/>
      <w:marBottom w:val="0"/>
      <w:divBdr>
        <w:top w:val="none" w:sz="0" w:space="0" w:color="auto"/>
        <w:left w:val="none" w:sz="0" w:space="0" w:color="auto"/>
        <w:bottom w:val="none" w:sz="0" w:space="0" w:color="auto"/>
        <w:right w:val="none" w:sz="0" w:space="0" w:color="auto"/>
      </w:divBdr>
      <w:divsChild>
        <w:div w:id="1913932184">
          <w:marLeft w:val="0"/>
          <w:marRight w:val="0"/>
          <w:marTop w:val="0"/>
          <w:marBottom w:val="0"/>
          <w:divBdr>
            <w:top w:val="none" w:sz="0" w:space="0" w:color="auto"/>
            <w:left w:val="none" w:sz="0" w:space="0" w:color="auto"/>
            <w:bottom w:val="none" w:sz="0" w:space="0" w:color="auto"/>
            <w:right w:val="none" w:sz="0" w:space="0" w:color="auto"/>
          </w:divBdr>
        </w:div>
      </w:divsChild>
    </w:div>
    <w:div w:id="1503928708">
      <w:bodyDiv w:val="1"/>
      <w:marLeft w:val="0"/>
      <w:marRight w:val="0"/>
      <w:marTop w:val="0"/>
      <w:marBottom w:val="0"/>
      <w:divBdr>
        <w:top w:val="none" w:sz="0" w:space="0" w:color="auto"/>
        <w:left w:val="none" w:sz="0" w:space="0" w:color="auto"/>
        <w:bottom w:val="none" w:sz="0" w:space="0" w:color="auto"/>
        <w:right w:val="none" w:sz="0" w:space="0" w:color="auto"/>
      </w:divBdr>
    </w:div>
    <w:div w:id="1510948672">
      <w:bodyDiv w:val="1"/>
      <w:marLeft w:val="0"/>
      <w:marRight w:val="0"/>
      <w:marTop w:val="0"/>
      <w:marBottom w:val="0"/>
      <w:divBdr>
        <w:top w:val="none" w:sz="0" w:space="0" w:color="auto"/>
        <w:left w:val="none" w:sz="0" w:space="0" w:color="auto"/>
        <w:bottom w:val="none" w:sz="0" w:space="0" w:color="auto"/>
        <w:right w:val="none" w:sz="0" w:space="0" w:color="auto"/>
      </w:divBdr>
      <w:divsChild>
        <w:div w:id="1225798362">
          <w:marLeft w:val="0"/>
          <w:marRight w:val="0"/>
          <w:marTop w:val="0"/>
          <w:marBottom w:val="0"/>
          <w:divBdr>
            <w:top w:val="none" w:sz="0" w:space="0" w:color="auto"/>
            <w:left w:val="none" w:sz="0" w:space="0" w:color="auto"/>
            <w:bottom w:val="none" w:sz="0" w:space="0" w:color="auto"/>
            <w:right w:val="none" w:sz="0" w:space="0" w:color="auto"/>
          </w:divBdr>
        </w:div>
      </w:divsChild>
    </w:div>
    <w:div w:id="1511527709">
      <w:bodyDiv w:val="1"/>
      <w:marLeft w:val="0"/>
      <w:marRight w:val="0"/>
      <w:marTop w:val="0"/>
      <w:marBottom w:val="0"/>
      <w:divBdr>
        <w:top w:val="none" w:sz="0" w:space="0" w:color="auto"/>
        <w:left w:val="none" w:sz="0" w:space="0" w:color="auto"/>
        <w:bottom w:val="none" w:sz="0" w:space="0" w:color="auto"/>
        <w:right w:val="none" w:sz="0" w:space="0" w:color="auto"/>
      </w:divBdr>
      <w:divsChild>
        <w:div w:id="1111170716">
          <w:marLeft w:val="0"/>
          <w:marRight w:val="0"/>
          <w:marTop w:val="0"/>
          <w:marBottom w:val="0"/>
          <w:divBdr>
            <w:top w:val="none" w:sz="0" w:space="0" w:color="auto"/>
            <w:left w:val="none" w:sz="0" w:space="0" w:color="auto"/>
            <w:bottom w:val="none" w:sz="0" w:space="0" w:color="auto"/>
            <w:right w:val="none" w:sz="0" w:space="0" w:color="auto"/>
          </w:divBdr>
        </w:div>
      </w:divsChild>
    </w:div>
    <w:div w:id="1511870660">
      <w:bodyDiv w:val="1"/>
      <w:marLeft w:val="0"/>
      <w:marRight w:val="0"/>
      <w:marTop w:val="0"/>
      <w:marBottom w:val="0"/>
      <w:divBdr>
        <w:top w:val="none" w:sz="0" w:space="0" w:color="auto"/>
        <w:left w:val="none" w:sz="0" w:space="0" w:color="auto"/>
        <w:bottom w:val="none" w:sz="0" w:space="0" w:color="auto"/>
        <w:right w:val="none" w:sz="0" w:space="0" w:color="auto"/>
      </w:divBdr>
    </w:div>
    <w:div w:id="1515336499">
      <w:bodyDiv w:val="1"/>
      <w:marLeft w:val="0"/>
      <w:marRight w:val="0"/>
      <w:marTop w:val="0"/>
      <w:marBottom w:val="0"/>
      <w:divBdr>
        <w:top w:val="none" w:sz="0" w:space="0" w:color="auto"/>
        <w:left w:val="none" w:sz="0" w:space="0" w:color="auto"/>
        <w:bottom w:val="none" w:sz="0" w:space="0" w:color="auto"/>
        <w:right w:val="none" w:sz="0" w:space="0" w:color="auto"/>
      </w:divBdr>
      <w:divsChild>
        <w:div w:id="812990000">
          <w:marLeft w:val="0"/>
          <w:marRight w:val="0"/>
          <w:marTop w:val="0"/>
          <w:marBottom w:val="0"/>
          <w:divBdr>
            <w:top w:val="none" w:sz="0" w:space="0" w:color="auto"/>
            <w:left w:val="none" w:sz="0" w:space="0" w:color="auto"/>
            <w:bottom w:val="none" w:sz="0" w:space="0" w:color="auto"/>
            <w:right w:val="none" w:sz="0" w:space="0" w:color="auto"/>
          </w:divBdr>
        </w:div>
      </w:divsChild>
    </w:div>
    <w:div w:id="1516338457">
      <w:marLeft w:val="0"/>
      <w:marRight w:val="0"/>
      <w:marTop w:val="0"/>
      <w:marBottom w:val="0"/>
      <w:divBdr>
        <w:top w:val="none" w:sz="0" w:space="0" w:color="auto"/>
        <w:left w:val="none" w:sz="0" w:space="0" w:color="auto"/>
        <w:bottom w:val="none" w:sz="0" w:space="0" w:color="auto"/>
        <w:right w:val="none" w:sz="0" w:space="0" w:color="auto"/>
      </w:divBdr>
      <w:divsChild>
        <w:div w:id="2139756084">
          <w:marLeft w:val="0"/>
          <w:marRight w:val="0"/>
          <w:marTop w:val="0"/>
          <w:marBottom w:val="0"/>
          <w:divBdr>
            <w:top w:val="none" w:sz="0" w:space="0" w:color="auto"/>
            <w:left w:val="none" w:sz="0" w:space="0" w:color="auto"/>
            <w:bottom w:val="none" w:sz="0" w:space="0" w:color="auto"/>
            <w:right w:val="none" w:sz="0" w:space="0" w:color="auto"/>
          </w:divBdr>
        </w:div>
      </w:divsChild>
    </w:div>
    <w:div w:id="1524392508">
      <w:bodyDiv w:val="1"/>
      <w:marLeft w:val="0"/>
      <w:marRight w:val="0"/>
      <w:marTop w:val="0"/>
      <w:marBottom w:val="0"/>
      <w:divBdr>
        <w:top w:val="none" w:sz="0" w:space="0" w:color="auto"/>
        <w:left w:val="none" w:sz="0" w:space="0" w:color="auto"/>
        <w:bottom w:val="none" w:sz="0" w:space="0" w:color="auto"/>
        <w:right w:val="none" w:sz="0" w:space="0" w:color="auto"/>
      </w:divBdr>
    </w:div>
    <w:div w:id="1528910703">
      <w:marLeft w:val="0"/>
      <w:marRight w:val="0"/>
      <w:marTop w:val="0"/>
      <w:marBottom w:val="0"/>
      <w:divBdr>
        <w:top w:val="none" w:sz="0" w:space="0" w:color="auto"/>
        <w:left w:val="none" w:sz="0" w:space="0" w:color="auto"/>
        <w:bottom w:val="none" w:sz="0" w:space="0" w:color="auto"/>
        <w:right w:val="none" w:sz="0" w:space="0" w:color="auto"/>
      </w:divBdr>
      <w:divsChild>
        <w:div w:id="1582177614">
          <w:marLeft w:val="0"/>
          <w:marRight w:val="0"/>
          <w:marTop w:val="0"/>
          <w:marBottom w:val="0"/>
          <w:divBdr>
            <w:top w:val="none" w:sz="0" w:space="0" w:color="auto"/>
            <w:left w:val="none" w:sz="0" w:space="0" w:color="auto"/>
            <w:bottom w:val="none" w:sz="0" w:space="0" w:color="auto"/>
            <w:right w:val="none" w:sz="0" w:space="0" w:color="auto"/>
          </w:divBdr>
        </w:div>
      </w:divsChild>
    </w:div>
    <w:div w:id="1536651121">
      <w:bodyDiv w:val="1"/>
      <w:marLeft w:val="0"/>
      <w:marRight w:val="0"/>
      <w:marTop w:val="0"/>
      <w:marBottom w:val="0"/>
      <w:divBdr>
        <w:top w:val="none" w:sz="0" w:space="0" w:color="auto"/>
        <w:left w:val="none" w:sz="0" w:space="0" w:color="auto"/>
        <w:bottom w:val="none" w:sz="0" w:space="0" w:color="auto"/>
        <w:right w:val="none" w:sz="0" w:space="0" w:color="auto"/>
      </w:divBdr>
    </w:div>
    <w:div w:id="1548178150">
      <w:bodyDiv w:val="1"/>
      <w:marLeft w:val="0"/>
      <w:marRight w:val="0"/>
      <w:marTop w:val="0"/>
      <w:marBottom w:val="0"/>
      <w:divBdr>
        <w:top w:val="none" w:sz="0" w:space="0" w:color="auto"/>
        <w:left w:val="none" w:sz="0" w:space="0" w:color="auto"/>
        <w:bottom w:val="none" w:sz="0" w:space="0" w:color="auto"/>
        <w:right w:val="none" w:sz="0" w:space="0" w:color="auto"/>
      </w:divBdr>
    </w:div>
    <w:div w:id="1548879764">
      <w:bodyDiv w:val="1"/>
      <w:marLeft w:val="0"/>
      <w:marRight w:val="0"/>
      <w:marTop w:val="0"/>
      <w:marBottom w:val="0"/>
      <w:divBdr>
        <w:top w:val="none" w:sz="0" w:space="0" w:color="auto"/>
        <w:left w:val="none" w:sz="0" w:space="0" w:color="auto"/>
        <w:bottom w:val="none" w:sz="0" w:space="0" w:color="auto"/>
        <w:right w:val="none" w:sz="0" w:space="0" w:color="auto"/>
      </w:divBdr>
      <w:divsChild>
        <w:div w:id="835807560">
          <w:marLeft w:val="0"/>
          <w:marRight w:val="0"/>
          <w:marTop w:val="0"/>
          <w:marBottom w:val="0"/>
          <w:divBdr>
            <w:top w:val="none" w:sz="0" w:space="0" w:color="auto"/>
            <w:left w:val="none" w:sz="0" w:space="0" w:color="auto"/>
            <w:bottom w:val="none" w:sz="0" w:space="0" w:color="auto"/>
            <w:right w:val="none" w:sz="0" w:space="0" w:color="auto"/>
          </w:divBdr>
        </w:div>
      </w:divsChild>
    </w:div>
    <w:div w:id="1551963369">
      <w:marLeft w:val="0"/>
      <w:marRight w:val="0"/>
      <w:marTop w:val="0"/>
      <w:marBottom w:val="0"/>
      <w:divBdr>
        <w:top w:val="none" w:sz="0" w:space="0" w:color="auto"/>
        <w:left w:val="none" w:sz="0" w:space="0" w:color="auto"/>
        <w:bottom w:val="none" w:sz="0" w:space="0" w:color="auto"/>
        <w:right w:val="none" w:sz="0" w:space="0" w:color="auto"/>
      </w:divBdr>
      <w:divsChild>
        <w:div w:id="507409021">
          <w:marLeft w:val="0"/>
          <w:marRight w:val="0"/>
          <w:marTop w:val="0"/>
          <w:marBottom w:val="0"/>
          <w:divBdr>
            <w:top w:val="none" w:sz="0" w:space="0" w:color="auto"/>
            <w:left w:val="none" w:sz="0" w:space="0" w:color="auto"/>
            <w:bottom w:val="none" w:sz="0" w:space="0" w:color="auto"/>
            <w:right w:val="none" w:sz="0" w:space="0" w:color="auto"/>
          </w:divBdr>
        </w:div>
      </w:divsChild>
    </w:div>
    <w:div w:id="1557547140">
      <w:bodyDiv w:val="1"/>
      <w:marLeft w:val="0"/>
      <w:marRight w:val="0"/>
      <w:marTop w:val="0"/>
      <w:marBottom w:val="0"/>
      <w:divBdr>
        <w:top w:val="none" w:sz="0" w:space="0" w:color="auto"/>
        <w:left w:val="none" w:sz="0" w:space="0" w:color="auto"/>
        <w:bottom w:val="none" w:sz="0" w:space="0" w:color="auto"/>
        <w:right w:val="none" w:sz="0" w:space="0" w:color="auto"/>
      </w:divBdr>
      <w:divsChild>
        <w:div w:id="1111128775">
          <w:marLeft w:val="0"/>
          <w:marRight w:val="0"/>
          <w:marTop w:val="0"/>
          <w:marBottom w:val="0"/>
          <w:divBdr>
            <w:top w:val="none" w:sz="0" w:space="0" w:color="auto"/>
            <w:left w:val="none" w:sz="0" w:space="0" w:color="auto"/>
            <w:bottom w:val="none" w:sz="0" w:space="0" w:color="auto"/>
            <w:right w:val="none" w:sz="0" w:space="0" w:color="auto"/>
          </w:divBdr>
        </w:div>
      </w:divsChild>
    </w:div>
    <w:div w:id="1563173919">
      <w:bodyDiv w:val="1"/>
      <w:marLeft w:val="0"/>
      <w:marRight w:val="0"/>
      <w:marTop w:val="0"/>
      <w:marBottom w:val="0"/>
      <w:divBdr>
        <w:top w:val="none" w:sz="0" w:space="0" w:color="auto"/>
        <w:left w:val="none" w:sz="0" w:space="0" w:color="auto"/>
        <w:bottom w:val="none" w:sz="0" w:space="0" w:color="auto"/>
        <w:right w:val="none" w:sz="0" w:space="0" w:color="auto"/>
      </w:divBdr>
    </w:div>
    <w:div w:id="1564871224">
      <w:bodyDiv w:val="1"/>
      <w:marLeft w:val="0"/>
      <w:marRight w:val="0"/>
      <w:marTop w:val="0"/>
      <w:marBottom w:val="0"/>
      <w:divBdr>
        <w:top w:val="none" w:sz="0" w:space="0" w:color="auto"/>
        <w:left w:val="none" w:sz="0" w:space="0" w:color="auto"/>
        <w:bottom w:val="none" w:sz="0" w:space="0" w:color="auto"/>
        <w:right w:val="none" w:sz="0" w:space="0" w:color="auto"/>
      </w:divBdr>
    </w:div>
    <w:div w:id="1565723494">
      <w:bodyDiv w:val="1"/>
      <w:marLeft w:val="0"/>
      <w:marRight w:val="0"/>
      <w:marTop w:val="0"/>
      <w:marBottom w:val="0"/>
      <w:divBdr>
        <w:top w:val="none" w:sz="0" w:space="0" w:color="auto"/>
        <w:left w:val="none" w:sz="0" w:space="0" w:color="auto"/>
        <w:bottom w:val="none" w:sz="0" w:space="0" w:color="auto"/>
        <w:right w:val="none" w:sz="0" w:space="0" w:color="auto"/>
      </w:divBdr>
    </w:div>
    <w:div w:id="1572885150">
      <w:bodyDiv w:val="1"/>
      <w:marLeft w:val="0"/>
      <w:marRight w:val="0"/>
      <w:marTop w:val="0"/>
      <w:marBottom w:val="0"/>
      <w:divBdr>
        <w:top w:val="none" w:sz="0" w:space="0" w:color="auto"/>
        <w:left w:val="none" w:sz="0" w:space="0" w:color="auto"/>
        <w:bottom w:val="none" w:sz="0" w:space="0" w:color="auto"/>
        <w:right w:val="none" w:sz="0" w:space="0" w:color="auto"/>
      </w:divBdr>
      <w:divsChild>
        <w:div w:id="1373311690">
          <w:marLeft w:val="0"/>
          <w:marRight w:val="0"/>
          <w:marTop w:val="0"/>
          <w:marBottom w:val="0"/>
          <w:divBdr>
            <w:top w:val="none" w:sz="0" w:space="0" w:color="auto"/>
            <w:left w:val="none" w:sz="0" w:space="0" w:color="auto"/>
            <w:bottom w:val="none" w:sz="0" w:space="0" w:color="auto"/>
            <w:right w:val="none" w:sz="0" w:space="0" w:color="auto"/>
          </w:divBdr>
        </w:div>
      </w:divsChild>
    </w:div>
    <w:div w:id="1574393570">
      <w:bodyDiv w:val="1"/>
      <w:marLeft w:val="0"/>
      <w:marRight w:val="0"/>
      <w:marTop w:val="0"/>
      <w:marBottom w:val="0"/>
      <w:divBdr>
        <w:top w:val="none" w:sz="0" w:space="0" w:color="auto"/>
        <w:left w:val="none" w:sz="0" w:space="0" w:color="auto"/>
        <w:bottom w:val="none" w:sz="0" w:space="0" w:color="auto"/>
        <w:right w:val="none" w:sz="0" w:space="0" w:color="auto"/>
      </w:divBdr>
    </w:div>
    <w:div w:id="1575701654">
      <w:bodyDiv w:val="1"/>
      <w:marLeft w:val="0"/>
      <w:marRight w:val="0"/>
      <w:marTop w:val="0"/>
      <w:marBottom w:val="0"/>
      <w:divBdr>
        <w:top w:val="none" w:sz="0" w:space="0" w:color="auto"/>
        <w:left w:val="none" w:sz="0" w:space="0" w:color="auto"/>
        <w:bottom w:val="none" w:sz="0" w:space="0" w:color="auto"/>
        <w:right w:val="none" w:sz="0" w:space="0" w:color="auto"/>
      </w:divBdr>
      <w:divsChild>
        <w:div w:id="1672022336">
          <w:marLeft w:val="0"/>
          <w:marRight w:val="0"/>
          <w:marTop w:val="0"/>
          <w:marBottom w:val="0"/>
          <w:divBdr>
            <w:top w:val="none" w:sz="0" w:space="0" w:color="auto"/>
            <w:left w:val="none" w:sz="0" w:space="0" w:color="auto"/>
            <w:bottom w:val="none" w:sz="0" w:space="0" w:color="auto"/>
            <w:right w:val="none" w:sz="0" w:space="0" w:color="auto"/>
          </w:divBdr>
        </w:div>
      </w:divsChild>
    </w:div>
    <w:div w:id="1586526738">
      <w:bodyDiv w:val="1"/>
      <w:marLeft w:val="0"/>
      <w:marRight w:val="0"/>
      <w:marTop w:val="0"/>
      <w:marBottom w:val="0"/>
      <w:divBdr>
        <w:top w:val="none" w:sz="0" w:space="0" w:color="auto"/>
        <w:left w:val="none" w:sz="0" w:space="0" w:color="auto"/>
        <w:bottom w:val="none" w:sz="0" w:space="0" w:color="auto"/>
        <w:right w:val="none" w:sz="0" w:space="0" w:color="auto"/>
      </w:divBdr>
    </w:div>
    <w:div w:id="1589772504">
      <w:bodyDiv w:val="1"/>
      <w:marLeft w:val="0"/>
      <w:marRight w:val="0"/>
      <w:marTop w:val="0"/>
      <w:marBottom w:val="0"/>
      <w:divBdr>
        <w:top w:val="none" w:sz="0" w:space="0" w:color="auto"/>
        <w:left w:val="none" w:sz="0" w:space="0" w:color="auto"/>
        <w:bottom w:val="none" w:sz="0" w:space="0" w:color="auto"/>
        <w:right w:val="none" w:sz="0" w:space="0" w:color="auto"/>
      </w:divBdr>
      <w:divsChild>
        <w:div w:id="1580169154">
          <w:marLeft w:val="0"/>
          <w:marRight w:val="0"/>
          <w:marTop w:val="0"/>
          <w:marBottom w:val="0"/>
          <w:divBdr>
            <w:top w:val="none" w:sz="0" w:space="0" w:color="auto"/>
            <w:left w:val="none" w:sz="0" w:space="0" w:color="auto"/>
            <w:bottom w:val="none" w:sz="0" w:space="0" w:color="auto"/>
            <w:right w:val="none" w:sz="0" w:space="0" w:color="auto"/>
          </w:divBdr>
        </w:div>
      </w:divsChild>
    </w:div>
    <w:div w:id="1611861661">
      <w:bodyDiv w:val="1"/>
      <w:marLeft w:val="0"/>
      <w:marRight w:val="0"/>
      <w:marTop w:val="0"/>
      <w:marBottom w:val="0"/>
      <w:divBdr>
        <w:top w:val="none" w:sz="0" w:space="0" w:color="auto"/>
        <w:left w:val="none" w:sz="0" w:space="0" w:color="auto"/>
        <w:bottom w:val="none" w:sz="0" w:space="0" w:color="auto"/>
        <w:right w:val="none" w:sz="0" w:space="0" w:color="auto"/>
      </w:divBdr>
    </w:div>
    <w:div w:id="1618901676">
      <w:bodyDiv w:val="1"/>
      <w:marLeft w:val="0"/>
      <w:marRight w:val="0"/>
      <w:marTop w:val="0"/>
      <w:marBottom w:val="0"/>
      <w:divBdr>
        <w:top w:val="none" w:sz="0" w:space="0" w:color="auto"/>
        <w:left w:val="none" w:sz="0" w:space="0" w:color="auto"/>
        <w:bottom w:val="none" w:sz="0" w:space="0" w:color="auto"/>
        <w:right w:val="none" w:sz="0" w:space="0" w:color="auto"/>
      </w:divBdr>
      <w:divsChild>
        <w:div w:id="92824751">
          <w:marLeft w:val="547"/>
          <w:marRight w:val="0"/>
          <w:marTop w:val="86"/>
          <w:marBottom w:val="0"/>
          <w:divBdr>
            <w:top w:val="none" w:sz="0" w:space="0" w:color="auto"/>
            <w:left w:val="none" w:sz="0" w:space="0" w:color="auto"/>
            <w:bottom w:val="none" w:sz="0" w:space="0" w:color="auto"/>
            <w:right w:val="none" w:sz="0" w:space="0" w:color="auto"/>
          </w:divBdr>
        </w:div>
        <w:div w:id="276301237">
          <w:marLeft w:val="547"/>
          <w:marRight w:val="0"/>
          <w:marTop w:val="86"/>
          <w:marBottom w:val="0"/>
          <w:divBdr>
            <w:top w:val="none" w:sz="0" w:space="0" w:color="auto"/>
            <w:left w:val="none" w:sz="0" w:space="0" w:color="auto"/>
            <w:bottom w:val="none" w:sz="0" w:space="0" w:color="auto"/>
            <w:right w:val="none" w:sz="0" w:space="0" w:color="auto"/>
          </w:divBdr>
        </w:div>
        <w:div w:id="453601245">
          <w:marLeft w:val="547"/>
          <w:marRight w:val="0"/>
          <w:marTop w:val="86"/>
          <w:marBottom w:val="0"/>
          <w:divBdr>
            <w:top w:val="none" w:sz="0" w:space="0" w:color="auto"/>
            <w:left w:val="none" w:sz="0" w:space="0" w:color="auto"/>
            <w:bottom w:val="none" w:sz="0" w:space="0" w:color="auto"/>
            <w:right w:val="none" w:sz="0" w:space="0" w:color="auto"/>
          </w:divBdr>
        </w:div>
        <w:div w:id="497161529">
          <w:marLeft w:val="547"/>
          <w:marRight w:val="0"/>
          <w:marTop w:val="86"/>
          <w:marBottom w:val="0"/>
          <w:divBdr>
            <w:top w:val="none" w:sz="0" w:space="0" w:color="auto"/>
            <w:left w:val="none" w:sz="0" w:space="0" w:color="auto"/>
            <w:bottom w:val="none" w:sz="0" w:space="0" w:color="auto"/>
            <w:right w:val="none" w:sz="0" w:space="0" w:color="auto"/>
          </w:divBdr>
        </w:div>
        <w:div w:id="644316863">
          <w:marLeft w:val="547"/>
          <w:marRight w:val="0"/>
          <w:marTop w:val="86"/>
          <w:marBottom w:val="0"/>
          <w:divBdr>
            <w:top w:val="none" w:sz="0" w:space="0" w:color="auto"/>
            <w:left w:val="none" w:sz="0" w:space="0" w:color="auto"/>
            <w:bottom w:val="none" w:sz="0" w:space="0" w:color="auto"/>
            <w:right w:val="none" w:sz="0" w:space="0" w:color="auto"/>
          </w:divBdr>
        </w:div>
        <w:div w:id="652755894">
          <w:marLeft w:val="547"/>
          <w:marRight w:val="0"/>
          <w:marTop w:val="86"/>
          <w:marBottom w:val="0"/>
          <w:divBdr>
            <w:top w:val="none" w:sz="0" w:space="0" w:color="auto"/>
            <w:left w:val="none" w:sz="0" w:space="0" w:color="auto"/>
            <w:bottom w:val="none" w:sz="0" w:space="0" w:color="auto"/>
            <w:right w:val="none" w:sz="0" w:space="0" w:color="auto"/>
          </w:divBdr>
        </w:div>
        <w:div w:id="764375021">
          <w:marLeft w:val="547"/>
          <w:marRight w:val="0"/>
          <w:marTop w:val="86"/>
          <w:marBottom w:val="0"/>
          <w:divBdr>
            <w:top w:val="none" w:sz="0" w:space="0" w:color="auto"/>
            <w:left w:val="none" w:sz="0" w:space="0" w:color="auto"/>
            <w:bottom w:val="none" w:sz="0" w:space="0" w:color="auto"/>
            <w:right w:val="none" w:sz="0" w:space="0" w:color="auto"/>
          </w:divBdr>
        </w:div>
        <w:div w:id="872576208">
          <w:marLeft w:val="547"/>
          <w:marRight w:val="0"/>
          <w:marTop w:val="86"/>
          <w:marBottom w:val="0"/>
          <w:divBdr>
            <w:top w:val="none" w:sz="0" w:space="0" w:color="auto"/>
            <w:left w:val="none" w:sz="0" w:space="0" w:color="auto"/>
            <w:bottom w:val="none" w:sz="0" w:space="0" w:color="auto"/>
            <w:right w:val="none" w:sz="0" w:space="0" w:color="auto"/>
          </w:divBdr>
        </w:div>
        <w:div w:id="876159552">
          <w:marLeft w:val="547"/>
          <w:marRight w:val="0"/>
          <w:marTop w:val="86"/>
          <w:marBottom w:val="0"/>
          <w:divBdr>
            <w:top w:val="none" w:sz="0" w:space="0" w:color="auto"/>
            <w:left w:val="none" w:sz="0" w:space="0" w:color="auto"/>
            <w:bottom w:val="none" w:sz="0" w:space="0" w:color="auto"/>
            <w:right w:val="none" w:sz="0" w:space="0" w:color="auto"/>
          </w:divBdr>
        </w:div>
        <w:div w:id="1049501202">
          <w:marLeft w:val="547"/>
          <w:marRight w:val="0"/>
          <w:marTop w:val="86"/>
          <w:marBottom w:val="0"/>
          <w:divBdr>
            <w:top w:val="none" w:sz="0" w:space="0" w:color="auto"/>
            <w:left w:val="none" w:sz="0" w:space="0" w:color="auto"/>
            <w:bottom w:val="none" w:sz="0" w:space="0" w:color="auto"/>
            <w:right w:val="none" w:sz="0" w:space="0" w:color="auto"/>
          </w:divBdr>
        </w:div>
        <w:div w:id="1160996358">
          <w:marLeft w:val="547"/>
          <w:marRight w:val="0"/>
          <w:marTop w:val="86"/>
          <w:marBottom w:val="0"/>
          <w:divBdr>
            <w:top w:val="none" w:sz="0" w:space="0" w:color="auto"/>
            <w:left w:val="none" w:sz="0" w:space="0" w:color="auto"/>
            <w:bottom w:val="none" w:sz="0" w:space="0" w:color="auto"/>
            <w:right w:val="none" w:sz="0" w:space="0" w:color="auto"/>
          </w:divBdr>
        </w:div>
        <w:div w:id="1752386915">
          <w:marLeft w:val="547"/>
          <w:marRight w:val="0"/>
          <w:marTop w:val="86"/>
          <w:marBottom w:val="0"/>
          <w:divBdr>
            <w:top w:val="none" w:sz="0" w:space="0" w:color="auto"/>
            <w:left w:val="none" w:sz="0" w:space="0" w:color="auto"/>
            <w:bottom w:val="none" w:sz="0" w:space="0" w:color="auto"/>
            <w:right w:val="none" w:sz="0" w:space="0" w:color="auto"/>
          </w:divBdr>
        </w:div>
        <w:div w:id="1860049963">
          <w:marLeft w:val="547"/>
          <w:marRight w:val="0"/>
          <w:marTop w:val="86"/>
          <w:marBottom w:val="0"/>
          <w:divBdr>
            <w:top w:val="none" w:sz="0" w:space="0" w:color="auto"/>
            <w:left w:val="none" w:sz="0" w:space="0" w:color="auto"/>
            <w:bottom w:val="none" w:sz="0" w:space="0" w:color="auto"/>
            <w:right w:val="none" w:sz="0" w:space="0" w:color="auto"/>
          </w:divBdr>
        </w:div>
        <w:div w:id="1985113650">
          <w:marLeft w:val="547"/>
          <w:marRight w:val="0"/>
          <w:marTop w:val="86"/>
          <w:marBottom w:val="0"/>
          <w:divBdr>
            <w:top w:val="none" w:sz="0" w:space="0" w:color="auto"/>
            <w:left w:val="none" w:sz="0" w:space="0" w:color="auto"/>
            <w:bottom w:val="none" w:sz="0" w:space="0" w:color="auto"/>
            <w:right w:val="none" w:sz="0" w:space="0" w:color="auto"/>
          </w:divBdr>
        </w:div>
      </w:divsChild>
    </w:div>
    <w:div w:id="1628320136">
      <w:bodyDiv w:val="1"/>
      <w:marLeft w:val="0"/>
      <w:marRight w:val="0"/>
      <w:marTop w:val="0"/>
      <w:marBottom w:val="0"/>
      <w:divBdr>
        <w:top w:val="none" w:sz="0" w:space="0" w:color="auto"/>
        <w:left w:val="none" w:sz="0" w:space="0" w:color="auto"/>
        <w:bottom w:val="none" w:sz="0" w:space="0" w:color="auto"/>
        <w:right w:val="none" w:sz="0" w:space="0" w:color="auto"/>
      </w:divBdr>
      <w:divsChild>
        <w:div w:id="1557667264">
          <w:marLeft w:val="0"/>
          <w:marRight w:val="0"/>
          <w:marTop w:val="0"/>
          <w:marBottom w:val="0"/>
          <w:divBdr>
            <w:top w:val="none" w:sz="0" w:space="0" w:color="auto"/>
            <w:left w:val="none" w:sz="0" w:space="0" w:color="auto"/>
            <w:bottom w:val="none" w:sz="0" w:space="0" w:color="auto"/>
            <w:right w:val="none" w:sz="0" w:space="0" w:color="auto"/>
          </w:divBdr>
        </w:div>
      </w:divsChild>
    </w:div>
    <w:div w:id="1638753327">
      <w:bodyDiv w:val="1"/>
      <w:marLeft w:val="0"/>
      <w:marRight w:val="0"/>
      <w:marTop w:val="0"/>
      <w:marBottom w:val="0"/>
      <w:divBdr>
        <w:top w:val="none" w:sz="0" w:space="0" w:color="auto"/>
        <w:left w:val="none" w:sz="0" w:space="0" w:color="auto"/>
        <w:bottom w:val="none" w:sz="0" w:space="0" w:color="auto"/>
        <w:right w:val="none" w:sz="0" w:space="0" w:color="auto"/>
      </w:divBdr>
    </w:div>
    <w:div w:id="1638756434">
      <w:marLeft w:val="0"/>
      <w:marRight w:val="0"/>
      <w:marTop w:val="0"/>
      <w:marBottom w:val="0"/>
      <w:divBdr>
        <w:top w:val="none" w:sz="0" w:space="0" w:color="auto"/>
        <w:left w:val="none" w:sz="0" w:space="0" w:color="auto"/>
        <w:bottom w:val="none" w:sz="0" w:space="0" w:color="auto"/>
        <w:right w:val="none" w:sz="0" w:space="0" w:color="auto"/>
      </w:divBdr>
      <w:divsChild>
        <w:div w:id="1446970160">
          <w:marLeft w:val="0"/>
          <w:marRight w:val="0"/>
          <w:marTop w:val="0"/>
          <w:marBottom w:val="0"/>
          <w:divBdr>
            <w:top w:val="none" w:sz="0" w:space="0" w:color="auto"/>
            <w:left w:val="none" w:sz="0" w:space="0" w:color="auto"/>
            <w:bottom w:val="none" w:sz="0" w:space="0" w:color="auto"/>
            <w:right w:val="none" w:sz="0" w:space="0" w:color="auto"/>
          </w:divBdr>
        </w:div>
      </w:divsChild>
    </w:div>
    <w:div w:id="1649820114">
      <w:bodyDiv w:val="1"/>
      <w:marLeft w:val="0"/>
      <w:marRight w:val="0"/>
      <w:marTop w:val="0"/>
      <w:marBottom w:val="0"/>
      <w:divBdr>
        <w:top w:val="none" w:sz="0" w:space="0" w:color="auto"/>
        <w:left w:val="none" w:sz="0" w:space="0" w:color="auto"/>
        <w:bottom w:val="none" w:sz="0" w:space="0" w:color="auto"/>
        <w:right w:val="none" w:sz="0" w:space="0" w:color="auto"/>
      </w:divBdr>
    </w:div>
    <w:div w:id="1653749181">
      <w:bodyDiv w:val="1"/>
      <w:marLeft w:val="0"/>
      <w:marRight w:val="0"/>
      <w:marTop w:val="0"/>
      <w:marBottom w:val="0"/>
      <w:divBdr>
        <w:top w:val="none" w:sz="0" w:space="0" w:color="auto"/>
        <w:left w:val="none" w:sz="0" w:space="0" w:color="auto"/>
        <w:bottom w:val="none" w:sz="0" w:space="0" w:color="auto"/>
        <w:right w:val="none" w:sz="0" w:space="0" w:color="auto"/>
      </w:divBdr>
      <w:divsChild>
        <w:div w:id="516962210">
          <w:marLeft w:val="0"/>
          <w:marRight w:val="0"/>
          <w:marTop w:val="0"/>
          <w:marBottom w:val="0"/>
          <w:divBdr>
            <w:top w:val="none" w:sz="0" w:space="0" w:color="auto"/>
            <w:left w:val="none" w:sz="0" w:space="0" w:color="auto"/>
            <w:bottom w:val="none" w:sz="0" w:space="0" w:color="auto"/>
            <w:right w:val="none" w:sz="0" w:space="0" w:color="auto"/>
          </w:divBdr>
        </w:div>
      </w:divsChild>
    </w:div>
    <w:div w:id="1657490949">
      <w:marLeft w:val="0"/>
      <w:marRight w:val="0"/>
      <w:marTop w:val="0"/>
      <w:marBottom w:val="0"/>
      <w:divBdr>
        <w:top w:val="none" w:sz="0" w:space="0" w:color="auto"/>
        <w:left w:val="none" w:sz="0" w:space="0" w:color="auto"/>
        <w:bottom w:val="none" w:sz="0" w:space="0" w:color="auto"/>
        <w:right w:val="none" w:sz="0" w:space="0" w:color="auto"/>
      </w:divBdr>
      <w:divsChild>
        <w:div w:id="99684636">
          <w:marLeft w:val="0"/>
          <w:marRight w:val="0"/>
          <w:marTop w:val="0"/>
          <w:marBottom w:val="0"/>
          <w:divBdr>
            <w:top w:val="none" w:sz="0" w:space="0" w:color="auto"/>
            <w:left w:val="none" w:sz="0" w:space="0" w:color="auto"/>
            <w:bottom w:val="none" w:sz="0" w:space="0" w:color="auto"/>
            <w:right w:val="none" w:sz="0" w:space="0" w:color="auto"/>
          </w:divBdr>
        </w:div>
      </w:divsChild>
    </w:div>
    <w:div w:id="1662613296">
      <w:marLeft w:val="0"/>
      <w:marRight w:val="0"/>
      <w:marTop w:val="0"/>
      <w:marBottom w:val="0"/>
      <w:divBdr>
        <w:top w:val="none" w:sz="0" w:space="0" w:color="auto"/>
        <w:left w:val="none" w:sz="0" w:space="0" w:color="auto"/>
        <w:bottom w:val="none" w:sz="0" w:space="0" w:color="auto"/>
        <w:right w:val="none" w:sz="0" w:space="0" w:color="auto"/>
      </w:divBdr>
      <w:divsChild>
        <w:div w:id="1758554742">
          <w:marLeft w:val="0"/>
          <w:marRight w:val="0"/>
          <w:marTop w:val="0"/>
          <w:marBottom w:val="0"/>
          <w:divBdr>
            <w:top w:val="none" w:sz="0" w:space="0" w:color="auto"/>
            <w:left w:val="none" w:sz="0" w:space="0" w:color="auto"/>
            <w:bottom w:val="none" w:sz="0" w:space="0" w:color="auto"/>
            <w:right w:val="none" w:sz="0" w:space="0" w:color="auto"/>
          </w:divBdr>
        </w:div>
      </w:divsChild>
    </w:div>
    <w:div w:id="1670789232">
      <w:bodyDiv w:val="1"/>
      <w:marLeft w:val="0"/>
      <w:marRight w:val="0"/>
      <w:marTop w:val="0"/>
      <w:marBottom w:val="0"/>
      <w:divBdr>
        <w:top w:val="none" w:sz="0" w:space="0" w:color="auto"/>
        <w:left w:val="none" w:sz="0" w:space="0" w:color="auto"/>
        <w:bottom w:val="none" w:sz="0" w:space="0" w:color="auto"/>
        <w:right w:val="none" w:sz="0" w:space="0" w:color="auto"/>
      </w:divBdr>
    </w:div>
    <w:div w:id="1671444356">
      <w:bodyDiv w:val="1"/>
      <w:marLeft w:val="0"/>
      <w:marRight w:val="0"/>
      <w:marTop w:val="0"/>
      <w:marBottom w:val="0"/>
      <w:divBdr>
        <w:top w:val="none" w:sz="0" w:space="0" w:color="auto"/>
        <w:left w:val="none" w:sz="0" w:space="0" w:color="auto"/>
        <w:bottom w:val="none" w:sz="0" w:space="0" w:color="auto"/>
        <w:right w:val="none" w:sz="0" w:space="0" w:color="auto"/>
      </w:divBdr>
    </w:div>
    <w:div w:id="1671713448">
      <w:bodyDiv w:val="1"/>
      <w:marLeft w:val="0"/>
      <w:marRight w:val="0"/>
      <w:marTop w:val="0"/>
      <w:marBottom w:val="0"/>
      <w:divBdr>
        <w:top w:val="none" w:sz="0" w:space="0" w:color="auto"/>
        <w:left w:val="none" w:sz="0" w:space="0" w:color="auto"/>
        <w:bottom w:val="none" w:sz="0" w:space="0" w:color="auto"/>
        <w:right w:val="none" w:sz="0" w:space="0" w:color="auto"/>
      </w:divBdr>
      <w:divsChild>
        <w:div w:id="120736455">
          <w:marLeft w:val="0"/>
          <w:marRight w:val="0"/>
          <w:marTop w:val="0"/>
          <w:marBottom w:val="0"/>
          <w:divBdr>
            <w:top w:val="none" w:sz="0" w:space="0" w:color="auto"/>
            <w:left w:val="none" w:sz="0" w:space="0" w:color="auto"/>
            <w:bottom w:val="none" w:sz="0" w:space="0" w:color="auto"/>
            <w:right w:val="none" w:sz="0" w:space="0" w:color="auto"/>
          </w:divBdr>
          <w:divsChild>
            <w:div w:id="41710841">
              <w:marLeft w:val="0"/>
              <w:marRight w:val="0"/>
              <w:marTop w:val="0"/>
              <w:marBottom w:val="0"/>
              <w:divBdr>
                <w:top w:val="none" w:sz="0" w:space="0" w:color="auto"/>
                <w:left w:val="none" w:sz="0" w:space="0" w:color="auto"/>
                <w:bottom w:val="none" w:sz="0" w:space="0" w:color="auto"/>
                <w:right w:val="none" w:sz="0" w:space="0" w:color="auto"/>
              </w:divBdr>
            </w:div>
            <w:div w:id="336689175">
              <w:marLeft w:val="0"/>
              <w:marRight w:val="0"/>
              <w:marTop w:val="0"/>
              <w:marBottom w:val="0"/>
              <w:divBdr>
                <w:top w:val="none" w:sz="0" w:space="0" w:color="auto"/>
                <w:left w:val="none" w:sz="0" w:space="0" w:color="auto"/>
                <w:bottom w:val="none" w:sz="0" w:space="0" w:color="auto"/>
                <w:right w:val="none" w:sz="0" w:space="0" w:color="auto"/>
              </w:divBdr>
            </w:div>
            <w:div w:id="605693724">
              <w:marLeft w:val="0"/>
              <w:marRight w:val="0"/>
              <w:marTop w:val="0"/>
              <w:marBottom w:val="0"/>
              <w:divBdr>
                <w:top w:val="none" w:sz="0" w:space="0" w:color="auto"/>
                <w:left w:val="none" w:sz="0" w:space="0" w:color="auto"/>
                <w:bottom w:val="none" w:sz="0" w:space="0" w:color="auto"/>
                <w:right w:val="none" w:sz="0" w:space="0" w:color="auto"/>
              </w:divBdr>
              <w:divsChild>
                <w:div w:id="765154498">
                  <w:marLeft w:val="0"/>
                  <w:marRight w:val="0"/>
                  <w:marTop w:val="0"/>
                  <w:marBottom w:val="0"/>
                  <w:divBdr>
                    <w:top w:val="none" w:sz="0" w:space="0" w:color="auto"/>
                    <w:left w:val="none" w:sz="0" w:space="0" w:color="auto"/>
                    <w:bottom w:val="none" w:sz="0" w:space="0" w:color="auto"/>
                    <w:right w:val="none" w:sz="0" w:space="0" w:color="auto"/>
                  </w:divBdr>
                  <w:divsChild>
                    <w:div w:id="829566450">
                      <w:marLeft w:val="0"/>
                      <w:marRight w:val="0"/>
                      <w:marTop w:val="0"/>
                      <w:marBottom w:val="0"/>
                      <w:divBdr>
                        <w:top w:val="none" w:sz="0" w:space="0" w:color="auto"/>
                        <w:left w:val="none" w:sz="0" w:space="0" w:color="auto"/>
                        <w:bottom w:val="none" w:sz="0" w:space="0" w:color="auto"/>
                        <w:right w:val="none" w:sz="0" w:space="0" w:color="auto"/>
                      </w:divBdr>
                      <w:divsChild>
                        <w:div w:id="9748697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5164899">
                  <w:marLeft w:val="0"/>
                  <w:marRight w:val="0"/>
                  <w:marTop w:val="0"/>
                  <w:marBottom w:val="0"/>
                  <w:divBdr>
                    <w:top w:val="none" w:sz="0" w:space="0" w:color="auto"/>
                    <w:left w:val="none" w:sz="0" w:space="0" w:color="auto"/>
                    <w:bottom w:val="none" w:sz="0" w:space="0" w:color="auto"/>
                    <w:right w:val="none" w:sz="0" w:space="0" w:color="auto"/>
                  </w:divBdr>
                </w:div>
              </w:divsChild>
            </w:div>
            <w:div w:id="1392924745">
              <w:marLeft w:val="0"/>
              <w:marRight w:val="0"/>
              <w:marTop w:val="0"/>
              <w:marBottom w:val="0"/>
              <w:divBdr>
                <w:top w:val="none" w:sz="0" w:space="0" w:color="auto"/>
                <w:left w:val="none" w:sz="0" w:space="0" w:color="auto"/>
                <w:bottom w:val="none" w:sz="0" w:space="0" w:color="auto"/>
                <w:right w:val="none" w:sz="0" w:space="0" w:color="auto"/>
              </w:divBdr>
              <w:divsChild>
                <w:div w:id="399449779">
                  <w:marLeft w:val="0"/>
                  <w:marRight w:val="0"/>
                  <w:marTop w:val="0"/>
                  <w:marBottom w:val="0"/>
                  <w:divBdr>
                    <w:top w:val="none" w:sz="0" w:space="0" w:color="auto"/>
                    <w:left w:val="none" w:sz="0" w:space="0" w:color="auto"/>
                    <w:bottom w:val="none" w:sz="0" w:space="0" w:color="auto"/>
                    <w:right w:val="none" w:sz="0" w:space="0" w:color="auto"/>
                  </w:divBdr>
                  <w:divsChild>
                    <w:div w:id="957487830">
                      <w:marLeft w:val="0"/>
                      <w:marRight w:val="0"/>
                      <w:marTop w:val="0"/>
                      <w:marBottom w:val="0"/>
                      <w:divBdr>
                        <w:top w:val="none" w:sz="0" w:space="0" w:color="auto"/>
                        <w:left w:val="none" w:sz="0" w:space="0" w:color="auto"/>
                        <w:bottom w:val="none" w:sz="0" w:space="0" w:color="auto"/>
                        <w:right w:val="none" w:sz="0" w:space="0" w:color="auto"/>
                      </w:divBdr>
                      <w:divsChild>
                        <w:div w:id="2980735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2735823">
              <w:marLeft w:val="0"/>
              <w:marRight w:val="0"/>
              <w:marTop w:val="0"/>
              <w:marBottom w:val="0"/>
              <w:divBdr>
                <w:top w:val="none" w:sz="0" w:space="0" w:color="auto"/>
                <w:left w:val="none" w:sz="0" w:space="0" w:color="auto"/>
                <w:bottom w:val="none" w:sz="0" w:space="0" w:color="auto"/>
                <w:right w:val="none" w:sz="0" w:space="0" w:color="auto"/>
              </w:divBdr>
              <w:divsChild>
                <w:div w:id="1488862645">
                  <w:marLeft w:val="0"/>
                  <w:marRight w:val="0"/>
                  <w:marTop w:val="0"/>
                  <w:marBottom w:val="0"/>
                  <w:divBdr>
                    <w:top w:val="none" w:sz="0" w:space="0" w:color="auto"/>
                    <w:left w:val="none" w:sz="0" w:space="0" w:color="auto"/>
                    <w:bottom w:val="none" w:sz="0" w:space="0" w:color="auto"/>
                    <w:right w:val="none" w:sz="0" w:space="0" w:color="auto"/>
                  </w:divBdr>
                  <w:divsChild>
                    <w:div w:id="1240366298">
                      <w:marLeft w:val="0"/>
                      <w:marRight w:val="0"/>
                      <w:marTop w:val="0"/>
                      <w:marBottom w:val="0"/>
                      <w:divBdr>
                        <w:top w:val="none" w:sz="0" w:space="0" w:color="auto"/>
                        <w:left w:val="none" w:sz="0" w:space="0" w:color="auto"/>
                        <w:bottom w:val="none" w:sz="0" w:space="0" w:color="auto"/>
                        <w:right w:val="none" w:sz="0" w:space="0" w:color="auto"/>
                      </w:divBdr>
                      <w:divsChild>
                        <w:div w:id="15490252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65214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3216980">
      <w:bodyDiv w:val="1"/>
      <w:marLeft w:val="0"/>
      <w:marRight w:val="0"/>
      <w:marTop w:val="0"/>
      <w:marBottom w:val="0"/>
      <w:divBdr>
        <w:top w:val="none" w:sz="0" w:space="0" w:color="auto"/>
        <w:left w:val="none" w:sz="0" w:space="0" w:color="auto"/>
        <w:bottom w:val="none" w:sz="0" w:space="0" w:color="auto"/>
        <w:right w:val="none" w:sz="0" w:space="0" w:color="auto"/>
      </w:divBdr>
      <w:divsChild>
        <w:div w:id="744376631">
          <w:marLeft w:val="0"/>
          <w:marRight w:val="0"/>
          <w:marTop w:val="0"/>
          <w:marBottom w:val="0"/>
          <w:divBdr>
            <w:top w:val="none" w:sz="0" w:space="0" w:color="auto"/>
            <w:left w:val="none" w:sz="0" w:space="0" w:color="auto"/>
            <w:bottom w:val="none" w:sz="0" w:space="0" w:color="auto"/>
            <w:right w:val="none" w:sz="0" w:space="0" w:color="auto"/>
          </w:divBdr>
        </w:div>
      </w:divsChild>
    </w:div>
    <w:div w:id="1686787097">
      <w:bodyDiv w:val="1"/>
      <w:marLeft w:val="0"/>
      <w:marRight w:val="0"/>
      <w:marTop w:val="0"/>
      <w:marBottom w:val="0"/>
      <w:divBdr>
        <w:top w:val="none" w:sz="0" w:space="0" w:color="auto"/>
        <w:left w:val="none" w:sz="0" w:space="0" w:color="auto"/>
        <w:bottom w:val="none" w:sz="0" w:space="0" w:color="auto"/>
        <w:right w:val="none" w:sz="0" w:space="0" w:color="auto"/>
      </w:divBdr>
    </w:div>
    <w:div w:id="1687632480">
      <w:bodyDiv w:val="1"/>
      <w:marLeft w:val="0"/>
      <w:marRight w:val="0"/>
      <w:marTop w:val="0"/>
      <w:marBottom w:val="0"/>
      <w:divBdr>
        <w:top w:val="none" w:sz="0" w:space="0" w:color="auto"/>
        <w:left w:val="none" w:sz="0" w:space="0" w:color="auto"/>
        <w:bottom w:val="none" w:sz="0" w:space="0" w:color="auto"/>
        <w:right w:val="none" w:sz="0" w:space="0" w:color="auto"/>
      </w:divBdr>
      <w:divsChild>
        <w:div w:id="743259426">
          <w:marLeft w:val="0"/>
          <w:marRight w:val="0"/>
          <w:marTop w:val="0"/>
          <w:marBottom w:val="0"/>
          <w:divBdr>
            <w:top w:val="none" w:sz="0" w:space="0" w:color="auto"/>
            <w:left w:val="none" w:sz="0" w:space="0" w:color="auto"/>
            <w:bottom w:val="none" w:sz="0" w:space="0" w:color="auto"/>
            <w:right w:val="none" w:sz="0" w:space="0" w:color="auto"/>
          </w:divBdr>
        </w:div>
      </w:divsChild>
    </w:div>
    <w:div w:id="1691563064">
      <w:bodyDiv w:val="1"/>
      <w:marLeft w:val="0"/>
      <w:marRight w:val="0"/>
      <w:marTop w:val="0"/>
      <w:marBottom w:val="0"/>
      <w:divBdr>
        <w:top w:val="none" w:sz="0" w:space="0" w:color="auto"/>
        <w:left w:val="none" w:sz="0" w:space="0" w:color="auto"/>
        <w:bottom w:val="none" w:sz="0" w:space="0" w:color="auto"/>
        <w:right w:val="none" w:sz="0" w:space="0" w:color="auto"/>
      </w:divBdr>
      <w:divsChild>
        <w:div w:id="449519687">
          <w:marLeft w:val="0"/>
          <w:marRight w:val="0"/>
          <w:marTop w:val="0"/>
          <w:marBottom w:val="0"/>
          <w:divBdr>
            <w:top w:val="none" w:sz="0" w:space="0" w:color="auto"/>
            <w:left w:val="none" w:sz="0" w:space="0" w:color="auto"/>
            <w:bottom w:val="none" w:sz="0" w:space="0" w:color="auto"/>
            <w:right w:val="none" w:sz="0" w:space="0" w:color="auto"/>
          </w:divBdr>
        </w:div>
      </w:divsChild>
    </w:div>
    <w:div w:id="1694308630">
      <w:bodyDiv w:val="1"/>
      <w:marLeft w:val="0"/>
      <w:marRight w:val="0"/>
      <w:marTop w:val="0"/>
      <w:marBottom w:val="0"/>
      <w:divBdr>
        <w:top w:val="none" w:sz="0" w:space="0" w:color="auto"/>
        <w:left w:val="none" w:sz="0" w:space="0" w:color="auto"/>
        <w:bottom w:val="none" w:sz="0" w:space="0" w:color="auto"/>
        <w:right w:val="none" w:sz="0" w:space="0" w:color="auto"/>
      </w:divBdr>
    </w:div>
    <w:div w:id="1695111657">
      <w:bodyDiv w:val="1"/>
      <w:marLeft w:val="0"/>
      <w:marRight w:val="0"/>
      <w:marTop w:val="0"/>
      <w:marBottom w:val="0"/>
      <w:divBdr>
        <w:top w:val="none" w:sz="0" w:space="0" w:color="auto"/>
        <w:left w:val="none" w:sz="0" w:space="0" w:color="auto"/>
        <w:bottom w:val="none" w:sz="0" w:space="0" w:color="auto"/>
        <w:right w:val="none" w:sz="0" w:space="0" w:color="auto"/>
      </w:divBdr>
      <w:divsChild>
        <w:div w:id="1056900546">
          <w:marLeft w:val="0"/>
          <w:marRight w:val="0"/>
          <w:marTop w:val="0"/>
          <w:marBottom w:val="0"/>
          <w:divBdr>
            <w:top w:val="none" w:sz="0" w:space="0" w:color="auto"/>
            <w:left w:val="none" w:sz="0" w:space="0" w:color="auto"/>
            <w:bottom w:val="none" w:sz="0" w:space="0" w:color="auto"/>
            <w:right w:val="none" w:sz="0" w:space="0" w:color="auto"/>
          </w:divBdr>
        </w:div>
      </w:divsChild>
    </w:div>
    <w:div w:id="1703021584">
      <w:bodyDiv w:val="1"/>
      <w:marLeft w:val="0"/>
      <w:marRight w:val="0"/>
      <w:marTop w:val="0"/>
      <w:marBottom w:val="0"/>
      <w:divBdr>
        <w:top w:val="none" w:sz="0" w:space="0" w:color="auto"/>
        <w:left w:val="none" w:sz="0" w:space="0" w:color="auto"/>
        <w:bottom w:val="none" w:sz="0" w:space="0" w:color="auto"/>
        <w:right w:val="none" w:sz="0" w:space="0" w:color="auto"/>
      </w:divBdr>
      <w:divsChild>
        <w:div w:id="1456755650">
          <w:marLeft w:val="0"/>
          <w:marRight w:val="0"/>
          <w:marTop w:val="0"/>
          <w:marBottom w:val="0"/>
          <w:divBdr>
            <w:top w:val="none" w:sz="0" w:space="0" w:color="auto"/>
            <w:left w:val="none" w:sz="0" w:space="0" w:color="auto"/>
            <w:bottom w:val="none" w:sz="0" w:space="0" w:color="auto"/>
            <w:right w:val="none" w:sz="0" w:space="0" w:color="auto"/>
          </w:divBdr>
        </w:div>
      </w:divsChild>
    </w:div>
    <w:div w:id="1703356605">
      <w:bodyDiv w:val="1"/>
      <w:marLeft w:val="0"/>
      <w:marRight w:val="0"/>
      <w:marTop w:val="0"/>
      <w:marBottom w:val="0"/>
      <w:divBdr>
        <w:top w:val="none" w:sz="0" w:space="0" w:color="auto"/>
        <w:left w:val="none" w:sz="0" w:space="0" w:color="auto"/>
        <w:bottom w:val="none" w:sz="0" w:space="0" w:color="auto"/>
        <w:right w:val="none" w:sz="0" w:space="0" w:color="auto"/>
      </w:divBdr>
    </w:div>
    <w:div w:id="1705328737">
      <w:bodyDiv w:val="1"/>
      <w:marLeft w:val="0"/>
      <w:marRight w:val="0"/>
      <w:marTop w:val="0"/>
      <w:marBottom w:val="0"/>
      <w:divBdr>
        <w:top w:val="none" w:sz="0" w:space="0" w:color="auto"/>
        <w:left w:val="none" w:sz="0" w:space="0" w:color="auto"/>
        <w:bottom w:val="none" w:sz="0" w:space="0" w:color="auto"/>
        <w:right w:val="none" w:sz="0" w:space="0" w:color="auto"/>
      </w:divBdr>
    </w:div>
    <w:div w:id="1708800711">
      <w:bodyDiv w:val="1"/>
      <w:marLeft w:val="0"/>
      <w:marRight w:val="0"/>
      <w:marTop w:val="0"/>
      <w:marBottom w:val="0"/>
      <w:divBdr>
        <w:top w:val="none" w:sz="0" w:space="0" w:color="auto"/>
        <w:left w:val="none" w:sz="0" w:space="0" w:color="auto"/>
        <w:bottom w:val="none" w:sz="0" w:space="0" w:color="auto"/>
        <w:right w:val="none" w:sz="0" w:space="0" w:color="auto"/>
      </w:divBdr>
      <w:divsChild>
        <w:div w:id="1408268289">
          <w:marLeft w:val="0"/>
          <w:marRight w:val="0"/>
          <w:marTop w:val="0"/>
          <w:marBottom w:val="0"/>
          <w:divBdr>
            <w:top w:val="none" w:sz="0" w:space="0" w:color="auto"/>
            <w:left w:val="none" w:sz="0" w:space="0" w:color="auto"/>
            <w:bottom w:val="none" w:sz="0" w:space="0" w:color="auto"/>
            <w:right w:val="none" w:sz="0" w:space="0" w:color="auto"/>
          </w:divBdr>
        </w:div>
      </w:divsChild>
    </w:div>
    <w:div w:id="1712653793">
      <w:marLeft w:val="0"/>
      <w:marRight w:val="0"/>
      <w:marTop w:val="0"/>
      <w:marBottom w:val="0"/>
      <w:divBdr>
        <w:top w:val="none" w:sz="0" w:space="0" w:color="auto"/>
        <w:left w:val="none" w:sz="0" w:space="0" w:color="auto"/>
        <w:bottom w:val="none" w:sz="0" w:space="0" w:color="auto"/>
        <w:right w:val="none" w:sz="0" w:space="0" w:color="auto"/>
      </w:divBdr>
      <w:divsChild>
        <w:div w:id="562254363">
          <w:marLeft w:val="0"/>
          <w:marRight w:val="0"/>
          <w:marTop w:val="0"/>
          <w:marBottom w:val="0"/>
          <w:divBdr>
            <w:top w:val="none" w:sz="0" w:space="0" w:color="auto"/>
            <w:left w:val="none" w:sz="0" w:space="0" w:color="auto"/>
            <w:bottom w:val="none" w:sz="0" w:space="0" w:color="auto"/>
            <w:right w:val="none" w:sz="0" w:space="0" w:color="auto"/>
          </w:divBdr>
        </w:div>
      </w:divsChild>
    </w:div>
    <w:div w:id="1716082000">
      <w:bodyDiv w:val="1"/>
      <w:marLeft w:val="0"/>
      <w:marRight w:val="0"/>
      <w:marTop w:val="0"/>
      <w:marBottom w:val="0"/>
      <w:divBdr>
        <w:top w:val="none" w:sz="0" w:space="0" w:color="auto"/>
        <w:left w:val="none" w:sz="0" w:space="0" w:color="auto"/>
        <w:bottom w:val="none" w:sz="0" w:space="0" w:color="auto"/>
        <w:right w:val="none" w:sz="0" w:space="0" w:color="auto"/>
      </w:divBdr>
    </w:div>
    <w:div w:id="1716612714">
      <w:bodyDiv w:val="1"/>
      <w:marLeft w:val="0"/>
      <w:marRight w:val="0"/>
      <w:marTop w:val="0"/>
      <w:marBottom w:val="0"/>
      <w:divBdr>
        <w:top w:val="none" w:sz="0" w:space="0" w:color="auto"/>
        <w:left w:val="none" w:sz="0" w:space="0" w:color="auto"/>
        <w:bottom w:val="none" w:sz="0" w:space="0" w:color="auto"/>
        <w:right w:val="none" w:sz="0" w:space="0" w:color="auto"/>
      </w:divBdr>
    </w:div>
    <w:div w:id="1725446098">
      <w:bodyDiv w:val="1"/>
      <w:marLeft w:val="0"/>
      <w:marRight w:val="0"/>
      <w:marTop w:val="0"/>
      <w:marBottom w:val="0"/>
      <w:divBdr>
        <w:top w:val="none" w:sz="0" w:space="0" w:color="auto"/>
        <w:left w:val="none" w:sz="0" w:space="0" w:color="auto"/>
        <w:bottom w:val="none" w:sz="0" w:space="0" w:color="auto"/>
        <w:right w:val="none" w:sz="0" w:space="0" w:color="auto"/>
      </w:divBdr>
    </w:div>
    <w:div w:id="1725640863">
      <w:bodyDiv w:val="1"/>
      <w:marLeft w:val="0"/>
      <w:marRight w:val="0"/>
      <w:marTop w:val="0"/>
      <w:marBottom w:val="0"/>
      <w:divBdr>
        <w:top w:val="none" w:sz="0" w:space="0" w:color="auto"/>
        <w:left w:val="none" w:sz="0" w:space="0" w:color="auto"/>
        <w:bottom w:val="none" w:sz="0" w:space="0" w:color="auto"/>
        <w:right w:val="none" w:sz="0" w:space="0" w:color="auto"/>
      </w:divBdr>
    </w:div>
    <w:div w:id="1731921352">
      <w:bodyDiv w:val="1"/>
      <w:marLeft w:val="0"/>
      <w:marRight w:val="0"/>
      <w:marTop w:val="0"/>
      <w:marBottom w:val="0"/>
      <w:divBdr>
        <w:top w:val="none" w:sz="0" w:space="0" w:color="auto"/>
        <w:left w:val="none" w:sz="0" w:space="0" w:color="auto"/>
        <w:bottom w:val="none" w:sz="0" w:space="0" w:color="auto"/>
        <w:right w:val="none" w:sz="0" w:space="0" w:color="auto"/>
      </w:divBdr>
    </w:div>
    <w:div w:id="1745183294">
      <w:bodyDiv w:val="1"/>
      <w:marLeft w:val="0"/>
      <w:marRight w:val="0"/>
      <w:marTop w:val="0"/>
      <w:marBottom w:val="0"/>
      <w:divBdr>
        <w:top w:val="none" w:sz="0" w:space="0" w:color="auto"/>
        <w:left w:val="none" w:sz="0" w:space="0" w:color="auto"/>
        <w:bottom w:val="none" w:sz="0" w:space="0" w:color="auto"/>
        <w:right w:val="none" w:sz="0" w:space="0" w:color="auto"/>
      </w:divBdr>
      <w:divsChild>
        <w:div w:id="1792942852">
          <w:marLeft w:val="0"/>
          <w:marRight w:val="0"/>
          <w:marTop w:val="0"/>
          <w:marBottom w:val="0"/>
          <w:divBdr>
            <w:top w:val="none" w:sz="0" w:space="0" w:color="auto"/>
            <w:left w:val="none" w:sz="0" w:space="0" w:color="auto"/>
            <w:bottom w:val="none" w:sz="0" w:space="0" w:color="auto"/>
            <w:right w:val="none" w:sz="0" w:space="0" w:color="auto"/>
          </w:divBdr>
        </w:div>
      </w:divsChild>
    </w:div>
    <w:div w:id="1757630943">
      <w:bodyDiv w:val="1"/>
      <w:marLeft w:val="0"/>
      <w:marRight w:val="0"/>
      <w:marTop w:val="0"/>
      <w:marBottom w:val="0"/>
      <w:divBdr>
        <w:top w:val="none" w:sz="0" w:space="0" w:color="auto"/>
        <w:left w:val="none" w:sz="0" w:space="0" w:color="auto"/>
        <w:bottom w:val="none" w:sz="0" w:space="0" w:color="auto"/>
        <w:right w:val="none" w:sz="0" w:space="0" w:color="auto"/>
      </w:divBdr>
    </w:div>
    <w:div w:id="1762145585">
      <w:bodyDiv w:val="1"/>
      <w:marLeft w:val="0"/>
      <w:marRight w:val="0"/>
      <w:marTop w:val="0"/>
      <w:marBottom w:val="0"/>
      <w:divBdr>
        <w:top w:val="none" w:sz="0" w:space="0" w:color="auto"/>
        <w:left w:val="none" w:sz="0" w:space="0" w:color="auto"/>
        <w:bottom w:val="none" w:sz="0" w:space="0" w:color="auto"/>
        <w:right w:val="none" w:sz="0" w:space="0" w:color="auto"/>
      </w:divBdr>
    </w:div>
    <w:div w:id="1774864952">
      <w:bodyDiv w:val="1"/>
      <w:marLeft w:val="0"/>
      <w:marRight w:val="0"/>
      <w:marTop w:val="0"/>
      <w:marBottom w:val="0"/>
      <w:divBdr>
        <w:top w:val="none" w:sz="0" w:space="0" w:color="auto"/>
        <w:left w:val="none" w:sz="0" w:space="0" w:color="auto"/>
        <w:bottom w:val="none" w:sz="0" w:space="0" w:color="auto"/>
        <w:right w:val="none" w:sz="0" w:space="0" w:color="auto"/>
      </w:divBdr>
      <w:divsChild>
        <w:div w:id="1699355249">
          <w:marLeft w:val="0"/>
          <w:marRight w:val="0"/>
          <w:marTop w:val="0"/>
          <w:marBottom w:val="0"/>
          <w:divBdr>
            <w:top w:val="none" w:sz="0" w:space="0" w:color="auto"/>
            <w:left w:val="none" w:sz="0" w:space="0" w:color="auto"/>
            <w:bottom w:val="none" w:sz="0" w:space="0" w:color="auto"/>
            <w:right w:val="none" w:sz="0" w:space="0" w:color="auto"/>
          </w:divBdr>
        </w:div>
      </w:divsChild>
    </w:div>
    <w:div w:id="1778403689">
      <w:bodyDiv w:val="1"/>
      <w:marLeft w:val="0"/>
      <w:marRight w:val="0"/>
      <w:marTop w:val="0"/>
      <w:marBottom w:val="0"/>
      <w:divBdr>
        <w:top w:val="none" w:sz="0" w:space="0" w:color="auto"/>
        <w:left w:val="none" w:sz="0" w:space="0" w:color="auto"/>
        <w:bottom w:val="none" w:sz="0" w:space="0" w:color="auto"/>
        <w:right w:val="none" w:sz="0" w:space="0" w:color="auto"/>
      </w:divBdr>
    </w:div>
    <w:div w:id="1779373113">
      <w:bodyDiv w:val="1"/>
      <w:marLeft w:val="0"/>
      <w:marRight w:val="0"/>
      <w:marTop w:val="0"/>
      <w:marBottom w:val="0"/>
      <w:divBdr>
        <w:top w:val="none" w:sz="0" w:space="0" w:color="auto"/>
        <w:left w:val="none" w:sz="0" w:space="0" w:color="auto"/>
        <w:bottom w:val="none" w:sz="0" w:space="0" w:color="auto"/>
        <w:right w:val="none" w:sz="0" w:space="0" w:color="auto"/>
      </w:divBdr>
      <w:divsChild>
        <w:div w:id="1954361590">
          <w:marLeft w:val="0"/>
          <w:marRight w:val="0"/>
          <w:marTop w:val="0"/>
          <w:marBottom w:val="0"/>
          <w:divBdr>
            <w:top w:val="none" w:sz="0" w:space="0" w:color="auto"/>
            <w:left w:val="none" w:sz="0" w:space="0" w:color="auto"/>
            <w:bottom w:val="none" w:sz="0" w:space="0" w:color="auto"/>
            <w:right w:val="none" w:sz="0" w:space="0" w:color="auto"/>
          </w:divBdr>
        </w:div>
      </w:divsChild>
    </w:div>
    <w:div w:id="1781413241">
      <w:bodyDiv w:val="1"/>
      <w:marLeft w:val="0"/>
      <w:marRight w:val="0"/>
      <w:marTop w:val="0"/>
      <w:marBottom w:val="0"/>
      <w:divBdr>
        <w:top w:val="none" w:sz="0" w:space="0" w:color="auto"/>
        <w:left w:val="none" w:sz="0" w:space="0" w:color="auto"/>
        <w:bottom w:val="none" w:sz="0" w:space="0" w:color="auto"/>
        <w:right w:val="none" w:sz="0" w:space="0" w:color="auto"/>
      </w:divBdr>
      <w:divsChild>
        <w:div w:id="1163198633">
          <w:marLeft w:val="0"/>
          <w:marRight w:val="0"/>
          <w:marTop w:val="0"/>
          <w:marBottom w:val="0"/>
          <w:divBdr>
            <w:top w:val="none" w:sz="0" w:space="0" w:color="auto"/>
            <w:left w:val="none" w:sz="0" w:space="0" w:color="auto"/>
            <w:bottom w:val="none" w:sz="0" w:space="0" w:color="auto"/>
            <w:right w:val="none" w:sz="0" w:space="0" w:color="auto"/>
          </w:divBdr>
        </w:div>
      </w:divsChild>
    </w:div>
    <w:div w:id="1789347932">
      <w:bodyDiv w:val="1"/>
      <w:marLeft w:val="0"/>
      <w:marRight w:val="0"/>
      <w:marTop w:val="0"/>
      <w:marBottom w:val="0"/>
      <w:divBdr>
        <w:top w:val="none" w:sz="0" w:space="0" w:color="auto"/>
        <w:left w:val="none" w:sz="0" w:space="0" w:color="auto"/>
        <w:bottom w:val="none" w:sz="0" w:space="0" w:color="auto"/>
        <w:right w:val="none" w:sz="0" w:space="0" w:color="auto"/>
      </w:divBdr>
      <w:divsChild>
        <w:div w:id="1577469055">
          <w:marLeft w:val="0"/>
          <w:marRight w:val="0"/>
          <w:marTop w:val="0"/>
          <w:marBottom w:val="0"/>
          <w:divBdr>
            <w:top w:val="none" w:sz="0" w:space="0" w:color="auto"/>
            <w:left w:val="none" w:sz="0" w:space="0" w:color="auto"/>
            <w:bottom w:val="none" w:sz="0" w:space="0" w:color="auto"/>
            <w:right w:val="none" w:sz="0" w:space="0" w:color="auto"/>
          </w:divBdr>
          <w:divsChild>
            <w:div w:id="19818817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1321789">
      <w:bodyDiv w:val="1"/>
      <w:marLeft w:val="0"/>
      <w:marRight w:val="0"/>
      <w:marTop w:val="0"/>
      <w:marBottom w:val="0"/>
      <w:divBdr>
        <w:top w:val="none" w:sz="0" w:space="0" w:color="auto"/>
        <w:left w:val="none" w:sz="0" w:space="0" w:color="auto"/>
        <w:bottom w:val="none" w:sz="0" w:space="0" w:color="auto"/>
        <w:right w:val="none" w:sz="0" w:space="0" w:color="auto"/>
      </w:divBdr>
    </w:div>
    <w:div w:id="1808820272">
      <w:bodyDiv w:val="1"/>
      <w:marLeft w:val="0"/>
      <w:marRight w:val="0"/>
      <w:marTop w:val="0"/>
      <w:marBottom w:val="0"/>
      <w:divBdr>
        <w:top w:val="none" w:sz="0" w:space="0" w:color="auto"/>
        <w:left w:val="none" w:sz="0" w:space="0" w:color="auto"/>
        <w:bottom w:val="none" w:sz="0" w:space="0" w:color="auto"/>
        <w:right w:val="none" w:sz="0" w:space="0" w:color="auto"/>
      </w:divBdr>
    </w:div>
    <w:div w:id="1809391463">
      <w:marLeft w:val="0"/>
      <w:marRight w:val="0"/>
      <w:marTop w:val="0"/>
      <w:marBottom w:val="0"/>
      <w:divBdr>
        <w:top w:val="none" w:sz="0" w:space="0" w:color="auto"/>
        <w:left w:val="none" w:sz="0" w:space="0" w:color="auto"/>
        <w:bottom w:val="none" w:sz="0" w:space="0" w:color="auto"/>
        <w:right w:val="none" w:sz="0" w:space="0" w:color="auto"/>
      </w:divBdr>
      <w:divsChild>
        <w:div w:id="2052997978">
          <w:marLeft w:val="0"/>
          <w:marRight w:val="0"/>
          <w:marTop w:val="0"/>
          <w:marBottom w:val="0"/>
          <w:divBdr>
            <w:top w:val="none" w:sz="0" w:space="0" w:color="auto"/>
            <w:left w:val="none" w:sz="0" w:space="0" w:color="auto"/>
            <w:bottom w:val="none" w:sz="0" w:space="0" w:color="auto"/>
            <w:right w:val="none" w:sz="0" w:space="0" w:color="auto"/>
          </w:divBdr>
        </w:div>
      </w:divsChild>
    </w:div>
    <w:div w:id="1814761162">
      <w:bodyDiv w:val="1"/>
      <w:marLeft w:val="0"/>
      <w:marRight w:val="0"/>
      <w:marTop w:val="0"/>
      <w:marBottom w:val="0"/>
      <w:divBdr>
        <w:top w:val="none" w:sz="0" w:space="0" w:color="auto"/>
        <w:left w:val="none" w:sz="0" w:space="0" w:color="auto"/>
        <w:bottom w:val="none" w:sz="0" w:space="0" w:color="auto"/>
        <w:right w:val="none" w:sz="0" w:space="0" w:color="auto"/>
      </w:divBdr>
      <w:divsChild>
        <w:div w:id="2133941841">
          <w:marLeft w:val="0"/>
          <w:marRight w:val="0"/>
          <w:marTop w:val="0"/>
          <w:marBottom w:val="0"/>
          <w:divBdr>
            <w:top w:val="none" w:sz="0" w:space="0" w:color="auto"/>
            <w:left w:val="none" w:sz="0" w:space="0" w:color="auto"/>
            <w:bottom w:val="none" w:sz="0" w:space="0" w:color="auto"/>
            <w:right w:val="none" w:sz="0" w:space="0" w:color="auto"/>
          </w:divBdr>
        </w:div>
      </w:divsChild>
    </w:div>
    <w:div w:id="1818183485">
      <w:bodyDiv w:val="1"/>
      <w:marLeft w:val="0"/>
      <w:marRight w:val="0"/>
      <w:marTop w:val="0"/>
      <w:marBottom w:val="0"/>
      <w:divBdr>
        <w:top w:val="none" w:sz="0" w:space="0" w:color="auto"/>
        <w:left w:val="none" w:sz="0" w:space="0" w:color="auto"/>
        <w:bottom w:val="none" w:sz="0" w:space="0" w:color="auto"/>
        <w:right w:val="none" w:sz="0" w:space="0" w:color="auto"/>
      </w:divBdr>
      <w:divsChild>
        <w:div w:id="1932160731">
          <w:marLeft w:val="0"/>
          <w:marRight w:val="0"/>
          <w:marTop w:val="0"/>
          <w:marBottom w:val="0"/>
          <w:divBdr>
            <w:top w:val="none" w:sz="0" w:space="0" w:color="auto"/>
            <w:left w:val="none" w:sz="0" w:space="0" w:color="auto"/>
            <w:bottom w:val="none" w:sz="0" w:space="0" w:color="auto"/>
            <w:right w:val="none" w:sz="0" w:space="0" w:color="auto"/>
          </w:divBdr>
        </w:div>
      </w:divsChild>
    </w:div>
    <w:div w:id="1818910866">
      <w:bodyDiv w:val="1"/>
      <w:marLeft w:val="0"/>
      <w:marRight w:val="0"/>
      <w:marTop w:val="0"/>
      <w:marBottom w:val="0"/>
      <w:divBdr>
        <w:top w:val="none" w:sz="0" w:space="0" w:color="auto"/>
        <w:left w:val="none" w:sz="0" w:space="0" w:color="auto"/>
        <w:bottom w:val="none" w:sz="0" w:space="0" w:color="auto"/>
        <w:right w:val="none" w:sz="0" w:space="0" w:color="auto"/>
      </w:divBdr>
      <w:divsChild>
        <w:div w:id="1171408944">
          <w:marLeft w:val="0"/>
          <w:marRight w:val="0"/>
          <w:marTop w:val="0"/>
          <w:marBottom w:val="0"/>
          <w:divBdr>
            <w:top w:val="none" w:sz="0" w:space="0" w:color="auto"/>
            <w:left w:val="none" w:sz="0" w:space="0" w:color="auto"/>
            <w:bottom w:val="none" w:sz="0" w:space="0" w:color="auto"/>
            <w:right w:val="none" w:sz="0" w:space="0" w:color="auto"/>
          </w:divBdr>
        </w:div>
      </w:divsChild>
    </w:div>
    <w:div w:id="1837724828">
      <w:bodyDiv w:val="1"/>
      <w:marLeft w:val="0"/>
      <w:marRight w:val="0"/>
      <w:marTop w:val="0"/>
      <w:marBottom w:val="0"/>
      <w:divBdr>
        <w:top w:val="none" w:sz="0" w:space="0" w:color="auto"/>
        <w:left w:val="none" w:sz="0" w:space="0" w:color="auto"/>
        <w:bottom w:val="none" w:sz="0" w:space="0" w:color="auto"/>
        <w:right w:val="none" w:sz="0" w:space="0" w:color="auto"/>
      </w:divBdr>
    </w:div>
    <w:div w:id="1841047071">
      <w:bodyDiv w:val="1"/>
      <w:marLeft w:val="0"/>
      <w:marRight w:val="0"/>
      <w:marTop w:val="0"/>
      <w:marBottom w:val="0"/>
      <w:divBdr>
        <w:top w:val="none" w:sz="0" w:space="0" w:color="auto"/>
        <w:left w:val="none" w:sz="0" w:space="0" w:color="auto"/>
        <w:bottom w:val="none" w:sz="0" w:space="0" w:color="auto"/>
        <w:right w:val="none" w:sz="0" w:space="0" w:color="auto"/>
      </w:divBdr>
    </w:div>
    <w:div w:id="1841312871">
      <w:marLeft w:val="0"/>
      <w:marRight w:val="0"/>
      <w:marTop w:val="0"/>
      <w:marBottom w:val="0"/>
      <w:divBdr>
        <w:top w:val="none" w:sz="0" w:space="0" w:color="auto"/>
        <w:left w:val="none" w:sz="0" w:space="0" w:color="auto"/>
        <w:bottom w:val="none" w:sz="0" w:space="0" w:color="auto"/>
        <w:right w:val="none" w:sz="0" w:space="0" w:color="auto"/>
      </w:divBdr>
      <w:divsChild>
        <w:div w:id="949124097">
          <w:marLeft w:val="0"/>
          <w:marRight w:val="0"/>
          <w:marTop w:val="0"/>
          <w:marBottom w:val="0"/>
          <w:divBdr>
            <w:top w:val="none" w:sz="0" w:space="0" w:color="auto"/>
            <w:left w:val="none" w:sz="0" w:space="0" w:color="auto"/>
            <w:bottom w:val="none" w:sz="0" w:space="0" w:color="auto"/>
            <w:right w:val="none" w:sz="0" w:space="0" w:color="auto"/>
          </w:divBdr>
        </w:div>
      </w:divsChild>
    </w:div>
    <w:div w:id="1844854826">
      <w:bodyDiv w:val="1"/>
      <w:marLeft w:val="0"/>
      <w:marRight w:val="0"/>
      <w:marTop w:val="0"/>
      <w:marBottom w:val="0"/>
      <w:divBdr>
        <w:top w:val="none" w:sz="0" w:space="0" w:color="auto"/>
        <w:left w:val="none" w:sz="0" w:space="0" w:color="auto"/>
        <w:bottom w:val="none" w:sz="0" w:space="0" w:color="auto"/>
        <w:right w:val="none" w:sz="0" w:space="0" w:color="auto"/>
      </w:divBdr>
    </w:div>
    <w:div w:id="1856648954">
      <w:bodyDiv w:val="1"/>
      <w:marLeft w:val="0"/>
      <w:marRight w:val="0"/>
      <w:marTop w:val="0"/>
      <w:marBottom w:val="0"/>
      <w:divBdr>
        <w:top w:val="none" w:sz="0" w:space="0" w:color="auto"/>
        <w:left w:val="none" w:sz="0" w:space="0" w:color="auto"/>
        <w:bottom w:val="none" w:sz="0" w:space="0" w:color="auto"/>
        <w:right w:val="none" w:sz="0" w:space="0" w:color="auto"/>
      </w:divBdr>
    </w:div>
    <w:div w:id="1858501488">
      <w:marLeft w:val="0"/>
      <w:marRight w:val="0"/>
      <w:marTop w:val="0"/>
      <w:marBottom w:val="0"/>
      <w:divBdr>
        <w:top w:val="none" w:sz="0" w:space="0" w:color="auto"/>
        <w:left w:val="none" w:sz="0" w:space="0" w:color="auto"/>
        <w:bottom w:val="none" w:sz="0" w:space="0" w:color="auto"/>
        <w:right w:val="none" w:sz="0" w:space="0" w:color="auto"/>
      </w:divBdr>
      <w:divsChild>
        <w:div w:id="756173115">
          <w:marLeft w:val="0"/>
          <w:marRight w:val="0"/>
          <w:marTop w:val="0"/>
          <w:marBottom w:val="0"/>
          <w:divBdr>
            <w:top w:val="none" w:sz="0" w:space="0" w:color="auto"/>
            <w:left w:val="none" w:sz="0" w:space="0" w:color="auto"/>
            <w:bottom w:val="none" w:sz="0" w:space="0" w:color="auto"/>
            <w:right w:val="none" w:sz="0" w:space="0" w:color="auto"/>
          </w:divBdr>
        </w:div>
      </w:divsChild>
    </w:div>
    <w:div w:id="1861582332">
      <w:bodyDiv w:val="1"/>
      <w:marLeft w:val="0"/>
      <w:marRight w:val="0"/>
      <w:marTop w:val="0"/>
      <w:marBottom w:val="0"/>
      <w:divBdr>
        <w:top w:val="none" w:sz="0" w:space="0" w:color="auto"/>
        <w:left w:val="none" w:sz="0" w:space="0" w:color="auto"/>
        <w:bottom w:val="none" w:sz="0" w:space="0" w:color="auto"/>
        <w:right w:val="none" w:sz="0" w:space="0" w:color="auto"/>
      </w:divBdr>
    </w:div>
    <w:div w:id="1861816531">
      <w:bodyDiv w:val="1"/>
      <w:marLeft w:val="0"/>
      <w:marRight w:val="0"/>
      <w:marTop w:val="0"/>
      <w:marBottom w:val="0"/>
      <w:divBdr>
        <w:top w:val="none" w:sz="0" w:space="0" w:color="auto"/>
        <w:left w:val="none" w:sz="0" w:space="0" w:color="auto"/>
        <w:bottom w:val="none" w:sz="0" w:space="0" w:color="auto"/>
        <w:right w:val="none" w:sz="0" w:space="0" w:color="auto"/>
      </w:divBdr>
    </w:div>
    <w:div w:id="1863981274">
      <w:bodyDiv w:val="1"/>
      <w:marLeft w:val="0"/>
      <w:marRight w:val="0"/>
      <w:marTop w:val="0"/>
      <w:marBottom w:val="0"/>
      <w:divBdr>
        <w:top w:val="none" w:sz="0" w:space="0" w:color="auto"/>
        <w:left w:val="none" w:sz="0" w:space="0" w:color="auto"/>
        <w:bottom w:val="none" w:sz="0" w:space="0" w:color="auto"/>
        <w:right w:val="none" w:sz="0" w:space="0" w:color="auto"/>
      </w:divBdr>
    </w:div>
    <w:div w:id="1864590596">
      <w:bodyDiv w:val="1"/>
      <w:marLeft w:val="0"/>
      <w:marRight w:val="0"/>
      <w:marTop w:val="0"/>
      <w:marBottom w:val="0"/>
      <w:divBdr>
        <w:top w:val="none" w:sz="0" w:space="0" w:color="auto"/>
        <w:left w:val="none" w:sz="0" w:space="0" w:color="auto"/>
        <w:bottom w:val="none" w:sz="0" w:space="0" w:color="auto"/>
        <w:right w:val="none" w:sz="0" w:space="0" w:color="auto"/>
      </w:divBdr>
    </w:div>
    <w:div w:id="1866863158">
      <w:bodyDiv w:val="1"/>
      <w:marLeft w:val="0"/>
      <w:marRight w:val="0"/>
      <w:marTop w:val="0"/>
      <w:marBottom w:val="0"/>
      <w:divBdr>
        <w:top w:val="none" w:sz="0" w:space="0" w:color="auto"/>
        <w:left w:val="none" w:sz="0" w:space="0" w:color="auto"/>
        <w:bottom w:val="none" w:sz="0" w:space="0" w:color="auto"/>
        <w:right w:val="none" w:sz="0" w:space="0" w:color="auto"/>
      </w:divBdr>
    </w:div>
    <w:div w:id="1888831188">
      <w:bodyDiv w:val="1"/>
      <w:marLeft w:val="0"/>
      <w:marRight w:val="0"/>
      <w:marTop w:val="0"/>
      <w:marBottom w:val="0"/>
      <w:divBdr>
        <w:top w:val="none" w:sz="0" w:space="0" w:color="auto"/>
        <w:left w:val="none" w:sz="0" w:space="0" w:color="auto"/>
        <w:bottom w:val="none" w:sz="0" w:space="0" w:color="auto"/>
        <w:right w:val="none" w:sz="0" w:space="0" w:color="auto"/>
      </w:divBdr>
      <w:divsChild>
        <w:div w:id="506873487">
          <w:marLeft w:val="0"/>
          <w:marRight w:val="0"/>
          <w:marTop w:val="0"/>
          <w:marBottom w:val="0"/>
          <w:divBdr>
            <w:top w:val="none" w:sz="0" w:space="0" w:color="auto"/>
            <w:left w:val="none" w:sz="0" w:space="0" w:color="auto"/>
            <w:bottom w:val="none" w:sz="0" w:space="0" w:color="auto"/>
            <w:right w:val="none" w:sz="0" w:space="0" w:color="auto"/>
          </w:divBdr>
        </w:div>
      </w:divsChild>
    </w:div>
    <w:div w:id="1895309539">
      <w:bodyDiv w:val="1"/>
      <w:marLeft w:val="0"/>
      <w:marRight w:val="0"/>
      <w:marTop w:val="0"/>
      <w:marBottom w:val="0"/>
      <w:divBdr>
        <w:top w:val="none" w:sz="0" w:space="0" w:color="auto"/>
        <w:left w:val="none" w:sz="0" w:space="0" w:color="auto"/>
        <w:bottom w:val="none" w:sz="0" w:space="0" w:color="auto"/>
        <w:right w:val="none" w:sz="0" w:space="0" w:color="auto"/>
      </w:divBdr>
      <w:divsChild>
        <w:div w:id="299575922">
          <w:marLeft w:val="0"/>
          <w:marRight w:val="0"/>
          <w:marTop w:val="0"/>
          <w:marBottom w:val="0"/>
          <w:divBdr>
            <w:top w:val="none" w:sz="0" w:space="0" w:color="auto"/>
            <w:left w:val="none" w:sz="0" w:space="0" w:color="auto"/>
            <w:bottom w:val="none" w:sz="0" w:space="0" w:color="auto"/>
            <w:right w:val="none" w:sz="0" w:space="0" w:color="auto"/>
          </w:divBdr>
        </w:div>
      </w:divsChild>
    </w:div>
    <w:div w:id="1895654915">
      <w:bodyDiv w:val="1"/>
      <w:marLeft w:val="0"/>
      <w:marRight w:val="0"/>
      <w:marTop w:val="0"/>
      <w:marBottom w:val="0"/>
      <w:divBdr>
        <w:top w:val="none" w:sz="0" w:space="0" w:color="auto"/>
        <w:left w:val="none" w:sz="0" w:space="0" w:color="auto"/>
        <w:bottom w:val="none" w:sz="0" w:space="0" w:color="auto"/>
        <w:right w:val="none" w:sz="0" w:space="0" w:color="auto"/>
      </w:divBdr>
      <w:divsChild>
        <w:div w:id="701367132">
          <w:marLeft w:val="0"/>
          <w:marRight w:val="0"/>
          <w:marTop w:val="0"/>
          <w:marBottom w:val="0"/>
          <w:divBdr>
            <w:top w:val="none" w:sz="0" w:space="0" w:color="auto"/>
            <w:left w:val="none" w:sz="0" w:space="0" w:color="auto"/>
            <w:bottom w:val="none" w:sz="0" w:space="0" w:color="auto"/>
            <w:right w:val="none" w:sz="0" w:space="0" w:color="auto"/>
          </w:divBdr>
        </w:div>
      </w:divsChild>
    </w:div>
    <w:div w:id="1902666040">
      <w:bodyDiv w:val="1"/>
      <w:marLeft w:val="0"/>
      <w:marRight w:val="0"/>
      <w:marTop w:val="0"/>
      <w:marBottom w:val="0"/>
      <w:divBdr>
        <w:top w:val="none" w:sz="0" w:space="0" w:color="auto"/>
        <w:left w:val="none" w:sz="0" w:space="0" w:color="auto"/>
        <w:bottom w:val="none" w:sz="0" w:space="0" w:color="auto"/>
        <w:right w:val="none" w:sz="0" w:space="0" w:color="auto"/>
      </w:divBdr>
      <w:divsChild>
        <w:div w:id="1364553705">
          <w:marLeft w:val="0"/>
          <w:marRight w:val="0"/>
          <w:marTop w:val="0"/>
          <w:marBottom w:val="0"/>
          <w:divBdr>
            <w:top w:val="none" w:sz="0" w:space="0" w:color="auto"/>
            <w:left w:val="none" w:sz="0" w:space="0" w:color="auto"/>
            <w:bottom w:val="none" w:sz="0" w:space="0" w:color="auto"/>
            <w:right w:val="none" w:sz="0" w:space="0" w:color="auto"/>
          </w:divBdr>
        </w:div>
        <w:div w:id="1686587877">
          <w:marLeft w:val="0"/>
          <w:marRight w:val="0"/>
          <w:marTop w:val="0"/>
          <w:marBottom w:val="0"/>
          <w:divBdr>
            <w:top w:val="none" w:sz="0" w:space="0" w:color="auto"/>
            <w:left w:val="none" w:sz="0" w:space="0" w:color="auto"/>
            <w:bottom w:val="none" w:sz="0" w:space="0" w:color="auto"/>
            <w:right w:val="none" w:sz="0" w:space="0" w:color="auto"/>
          </w:divBdr>
        </w:div>
        <w:div w:id="1991594967">
          <w:marLeft w:val="0"/>
          <w:marRight w:val="0"/>
          <w:marTop w:val="0"/>
          <w:marBottom w:val="0"/>
          <w:divBdr>
            <w:top w:val="none" w:sz="0" w:space="0" w:color="auto"/>
            <w:left w:val="none" w:sz="0" w:space="0" w:color="auto"/>
            <w:bottom w:val="none" w:sz="0" w:space="0" w:color="auto"/>
            <w:right w:val="none" w:sz="0" w:space="0" w:color="auto"/>
          </w:divBdr>
        </w:div>
        <w:div w:id="168638134">
          <w:marLeft w:val="0"/>
          <w:marRight w:val="0"/>
          <w:marTop w:val="0"/>
          <w:marBottom w:val="0"/>
          <w:divBdr>
            <w:top w:val="none" w:sz="0" w:space="0" w:color="auto"/>
            <w:left w:val="none" w:sz="0" w:space="0" w:color="auto"/>
            <w:bottom w:val="none" w:sz="0" w:space="0" w:color="auto"/>
            <w:right w:val="none" w:sz="0" w:space="0" w:color="auto"/>
          </w:divBdr>
        </w:div>
        <w:div w:id="2117869211">
          <w:marLeft w:val="0"/>
          <w:marRight w:val="0"/>
          <w:marTop w:val="0"/>
          <w:marBottom w:val="0"/>
          <w:divBdr>
            <w:top w:val="none" w:sz="0" w:space="0" w:color="auto"/>
            <w:left w:val="none" w:sz="0" w:space="0" w:color="auto"/>
            <w:bottom w:val="none" w:sz="0" w:space="0" w:color="auto"/>
            <w:right w:val="none" w:sz="0" w:space="0" w:color="auto"/>
          </w:divBdr>
        </w:div>
        <w:div w:id="839656225">
          <w:marLeft w:val="0"/>
          <w:marRight w:val="0"/>
          <w:marTop w:val="0"/>
          <w:marBottom w:val="0"/>
          <w:divBdr>
            <w:top w:val="none" w:sz="0" w:space="0" w:color="auto"/>
            <w:left w:val="none" w:sz="0" w:space="0" w:color="auto"/>
            <w:bottom w:val="none" w:sz="0" w:space="0" w:color="auto"/>
            <w:right w:val="none" w:sz="0" w:space="0" w:color="auto"/>
          </w:divBdr>
        </w:div>
        <w:div w:id="876698784">
          <w:marLeft w:val="0"/>
          <w:marRight w:val="0"/>
          <w:marTop w:val="0"/>
          <w:marBottom w:val="0"/>
          <w:divBdr>
            <w:top w:val="none" w:sz="0" w:space="0" w:color="auto"/>
            <w:left w:val="none" w:sz="0" w:space="0" w:color="auto"/>
            <w:bottom w:val="none" w:sz="0" w:space="0" w:color="auto"/>
            <w:right w:val="none" w:sz="0" w:space="0" w:color="auto"/>
          </w:divBdr>
        </w:div>
        <w:div w:id="452137858">
          <w:marLeft w:val="0"/>
          <w:marRight w:val="0"/>
          <w:marTop w:val="0"/>
          <w:marBottom w:val="0"/>
          <w:divBdr>
            <w:top w:val="none" w:sz="0" w:space="0" w:color="auto"/>
            <w:left w:val="none" w:sz="0" w:space="0" w:color="auto"/>
            <w:bottom w:val="none" w:sz="0" w:space="0" w:color="auto"/>
            <w:right w:val="none" w:sz="0" w:space="0" w:color="auto"/>
          </w:divBdr>
        </w:div>
        <w:div w:id="1926651598">
          <w:marLeft w:val="0"/>
          <w:marRight w:val="0"/>
          <w:marTop w:val="0"/>
          <w:marBottom w:val="0"/>
          <w:divBdr>
            <w:top w:val="none" w:sz="0" w:space="0" w:color="auto"/>
            <w:left w:val="none" w:sz="0" w:space="0" w:color="auto"/>
            <w:bottom w:val="none" w:sz="0" w:space="0" w:color="auto"/>
            <w:right w:val="none" w:sz="0" w:space="0" w:color="auto"/>
          </w:divBdr>
        </w:div>
      </w:divsChild>
    </w:div>
    <w:div w:id="1903563782">
      <w:bodyDiv w:val="1"/>
      <w:marLeft w:val="0"/>
      <w:marRight w:val="0"/>
      <w:marTop w:val="0"/>
      <w:marBottom w:val="0"/>
      <w:divBdr>
        <w:top w:val="none" w:sz="0" w:space="0" w:color="auto"/>
        <w:left w:val="none" w:sz="0" w:space="0" w:color="auto"/>
        <w:bottom w:val="none" w:sz="0" w:space="0" w:color="auto"/>
        <w:right w:val="none" w:sz="0" w:space="0" w:color="auto"/>
      </w:divBdr>
    </w:div>
    <w:div w:id="1907451925">
      <w:bodyDiv w:val="1"/>
      <w:marLeft w:val="0"/>
      <w:marRight w:val="0"/>
      <w:marTop w:val="0"/>
      <w:marBottom w:val="0"/>
      <w:divBdr>
        <w:top w:val="none" w:sz="0" w:space="0" w:color="auto"/>
        <w:left w:val="none" w:sz="0" w:space="0" w:color="auto"/>
        <w:bottom w:val="none" w:sz="0" w:space="0" w:color="auto"/>
        <w:right w:val="none" w:sz="0" w:space="0" w:color="auto"/>
      </w:divBdr>
      <w:divsChild>
        <w:div w:id="1611233673">
          <w:marLeft w:val="0"/>
          <w:marRight w:val="0"/>
          <w:marTop w:val="0"/>
          <w:marBottom w:val="0"/>
          <w:divBdr>
            <w:top w:val="none" w:sz="0" w:space="0" w:color="auto"/>
            <w:left w:val="none" w:sz="0" w:space="0" w:color="auto"/>
            <w:bottom w:val="none" w:sz="0" w:space="0" w:color="auto"/>
            <w:right w:val="none" w:sz="0" w:space="0" w:color="auto"/>
          </w:divBdr>
        </w:div>
      </w:divsChild>
    </w:div>
    <w:div w:id="1913929758">
      <w:bodyDiv w:val="1"/>
      <w:marLeft w:val="0"/>
      <w:marRight w:val="0"/>
      <w:marTop w:val="0"/>
      <w:marBottom w:val="0"/>
      <w:divBdr>
        <w:top w:val="none" w:sz="0" w:space="0" w:color="auto"/>
        <w:left w:val="none" w:sz="0" w:space="0" w:color="auto"/>
        <w:bottom w:val="none" w:sz="0" w:space="0" w:color="auto"/>
        <w:right w:val="none" w:sz="0" w:space="0" w:color="auto"/>
      </w:divBdr>
    </w:div>
    <w:div w:id="1917326825">
      <w:bodyDiv w:val="1"/>
      <w:marLeft w:val="0"/>
      <w:marRight w:val="0"/>
      <w:marTop w:val="0"/>
      <w:marBottom w:val="0"/>
      <w:divBdr>
        <w:top w:val="none" w:sz="0" w:space="0" w:color="auto"/>
        <w:left w:val="none" w:sz="0" w:space="0" w:color="auto"/>
        <w:bottom w:val="none" w:sz="0" w:space="0" w:color="auto"/>
        <w:right w:val="none" w:sz="0" w:space="0" w:color="auto"/>
      </w:divBdr>
    </w:div>
    <w:div w:id="1918589166">
      <w:bodyDiv w:val="1"/>
      <w:marLeft w:val="0"/>
      <w:marRight w:val="0"/>
      <w:marTop w:val="0"/>
      <w:marBottom w:val="0"/>
      <w:divBdr>
        <w:top w:val="none" w:sz="0" w:space="0" w:color="auto"/>
        <w:left w:val="none" w:sz="0" w:space="0" w:color="auto"/>
        <w:bottom w:val="none" w:sz="0" w:space="0" w:color="auto"/>
        <w:right w:val="none" w:sz="0" w:space="0" w:color="auto"/>
      </w:divBdr>
      <w:divsChild>
        <w:div w:id="261962692">
          <w:marLeft w:val="0"/>
          <w:marRight w:val="0"/>
          <w:marTop w:val="0"/>
          <w:marBottom w:val="0"/>
          <w:divBdr>
            <w:top w:val="none" w:sz="0" w:space="0" w:color="auto"/>
            <w:left w:val="none" w:sz="0" w:space="0" w:color="auto"/>
            <w:bottom w:val="none" w:sz="0" w:space="0" w:color="auto"/>
            <w:right w:val="none" w:sz="0" w:space="0" w:color="auto"/>
          </w:divBdr>
        </w:div>
      </w:divsChild>
    </w:div>
    <w:div w:id="1929381215">
      <w:bodyDiv w:val="1"/>
      <w:marLeft w:val="0"/>
      <w:marRight w:val="0"/>
      <w:marTop w:val="0"/>
      <w:marBottom w:val="0"/>
      <w:divBdr>
        <w:top w:val="none" w:sz="0" w:space="0" w:color="auto"/>
        <w:left w:val="none" w:sz="0" w:space="0" w:color="auto"/>
        <w:bottom w:val="none" w:sz="0" w:space="0" w:color="auto"/>
        <w:right w:val="none" w:sz="0" w:space="0" w:color="auto"/>
      </w:divBdr>
    </w:div>
    <w:div w:id="1943760645">
      <w:bodyDiv w:val="1"/>
      <w:marLeft w:val="0"/>
      <w:marRight w:val="0"/>
      <w:marTop w:val="0"/>
      <w:marBottom w:val="0"/>
      <w:divBdr>
        <w:top w:val="none" w:sz="0" w:space="0" w:color="auto"/>
        <w:left w:val="none" w:sz="0" w:space="0" w:color="auto"/>
        <w:bottom w:val="none" w:sz="0" w:space="0" w:color="auto"/>
        <w:right w:val="none" w:sz="0" w:space="0" w:color="auto"/>
      </w:divBdr>
    </w:div>
    <w:div w:id="1947733495">
      <w:marLeft w:val="0"/>
      <w:marRight w:val="0"/>
      <w:marTop w:val="0"/>
      <w:marBottom w:val="0"/>
      <w:divBdr>
        <w:top w:val="none" w:sz="0" w:space="0" w:color="auto"/>
        <w:left w:val="none" w:sz="0" w:space="0" w:color="auto"/>
        <w:bottom w:val="none" w:sz="0" w:space="0" w:color="auto"/>
        <w:right w:val="none" w:sz="0" w:space="0" w:color="auto"/>
      </w:divBdr>
      <w:divsChild>
        <w:div w:id="1824347185">
          <w:marLeft w:val="0"/>
          <w:marRight w:val="0"/>
          <w:marTop w:val="0"/>
          <w:marBottom w:val="0"/>
          <w:divBdr>
            <w:top w:val="none" w:sz="0" w:space="0" w:color="auto"/>
            <w:left w:val="none" w:sz="0" w:space="0" w:color="auto"/>
            <w:bottom w:val="none" w:sz="0" w:space="0" w:color="auto"/>
            <w:right w:val="none" w:sz="0" w:space="0" w:color="auto"/>
          </w:divBdr>
        </w:div>
      </w:divsChild>
    </w:div>
    <w:div w:id="1953046225">
      <w:marLeft w:val="0"/>
      <w:marRight w:val="0"/>
      <w:marTop w:val="0"/>
      <w:marBottom w:val="0"/>
      <w:divBdr>
        <w:top w:val="none" w:sz="0" w:space="0" w:color="auto"/>
        <w:left w:val="none" w:sz="0" w:space="0" w:color="auto"/>
        <w:bottom w:val="none" w:sz="0" w:space="0" w:color="auto"/>
        <w:right w:val="none" w:sz="0" w:space="0" w:color="auto"/>
      </w:divBdr>
      <w:divsChild>
        <w:div w:id="1720935881">
          <w:marLeft w:val="0"/>
          <w:marRight w:val="0"/>
          <w:marTop w:val="0"/>
          <w:marBottom w:val="0"/>
          <w:divBdr>
            <w:top w:val="none" w:sz="0" w:space="0" w:color="auto"/>
            <w:left w:val="none" w:sz="0" w:space="0" w:color="auto"/>
            <w:bottom w:val="none" w:sz="0" w:space="0" w:color="auto"/>
            <w:right w:val="none" w:sz="0" w:space="0" w:color="auto"/>
          </w:divBdr>
        </w:div>
      </w:divsChild>
    </w:div>
    <w:div w:id="1954438007">
      <w:bodyDiv w:val="1"/>
      <w:marLeft w:val="0"/>
      <w:marRight w:val="0"/>
      <w:marTop w:val="0"/>
      <w:marBottom w:val="0"/>
      <w:divBdr>
        <w:top w:val="none" w:sz="0" w:space="0" w:color="auto"/>
        <w:left w:val="none" w:sz="0" w:space="0" w:color="auto"/>
        <w:bottom w:val="none" w:sz="0" w:space="0" w:color="auto"/>
        <w:right w:val="none" w:sz="0" w:space="0" w:color="auto"/>
      </w:divBdr>
    </w:div>
    <w:div w:id="1954749975">
      <w:bodyDiv w:val="1"/>
      <w:marLeft w:val="0"/>
      <w:marRight w:val="0"/>
      <w:marTop w:val="0"/>
      <w:marBottom w:val="0"/>
      <w:divBdr>
        <w:top w:val="none" w:sz="0" w:space="0" w:color="auto"/>
        <w:left w:val="none" w:sz="0" w:space="0" w:color="auto"/>
        <w:bottom w:val="none" w:sz="0" w:space="0" w:color="auto"/>
        <w:right w:val="none" w:sz="0" w:space="0" w:color="auto"/>
      </w:divBdr>
    </w:div>
    <w:div w:id="1958369328">
      <w:bodyDiv w:val="1"/>
      <w:marLeft w:val="0"/>
      <w:marRight w:val="0"/>
      <w:marTop w:val="0"/>
      <w:marBottom w:val="0"/>
      <w:divBdr>
        <w:top w:val="none" w:sz="0" w:space="0" w:color="auto"/>
        <w:left w:val="none" w:sz="0" w:space="0" w:color="auto"/>
        <w:bottom w:val="none" w:sz="0" w:space="0" w:color="auto"/>
        <w:right w:val="none" w:sz="0" w:space="0" w:color="auto"/>
      </w:divBdr>
    </w:div>
    <w:div w:id="1969970554">
      <w:bodyDiv w:val="1"/>
      <w:marLeft w:val="0"/>
      <w:marRight w:val="0"/>
      <w:marTop w:val="0"/>
      <w:marBottom w:val="0"/>
      <w:divBdr>
        <w:top w:val="none" w:sz="0" w:space="0" w:color="auto"/>
        <w:left w:val="none" w:sz="0" w:space="0" w:color="auto"/>
        <w:bottom w:val="none" w:sz="0" w:space="0" w:color="auto"/>
        <w:right w:val="none" w:sz="0" w:space="0" w:color="auto"/>
      </w:divBdr>
    </w:div>
    <w:div w:id="1971470125">
      <w:bodyDiv w:val="1"/>
      <w:marLeft w:val="0"/>
      <w:marRight w:val="0"/>
      <w:marTop w:val="0"/>
      <w:marBottom w:val="0"/>
      <w:divBdr>
        <w:top w:val="none" w:sz="0" w:space="0" w:color="auto"/>
        <w:left w:val="none" w:sz="0" w:space="0" w:color="auto"/>
        <w:bottom w:val="none" w:sz="0" w:space="0" w:color="auto"/>
        <w:right w:val="none" w:sz="0" w:space="0" w:color="auto"/>
      </w:divBdr>
    </w:div>
    <w:div w:id="1975790504">
      <w:bodyDiv w:val="1"/>
      <w:marLeft w:val="0"/>
      <w:marRight w:val="0"/>
      <w:marTop w:val="0"/>
      <w:marBottom w:val="0"/>
      <w:divBdr>
        <w:top w:val="none" w:sz="0" w:space="0" w:color="auto"/>
        <w:left w:val="none" w:sz="0" w:space="0" w:color="auto"/>
        <w:bottom w:val="none" w:sz="0" w:space="0" w:color="auto"/>
        <w:right w:val="none" w:sz="0" w:space="0" w:color="auto"/>
      </w:divBdr>
    </w:div>
    <w:div w:id="1979068619">
      <w:bodyDiv w:val="1"/>
      <w:marLeft w:val="0"/>
      <w:marRight w:val="0"/>
      <w:marTop w:val="0"/>
      <w:marBottom w:val="0"/>
      <w:divBdr>
        <w:top w:val="none" w:sz="0" w:space="0" w:color="auto"/>
        <w:left w:val="none" w:sz="0" w:space="0" w:color="auto"/>
        <w:bottom w:val="none" w:sz="0" w:space="0" w:color="auto"/>
        <w:right w:val="none" w:sz="0" w:space="0" w:color="auto"/>
      </w:divBdr>
      <w:divsChild>
        <w:div w:id="1949266294">
          <w:marLeft w:val="0"/>
          <w:marRight w:val="0"/>
          <w:marTop w:val="0"/>
          <w:marBottom w:val="0"/>
          <w:divBdr>
            <w:top w:val="none" w:sz="0" w:space="0" w:color="auto"/>
            <w:left w:val="none" w:sz="0" w:space="0" w:color="auto"/>
            <w:bottom w:val="none" w:sz="0" w:space="0" w:color="auto"/>
            <w:right w:val="none" w:sz="0" w:space="0" w:color="auto"/>
          </w:divBdr>
        </w:div>
      </w:divsChild>
    </w:div>
    <w:div w:id="1985962702">
      <w:bodyDiv w:val="1"/>
      <w:marLeft w:val="0"/>
      <w:marRight w:val="0"/>
      <w:marTop w:val="0"/>
      <w:marBottom w:val="0"/>
      <w:divBdr>
        <w:top w:val="none" w:sz="0" w:space="0" w:color="auto"/>
        <w:left w:val="none" w:sz="0" w:space="0" w:color="auto"/>
        <w:bottom w:val="none" w:sz="0" w:space="0" w:color="auto"/>
        <w:right w:val="none" w:sz="0" w:space="0" w:color="auto"/>
      </w:divBdr>
    </w:div>
    <w:div w:id="1990399936">
      <w:bodyDiv w:val="1"/>
      <w:marLeft w:val="0"/>
      <w:marRight w:val="0"/>
      <w:marTop w:val="0"/>
      <w:marBottom w:val="0"/>
      <w:divBdr>
        <w:top w:val="none" w:sz="0" w:space="0" w:color="auto"/>
        <w:left w:val="none" w:sz="0" w:space="0" w:color="auto"/>
        <w:bottom w:val="none" w:sz="0" w:space="0" w:color="auto"/>
        <w:right w:val="none" w:sz="0" w:space="0" w:color="auto"/>
      </w:divBdr>
    </w:div>
    <w:div w:id="1994601611">
      <w:bodyDiv w:val="1"/>
      <w:marLeft w:val="0"/>
      <w:marRight w:val="0"/>
      <w:marTop w:val="0"/>
      <w:marBottom w:val="0"/>
      <w:divBdr>
        <w:top w:val="none" w:sz="0" w:space="0" w:color="auto"/>
        <w:left w:val="none" w:sz="0" w:space="0" w:color="auto"/>
        <w:bottom w:val="none" w:sz="0" w:space="0" w:color="auto"/>
        <w:right w:val="none" w:sz="0" w:space="0" w:color="auto"/>
      </w:divBdr>
    </w:div>
    <w:div w:id="1998682174">
      <w:bodyDiv w:val="1"/>
      <w:marLeft w:val="0"/>
      <w:marRight w:val="0"/>
      <w:marTop w:val="0"/>
      <w:marBottom w:val="0"/>
      <w:divBdr>
        <w:top w:val="none" w:sz="0" w:space="0" w:color="auto"/>
        <w:left w:val="none" w:sz="0" w:space="0" w:color="auto"/>
        <w:bottom w:val="none" w:sz="0" w:space="0" w:color="auto"/>
        <w:right w:val="none" w:sz="0" w:space="0" w:color="auto"/>
      </w:divBdr>
    </w:div>
    <w:div w:id="2002615047">
      <w:bodyDiv w:val="1"/>
      <w:marLeft w:val="0"/>
      <w:marRight w:val="0"/>
      <w:marTop w:val="0"/>
      <w:marBottom w:val="0"/>
      <w:divBdr>
        <w:top w:val="none" w:sz="0" w:space="0" w:color="auto"/>
        <w:left w:val="none" w:sz="0" w:space="0" w:color="auto"/>
        <w:bottom w:val="none" w:sz="0" w:space="0" w:color="auto"/>
        <w:right w:val="none" w:sz="0" w:space="0" w:color="auto"/>
      </w:divBdr>
    </w:div>
    <w:div w:id="2023891644">
      <w:marLeft w:val="0"/>
      <w:marRight w:val="0"/>
      <w:marTop w:val="0"/>
      <w:marBottom w:val="0"/>
      <w:divBdr>
        <w:top w:val="none" w:sz="0" w:space="0" w:color="auto"/>
        <w:left w:val="none" w:sz="0" w:space="0" w:color="auto"/>
        <w:bottom w:val="none" w:sz="0" w:space="0" w:color="auto"/>
        <w:right w:val="none" w:sz="0" w:space="0" w:color="auto"/>
      </w:divBdr>
      <w:divsChild>
        <w:div w:id="1959408930">
          <w:marLeft w:val="0"/>
          <w:marRight w:val="0"/>
          <w:marTop w:val="0"/>
          <w:marBottom w:val="0"/>
          <w:divBdr>
            <w:top w:val="none" w:sz="0" w:space="0" w:color="auto"/>
            <w:left w:val="none" w:sz="0" w:space="0" w:color="auto"/>
            <w:bottom w:val="none" w:sz="0" w:space="0" w:color="auto"/>
            <w:right w:val="none" w:sz="0" w:space="0" w:color="auto"/>
          </w:divBdr>
        </w:div>
      </w:divsChild>
    </w:div>
    <w:div w:id="2025670656">
      <w:bodyDiv w:val="1"/>
      <w:marLeft w:val="0"/>
      <w:marRight w:val="0"/>
      <w:marTop w:val="0"/>
      <w:marBottom w:val="0"/>
      <w:divBdr>
        <w:top w:val="none" w:sz="0" w:space="0" w:color="auto"/>
        <w:left w:val="none" w:sz="0" w:space="0" w:color="auto"/>
        <w:bottom w:val="none" w:sz="0" w:space="0" w:color="auto"/>
        <w:right w:val="none" w:sz="0" w:space="0" w:color="auto"/>
      </w:divBdr>
    </w:div>
    <w:div w:id="2028360475">
      <w:marLeft w:val="0"/>
      <w:marRight w:val="0"/>
      <w:marTop w:val="0"/>
      <w:marBottom w:val="0"/>
      <w:divBdr>
        <w:top w:val="none" w:sz="0" w:space="0" w:color="auto"/>
        <w:left w:val="none" w:sz="0" w:space="0" w:color="auto"/>
        <w:bottom w:val="none" w:sz="0" w:space="0" w:color="auto"/>
        <w:right w:val="none" w:sz="0" w:space="0" w:color="auto"/>
      </w:divBdr>
      <w:divsChild>
        <w:div w:id="709377178">
          <w:marLeft w:val="0"/>
          <w:marRight w:val="0"/>
          <w:marTop w:val="0"/>
          <w:marBottom w:val="0"/>
          <w:divBdr>
            <w:top w:val="none" w:sz="0" w:space="0" w:color="auto"/>
            <w:left w:val="none" w:sz="0" w:space="0" w:color="auto"/>
            <w:bottom w:val="none" w:sz="0" w:space="0" w:color="auto"/>
            <w:right w:val="none" w:sz="0" w:space="0" w:color="auto"/>
          </w:divBdr>
        </w:div>
      </w:divsChild>
    </w:div>
    <w:div w:id="2041737535">
      <w:bodyDiv w:val="1"/>
      <w:marLeft w:val="0"/>
      <w:marRight w:val="0"/>
      <w:marTop w:val="0"/>
      <w:marBottom w:val="0"/>
      <w:divBdr>
        <w:top w:val="none" w:sz="0" w:space="0" w:color="auto"/>
        <w:left w:val="none" w:sz="0" w:space="0" w:color="auto"/>
        <w:bottom w:val="none" w:sz="0" w:space="0" w:color="auto"/>
        <w:right w:val="none" w:sz="0" w:space="0" w:color="auto"/>
      </w:divBdr>
    </w:div>
    <w:div w:id="2043751329">
      <w:bodyDiv w:val="1"/>
      <w:marLeft w:val="0"/>
      <w:marRight w:val="0"/>
      <w:marTop w:val="0"/>
      <w:marBottom w:val="0"/>
      <w:divBdr>
        <w:top w:val="none" w:sz="0" w:space="0" w:color="auto"/>
        <w:left w:val="none" w:sz="0" w:space="0" w:color="auto"/>
        <w:bottom w:val="none" w:sz="0" w:space="0" w:color="auto"/>
        <w:right w:val="none" w:sz="0" w:space="0" w:color="auto"/>
      </w:divBdr>
    </w:div>
    <w:div w:id="2047564364">
      <w:bodyDiv w:val="1"/>
      <w:marLeft w:val="0"/>
      <w:marRight w:val="0"/>
      <w:marTop w:val="0"/>
      <w:marBottom w:val="0"/>
      <w:divBdr>
        <w:top w:val="none" w:sz="0" w:space="0" w:color="auto"/>
        <w:left w:val="none" w:sz="0" w:space="0" w:color="auto"/>
        <w:bottom w:val="none" w:sz="0" w:space="0" w:color="auto"/>
        <w:right w:val="none" w:sz="0" w:space="0" w:color="auto"/>
      </w:divBdr>
      <w:divsChild>
        <w:div w:id="140923736">
          <w:marLeft w:val="0"/>
          <w:marRight w:val="0"/>
          <w:marTop w:val="0"/>
          <w:marBottom w:val="0"/>
          <w:divBdr>
            <w:top w:val="none" w:sz="0" w:space="0" w:color="auto"/>
            <w:left w:val="none" w:sz="0" w:space="0" w:color="auto"/>
            <w:bottom w:val="none" w:sz="0" w:space="0" w:color="auto"/>
            <w:right w:val="none" w:sz="0" w:space="0" w:color="auto"/>
          </w:divBdr>
        </w:div>
      </w:divsChild>
    </w:div>
    <w:div w:id="2048721388">
      <w:bodyDiv w:val="1"/>
      <w:marLeft w:val="0"/>
      <w:marRight w:val="0"/>
      <w:marTop w:val="0"/>
      <w:marBottom w:val="0"/>
      <w:divBdr>
        <w:top w:val="none" w:sz="0" w:space="0" w:color="auto"/>
        <w:left w:val="none" w:sz="0" w:space="0" w:color="auto"/>
        <w:bottom w:val="none" w:sz="0" w:space="0" w:color="auto"/>
        <w:right w:val="none" w:sz="0" w:space="0" w:color="auto"/>
      </w:divBdr>
      <w:divsChild>
        <w:div w:id="1835338349">
          <w:marLeft w:val="0"/>
          <w:marRight w:val="0"/>
          <w:marTop w:val="0"/>
          <w:marBottom w:val="0"/>
          <w:divBdr>
            <w:top w:val="none" w:sz="0" w:space="0" w:color="auto"/>
            <w:left w:val="none" w:sz="0" w:space="0" w:color="auto"/>
            <w:bottom w:val="none" w:sz="0" w:space="0" w:color="auto"/>
            <w:right w:val="none" w:sz="0" w:space="0" w:color="auto"/>
          </w:divBdr>
        </w:div>
      </w:divsChild>
    </w:div>
    <w:div w:id="2050763586">
      <w:marLeft w:val="0"/>
      <w:marRight w:val="0"/>
      <w:marTop w:val="0"/>
      <w:marBottom w:val="0"/>
      <w:divBdr>
        <w:top w:val="none" w:sz="0" w:space="0" w:color="auto"/>
        <w:left w:val="none" w:sz="0" w:space="0" w:color="auto"/>
        <w:bottom w:val="none" w:sz="0" w:space="0" w:color="auto"/>
        <w:right w:val="none" w:sz="0" w:space="0" w:color="auto"/>
      </w:divBdr>
      <w:divsChild>
        <w:div w:id="428351900">
          <w:marLeft w:val="0"/>
          <w:marRight w:val="0"/>
          <w:marTop w:val="0"/>
          <w:marBottom w:val="0"/>
          <w:divBdr>
            <w:top w:val="none" w:sz="0" w:space="0" w:color="auto"/>
            <w:left w:val="none" w:sz="0" w:space="0" w:color="auto"/>
            <w:bottom w:val="none" w:sz="0" w:space="0" w:color="auto"/>
            <w:right w:val="none" w:sz="0" w:space="0" w:color="auto"/>
          </w:divBdr>
        </w:div>
      </w:divsChild>
    </w:div>
    <w:div w:id="2054689049">
      <w:bodyDiv w:val="1"/>
      <w:marLeft w:val="0"/>
      <w:marRight w:val="0"/>
      <w:marTop w:val="0"/>
      <w:marBottom w:val="0"/>
      <w:divBdr>
        <w:top w:val="none" w:sz="0" w:space="0" w:color="auto"/>
        <w:left w:val="none" w:sz="0" w:space="0" w:color="auto"/>
        <w:bottom w:val="none" w:sz="0" w:space="0" w:color="auto"/>
        <w:right w:val="none" w:sz="0" w:space="0" w:color="auto"/>
      </w:divBdr>
    </w:div>
    <w:div w:id="2058700513">
      <w:bodyDiv w:val="1"/>
      <w:marLeft w:val="0"/>
      <w:marRight w:val="0"/>
      <w:marTop w:val="0"/>
      <w:marBottom w:val="0"/>
      <w:divBdr>
        <w:top w:val="none" w:sz="0" w:space="0" w:color="auto"/>
        <w:left w:val="none" w:sz="0" w:space="0" w:color="auto"/>
        <w:bottom w:val="none" w:sz="0" w:space="0" w:color="auto"/>
        <w:right w:val="none" w:sz="0" w:space="0" w:color="auto"/>
      </w:divBdr>
    </w:div>
    <w:div w:id="2073959749">
      <w:marLeft w:val="0"/>
      <w:marRight w:val="0"/>
      <w:marTop w:val="0"/>
      <w:marBottom w:val="0"/>
      <w:divBdr>
        <w:top w:val="none" w:sz="0" w:space="0" w:color="auto"/>
        <w:left w:val="none" w:sz="0" w:space="0" w:color="auto"/>
        <w:bottom w:val="none" w:sz="0" w:space="0" w:color="auto"/>
        <w:right w:val="none" w:sz="0" w:space="0" w:color="auto"/>
      </w:divBdr>
      <w:divsChild>
        <w:div w:id="1798330921">
          <w:marLeft w:val="0"/>
          <w:marRight w:val="0"/>
          <w:marTop w:val="0"/>
          <w:marBottom w:val="0"/>
          <w:divBdr>
            <w:top w:val="none" w:sz="0" w:space="0" w:color="auto"/>
            <w:left w:val="none" w:sz="0" w:space="0" w:color="auto"/>
            <w:bottom w:val="none" w:sz="0" w:space="0" w:color="auto"/>
            <w:right w:val="none" w:sz="0" w:space="0" w:color="auto"/>
          </w:divBdr>
        </w:div>
      </w:divsChild>
    </w:div>
    <w:div w:id="2074770602">
      <w:bodyDiv w:val="1"/>
      <w:marLeft w:val="0"/>
      <w:marRight w:val="0"/>
      <w:marTop w:val="0"/>
      <w:marBottom w:val="0"/>
      <w:divBdr>
        <w:top w:val="none" w:sz="0" w:space="0" w:color="auto"/>
        <w:left w:val="none" w:sz="0" w:space="0" w:color="auto"/>
        <w:bottom w:val="none" w:sz="0" w:space="0" w:color="auto"/>
        <w:right w:val="none" w:sz="0" w:space="0" w:color="auto"/>
      </w:divBdr>
    </w:div>
    <w:div w:id="2078890676">
      <w:marLeft w:val="0"/>
      <w:marRight w:val="0"/>
      <w:marTop w:val="0"/>
      <w:marBottom w:val="0"/>
      <w:divBdr>
        <w:top w:val="none" w:sz="0" w:space="0" w:color="auto"/>
        <w:left w:val="none" w:sz="0" w:space="0" w:color="auto"/>
        <w:bottom w:val="none" w:sz="0" w:space="0" w:color="auto"/>
        <w:right w:val="none" w:sz="0" w:space="0" w:color="auto"/>
      </w:divBdr>
      <w:divsChild>
        <w:div w:id="1234773321">
          <w:marLeft w:val="0"/>
          <w:marRight w:val="0"/>
          <w:marTop w:val="0"/>
          <w:marBottom w:val="0"/>
          <w:divBdr>
            <w:top w:val="none" w:sz="0" w:space="0" w:color="auto"/>
            <w:left w:val="none" w:sz="0" w:space="0" w:color="auto"/>
            <w:bottom w:val="none" w:sz="0" w:space="0" w:color="auto"/>
            <w:right w:val="none" w:sz="0" w:space="0" w:color="auto"/>
          </w:divBdr>
        </w:div>
      </w:divsChild>
    </w:div>
    <w:div w:id="2090811180">
      <w:bodyDiv w:val="1"/>
      <w:marLeft w:val="0"/>
      <w:marRight w:val="0"/>
      <w:marTop w:val="0"/>
      <w:marBottom w:val="0"/>
      <w:divBdr>
        <w:top w:val="none" w:sz="0" w:space="0" w:color="auto"/>
        <w:left w:val="none" w:sz="0" w:space="0" w:color="auto"/>
        <w:bottom w:val="none" w:sz="0" w:space="0" w:color="auto"/>
        <w:right w:val="none" w:sz="0" w:space="0" w:color="auto"/>
      </w:divBdr>
      <w:divsChild>
        <w:div w:id="1620575028">
          <w:marLeft w:val="0"/>
          <w:marRight w:val="0"/>
          <w:marTop w:val="0"/>
          <w:marBottom w:val="0"/>
          <w:divBdr>
            <w:top w:val="none" w:sz="0" w:space="0" w:color="auto"/>
            <w:left w:val="none" w:sz="0" w:space="0" w:color="auto"/>
            <w:bottom w:val="none" w:sz="0" w:space="0" w:color="auto"/>
            <w:right w:val="none" w:sz="0" w:space="0" w:color="auto"/>
          </w:divBdr>
        </w:div>
      </w:divsChild>
    </w:div>
    <w:div w:id="2094155367">
      <w:bodyDiv w:val="1"/>
      <w:marLeft w:val="0"/>
      <w:marRight w:val="0"/>
      <w:marTop w:val="0"/>
      <w:marBottom w:val="0"/>
      <w:divBdr>
        <w:top w:val="none" w:sz="0" w:space="0" w:color="auto"/>
        <w:left w:val="none" w:sz="0" w:space="0" w:color="auto"/>
        <w:bottom w:val="none" w:sz="0" w:space="0" w:color="auto"/>
        <w:right w:val="none" w:sz="0" w:space="0" w:color="auto"/>
      </w:divBdr>
    </w:div>
    <w:div w:id="2096046849">
      <w:bodyDiv w:val="1"/>
      <w:marLeft w:val="0"/>
      <w:marRight w:val="0"/>
      <w:marTop w:val="0"/>
      <w:marBottom w:val="0"/>
      <w:divBdr>
        <w:top w:val="none" w:sz="0" w:space="0" w:color="auto"/>
        <w:left w:val="none" w:sz="0" w:space="0" w:color="auto"/>
        <w:bottom w:val="none" w:sz="0" w:space="0" w:color="auto"/>
        <w:right w:val="none" w:sz="0" w:space="0" w:color="auto"/>
      </w:divBdr>
    </w:div>
    <w:div w:id="2110275369">
      <w:bodyDiv w:val="1"/>
      <w:marLeft w:val="0"/>
      <w:marRight w:val="0"/>
      <w:marTop w:val="0"/>
      <w:marBottom w:val="0"/>
      <w:divBdr>
        <w:top w:val="none" w:sz="0" w:space="0" w:color="auto"/>
        <w:left w:val="none" w:sz="0" w:space="0" w:color="auto"/>
        <w:bottom w:val="none" w:sz="0" w:space="0" w:color="auto"/>
        <w:right w:val="none" w:sz="0" w:space="0" w:color="auto"/>
      </w:divBdr>
    </w:div>
    <w:div w:id="2115439237">
      <w:marLeft w:val="0"/>
      <w:marRight w:val="0"/>
      <w:marTop w:val="0"/>
      <w:marBottom w:val="0"/>
      <w:divBdr>
        <w:top w:val="none" w:sz="0" w:space="0" w:color="auto"/>
        <w:left w:val="none" w:sz="0" w:space="0" w:color="auto"/>
        <w:bottom w:val="none" w:sz="0" w:space="0" w:color="auto"/>
        <w:right w:val="none" w:sz="0" w:space="0" w:color="auto"/>
      </w:divBdr>
      <w:divsChild>
        <w:div w:id="855652092">
          <w:marLeft w:val="0"/>
          <w:marRight w:val="0"/>
          <w:marTop w:val="0"/>
          <w:marBottom w:val="0"/>
          <w:divBdr>
            <w:top w:val="none" w:sz="0" w:space="0" w:color="auto"/>
            <w:left w:val="none" w:sz="0" w:space="0" w:color="auto"/>
            <w:bottom w:val="none" w:sz="0" w:space="0" w:color="auto"/>
            <w:right w:val="none" w:sz="0" w:space="0" w:color="auto"/>
          </w:divBdr>
        </w:div>
      </w:divsChild>
    </w:div>
    <w:div w:id="2127188389">
      <w:bodyDiv w:val="1"/>
      <w:marLeft w:val="0"/>
      <w:marRight w:val="0"/>
      <w:marTop w:val="0"/>
      <w:marBottom w:val="0"/>
      <w:divBdr>
        <w:top w:val="none" w:sz="0" w:space="0" w:color="auto"/>
        <w:left w:val="none" w:sz="0" w:space="0" w:color="auto"/>
        <w:bottom w:val="none" w:sz="0" w:space="0" w:color="auto"/>
        <w:right w:val="none" w:sz="0" w:space="0" w:color="auto"/>
      </w:divBdr>
      <w:divsChild>
        <w:div w:id="712005685">
          <w:marLeft w:val="0"/>
          <w:marRight w:val="0"/>
          <w:marTop w:val="0"/>
          <w:marBottom w:val="0"/>
          <w:divBdr>
            <w:top w:val="none" w:sz="0" w:space="0" w:color="auto"/>
            <w:left w:val="none" w:sz="0" w:space="0" w:color="auto"/>
            <w:bottom w:val="none" w:sz="0" w:space="0" w:color="auto"/>
            <w:right w:val="none" w:sz="0" w:space="0" w:color="auto"/>
          </w:divBdr>
        </w:div>
      </w:divsChild>
    </w:div>
    <w:div w:id="2130590862">
      <w:bodyDiv w:val="1"/>
      <w:marLeft w:val="0"/>
      <w:marRight w:val="0"/>
      <w:marTop w:val="0"/>
      <w:marBottom w:val="0"/>
      <w:divBdr>
        <w:top w:val="none" w:sz="0" w:space="0" w:color="auto"/>
        <w:left w:val="none" w:sz="0" w:space="0" w:color="auto"/>
        <w:bottom w:val="none" w:sz="0" w:space="0" w:color="auto"/>
        <w:right w:val="none" w:sz="0" w:space="0" w:color="auto"/>
      </w:divBdr>
    </w:div>
    <w:div w:id="2131511850">
      <w:bodyDiv w:val="1"/>
      <w:marLeft w:val="0"/>
      <w:marRight w:val="0"/>
      <w:marTop w:val="0"/>
      <w:marBottom w:val="0"/>
      <w:divBdr>
        <w:top w:val="none" w:sz="0" w:space="0" w:color="auto"/>
        <w:left w:val="none" w:sz="0" w:space="0" w:color="auto"/>
        <w:bottom w:val="none" w:sz="0" w:space="0" w:color="auto"/>
        <w:right w:val="none" w:sz="0" w:space="0" w:color="auto"/>
      </w:divBdr>
      <w:divsChild>
        <w:div w:id="478110529">
          <w:marLeft w:val="0"/>
          <w:marRight w:val="0"/>
          <w:marTop w:val="0"/>
          <w:marBottom w:val="0"/>
          <w:divBdr>
            <w:top w:val="none" w:sz="0" w:space="0" w:color="auto"/>
            <w:left w:val="none" w:sz="0" w:space="0" w:color="auto"/>
            <w:bottom w:val="none" w:sz="0" w:space="0" w:color="auto"/>
            <w:right w:val="none" w:sz="0" w:space="0" w:color="auto"/>
          </w:divBdr>
        </w:div>
        <w:div w:id="1802267027">
          <w:marLeft w:val="0"/>
          <w:marRight w:val="0"/>
          <w:marTop w:val="0"/>
          <w:marBottom w:val="0"/>
          <w:divBdr>
            <w:top w:val="none" w:sz="0" w:space="0" w:color="auto"/>
            <w:left w:val="none" w:sz="0" w:space="0" w:color="auto"/>
            <w:bottom w:val="none" w:sz="0" w:space="0" w:color="auto"/>
            <w:right w:val="none" w:sz="0" w:space="0" w:color="auto"/>
          </w:divBdr>
        </w:div>
      </w:divsChild>
    </w:div>
    <w:div w:id="2131630269">
      <w:bodyDiv w:val="1"/>
      <w:marLeft w:val="0"/>
      <w:marRight w:val="0"/>
      <w:marTop w:val="0"/>
      <w:marBottom w:val="0"/>
      <w:divBdr>
        <w:top w:val="none" w:sz="0" w:space="0" w:color="auto"/>
        <w:left w:val="none" w:sz="0" w:space="0" w:color="auto"/>
        <w:bottom w:val="none" w:sz="0" w:space="0" w:color="auto"/>
        <w:right w:val="none" w:sz="0" w:space="0" w:color="auto"/>
      </w:divBdr>
      <w:divsChild>
        <w:div w:id="1866677786">
          <w:marLeft w:val="0"/>
          <w:marRight w:val="0"/>
          <w:marTop w:val="0"/>
          <w:marBottom w:val="0"/>
          <w:divBdr>
            <w:top w:val="none" w:sz="0" w:space="0" w:color="auto"/>
            <w:left w:val="none" w:sz="0" w:space="0" w:color="auto"/>
            <w:bottom w:val="none" w:sz="0" w:space="0" w:color="auto"/>
            <w:right w:val="none" w:sz="0" w:space="0" w:color="auto"/>
          </w:divBdr>
          <w:divsChild>
            <w:div w:id="672029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7065439">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image" Target="media/image75.png"/><Relationship Id="rId21" Type="http://schemas.openxmlformats.org/officeDocument/2006/relationships/image" Target="media/image6.emf"/><Relationship Id="rId42" Type="http://schemas.openxmlformats.org/officeDocument/2006/relationships/hyperlink" Target="https://pjenlinea3.poder-judicial.go.cr/SitioExternoPEI" TargetMode="External"/><Relationship Id="rId63" Type="http://schemas.openxmlformats.org/officeDocument/2006/relationships/image" Target="media/image28.png"/><Relationship Id="rId84" Type="http://schemas.openxmlformats.org/officeDocument/2006/relationships/image" Target="media/image44.png"/><Relationship Id="rId138" Type="http://schemas.openxmlformats.org/officeDocument/2006/relationships/image" Target="media/image96.png"/><Relationship Id="rId159" Type="http://schemas.openxmlformats.org/officeDocument/2006/relationships/hyperlink" Target="http://sjoreportes01/ReportServer?%2FReportesPEI%2FRP_BuscarAvanceResponsableEstrategico&amp;pTN_Anno=2019&amp;pTF_Fecha_Consulta=24%2F01%2F2020&amp;Id_Responsable=524&amp;rs%3AParameterLanguage=" TargetMode="External"/><Relationship Id="rId170" Type="http://schemas.openxmlformats.org/officeDocument/2006/relationships/hyperlink" Target="http://sjoreportes01/ReportServer?%2FReportesPEI%2FRP_BuscarAvanceResponsableEstrategico&amp;pTN_Anno=2019&amp;pTF_Fecha_Consulta=24%2F01%2F2020&amp;Id_Responsable=458&amp;rs%3AParameterLanguage=" TargetMode="External"/><Relationship Id="rId191" Type="http://schemas.openxmlformats.org/officeDocument/2006/relationships/image" Target="media/image112.emf"/><Relationship Id="rId205" Type="http://schemas.openxmlformats.org/officeDocument/2006/relationships/image" Target="media/image117.png"/><Relationship Id="rId226" Type="http://schemas.openxmlformats.org/officeDocument/2006/relationships/fontTable" Target="fontTable.xml"/><Relationship Id="rId107" Type="http://schemas.openxmlformats.org/officeDocument/2006/relationships/image" Target="media/image65.png"/><Relationship Id="rId11" Type="http://schemas.openxmlformats.org/officeDocument/2006/relationships/image" Target="media/image1.emf"/><Relationship Id="rId32" Type="http://schemas.openxmlformats.org/officeDocument/2006/relationships/oleObject" Target="embeddings/oleObject11.bin"/><Relationship Id="rId53" Type="http://schemas.openxmlformats.org/officeDocument/2006/relationships/image" Target="media/image18.png"/><Relationship Id="rId74" Type="http://schemas.openxmlformats.org/officeDocument/2006/relationships/image" Target="media/image39.png"/><Relationship Id="rId128" Type="http://schemas.openxmlformats.org/officeDocument/2006/relationships/image" Target="media/image86.png"/><Relationship Id="rId149" Type="http://schemas.openxmlformats.org/officeDocument/2006/relationships/image" Target="media/image105.png"/><Relationship Id="rId5" Type="http://schemas.openxmlformats.org/officeDocument/2006/relationships/numbering" Target="numbering.xml"/><Relationship Id="rId95" Type="http://schemas.openxmlformats.org/officeDocument/2006/relationships/image" Target="media/image53.png"/><Relationship Id="rId160" Type="http://schemas.openxmlformats.org/officeDocument/2006/relationships/hyperlink" Target="http://sjoreportes01/ReportServer?%2FReportesPEI%2FRP_BuscarAvanceResponsableEstrategico&amp;pTN_Anno=2019&amp;pTF_Fecha_Consulta=24%2F01%2F2020&amp;Id_Responsable=480&amp;rs%3AParameterLanguage=" TargetMode="External"/><Relationship Id="rId181" Type="http://schemas.openxmlformats.org/officeDocument/2006/relationships/image" Target="media/image107.emf"/><Relationship Id="rId216" Type="http://schemas.openxmlformats.org/officeDocument/2006/relationships/image" Target="media/image123.png"/><Relationship Id="rId22" Type="http://schemas.openxmlformats.org/officeDocument/2006/relationships/oleObject" Target="embeddings/oleObject6.bin"/><Relationship Id="rId43" Type="http://schemas.openxmlformats.org/officeDocument/2006/relationships/hyperlink" Target="https://www.poder-judicial.go.cr/planificacion/index.php/subproceso-evaluacion/evaluacion-plan-estrategico" TargetMode="External"/><Relationship Id="rId64" Type="http://schemas.openxmlformats.org/officeDocument/2006/relationships/image" Target="media/image29.png"/><Relationship Id="rId118" Type="http://schemas.openxmlformats.org/officeDocument/2006/relationships/image" Target="media/image76.png"/><Relationship Id="rId139" Type="http://schemas.openxmlformats.org/officeDocument/2006/relationships/image" Target="media/image97.png"/><Relationship Id="rId85" Type="http://schemas.openxmlformats.org/officeDocument/2006/relationships/image" Target="media/image45.png"/><Relationship Id="rId150" Type="http://schemas.openxmlformats.org/officeDocument/2006/relationships/hyperlink" Target="http://sjoreportes01/ReportServer?%2FReportesPEI%2FRP_BuscarAvanceResponsableEstrategico&amp;pTN_Anno=2019&amp;pTF_Fecha_Consulta=24%2F01%2F2020&amp;Id_Responsable=482&amp;rs%3AParameterLanguage=" TargetMode="External"/><Relationship Id="rId171" Type="http://schemas.openxmlformats.org/officeDocument/2006/relationships/hyperlink" Target="http://sjoreportes01/ReportServer?%2FReportesPEI%2FRP_BuscarAvanceResponsableEstrategico&amp;pTN_Anno=2019&amp;pTF_Fecha_Consulta=24%2F01%2F2020&amp;Id_Responsable=111&amp;rs%3AParameterLanguage=" TargetMode="External"/><Relationship Id="rId192" Type="http://schemas.openxmlformats.org/officeDocument/2006/relationships/oleObject" Target="embeddings/oleObject20.bin"/><Relationship Id="rId206" Type="http://schemas.openxmlformats.org/officeDocument/2006/relationships/image" Target="media/image118.png"/><Relationship Id="rId227" Type="http://schemas.openxmlformats.org/officeDocument/2006/relationships/theme" Target="theme/theme1.xml"/><Relationship Id="rId12" Type="http://schemas.openxmlformats.org/officeDocument/2006/relationships/oleObject" Target="embeddings/oleObject1.bin"/><Relationship Id="rId33" Type="http://schemas.openxmlformats.org/officeDocument/2006/relationships/image" Target="media/image12.emf"/><Relationship Id="rId108" Type="http://schemas.openxmlformats.org/officeDocument/2006/relationships/image" Target="media/image66.png"/><Relationship Id="rId129" Type="http://schemas.openxmlformats.org/officeDocument/2006/relationships/image" Target="media/image87.png"/><Relationship Id="rId54" Type="http://schemas.openxmlformats.org/officeDocument/2006/relationships/image" Target="media/image19.png"/><Relationship Id="rId75" Type="http://schemas.openxmlformats.org/officeDocument/2006/relationships/image" Target="media/image40.png"/><Relationship Id="rId96" Type="http://schemas.openxmlformats.org/officeDocument/2006/relationships/image" Target="media/image54.png"/><Relationship Id="rId140" Type="http://schemas.openxmlformats.org/officeDocument/2006/relationships/image" Target="media/image98.png"/><Relationship Id="rId161" Type="http://schemas.openxmlformats.org/officeDocument/2006/relationships/hyperlink" Target="http://sjoreportes01/ReportServer?%2FReportesPEI%2FRP_BuscarAvanceResponsableEstrategico&amp;pTN_Anno=2019&amp;pTF_Fecha_Consulta=24%2F01%2F2020&amp;Id_Responsable=91&amp;rs%3AParameterLanguage=" TargetMode="External"/><Relationship Id="rId182" Type="http://schemas.openxmlformats.org/officeDocument/2006/relationships/oleObject" Target="embeddings/oleObject15.bin"/><Relationship Id="rId217" Type="http://schemas.openxmlformats.org/officeDocument/2006/relationships/oleObject" Target="embeddings/oleObject26.bin"/><Relationship Id="rId6" Type="http://schemas.openxmlformats.org/officeDocument/2006/relationships/styles" Target="styles.xml"/><Relationship Id="rId23" Type="http://schemas.openxmlformats.org/officeDocument/2006/relationships/image" Target="media/image7.emf"/><Relationship Id="rId119" Type="http://schemas.openxmlformats.org/officeDocument/2006/relationships/image" Target="media/image77.png"/><Relationship Id="rId44" Type="http://schemas.openxmlformats.org/officeDocument/2006/relationships/header" Target="header1.xml"/><Relationship Id="rId65" Type="http://schemas.openxmlformats.org/officeDocument/2006/relationships/image" Target="media/image30.png"/><Relationship Id="rId86" Type="http://schemas.openxmlformats.org/officeDocument/2006/relationships/image" Target="media/image46.png"/><Relationship Id="rId130" Type="http://schemas.openxmlformats.org/officeDocument/2006/relationships/image" Target="media/image88.png"/><Relationship Id="rId151" Type="http://schemas.openxmlformats.org/officeDocument/2006/relationships/hyperlink" Target="http://sjoreportes01/ReportServer?%2FReportesPEI%2FRP_BuscarAvanceResponsableEstrategico&amp;pTN_Anno=2019&amp;pTF_Fecha_Consulta=24%2F01%2F2020&amp;Id_Responsable=483&amp;rs%3AParameterLanguage=" TargetMode="External"/><Relationship Id="rId172" Type="http://schemas.openxmlformats.org/officeDocument/2006/relationships/hyperlink" Target="http://sjoreportes01/ReportServer?%2FReportesPEI%2FRP_BuscarAvanceResponsableEstrategico&amp;pTN_Anno=2019&amp;pTF_Fecha_Consulta=24%2F01%2F2020&amp;Id_Responsable=20&amp;rs%3AParameterLanguage=" TargetMode="External"/><Relationship Id="rId193" Type="http://schemas.openxmlformats.org/officeDocument/2006/relationships/image" Target="media/image113.emf"/><Relationship Id="rId207" Type="http://schemas.openxmlformats.org/officeDocument/2006/relationships/oleObject" Target="embeddings/oleObject21.bin"/><Relationship Id="rId13" Type="http://schemas.openxmlformats.org/officeDocument/2006/relationships/image" Target="media/image2.emf"/><Relationship Id="rId109" Type="http://schemas.openxmlformats.org/officeDocument/2006/relationships/image" Target="media/image67.png"/><Relationship Id="rId34" Type="http://schemas.openxmlformats.org/officeDocument/2006/relationships/oleObject" Target="embeddings/oleObject12.bin"/><Relationship Id="rId55" Type="http://schemas.openxmlformats.org/officeDocument/2006/relationships/image" Target="media/image20.png"/><Relationship Id="rId76" Type="http://schemas.openxmlformats.org/officeDocument/2006/relationships/image" Target="media/image41.png"/><Relationship Id="rId97" Type="http://schemas.openxmlformats.org/officeDocument/2006/relationships/image" Target="media/image55.png"/><Relationship Id="rId120" Type="http://schemas.openxmlformats.org/officeDocument/2006/relationships/image" Target="media/image78.png"/><Relationship Id="rId141" Type="http://schemas.openxmlformats.org/officeDocument/2006/relationships/image" Target="media/image99.png"/><Relationship Id="rId7" Type="http://schemas.openxmlformats.org/officeDocument/2006/relationships/settings" Target="settings.xml"/><Relationship Id="rId162" Type="http://schemas.openxmlformats.org/officeDocument/2006/relationships/hyperlink" Target="http://sjoreportes01/ReportServer?%2FReportesPEI%2FRP_BuscarAvanceResponsableEstrategico&amp;pTN_Anno=2019&amp;pTF_Fecha_Consulta=24%2F01%2F2020&amp;Id_Responsable=728&amp;rs%3AParameterLanguage=" TargetMode="External"/><Relationship Id="rId183" Type="http://schemas.openxmlformats.org/officeDocument/2006/relationships/image" Target="media/image108.emf"/><Relationship Id="rId218" Type="http://schemas.openxmlformats.org/officeDocument/2006/relationships/image" Target="media/image124.png"/><Relationship Id="rId24" Type="http://schemas.openxmlformats.org/officeDocument/2006/relationships/oleObject" Target="embeddings/oleObject7.bin"/><Relationship Id="rId45" Type="http://schemas.openxmlformats.org/officeDocument/2006/relationships/header" Target="header2.xml"/><Relationship Id="rId66" Type="http://schemas.openxmlformats.org/officeDocument/2006/relationships/image" Target="media/image31.png"/><Relationship Id="rId87" Type="http://schemas.openxmlformats.org/officeDocument/2006/relationships/hyperlink" Target="https://sitiooij.poder-judicial.go.cr/index.php/apertura/transparencia/rendicion-de-cuentas" TargetMode="External"/><Relationship Id="rId110" Type="http://schemas.openxmlformats.org/officeDocument/2006/relationships/image" Target="media/image68.png"/><Relationship Id="rId131" Type="http://schemas.openxmlformats.org/officeDocument/2006/relationships/image" Target="media/image89.png"/><Relationship Id="rId152" Type="http://schemas.openxmlformats.org/officeDocument/2006/relationships/hyperlink" Target="http://sjoreportes01/ReportServer?%2FReportesPEI%2FRP_BuscarAvanceResponsableEstrategico&amp;pTN_Anno=2019&amp;pTF_Fecha_Consulta=24%2F01%2F2020&amp;Id_Responsable=17&amp;rs%3AParameterLanguage=" TargetMode="External"/><Relationship Id="rId173" Type="http://schemas.openxmlformats.org/officeDocument/2006/relationships/hyperlink" Target="http://sjoreportes01/ReportServer?%2FReportesPEI%2FRP_BuscarAvanceResponsableEstrategico&amp;pTN_Anno=2019&amp;pTF_Fecha_Consulta=24%2F01%2F2020&amp;Id_Responsable=947&amp;rs%3AParameterLanguage=" TargetMode="External"/><Relationship Id="rId194" Type="http://schemas.openxmlformats.org/officeDocument/2006/relationships/package" Target="embeddings/Presentaci_n_de_Microsoft_PowerPoint.pptx"/><Relationship Id="rId208" Type="http://schemas.openxmlformats.org/officeDocument/2006/relationships/image" Target="media/image119.png"/><Relationship Id="rId14" Type="http://schemas.openxmlformats.org/officeDocument/2006/relationships/oleObject" Target="embeddings/oleObject2.bin"/><Relationship Id="rId35" Type="http://schemas.openxmlformats.org/officeDocument/2006/relationships/image" Target="media/image13.emf"/><Relationship Id="rId56" Type="http://schemas.openxmlformats.org/officeDocument/2006/relationships/image" Target="media/image21.png"/><Relationship Id="rId77" Type="http://schemas.openxmlformats.org/officeDocument/2006/relationships/image" Target="media/image42.png"/><Relationship Id="rId100" Type="http://schemas.openxmlformats.org/officeDocument/2006/relationships/image" Target="media/image58.png"/><Relationship Id="rId8" Type="http://schemas.openxmlformats.org/officeDocument/2006/relationships/webSettings" Target="webSettings.xml"/><Relationship Id="rId98" Type="http://schemas.openxmlformats.org/officeDocument/2006/relationships/image" Target="media/image56.png"/><Relationship Id="rId121" Type="http://schemas.openxmlformats.org/officeDocument/2006/relationships/image" Target="media/image79.png"/><Relationship Id="rId142" Type="http://schemas.openxmlformats.org/officeDocument/2006/relationships/image" Target="media/image100.png"/><Relationship Id="rId163" Type="http://schemas.openxmlformats.org/officeDocument/2006/relationships/hyperlink" Target="http://sjoreportes01/ReportServer?%2FReportesPEI%2FRP_BuscarAvanceResponsableEstrategico&amp;pTN_Anno=2019&amp;pTF_Fecha_Consulta=24%2F01%2F2020&amp;Id_Responsable=18&amp;rs%3AParameterLanguage=" TargetMode="External"/><Relationship Id="rId184" Type="http://schemas.openxmlformats.org/officeDocument/2006/relationships/oleObject" Target="embeddings/oleObject16.bin"/><Relationship Id="rId219" Type="http://schemas.openxmlformats.org/officeDocument/2006/relationships/oleObject" Target="embeddings/oleObject27.bin"/><Relationship Id="rId3" Type="http://schemas.openxmlformats.org/officeDocument/2006/relationships/customXml" Target="../customXml/item3.xml"/><Relationship Id="rId214" Type="http://schemas.openxmlformats.org/officeDocument/2006/relationships/image" Target="media/image122.png"/><Relationship Id="rId25" Type="http://schemas.openxmlformats.org/officeDocument/2006/relationships/image" Target="media/image8.emf"/><Relationship Id="rId46" Type="http://schemas.openxmlformats.org/officeDocument/2006/relationships/footer" Target="footer1.xml"/><Relationship Id="rId67" Type="http://schemas.openxmlformats.org/officeDocument/2006/relationships/image" Target="media/image32.png"/><Relationship Id="rId116" Type="http://schemas.openxmlformats.org/officeDocument/2006/relationships/image" Target="media/image74.png"/><Relationship Id="rId137" Type="http://schemas.openxmlformats.org/officeDocument/2006/relationships/image" Target="media/image95.png"/><Relationship Id="rId158" Type="http://schemas.openxmlformats.org/officeDocument/2006/relationships/hyperlink" Target="http://sjoreportes01/ReportServer?%2FReportesPEI%2FRP_BuscarAvanceResponsableEstrategico&amp;pTN_Anno=2019&amp;pTF_Fecha_Consulta=24%2F01%2F2020&amp;Id_Responsable=740&amp;rs%3AParameterLanguage=" TargetMode="External"/><Relationship Id="rId20" Type="http://schemas.openxmlformats.org/officeDocument/2006/relationships/oleObject" Target="embeddings/oleObject5.bin"/><Relationship Id="rId41" Type="http://schemas.openxmlformats.org/officeDocument/2006/relationships/hyperlink" Target="https://pei.poder-judicial.go.cr/" TargetMode="External"/><Relationship Id="rId62" Type="http://schemas.openxmlformats.org/officeDocument/2006/relationships/image" Target="media/image27.png"/><Relationship Id="rId83" Type="http://schemas.openxmlformats.org/officeDocument/2006/relationships/image" Target="media/image43.png"/><Relationship Id="rId88" Type="http://schemas.openxmlformats.org/officeDocument/2006/relationships/image" Target="media/image47.png"/><Relationship Id="rId111" Type="http://schemas.openxmlformats.org/officeDocument/2006/relationships/image" Target="media/image69.png"/><Relationship Id="rId132" Type="http://schemas.openxmlformats.org/officeDocument/2006/relationships/image" Target="media/image90.png"/><Relationship Id="rId153" Type="http://schemas.openxmlformats.org/officeDocument/2006/relationships/hyperlink" Target="http://sjoreportes01/ReportServer?%2FReportesPEI%2FRP_BuscarAvanceResponsableEstrategico&amp;pTN_Anno=2019&amp;pTF_Fecha_Consulta=24%2F01%2F2020&amp;Id_Responsable=28&amp;rs%3AParameterLanguage=" TargetMode="External"/><Relationship Id="rId174" Type="http://schemas.openxmlformats.org/officeDocument/2006/relationships/hyperlink" Target="http://sjoreportes01/ReportServer?%2FReportesPEI%2FRP_BuscarAvanceResponsableEstrategico&amp;pTN_Anno=2019&amp;pTF_Fecha_Consulta=24%2F01%2F2020&amp;Id_Responsable=2&amp;rs%3AParameterLanguage=" TargetMode="External"/><Relationship Id="rId179" Type="http://schemas.openxmlformats.org/officeDocument/2006/relationships/image" Target="media/image106.emf"/><Relationship Id="rId195" Type="http://schemas.openxmlformats.org/officeDocument/2006/relationships/hyperlink" Target="https://pei.poder-judicial.go.cr/" TargetMode="External"/><Relationship Id="rId209" Type="http://schemas.openxmlformats.org/officeDocument/2006/relationships/oleObject" Target="embeddings/oleObject22.bin"/><Relationship Id="R6e225762a6824926" Type="http://schemas.microsoft.com/office/2019/09/relationships/intelligence" Target="intelligence.xml"/><Relationship Id="rId190" Type="http://schemas.openxmlformats.org/officeDocument/2006/relationships/oleObject" Target="embeddings/oleObject19.bin"/><Relationship Id="rId204" Type="http://schemas.openxmlformats.org/officeDocument/2006/relationships/image" Target="media/image116.png"/><Relationship Id="rId220" Type="http://schemas.openxmlformats.org/officeDocument/2006/relationships/image" Target="media/image125.emf"/><Relationship Id="rId225" Type="http://schemas.openxmlformats.org/officeDocument/2006/relationships/package" Target="embeddings/Documento_de_Microsoft_Word1.docx"/><Relationship Id="rId15" Type="http://schemas.openxmlformats.org/officeDocument/2006/relationships/image" Target="media/image3.emf"/><Relationship Id="rId36" Type="http://schemas.openxmlformats.org/officeDocument/2006/relationships/oleObject" Target="embeddings/oleObject13.bin"/><Relationship Id="rId57" Type="http://schemas.openxmlformats.org/officeDocument/2006/relationships/image" Target="media/image22.png"/><Relationship Id="rId106" Type="http://schemas.openxmlformats.org/officeDocument/2006/relationships/image" Target="media/image64.png"/><Relationship Id="rId127" Type="http://schemas.openxmlformats.org/officeDocument/2006/relationships/image" Target="media/image85.png"/><Relationship Id="rId10" Type="http://schemas.openxmlformats.org/officeDocument/2006/relationships/endnotes" Target="endnotes.xml"/><Relationship Id="rId31" Type="http://schemas.openxmlformats.org/officeDocument/2006/relationships/image" Target="media/image11.emf"/><Relationship Id="rId52" Type="http://schemas.openxmlformats.org/officeDocument/2006/relationships/hyperlink" Target="http://sjodfspro01/Docs_Sice/110/2020/06/15/329907187.docx" TargetMode="External"/><Relationship Id="rId73" Type="http://schemas.openxmlformats.org/officeDocument/2006/relationships/image" Target="media/image38.png"/><Relationship Id="rId78" Type="http://schemas.openxmlformats.org/officeDocument/2006/relationships/header" Target="header4.xml"/><Relationship Id="rId94" Type="http://schemas.openxmlformats.org/officeDocument/2006/relationships/image" Target="media/image52.png"/><Relationship Id="rId99" Type="http://schemas.openxmlformats.org/officeDocument/2006/relationships/image" Target="media/image57.png"/><Relationship Id="rId101" Type="http://schemas.openxmlformats.org/officeDocument/2006/relationships/image" Target="media/image59.png"/><Relationship Id="rId122" Type="http://schemas.openxmlformats.org/officeDocument/2006/relationships/image" Target="media/image80.png"/><Relationship Id="rId143" Type="http://schemas.openxmlformats.org/officeDocument/2006/relationships/image" Target="media/image101.jpeg"/><Relationship Id="rId148" Type="http://schemas.openxmlformats.org/officeDocument/2006/relationships/hyperlink" Target="https://www.poder-judicial.go.cr/planificacion/index.php/planificacionestrategica/politicas-institucionales" TargetMode="External"/><Relationship Id="rId164" Type="http://schemas.openxmlformats.org/officeDocument/2006/relationships/hyperlink" Target="http://sjoreportes01/ReportServer?%2FReportesPEI%2FRP_BuscarAvanceResponsableEstrategico&amp;pTN_Anno=2019&amp;pTF_Fecha_Consulta=24%2F01%2F2020&amp;Id_Responsable=98&amp;rs%3AParameterLanguage=" TargetMode="External"/><Relationship Id="rId169" Type="http://schemas.openxmlformats.org/officeDocument/2006/relationships/hyperlink" Target="http://sjoreportes01/ReportServer?%2FReportesPEI%2FRP_BuscarAvanceResponsableEstrategico&amp;pTN_Anno=2019&amp;pTF_Fecha_Consulta=24%2F01%2F2020&amp;Id_Responsable=961&amp;rs%3AParameterLanguage=" TargetMode="External"/><Relationship Id="rId185" Type="http://schemas.openxmlformats.org/officeDocument/2006/relationships/image" Target="media/image109.emf"/><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oleObject" Target="embeddings/oleObject14.bin"/><Relationship Id="rId210" Type="http://schemas.openxmlformats.org/officeDocument/2006/relationships/image" Target="media/image120.png"/><Relationship Id="rId215" Type="http://schemas.openxmlformats.org/officeDocument/2006/relationships/oleObject" Target="embeddings/oleObject25.bin"/><Relationship Id="rId26" Type="http://schemas.openxmlformats.org/officeDocument/2006/relationships/oleObject" Target="embeddings/oleObject8.bin"/><Relationship Id="rId47" Type="http://schemas.openxmlformats.org/officeDocument/2006/relationships/footer" Target="footer2.xml"/><Relationship Id="rId68" Type="http://schemas.openxmlformats.org/officeDocument/2006/relationships/image" Target="media/image33.png"/><Relationship Id="rId89" Type="http://schemas.openxmlformats.org/officeDocument/2006/relationships/hyperlink" Target="https://planificacion.poder-judicial.go.cr/index.php/estadisticas-e-indicadores" TargetMode="External"/><Relationship Id="rId112" Type="http://schemas.openxmlformats.org/officeDocument/2006/relationships/image" Target="media/image70.png"/><Relationship Id="rId133" Type="http://schemas.openxmlformats.org/officeDocument/2006/relationships/image" Target="media/image91.png"/><Relationship Id="rId154" Type="http://schemas.openxmlformats.org/officeDocument/2006/relationships/hyperlink" Target="http://sjoreportes01/ReportServer?%2FReportesPEI%2FRP_BuscarAvanceResponsableEstrategico&amp;pTN_Anno=2019&amp;pTF_Fecha_Consulta=24%2F01%2F2020&amp;Id_Responsable=7&amp;rs%3AParameterLanguage=" TargetMode="External"/><Relationship Id="rId175" Type="http://schemas.openxmlformats.org/officeDocument/2006/relationships/hyperlink" Target="http://sjoreportes01/ReportServer?%2FReportesPEI%2FRP_BuscarAvanceResponsableEstrategico&amp;pTN_Anno=2019&amp;pTF_Fecha_Consulta=24%2F01%2F2020&amp;Id_Responsable=133&amp;rs%3AParameterLanguage=" TargetMode="External"/><Relationship Id="rId196" Type="http://schemas.openxmlformats.org/officeDocument/2006/relationships/hyperlink" Target="https://pjenlinea3.poder-judicial.go.cr/SitioExternoPEI" TargetMode="External"/><Relationship Id="rId200" Type="http://schemas.openxmlformats.org/officeDocument/2006/relationships/footer" Target="footer7.xml"/><Relationship Id="rId16" Type="http://schemas.openxmlformats.org/officeDocument/2006/relationships/oleObject" Target="embeddings/oleObject3.bin"/><Relationship Id="rId221" Type="http://schemas.openxmlformats.org/officeDocument/2006/relationships/package" Target="embeddings/Hoja_de_c_lculo_de_Microsoft_Excel.xlsx"/><Relationship Id="rId37" Type="http://schemas.openxmlformats.org/officeDocument/2006/relationships/image" Target="media/image14.png"/><Relationship Id="rId58" Type="http://schemas.openxmlformats.org/officeDocument/2006/relationships/image" Target="media/image23.png"/><Relationship Id="rId79" Type="http://schemas.openxmlformats.org/officeDocument/2006/relationships/header" Target="header5.xml"/><Relationship Id="rId102" Type="http://schemas.openxmlformats.org/officeDocument/2006/relationships/image" Target="media/image60.png"/><Relationship Id="rId123" Type="http://schemas.openxmlformats.org/officeDocument/2006/relationships/image" Target="media/image81.png"/><Relationship Id="rId144" Type="http://schemas.openxmlformats.org/officeDocument/2006/relationships/image" Target="cid:image001.jpg@01D76E9A.6A11F660" TargetMode="External"/><Relationship Id="rId90" Type="http://schemas.openxmlformats.org/officeDocument/2006/relationships/image" Target="media/image48.png"/><Relationship Id="rId165" Type="http://schemas.openxmlformats.org/officeDocument/2006/relationships/hyperlink" Target="http://sjoreportes01/ReportServer?%2FReportesPEI%2FRP_BuscarAvanceResponsableEstrategico&amp;pTN_Anno=2019&amp;pTF_Fecha_Consulta=24%2F01%2F2020&amp;Id_Responsable=23&amp;rs%3AParameterLanguage=" TargetMode="External"/><Relationship Id="rId186" Type="http://schemas.openxmlformats.org/officeDocument/2006/relationships/oleObject" Target="embeddings/oleObject17.bin"/><Relationship Id="rId211" Type="http://schemas.openxmlformats.org/officeDocument/2006/relationships/oleObject" Target="embeddings/oleObject23.bin"/><Relationship Id="rId27" Type="http://schemas.openxmlformats.org/officeDocument/2006/relationships/image" Target="media/image9.emf"/><Relationship Id="rId48" Type="http://schemas.openxmlformats.org/officeDocument/2006/relationships/header" Target="header3.xml"/><Relationship Id="rId69" Type="http://schemas.openxmlformats.org/officeDocument/2006/relationships/image" Target="media/image34.png"/><Relationship Id="rId113" Type="http://schemas.openxmlformats.org/officeDocument/2006/relationships/image" Target="media/image71.png"/><Relationship Id="rId134" Type="http://schemas.openxmlformats.org/officeDocument/2006/relationships/image" Target="media/image92.png"/><Relationship Id="rId80" Type="http://schemas.openxmlformats.org/officeDocument/2006/relationships/footer" Target="footer4.xml"/><Relationship Id="rId155" Type="http://schemas.openxmlformats.org/officeDocument/2006/relationships/hyperlink" Target="http://sjoreportes01/ReportServer?%2FReportesPEI%2FRP_BuscarAvanceResponsableEstrategico&amp;pTN_Anno=2019&amp;pTF_Fecha_Consulta=24%2F01%2F2020&amp;Id_Responsable=4&amp;rs%3AParameterLanguage=" TargetMode="External"/><Relationship Id="rId176" Type="http://schemas.openxmlformats.org/officeDocument/2006/relationships/hyperlink" Target="http://sjoreportes01/ReportServer?%2FReportesPEI%2FRP_BuscarAvanceResponsableEstrategico&amp;pTN_Anno=2019&amp;pTF_Fecha_Consulta=24%2F01%2F2020&amp;Id_Responsable=97&amp;rs%3AParameterLanguage=" TargetMode="External"/><Relationship Id="rId197" Type="http://schemas.openxmlformats.org/officeDocument/2006/relationships/header" Target="header7.xml"/><Relationship Id="rId201" Type="http://schemas.openxmlformats.org/officeDocument/2006/relationships/header" Target="header9.xml"/><Relationship Id="rId222" Type="http://schemas.openxmlformats.org/officeDocument/2006/relationships/image" Target="media/image126.emf"/><Relationship Id="rId17" Type="http://schemas.openxmlformats.org/officeDocument/2006/relationships/image" Target="media/image4.emf"/><Relationship Id="rId38" Type="http://schemas.openxmlformats.org/officeDocument/2006/relationships/image" Target="cid:image001.png@01D76E6B.BEB1AC30" TargetMode="External"/><Relationship Id="rId59" Type="http://schemas.openxmlformats.org/officeDocument/2006/relationships/image" Target="media/image24.png"/><Relationship Id="rId103" Type="http://schemas.openxmlformats.org/officeDocument/2006/relationships/image" Target="media/image61.png"/><Relationship Id="rId124" Type="http://schemas.openxmlformats.org/officeDocument/2006/relationships/image" Target="media/image82.png"/><Relationship Id="rId70" Type="http://schemas.openxmlformats.org/officeDocument/2006/relationships/image" Target="media/image35.png"/><Relationship Id="rId91" Type="http://schemas.openxmlformats.org/officeDocument/2006/relationships/image" Target="media/image49.png"/><Relationship Id="rId145" Type="http://schemas.openxmlformats.org/officeDocument/2006/relationships/image" Target="media/image102.png"/><Relationship Id="rId166" Type="http://schemas.openxmlformats.org/officeDocument/2006/relationships/hyperlink" Target="http://sjoreportes01/ReportServer?%2FReportesPEI%2FRP_BuscarAvanceResponsableEstrategico&amp;pTN_Anno=2019&amp;pTF_Fecha_Consulta=24%2F01%2F2020&amp;Id_Responsable=966&amp;rs%3AParameterLanguage=" TargetMode="External"/><Relationship Id="rId187" Type="http://schemas.openxmlformats.org/officeDocument/2006/relationships/image" Target="media/image110.emf"/><Relationship Id="rId1" Type="http://schemas.openxmlformats.org/officeDocument/2006/relationships/customXml" Target="../customXml/item1.xml"/><Relationship Id="rId212" Type="http://schemas.openxmlformats.org/officeDocument/2006/relationships/image" Target="media/image121.png"/><Relationship Id="rId28" Type="http://schemas.openxmlformats.org/officeDocument/2006/relationships/oleObject" Target="embeddings/oleObject9.bin"/><Relationship Id="rId49" Type="http://schemas.openxmlformats.org/officeDocument/2006/relationships/footer" Target="footer3.xml"/><Relationship Id="rId114" Type="http://schemas.openxmlformats.org/officeDocument/2006/relationships/image" Target="media/image72.png"/><Relationship Id="rId60" Type="http://schemas.openxmlformats.org/officeDocument/2006/relationships/image" Target="media/image25.png"/><Relationship Id="rId81" Type="http://schemas.openxmlformats.org/officeDocument/2006/relationships/footer" Target="footer5.xml"/><Relationship Id="rId135" Type="http://schemas.openxmlformats.org/officeDocument/2006/relationships/image" Target="media/image93.png"/><Relationship Id="rId156" Type="http://schemas.openxmlformats.org/officeDocument/2006/relationships/hyperlink" Target="http://sjoreportes01/ReportServer?%2FReportesPEI%2FRP_BuscarAvanceResponsableEstrategico&amp;pTN_Anno=2019&amp;pTF_Fecha_Consulta=24%2F01%2F2020&amp;Id_Responsable=5&amp;rs%3AParameterLanguage=" TargetMode="External"/><Relationship Id="rId177" Type="http://schemas.openxmlformats.org/officeDocument/2006/relationships/hyperlink" Target="https://planificacion.poder-judicial.go.cr/index.php/evaluacion/plan-estrategico-institucional" TargetMode="External"/><Relationship Id="rId198" Type="http://schemas.openxmlformats.org/officeDocument/2006/relationships/header" Target="header8.xml"/><Relationship Id="rId202" Type="http://schemas.openxmlformats.org/officeDocument/2006/relationships/image" Target="media/image114.png"/><Relationship Id="rId223" Type="http://schemas.openxmlformats.org/officeDocument/2006/relationships/package" Target="embeddings/Documento_de_Microsoft_Word.docx"/><Relationship Id="rId18" Type="http://schemas.openxmlformats.org/officeDocument/2006/relationships/oleObject" Target="embeddings/oleObject4.bin"/><Relationship Id="rId39" Type="http://schemas.openxmlformats.org/officeDocument/2006/relationships/image" Target="media/image15.png"/><Relationship Id="rId50" Type="http://schemas.openxmlformats.org/officeDocument/2006/relationships/hyperlink" Target="https://nexuspj.poder-judicial.go.cr/document/act-1-0003-3743-18" TargetMode="External"/><Relationship Id="rId104" Type="http://schemas.openxmlformats.org/officeDocument/2006/relationships/image" Target="media/image62.png"/><Relationship Id="rId125" Type="http://schemas.openxmlformats.org/officeDocument/2006/relationships/image" Target="media/image83.png"/><Relationship Id="rId146" Type="http://schemas.openxmlformats.org/officeDocument/2006/relationships/image" Target="media/image103.png"/><Relationship Id="rId167" Type="http://schemas.openxmlformats.org/officeDocument/2006/relationships/hyperlink" Target="http://sjoreportes01/ReportServer?%2FReportesPEI%2FRP_BuscarAvanceResponsableEstrategico&amp;pTN_Anno=2019&amp;pTF_Fecha_Consulta=24%2F01%2F2020&amp;Id_Responsable=103&amp;rs%3AParameterLanguage=" TargetMode="External"/><Relationship Id="rId188" Type="http://schemas.openxmlformats.org/officeDocument/2006/relationships/oleObject" Target="embeddings/oleObject18.bin"/><Relationship Id="rId71" Type="http://schemas.openxmlformats.org/officeDocument/2006/relationships/image" Target="media/image36.png"/><Relationship Id="rId92" Type="http://schemas.openxmlformats.org/officeDocument/2006/relationships/image" Target="media/image50.png"/><Relationship Id="rId213" Type="http://schemas.openxmlformats.org/officeDocument/2006/relationships/oleObject" Target="embeddings/oleObject24.bin"/><Relationship Id="rId2" Type="http://schemas.openxmlformats.org/officeDocument/2006/relationships/customXml" Target="../customXml/item2.xml"/><Relationship Id="rId29" Type="http://schemas.openxmlformats.org/officeDocument/2006/relationships/image" Target="media/image10.emf"/><Relationship Id="rId40" Type="http://schemas.openxmlformats.org/officeDocument/2006/relationships/image" Target="media/image16.png"/><Relationship Id="rId115" Type="http://schemas.openxmlformats.org/officeDocument/2006/relationships/image" Target="media/image73.png"/><Relationship Id="rId136" Type="http://schemas.openxmlformats.org/officeDocument/2006/relationships/image" Target="media/image94.png"/><Relationship Id="rId157" Type="http://schemas.openxmlformats.org/officeDocument/2006/relationships/hyperlink" Target="http://sjoreportes01/ReportServer?%2FReportesPEI%2FRP_BuscarAvanceResponsableEstrategico&amp;pTN_Anno=2019&amp;pTF_Fecha_Consulta=24%2F01%2F2020&amp;Id_Responsable=6&amp;rs%3AParameterLanguage=" TargetMode="External"/><Relationship Id="rId178" Type="http://schemas.openxmlformats.org/officeDocument/2006/relationships/hyperlink" Target="https://pei.poder-judicial.go.c/" TargetMode="External"/><Relationship Id="rId61" Type="http://schemas.openxmlformats.org/officeDocument/2006/relationships/image" Target="media/image26.png"/><Relationship Id="rId82" Type="http://schemas.openxmlformats.org/officeDocument/2006/relationships/header" Target="header6.xml"/><Relationship Id="rId199" Type="http://schemas.openxmlformats.org/officeDocument/2006/relationships/footer" Target="footer6.xml"/><Relationship Id="rId203" Type="http://schemas.openxmlformats.org/officeDocument/2006/relationships/image" Target="media/image115.png"/><Relationship Id="rId19" Type="http://schemas.openxmlformats.org/officeDocument/2006/relationships/image" Target="media/image5.emf"/><Relationship Id="rId224" Type="http://schemas.openxmlformats.org/officeDocument/2006/relationships/image" Target="media/image127.emf"/><Relationship Id="rId30" Type="http://schemas.openxmlformats.org/officeDocument/2006/relationships/oleObject" Target="embeddings/oleObject10.bin"/><Relationship Id="rId105" Type="http://schemas.openxmlformats.org/officeDocument/2006/relationships/image" Target="media/image63.png"/><Relationship Id="rId126" Type="http://schemas.openxmlformats.org/officeDocument/2006/relationships/image" Target="media/image84.png"/><Relationship Id="rId147" Type="http://schemas.openxmlformats.org/officeDocument/2006/relationships/image" Target="media/image104.png"/><Relationship Id="rId168" Type="http://schemas.openxmlformats.org/officeDocument/2006/relationships/hyperlink" Target="http://sjoreportes01/ReportServer?%2FReportesPEI%2FRP_BuscarAvanceResponsableEstrategico&amp;pTN_Anno=2019&amp;pTF_Fecha_Consulta=24%2F01%2F2020&amp;Id_Responsable=535&amp;rs%3AParameterLanguage=" TargetMode="External"/><Relationship Id="rId51" Type="http://schemas.openxmlformats.org/officeDocument/2006/relationships/hyperlink" Target="https://nexuspj.poder-judicial.go.cr/document/act-1-0003-3871-30" TargetMode="External"/><Relationship Id="rId72" Type="http://schemas.openxmlformats.org/officeDocument/2006/relationships/image" Target="media/image37.png"/><Relationship Id="rId93" Type="http://schemas.openxmlformats.org/officeDocument/2006/relationships/image" Target="media/image51.png"/><Relationship Id="rId189" Type="http://schemas.openxmlformats.org/officeDocument/2006/relationships/image" Target="media/image111.emf"/></Relationships>
</file>

<file path=word/_rels/header2.xml.rels><?xml version="1.0" encoding="UTF-8" standalone="yes"?>
<Relationships xmlns="http://schemas.openxmlformats.org/package/2006/relationships"><Relationship Id="rId1" Type="http://schemas.openxmlformats.org/officeDocument/2006/relationships/image" Target="media/image17.png"/></Relationships>
</file>

<file path=word/_rels/header5.xml.rels><?xml version="1.0" encoding="UTF-8" standalone="yes"?>
<Relationships xmlns="http://schemas.openxmlformats.org/package/2006/relationships"><Relationship Id="rId1" Type="http://schemas.openxmlformats.org/officeDocument/2006/relationships/image" Target="media/image17.png"/></Relationships>
</file>

<file path=word/_rels/header8.xml.rels><?xml version="1.0" encoding="UTF-8" standalone="yes"?>
<Relationships xmlns="http://schemas.openxmlformats.org/package/2006/relationships"><Relationship Id="rId1" Type="http://schemas.openxmlformats.org/officeDocument/2006/relationships/image" Target="media/image17.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Documento" ma:contentTypeID="0x010100BA6216A36F2AD94BACDF580B661A31A3" ma:contentTypeVersion="14" ma:contentTypeDescription="Crear nuevo documento." ma:contentTypeScope="" ma:versionID="062463bb7acd584b91cd20b044772dcd">
  <xsd:schema xmlns:xsd="http://www.w3.org/2001/XMLSchema" xmlns:xs="http://www.w3.org/2001/XMLSchema" xmlns:p="http://schemas.microsoft.com/office/2006/metadata/properties" xmlns:ns3="c415f469-33ab-4b7b-ac87-e7153f208fff" xmlns:ns4="c4fda1a9-3b11-4661-a1eb-5a02fe807c50" targetNamespace="http://schemas.microsoft.com/office/2006/metadata/properties" ma:root="true" ma:fieldsID="d4783e8306ad2ff086f2a4d814fc854f" ns3:_="" ns4:_="">
    <xsd:import namespace="c415f469-33ab-4b7b-ac87-e7153f208fff"/>
    <xsd:import namespace="c4fda1a9-3b11-4661-a1eb-5a02fe807c50"/>
    <xsd:element name="properties">
      <xsd:complexType>
        <xsd:sequence>
          <xsd:element name="documentManagement">
            <xsd:complexType>
              <xsd:all>
                <xsd:element ref="ns3:MediaServiceMetadata" minOccurs="0"/>
                <xsd:element ref="ns3:MediaServiceFastMetadata" minOccurs="0"/>
                <xsd:element ref="ns4:SharedWithUsers" minOccurs="0"/>
                <xsd:element ref="ns4:SharedWithDetails" minOccurs="0"/>
                <xsd:element ref="ns4:SharingHintHash" minOccurs="0"/>
                <xsd:element ref="ns3:MediaServiceAutoTags" minOccurs="0"/>
                <xsd:element ref="ns3:MediaServiceOCR" minOccurs="0"/>
                <xsd:element ref="ns3:MediaServiceDateTaken" minOccurs="0"/>
                <xsd:element ref="ns3:MediaServiceGenerationTime" minOccurs="0"/>
                <xsd:element ref="ns3:MediaServiceEventHashCode" minOccurs="0"/>
                <xsd:element ref="ns3:MediaServiceLocation" minOccurs="0"/>
                <xsd:element ref="ns3:MediaServiceAutoKeyPoints" minOccurs="0"/>
                <xsd:element ref="ns3:MediaServiceKeyPoints" minOccurs="0"/>
                <xsd:element ref="ns3: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415f469-33ab-4b7b-ac87-e7153f208fff" elementFormDefault="qualified">
    <xsd:import namespace="http://schemas.microsoft.com/office/2006/documentManagement/types"/>
    <xsd:import namespace="http://schemas.microsoft.com/office/infopath/2007/PartnerControls"/>
    <xsd:element name="MediaServiceMetadata" ma:index="8" nillable="true" ma:displayName="MediaServiceMetadata" ma:description="" ma:hidden="true" ma:internalName="MediaServiceMetadata" ma:readOnly="true">
      <xsd:simpleType>
        <xsd:restriction base="dms:Note"/>
      </xsd:simpleType>
    </xsd:element>
    <xsd:element name="MediaServiceFastMetadata" ma:index="9" nillable="true" ma:displayName="MediaServiceFastMetadata" ma:description="" ma:hidden="true" ma:internalName="MediaServiceFastMetadata" ma:readOnly="true">
      <xsd:simpleType>
        <xsd:restriction base="dms:Note"/>
      </xsd:simpleType>
    </xsd:element>
    <xsd:element name="MediaServiceAutoTags" ma:index="13" nillable="true" ma:displayName="Tags" ma:internalName="MediaServiceAutoTags"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DateTaken" ma:index="15" nillable="true" ma:displayName="MediaServiceDateTaken" ma:hidden="true" ma:internalName="MediaServiceDateTaken"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Location" ma:index="18" nillable="true" ma:displayName="Location" ma:internalName="MediaServiceLocation" ma:readOnly="true">
      <xsd:simpleType>
        <xsd:restriction base="dms:Text"/>
      </xsd:simpleType>
    </xsd:element>
    <xsd:element name="MediaServiceAutoKeyPoints" ma:index="19" nillable="true" ma:displayName="MediaServiceAutoKeyPoints" ma:hidden="true" ma:internalName="MediaServiceAutoKeyPoints" ma:readOnly="true">
      <xsd:simpleType>
        <xsd:restriction base="dms:Note"/>
      </xsd:simpleType>
    </xsd:element>
    <xsd:element name="MediaServiceKeyPoints" ma:index="20" nillable="true" ma:displayName="KeyPoints" ma:internalName="MediaServiceKeyPoints" ma:readOnly="true">
      <xsd:simpleType>
        <xsd:restriction base="dms:Note">
          <xsd:maxLength value="255"/>
        </xsd:restriction>
      </xsd:simpleType>
    </xsd:element>
    <xsd:element name="MediaLengthInSeconds" ma:index="21" nillable="true" ma:displayName="Length (seconds)"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c4fda1a9-3b11-4661-a1eb-5a02fe807c50" elementFormDefault="qualified">
    <xsd:import namespace="http://schemas.microsoft.com/office/2006/documentManagement/types"/>
    <xsd:import namespace="http://schemas.microsoft.com/office/infopath/2007/PartnerControls"/>
    <xsd:element name="SharedWithUsers" ma:index="10" nillable="true" ma:displayName="Compartido c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Detalles de uso compartido" ma:internalName="SharedWithDetails" ma:readOnly="true">
      <xsd:simpleType>
        <xsd:restriction base="dms:Note">
          <xsd:maxLength value="255"/>
        </xsd:restriction>
      </xsd:simpleType>
    </xsd:element>
    <xsd:element name="SharingHintHash" ma:index="12" nillable="true" ma:displayName="Hash de la sugerencia para compartir"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7B18BB8-E453-4525-A7DF-4F7F6B379A33}">
  <ds:schemaRefs>
    <ds:schemaRef ds:uri="http://schemas.microsoft.com/sharepoint/v3/contenttype/forms"/>
  </ds:schemaRefs>
</ds:datastoreItem>
</file>

<file path=customXml/itemProps2.xml><?xml version="1.0" encoding="utf-8"?>
<ds:datastoreItem xmlns:ds="http://schemas.openxmlformats.org/officeDocument/2006/customXml" ds:itemID="{D6C9492A-3AFF-4D54-9526-ADE9C1C0BC23}">
  <ds:schemaRefs>
    <ds:schemaRef ds:uri="http://purl.org/dc/dcmitype/"/>
    <ds:schemaRef ds:uri="http://schemas.openxmlformats.org/package/2006/metadata/core-properties"/>
    <ds:schemaRef ds:uri="http://schemas.microsoft.com/office/2006/documentManagement/types"/>
    <ds:schemaRef ds:uri="c4fda1a9-3b11-4661-a1eb-5a02fe807c50"/>
    <ds:schemaRef ds:uri="http://www.w3.org/XML/1998/namespace"/>
    <ds:schemaRef ds:uri="http://purl.org/dc/terms/"/>
    <ds:schemaRef ds:uri="http://purl.org/dc/elements/1.1/"/>
    <ds:schemaRef ds:uri="http://schemas.microsoft.com/office/infopath/2007/PartnerControls"/>
    <ds:schemaRef ds:uri="c415f469-33ab-4b7b-ac87-e7153f208fff"/>
    <ds:schemaRef ds:uri="http://schemas.microsoft.com/office/2006/metadata/properties"/>
  </ds:schemaRefs>
</ds:datastoreItem>
</file>

<file path=customXml/itemProps3.xml><?xml version="1.0" encoding="utf-8"?>
<ds:datastoreItem xmlns:ds="http://schemas.openxmlformats.org/officeDocument/2006/customXml" ds:itemID="{C0234C69-7C48-4559-B0CA-41D8C5C6AA7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415f469-33ab-4b7b-ac87-e7153f208fff"/>
    <ds:schemaRef ds:uri="c4fda1a9-3b11-4661-a1eb-5a02fe807c5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5EDAA3D1-74E1-4494-ABFC-35BF023D84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333</Pages>
  <Words>69687</Words>
  <Characters>383282</Characters>
  <Application>Microsoft Office Word</Application>
  <DocSecurity>0</DocSecurity>
  <Lines>3194</Lines>
  <Paragraphs>904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452065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Jorge Fernando Rodríguez Salazar</dc:creator>
  <cp:keywords/>
  <dc:description/>
  <cp:lastModifiedBy>Bryan Leitón Sanchez (Autorizado-Dirección de Planificación)</cp:lastModifiedBy>
  <cp:revision>2</cp:revision>
  <cp:lastPrinted>2016-04-14T14:22:00Z</cp:lastPrinted>
  <dcterms:created xsi:type="dcterms:W3CDTF">2021-10-26T21:45:00Z</dcterms:created>
  <dcterms:modified xsi:type="dcterms:W3CDTF">2021-10-26T21:45:00Z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NewReviewCycle">
    <vt:lpwstr/>
  </property>
  <property fmtid="{D5CDD505-2E9C-101B-9397-08002B2CF9AE}" pid="3" name="ContentTypeId">
    <vt:lpwstr>0x010100BA6216A36F2AD94BACDF580B661A31A3</vt:lpwstr>
  </property>
</Properties>
</file>