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19" w:rsidRPr="0062173C" w:rsidRDefault="00AC6C38" w:rsidP="00922319">
      <w:pPr>
        <w:rPr>
          <w:color w:val="0000FF"/>
        </w:rPr>
      </w:pPr>
      <w:r>
        <w:rPr>
          <w:noProof/>
          <w:color w:val="0000FF"/>
          <w:lang w:val="es-CR" w:eastAsia="es-CR"/>
        </w:rPr>
        <w:pict>
          <v:group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7"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8" o:title=""/>
            </v:shape>
          </v:group>
        </w:pict>
      </w:r>
    </w:p>
    <w:p w:rsidR="00922319" w:rsidRPr="0062173C" w:rsidRDefault="00922319" w:rsidP="00922319">
      <w:pPr>
        <w:rPr>
          <w:color w:val="0000FF"/>
        </w:rPr>
      </w:pPr>
    </w:p>
    <w:p w:rsidR="00922319" w:rsidRPr="00BC51C8" w:rsidRDefault="00922319" w:rsidP="00922319"/>
    <w:p w:rsidR="00922319" w:rsidRPr="00BC51C8" w:rsidRDefault="00922319" w:rsidP="00922319"/>
    <w:p w:rsidR="00922319" w:rsidRPr="00656CBE" w:rsidRDefault="00922319" w:rsidP="00922319"/>
    <w:p w:rsidR="00922319" w:rsidRPr="00BC51C8" w:rsidRDefault="00922319" w:rsidP="00922319"/>
    <w:p w:rsidR="00922319" w:rsidRPr="00BC51C8" w:rsidRDefault="00922319" w:rsidP="00922319"/>
    <w:p w:rsidR="00922319" w:rsidRPr="00BC51C8" w:rsidRDefault="00922319" w:rsidP="00922319">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922319" w:rsidRPr="00BC51C8" w:rsidRDefault="00922319" w:rsidP="00922319">
      <w:r>
        <w:rPr>
          <w:noProof/>
          <w:lang w:val="es-CR" w:eastAsia="es-CR"/>
        </w:rPr>
        <w:drawing>
          <wp:anchor distT="0" distB="0" distL="114300" distR="114300" simplePos="0" relativeHeight="251662336" behindDoc="0" locked="0" layoutInCell="1" allowOverlap="1">
            <wp:simplePos x="0" y="0"/>
            <wp:positionH relativeFrom="column">
              <wp:posOffset>4061460</wp:posOffset>
            </wp:positionH>
            <wp:positionV relativeFrom="paragraph">
              <wp:posOffset>7690</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rsidR="00922319" w:rsidRPr="00BC51C8" w:rsidRDefault="00922319" w:rsidP="00922319"/>
    <w:p w:rsidR="00922319" w:rsidRPr="00BC51C8" w:rsidRDefault="00922319" w:rsidP="00922319"/>
    <w:p w:rsidR="00922319" w:rsidRPr="00BC51C8" w:rsidRDefault="00922319" w:rsidP="00922319"/>
    <w:p w:rsidR="00922319" w:rsidRPr="00BC51C8" w:rsidRDefault="00922319" w:rsidP="00922319"/>
    <w:p w:rsidR="00922319" w:rsidRPr="00BC51C8" w:rsidRDefault="00922319" w:rsidP="00922319"/>
    <w:p w:rsidR="00922319" w:rsidRPr="00BC51C8" w:rsidRDefault="00922319" w:rsidP="00922319">
      <w:pPr>
        <w:jc w:val="center"/>
        <w:rPr>
          <w:rFonts w:ascii="Calibri" w:hAnsi="Calibri"/>
          <w:sz w:val="40"/>
          <w:szCs w:val="40"/>
        </w:rPr>
      </w:pPr>
    </w:p>
    <w:p w:rsidR="00922319" w:rsidRPr="00BC51C8" w:rsidRDefault="00922319" w:rsidP="00922319">
      <w:pPr>
        <w:jc w:val="center"/>
        <w:rPr>
          <w:rFonts w:ascii="Calibri" w:hAnsi="Calibri"/>
          <w:sz w:val="40"/>
          <w:szCs w:val="40"/>
        </w:rPr>
      </w:pPr>
    </w:p>
    <w:p w:rsidR="00922319" w:rsidRPr="00BC51C8" w:rsidRDefault="00922319" w:rsidP="00922319">
      <w:pPr>
        <w:jc w:val="center"/>
        <w:rPr>
          <w:rFonts w:ascii="Calibri" w:hAnsi="Calibri"/>
          <w:sz w:val="40"/>
          <w:szCs w:val="40"/>
        </w:rPr>
      </w:pPr>
      <w:r w:rsidRPr="00BC51C8">
        <w:rPr>
          <w:rFonts w:ascii="Calibri" w:hAnsi="Calibri"/>
          <w:sz w:val="40"/>
          <w:szCs w:val="40"/>
        </w:rPr>
        <w:t>Estudio de Requerimiento Humano</w:t>
      </w:r>
    </w:p>
    <w:p w:rsidR="00922319" w:rsidRPr="00BC51C8" w:rsidRDefault="00922319" w:rsidP="00922319">
      <w:pPr>
        <w:jc w:val="center"/>
        <w:rPr>
          <w:rFonts w:ascii="Calibri" w:hAnsi="Calibri"/>
          <w:sz w:val="40"/>
          <w:szCs w:val="40"/>
        </w:rPr>
      </w:pPr>
      <w:r w:rsidRPr="00BC51C8">
        <w:rPr>
          <w:rFonts w:ascii="Calibri" w:hAnsi="Calibri"/>
          <w:sz w:val="40"/>
          <w:szCs w:val="40"/>
        </w:rPr>
        <w:t>Anteproyecto de Presupuesto 201</w:t>
      </w:r>
      <w:r>
        <w:rPr>
          <w:rFonts w:ascii="Calibri" w:hAnsi="Calibri"/>
          <w:sz w:val="40"/>
          <w:szCs w:val="40"/>
        </w:rPr>
        <w:t>8</w:t>
      </w:r>
    </w:p>
    <w:p w:rsidR="00922319" w:rsidRPr="00BC51C8" w:rsidRDefault="00922319" w:rsidP="00922319">
      <w:pPr>
        <w:jc w:val="center"/>
        <w:rPr>
          <w:rFonts w:ascii="Calibri" w:hAnsi="Calibri"/>
          <w:sz w:val="40"/>
          <w:szCs w:val="40"/>
        </w:rPr>
      </w:pPr>
    </w:p>
    <w:p w:rsidR="00922319" w:rsidRPr="00BC51C8" w:rsidRDefault="00922319" w:rsidP="00922319">
      <w:pPr>
        <w:jc w:val="center"/>
        <w:rPr>
          <w:rFonts w:ascii="Calibri" w:hAnsi="Calibri"/>
          <w:sz w:val="40"/>
          <w:szCs w:val="40"/>
        </w:rPr>
      </w:pPr>
    </w:p>
    <w:p w:rsidR="00922319" w:rsidRPr="00BC51C8" w:rsidRDefault="00922319" w:rsidP="00922319">
      <w:pPr>
        <w:jc w:val="center"/>
        <w:rPr>
          <w:rFonts w:ascii="Calibri" w:hAnsi="Calibri"/>
          <w:sz w:val="40"/>
          <w:szCs w:val="40"/>
        </w:rPr>
      </w:pPr>
    </w:p>
    <w:p w:rsidR="00922319" w:rsidRPr="00BC51C8" w:rsidRDefault="00922319" w:rsidP="00922319">
      <w:pPr>
        <w:jc w:val="center"/>
        <w:rPr>
          <w:rFonts w:ascii="Calibri" w:hAnsi="Calibri"/>
          <w:b/>
          <w:i/>
          <w:sz w:val="40"/>
          <w:szCs w:val="40"/>
        </w:rPr>
      </w:pPr>
      <w:r>
        <w:rPr>
          <w:rFonts w:ascii="Calibri" w:hAnsi="Calibri"/>
          <w:b/>
          <w:i/>
          <w:sz w:val="40"/>
          <w:szCs w:val="40"/>
        </w:rPr>
        <w:t>Administración Regional de Turrialba</w:t>
      </w:r>
    </w:p>
    <w:p w:rsidR="00922319" w:rsidRPr="00BC51C8" w:rsidRDefault="00922319" w:rsidP="00922319">
      <w:pPr>
        <w:jc w:val="center"/>
        <w:rPr>
          <w:rFonts w:ascii="Calibri" w:hAnsi="Calibri"/>
          <w:sz w:val="40"/>
          <w:szCs w:val="40"/>
        </w:rPr>
      </w:pPr>
    </w:p>
    <w:p w:rsidR="00922319" w:rsidRPr="00BC51C8" w:rsidRDefault="00922319" w:rsidP="00922319">
      <w:pPr>
        <w:jc w:val="center"/>
        <w:rPr>
          <w:rFonts w:ascii="Calibri" w:hAnsi="Calibri"/>
          <w:sz w:val="40"/>
          <w:szCs w:val="40"/>
        </w:rPr>
      </w:pPr>
    </w:p>
    <w:p w:rsidR="00922319" w:rsidRPr="00BC51C8" w:rsidRDefault="00922319" w:rsidP="00922319">
      <w:pPr>
        <w:jc w:val="center"/>
        <w:rPr>
          <w:rFonts w:ascii="Calibri" w:hAnsi="Calibri"/>
          <w:sz w:val="40"/>
          <w:szCs w:val="40"/>
        </w:rPr>
      </w:pPr>
    </w:p>
    <w:p w:rsidR="00922319" w:rsidRPr="0062173C" w:rsidRDefault="00AB0F00" w:rsidP="00922319">
      <w:pPr>
        <w:jc w:val="center"/>
        <w:rPr>
          <w:rFonts w:ascii="Calibri" w:hAnsi="Calibri"/>
          <w:sz w:val="40"/>
          <w:szCs w:val="40"/>
        </w:rPr>
      </w:pPr>
      <w:r>
        <w:rPr>
          <w:rFonts w:ascii="Calibri" w:hAnsi="Calibri"/>
          <w:sz w:val="40"/>
          <w:szCs w:val="40"/>
        </w:rPr>
        <w:t>7</w:t>
      </w:r>
      <w:r w:rsidR="00922319" w:rsidRPr="00767A97">
        <w:rPr>
          <w:rFonts w:ascii="Calibri" w:hAnsi="Calibri"/>
          <w:sz w:val="40"/>
          <w:szCs w:val="40"/>
        </w:rPr>
        <w:t xml:space="preserve">de </w:t>
      </w:r>
      <w:r w:rsidR="00922319">
        <w:rPr>
          <w:rFonts w:ascii="Calibri" w:hAnsi="Calibri"/>
          <w:sz w:val="40"/>
          <w:szCs w:val="40"/>
        </w:rPr>
        <w:t>abril</w:t>
      </w:r>
      <w:r w:rsidR="00922319" w:rsidRPr="00767A97">
        <w:rPr>
          <w:rFonts w:ascii="Calibri" w:hAnsi="Calibri"/>
          <w:sz w:val="40"/>
          <w:szCs w:val="40"/>
        </w:rPr>
        <w:t xml:space="preserve"> de 201</w:t>
      </w:r>
      <w:r>
        <w:rPr>
          <w:rFonts w:ascii="Calibri" w:hAnsi="Calibri"/>
          <w:sz w:val="40"/>
          <w:szCs w:val="40"/>
        </w:rPr>
        <w:t>7</w:t>
      </w:r>
    </w:p>
    <w:p w:rsidR="00922319" w:rsidRPr="00BC51C8" w:rsidRDefault="00922319" w:rsidP="00922319">
      <w:pPr>
        <w:jc w:val="center"/>
        <w:rPr>
          <w:rFonts w:ascii="Calibri" w:hAnsi="Calibri"/>
          <w:sz w:val="40"/>
          <w:szCs w:val="40"/>
        </w:rPr>
      </w:pPr>
    </w:p>
    <w:p w:rsidR="00922319" w:rsidRPr="00BC51C8" w:rsidRDefault="00922319" w:rsidP="00922319">
      <w:pPr>
        <w:jc w:val="center"/>
        <w:rPr>
          <w:rFonts w:ascii="Calibri" w:hAnsi="Calibri"/>
          <w:sz w:val="40"/>
          <w:szCs w:val="40"/>
        </w:rPr>
      </w:pPr>
    </w:p>
    <w:p w:rsidR="00922319" w:rsidRDefault="00922319" w:rsidP="00922319">
      <w:pPr>
        <w:jc w:val="center"/>
        <w:rPr>
          <w:rFonts w:ascii="Calibri" w:hAnsi="Calibri"/>
          <w:sz w:val="40"/>
          <w:szCs w:val="40"/>
        </w:rPr>
      </w:pPr>
    </w:p>
    <w:p w:rsidR="00922319" w:rsidRPr="00BC51C8" w:rsidRDefault="00922319" w:rsidP="00922319">
      <w:pPr>
        <w:jc w:val="center"/>
        <w:rPr>
          <w:rFonts w:ascii="Calibri" w:hAnsi="Calibri"/>
          <w:sz w:val="40"/>
          <w:szCs w:val="40"/>
        </w:rPr>
      </w:pPr>
    </w:p>
    <w:p w:rsidR="00922319" w:rsidRPr="00BC51C8" w:rsidRDefault="00922319" w:rsidP="00922319">
      <w:pPr>
        <w:jc w:val="center"/>
        <w:rPr>
          <w:rFonts w:ascii="Calibri" w:hAnsi="Calibri"/>
          <w:sz w:val="40"/>
          <w:szCs w:val="40"/>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4181"/>
        <w:gridCol w:w="1276"/>
        <w:gridCol w:w="2285"/>
      </w:tblGrid>
      <w:tr w:rsidR="00922319" w:rsidRPr="004D6CF9" w:rsidTr="00326D46">
        <w:trPr>
          <w:trHeight w:val="540"/>
        </w:trPr>
        <w:tc>
          <w:tcPr>
            <w:tcW w:w="7101" w:type="dxa"/>
            <w:gridSpan w:val="2"/>
            <w:tcBorders>
              <w:bottom w:val="single" w:sz="4" w:space="0" w:color="auto"/>
            </w:tcBorders>
            <w:shd w:val="clear" w:color="auto" w:fill="000000"/>
            <w:vAlign w:val="center"/>
          </w:tcPr>
          <w:p w:rsidR="00922319" w:rsidRPr="004D6CF9" w:rsidRDefault="00922319" w:rsidP="00326D46">
            <w:pPr>
              <w:jc w:val="center"/>
              <w:rPr>
                <w:rFonts w:ascii="Calibri" w:hAnsi="Calibri"/>
                <w:b/>
                <w:sz w:val="32"/>
                <w:szCs w:val="32"/>
              </w:rPr>
            </w:pPr>
            <w:r w:rsidRPr="004D6CF9">
              <w:rPr>
                <w:rFonts w:ascii="Calibri" w:hAnsi="Calibri"/>
                <w:b/>
                <w:sz w:val="32"/>
                <w:szCs w:val="32"/>
              </w:rPr>
              <w:lastRenderedPageBreak/>
              <w:t>Dirección de Planificación</w:t>
            </w:r>
          </w:p>
        </w:tc>
        <w:tc>
          <w:tcPr>
            <w:tcW w:w="1276" w:type="dxa"/>
            <w:shd w:val="clear" w:color="auto" w:fill="B3B3B3"/>
            <w:vAlign w:val="center"/>
          </w:tcPr>
          <w:p w:rsidR="00922319" w:rsidRPr="004D6CF9" w:rsidRDefault="00922319" w:rsidP="00326D46">
            <w:pPr>
              <w:jc w:val="right"/>
              <w:rPr>
                <w:rFonts w:ascii="Calibri" w:hAnsi="Calibri"/>
                <w:b/>
              </w:rPr>
            </w:pPr>
            <w:r w:rsidRPr="004D6CF9">
              <w:rPr>
                <w:rFonts w:ascii="Calibri" w:hAnsi="Calibri"/>
                <w:b/>
              </w:rPr>
              <w:t>Fecha:</w:t>
            </w:r>
          </w:p>
        </w:tc>
        <w:tc>
          <w:tcPr>
            <w:tcW w:w="2285" w:type="dxa"/>
            <w:vAlign w:val="center"/>
          </w:tcPr>
          <w:p w:rsidR="00922319" w:rsidRPr="004D6CF9" w:rsidRDefault="00922319" w:rsidP="00AB0F00">
            <w:pPr>
              <w:jc w:val="center"/>
              <w:rPr>
                <w:rFonts w:ascii="Calibri" w:hAnsi="Calibri"/>
                <w:i/>
              </w:rPr>
            </w:pPr>
            <w:r>
              <w:rPr>
                <w:rFonts w:ascii="Calibri" w:hAnsi="Calibri"/>
                <w:i/>
              </w:rPr>
              <w:t>0</w:t>
            </w:r>
            <w:r w:rsidR="00AB0F00">
              <w:rPr>
                <w:rFonts w:ascii="Calibri" w:hAnsi="Calibri"/>
                <w:i/>
              </w:rPr>
              <w:t>7/04/2017</w:t>
            </w:r>
          </w:p>
        </w:tc>
      </w:tr>
      <w:tr w:rsidR="00922319" w:rsidRPr="004D6CF9" w:rsidTr="00326D46">
        <w:trPr>
          <w:trHeight w:val="494"/>
        </w:trPr>
        <w:tc>
          <w:tcPr>
            <w:tcW w:w="7101" w:type="dxa"/>
            <w:gridSpan w:val="2"/>
            <w:shd w:val="clear" w:color="auto" w:fill="262626"/>
            <w:vAlign w:val="center"/>
          </w:tcPr>
          <w:p w:rsidR="00922319" w:rsidRPr="004D6CF9" w:rsidRDefault="00922319" w:rsidP="00326D46">
            <w:pPr>
              <w:jc w:val="center"/>
              <w:rPr>
                <w:rFonts w:ascii="Calibri" w:hAnsi="Calibri"/>
                <w:i/>
                <w:sz w:val="28"/>
                <w:szCs w:val="28"/>
              </w:rPr>
            </w:pPr>
            <w:r w:rsidRPr="004D6CF9">
              <w:rPr>
                <w:rFonts w:ascii="Calibri" w:hAnsi="Calibri"/>
                <w:b/>
                <w:sz w:val="28"/>
                <w:szCs w:val="28"/>
              </w:rPr>
              <w:t>Estudio de Requerimiento Humano</w:t>
            </w:r>
          </w:p>
        </w:tc>
        <w:tc>
          <w:tcPr>
            <w:tcW w:w="1276" w:type="dxa"/>
            <w:shd w:val="clear" w:color="auto" w:fill="B3B3B3"/>
            <w:vAlign w:val="center"/>
          </w:tcPr>
          <w:p w:rsidR="00922319" w:rsidRPr="004D6CF9" w:rsidRDefault="00922319" w:rsidP="00326D46">
            <w:pPr>
              <w:jc w:val="right"/>
              <w:rPr>
                <w:rFonts w:ascii="Calibri" w:hAnsi="Calibri"/>
                <w:b/>
              </w:rPr>
            </w:pPr>
            <w:r w:rsidRPr="004D6CF9">
              <w:rPr>
                <w:rFonts w:ascii="Calibri" w:hAnsi="Calibri"/>
                <w:b/>
              </w:rPr>
              <w:t># Informe:</w:t>
            </w:r>
          </w:p>
        </w:tc>
        <w:tc>
          <w:tcPr>
            <w:tcW w:w="2285" w:type="dxa"/>
            <w:vAlign w:val="center"/>
          </w:tcPr>
          <w:p w:rsidR="00922319" w:rsidRPr="004D6CF9" w:rsidRDefault="00922319" w:rsidP="00922319">
            <w:pPr>
              <w:jc w:val="center"/>
              <w:rPr>
                <w:rFonts w:ascii="Calibri" w:hAnsi="Calibri"/>
                <w:i/>
              </w:rPr>
            </w:pPr>
            <w:r w:rsidRPr="00922319">
              <w:rPr>
                <w:rFonts w:ascii="Calibri" w:hAnsi="Calibri"/>
                <w:i/>
              </w:rPr>
              <w:t>19-PLA-OI-201</w:t>
            </w:r>
            <w:r w:rsidR="00AB0F00">
              <w:rPr>
                <w:rFonts w:ascii="Calibri" w:hAnsi="Calibri"/>
                <w:i/>
              </w:rPr>
              <w:t>7</w:t>
            </w:r>
          </w:p>
        </w:tc>
      </w:tr>
      <w:tr w:rsidR="00922319" w:rsidRPr="004D6CF9" w:rsidTr="00326D46">
        <w:trPr>
          <w:trHeight w:val="494"/>
        </w:trPr>
        <w:tc>
          <w:tcPr>
            <w:tcW w:w="2920" w:type="dxa"/>
            <w:shd w:val="clear" w:color="auto" w:fill="B3B3B3"/>
            <w:vAlign w:val="center"/>
          </w:tcPr>
          <w:p w:rsidR="00922319" w:rsidRPr="004D6CF9" w:rsidRDefault="00922319" w:rsidP="00326D46">
            <w:pPr>
              <w:jc w:val="right"/>
              <w:rPr>
                <w:b/>
                <w:sz w:val="28"/>
                <w:szCs w:val="28"/>
              </w:rPr>
            </w:pPr>
            <w:r w:rsidRPr="004D6CF9">
              <w:rPr>
                <w:b/>
                <w:sz w:val="28"/>
                <w:szCs w:val="28"/>
              </w:rPr>
              <w:t>Proyecto u oficinas analizadas:</w:t>
            </w:r>
          </w:p>
        </w:tc>
        <w:tc>
          <w:tcPr>
            <w:tcW w:w="7742" w:type="dxa"/>
            <w:gridSpan w:val="3"/>
            <w:vAlign w:val="center"/>
          </w:tcPr>
          <w:p w:rsidR="00922319" w:rsidRPr="004D6CF9" w:rsidRDefault="00922319" w:rsidP="00326D46">
            <w:pPr>
              <w:spacing w:line="480" w:lineRule="auto"/>
              <w:rPr>
                <w:i/>
                <w:sz w:val="28"/>
                <w:szCs w:val="28"/>
              </w:rPr>
            </w:pPr>
            <w:r>
              <w:rPr>
                <w:i/>
                <w:sz w:val="28"/>
                <w:szCs w:val="28"/>
              </w:rPr>
              <w:t>Administración Regional de Turrialba</w:t>
            </w:r>
            <w:r w:rsidR="005A19BB">
              <w:rPr>
                <w:i/>
                <w:sz w:val="28"/>
                <w:szCs w:val="28"/>
              </w:rPr>
              <w:t>.</w:t>
            </w:r>
          </w:p>
        </w:tc>
      </w:tr>
    </w:tbl>
    <w:p w:rsidR="00922319" w:rsidRPr="00BC51C8" w:rsidRDefault="00922319" w:rsidP="00922319">
      <w:pPr>
        <w:jc w:val="center"/>
        <w:rPr>
          <w:rFonts w:ascii="Calibri" w:hAnsi="Calibri"/>
          <w:sz w:val="40"/>
          <w:szCs w:val="40"/>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7784"/>
      </w:tblGrid>
      <w:tr w:rsidR="00922319" w:rsidRPr="00581FCB" w:rsidTr="00326D46">
        <w:trPr>
          <w:trHeight w:val="705"/>
        </w:trPr>
        <w:tc>
          <w:tcPr>
            <w:tcW w:w="2878" w:type="dxa"/>
            <w:shd w:val="clear" w:color="auto" w:fill="C0C0C0"/>
          </w:tcPr>
          <w:p w:rsidR="00922319" w:rsidRPr="00581FCB" w:rsidRDefault="00922319" w:rsidP="00326D46">
            <w:pPr>
              <w:jc w:val="right"/>
              <w:rPr>
                <w:b/>
                <w:sz w:val="28"/>
                <w:szCs w:val="28"/>
              </w:rPr>
            </w:pPr>
            <w:r w:rsidRPr="00581FCB">
              <w:rPr>
                <w:b/>
                <w:sz w:val="28"/>
                <w:szCs w:val="28"/>
              </w:rPr>
              <w:t>I. Plazas por Analizar</w:t>
            </w:r>
          </w:p>
        </w:tc>
        <w:tc>
          <w:tcPr>
            <w:tcW w:w="7784" w:type="dxa"/>
          </w:tcPr>
          <w:p w:rsidR="00922319" w:rsidRPr="00581FCB" w:rsidRDefault="00922319" w:rsidP="00326D46">
            <w:pPr>
              <w:spacing w:line="480" w:lineRule="auto"/>
              <w:jc w:val="both"/>
              <w:rPr>
                <w:i/>
                <w:sz w:val="28"/>
                <w:szCs w:val="28"/>
              </w:rPr>
            </w:pPr>
            <w:r>
              <w:rPr>
                <w:i/>
                <w:sz w:val="28"/>
                <w:szCs w:val="28"/>
              </w:rPr>
              <w:t>Una plaza nueva de Técnica o Técnico Supernumerario</w:t>
            </w:r>
            <w:r w:rsidR="005A19BB">
              <w:rPr>
                <w:i/>
                <w:sz w:val="28"/>
                <w:szCs w:val="28"/>
              </w:rPr>
              <w:t>.</w:t>
            </w:r>
          </w:p>
        </w:tc>
      </w:tr>
      <w:tr w:rsidR="00922319" w:rsidRPr="00863048" w:rsidTr="00326D46">
        <w:trPr>
          <w:trHeight w:val="1108"/>
        </w:trPr>
        <w:tc>
          <w:tcPr>
            <w:tcW w:w="2878" w:type="dxa"/>
            <w:shd w:val="clear" w:color="auto" w:fill="C0C0C0"/>
          </w:tcPr>
          <w:p w:rsidR="00922319" w:rsidRPr="00863048" w:rsidRDefault="00922319" w:rsidP="00326D46">
            <w:pPr>
              <w:jc w:val="right"/>
              <w:rPr>
                <w:b/>
                <w:sz w:val="28"/>
                <w:szCs w:val="28"/>
              </w:rPr>
            </w:pPr>
            <w:r w:rsidRPr="00863048">
              <w:rPr>
                <w:b/>
                <w:sz w:val="28"/>
                <w:szCs w:val="28"/>
              </w:rPr>
              <w:t xml:space="preserve">II. Justificación de </w:t>
            </w:r>
            <w:smartTag w:uri="urn:schemas-microsoft-com:office:smarttags" w:element="PersonName">
              <w:smartTagPr>
                <w:attr w:name="ProductID" w:val="la Situaci￳n"/>
              </w:smartTagPr>
              <w:r w:rsidRPr="00863048">
                <w:rPr>
                  <w:b/>
                  <w:sz w:val="28"/>
                  <w:szCs w:val="28"/>
                </w:rPr>
                <w:t>la Situación</w:t>
              </w:r>
            </w:smartTag>
            <w:r w:rsidRPr="00863048">
              <w:rPr>
                <w:b/>
                <w:sz w:val="28"/>
                <w:szCs w:val="28"/>
              </w:rPr>
              <w:t xml:space="preserve"> o Necesidad Planteada</w:t>
            </w:r>
          </w:p>
        </w:tc>
        <w:tc>
          <w:tcPr>
            <w:tcW w:w="7784" w:type="dxa"/>
          </w:tcPr>
          <w:p w:rsidR="00922319" w:rsidRPr="00863048" w:rsidRDefault="00922319" w:rsidP="00AB0F00">
            <w:pPr>
              <w:spacing w:line="480" w:lineRule="auto"/>
              <w:jc w:val="both"/>
              <w:rPr>
                <w:i/>
                <w:sz w:val="28"/>
                <w:szCs w:val="28"/>
              </w:rPr>
            </w:pPr>
            <w:r w:rsidRPr="00170057">
              <w:rPr>
                <w:bCs/>
                <w:i/>
                <w:sz w:val="28"/>
                <w:szCs w:val="28"/>
              </w:rPr>
              <w:t>Una plaza de Técnica o Técnico Supernumerario para ser ocupada por una persona indígena cabécar; dado que se argumenta un</w:t>
            </w:r>
            <w:r w:rsidRPr="00170057">
              <w:rPr>
                <w:i/>
                <w:iCs/>
                <w:sz w:val="28"/>
                <w:szCs w:val="28"/>
              </w:rPr>
              <w:t xml:space="preserve"> aumento en el pago de peritos intérpretes en lengua cabécar, de un 282% en los últimos cinco meses.</w:t>
            </w:r>
          </w:p>
        </w:tc>
      </w:tr>
      <w:tr w:rsidR="00922319" w:rsidRPr="00863048" w:rsidTr="00326D46">
        <w:trPr>
          <w:trHeight w:val="1234"/>
        </w:trPr>
        <w:tc>
          <w:tcPr>
            <w:tcW w:w="2878" w:type="dxa"/>
            <w:shd w:val="clear" w:color="auto" w:fill="C0C0C0"/>
          </w:tcPr>
          <w:p w:rsidR="00922319" w:rsidRPr="00863048" w:rsidRDefault="00922319" w:rsidP="00326D46">
            <w:pPr>
              <w:jc w:val="right"/>
              <w:rPr>
                <w:b/>
                <w:sz w:val="28"/>
                <w:szCs w:val="28"/>
              </w:rPr>
            </w:pPr>
            <w:r w:rsidRPr="00863048">
              <w:rPr>
                <w:b/>
                <w:sz w:val="28"/>
                <w:szCs w:val="28"/>
              </w:rPr>
              <w:t>III. Información Relevante</w:t>
            </w:r>
          </w:p>
        </w:tc>
        <w:tc>
          <w:tcPr>
            <w:tcW w:w="7784" w:type="dxa"/>
          </w:tcPr>
          <w:p w:rsidR="00922319" w:rsidRDefault="00922319" w:rsidP="00326D46">
            <w:pPr>
              <w:spacing w:line="480" w:lineRule="auto"/>
              <w:jc w:val="both"/>
              <w:rPr>
                <w:b/>
                <w:i/>
                <w:sz w:val="28"/>
                <w:szCs w:val="28"/>
                <w:lang w:val="es-MX"/>
              </w:rPr>
            </w:pPr>
            <w:r w:rsidRPr="00EB65D3">
              <w:rPr>
                <w:b/>
                <w:i/>
                <w:sz w:val="28"/>
                <w:szCs w:val="28"/>
                <w:lang w:val="es-MX"/>
              </w:rPr>
              <w:t>3.1.-</w:t>
            </w:r>
            <w:r>
              <w:rPr>
                <w:i/>
                <w:sz w:val="28"/>
                <w:szCs w:val="28"/>
                <w:lang w:val="es-MX"/>
              </w:rPr>
              <w:t>E</w:t>
            </w:r>
            <w:r w:rsidRPr="00014E64">
              <w:rPr>
                <w:i/>
                <w:sz w:val="28"/>
                <w:szCs w:val="28"/>
                <w:lang w:val="es-MX"/>
              </w:rPr>
              <w:t xml:space="preserve">ntre enero y setiembre del 2016, se utilizaron un total de 59,65 horas de intérpretes, siendo agosto y mayo los que registraron la mayor cantidad </w:t>
            </w:r>
            <w:r>
              <w:rPr>
                <w:i/>
                <w:sz w:val="28"/>
                <w:szCs w:val="28"/>
                <w:lang w:val="es-MX"/>
              </w:rPr>
              <w:t>(</w:t>
            </w:r>
            <w:r w:rsidRPr="00014E64">
              <w:rPr>
                <w:i/>
                <w:sz w:val="28"/>
                <w:szCs w:val="28"/>
                <w:lang w:val="es-MX"/>
              </w:rPr>
              <w:t>12 y 11, respectivamente</w:t>
            </w:r>
            <w:r>
              <w:rPr>
                <w:i/>
                <w:sz w:val="28"/>
                <w:szCs w:val="28"/>
                <w:lang w:val="es-MX"/>
              </w:rPr>
              <w:t>). A</w:t>
            </w:r>
            <w:r w:rsidRPr="00014E64">
              <w:rPr>
                <w:i/>
                <w:sz w:val="28"/>
                <w:szCs w:val="28"/>
                <w:lang w:val="es-MX"/>
              </w:rPr>
              <w:t xml:space="preserve">l contrario la menor cantidad se dio en abril y junio con 4, para un costo total de </w:t>
            </w:r>
            <w:r w:rsidRPr="00014E64">
              <w:rPr>
                <w:b/>
                <w:i/>
                <w:sz w:val="28"/>
                <w:szCs w:val="28"/>
                <w:lang w:val="es-MX"/>
              </w:rPr>
              <w:t xml:space="preserve">¢970.330,00, </w:t>
            </w:r>
            <w:r w:rsidRPr="00014E64">
              <w:rPr>
                <w:i/>
                <w:sz w:val="28"/>
                <w:szCs w:val="28"/>
                <w:lang w:val="es-MX"/>
              </w:rPr>
              <w:t xml:space="preserve">lo que representó un </w:t>
            </w:r>
            <w:r>
              <w:rPr>
                <w:i/>
                <w:sz w:val="28"/>
                <w:szCs w:val="28"/>
                <w:lang w:val="es-MX"/>
              </w:rPr>
              <w:t xml:space="preserve">costo </w:t>
            </w:r>
            <w:r w:rsidRPr="00014E64">
              <w:rPr>
                <w:i/>
                <w:sz w:val="28"/>
                <w:szCs w:val="28"/>
                <w:lang w:val="es-MX"/>
              </w:rPr>
              <w:t xml:space="preserve">promedio mensual de </w:t>
            </w:r>
            <w:r w:rsidRPr="00014E64">
              <w:rPr>
                <w:b/>
                <w:i/>
                <w:sz w:val="28"/>
                <w:szCs w:val="28"/>
                <w:lang w:val="es-MX"/>
              </w:rPr>
              <w:t>¢107.814,44.</w:t>
            </w:r>
          </w:p>
          <w:p w:rsidR="00922319" w:rsidRDefault="00922319" w:rsidP="00326D46">
            <w:pPr>
              <w:spacing w:line="480" w:lineRule="auto"/>
              <w:jc w:val="both"/>
              <w:rPr>
                <w:b/>
                <w:i/>
                <w:sz w:val="28"/>
                <w:szCs w:val="28"/>
                <w:lang w:val="es-MX"/>
              </w:rPr>
            </w:pPr>
          </w:p>
          <w:p w:rsidR="00922319" w:rsidRPr="0075152D" w:rsidRDefault="00922319" w:rsidP="00326D46">
            <w:pPr>
              <w:spacing w:line="480" w:lineRule="auto"/>
              <w:jc w:val="both"/>
              <w:rPr>
                <w:b/>
                <w:i/>
                <w:color w:val="000000"/>
                <w:sz w:val="28"/>
                <w:szCs w:val="28"/>
              </w:rPr>
            </w:pPr>
            <w:r w:rsidRPr="00EB65D3">
              <w:rPr>
                <w:b/>
                <w:i/>
                <w:sz w:val="28"/>
                <w:szCs w:val="28"/>
                <w:lang w:val="es-MX"/>
              </w:rPr>
              <w:t>3.</w:t>
            </w:r>
            <w:r>
              <w:rPr>
                <w:b/>
                <w:i/>
                <w:sz w:val="28"/>
                <w:szCs w:val="28"/>
                <w:lang w:val="es-MX"/>
              </w:rPr>
              <w:t>2</w:t>
            </w:r>
            <w:r w:rsidRPr="00EB65D3">
              <w:rPr>
                <w:b/>
                <w:i/>
                <w:sz w:val="28"/>
                <w:szCs w:val="28"/>
                <w:lang w:val="es-MX"/>
              </w:rPr>
              <w:t>.-</w:t>
            </w:r>
            <w:r>
              <w:rPr>
                <w:i/>
                <w:sz w:val="28"/>
                <w:szCs w:val="28"/>
                <w:lang w:val="es-MX"/>
              </w:rPr>
              <w:t xml:space="preserve">El </w:t>
            </w:r>
            <w:r w:rsidRPr="0075152D">
              <w:rPr>
                <w:i/>
                <w:sz w:val="28"/>
                <w:szCs w:val="28"/>
                <w:lang w:val="es-MX"/>
              </w:rPr>
              <w:t>detalle del costo por intérprete entre octubre de 2016 y febrero de 2017, fue de ¢</w:t>
            </w:r>
            <w:r w:rsidRPr="0075152D">
              <w:rPr>
                <w:i/>
                <w:color w:val="000000"/>
                <w:sz w:val="28"/>
                <w:szCs w:val="28"/>
              </w:rPr>
              <w:t>1.430.549,38,másel costo por traslado¢628.333,33,</w:t>
            </w:r>
            <w:r>
              <w:rPr>
                <w:b/>
                <w:i/>
                <w:color w:val="000000"/>
                <w:sz w:val="28"/>
                <w:szCs w:val="28"/>
              </w:rPr>
              <w:t>generaron</w:t>
            </w:r>
            <w:r w:rsidRPr="0075152D">
              <w:rPr>
                <w:i/>
                <w:color w:val="000000"/>
                <w:sz w:val="28"/>
                <w:szCs w:val="28"/>
              </w:rPr>
              <w:t xml:space="preserve"> un</w:t>
            </w:r>
            <w:r w:rsidRPr="00914E04">
              <w:rPr>
                <w:i/>
                <w:color w:val="000000"/>
                <w:sz w:val="28"/>
                <w:szCs w:val="28"/>
              </w:rPr>
              <w:t xml:space="preserve">costo </w:t>
            </w:r>
            <w:r w:rsidRPr="0075152D">
              <w:rPr>
                <w:i/>
                <w:color w:val="000000"/>
                <w:sz w:val="28"/>
                <w:szCs w:val="28"/>
              </w:rPr>
              <w:t>totalde</w:t>
            </w:r>
            <w:r w:rsidRPr="0075152D">
              <w:rPr>
                <w:b/>
                <w:i/>
                <w:color w:val="000000"/>
                <w:sz w:val="28"/>
                <w:szCs w:val="28"/>
              </w:rPr>
              <w:t xml:space="preserve"> ¢2.058.882.71.</w:t>
            </w:r>
          </w:p>
          <w:p w:rsidR="00922319" w:rsidRPr="0075152D" w:rsidRDefault="00922319" w:rsidP="00326D46">
            <w:pPr>
              <w:spacing w:line="480" w:lineRule="auto"/>
              <w:jc w:val="both"/>
              <w:rPr>
                <w:i/>
                <w:sz w:val="28"/>
                <w:szCs w:val="28"/>
                <w:lang w:val="es-MX"/>
              </w:rPr>
            </w:pPr>
            <w:r w:rsidRPr="0075152D">
              <w:rPr>
                <w:i/>
                <w:color w:val="000000"/>
                <w:sz w:val="28"/>
                <w:szCs w:val="28"/>
              </w:rPr>
              <w:lastRenderedPageBreak/>
              <w:t xml:space="preserve">De lo anterior se desprende, que sin incluir el costo por traslado, el pago por intérprete en los últimos cinco meses </w:t>
            </w:r>
            <w:r w:rsidRPr="0075152D">
              <w:rPr>
                <w:b/>
                <w:i/>
                <w:color w:val="000000"/>
                <w:sz w:val="28"/>
                <w:szCs w:val="28"/>
              </w:rPr>
              <w:t>(</w:t>
            </w:r>
            <w:r w:rsidRPr="0075152D">
              <w:rPr>
                <w:b/>
                <w:i/>
                <w:sz w:val="28"/>
                <w:szCs w:val="28"/>
                <w:lang w:val="es-MX"/>
              </w:rPr>
              <w:t>¢</w:t>
            </w:r>
            <w:r w:rsidRPr="0075152D">
              <w:rPr>
                <w:b/>
                <w:i/>
                <w:color w:val="000000"/>
                <w:sz w:val="28"/>
                <w:szCs w:val="28"/>
              </w:rPr>
              <w:t>1.430.549,38</w:t>
            </w:r>
            <w:r w:rsidRPr="0075152D">
              <w:rPr>
                <w:i/>
                <w:color w:val="000000"/>
                <w:sz w:val="28"/>
                <w:szCs w:val="28"/>
              </w:rPr>
              <w:t>), super</w:t>
            </w:r>
            <w:r>
              <w:rPr>
                <w:i/>
                <w:color w:val="000000"/>
                <w:sz w:val="28"/>
                <w:szCs w:val="28"/>
              </w:rPr>
              <w:t>ó</w:t>
            </w:r>
            <w:r w:rsidRPr="0075152D">
              <w:rPr>
                <w:i/>
                <w:color w:val="000000"/>
                <w:sz w:val="28"/>
                <w:szCs w:val="28"/>
              </w:rPr>
              <w:t xml:space="preserve"> al registro de </w:t>
            </w:r>
            <w:r w:rsidRPr="0075152D">
              <w:rPr>
                <w:i/>
                <w:sz w:val="28"/>
                <w:szCs w:val="28"/>
                <w:lang w:val="es-MX"/>
              </w:rPr>
              <w:t xml:space="preserve">los primeros nueve meses del 2016 </w:t>
            </w:r>
            <w:r w:rsidRPr="0075152D">
              <w:rPr>
                <w:b/>
                <w:i/>
                <w:sz w:val="28"/>
                <w:szCs w:val="28"/>
                <w:lang w:val="es-MX"/>
              </w:rPr>
              <w:t>(¢970.330,00</w:t>
            </w:r>
            <w:r w:rsidRPr="0075152D">
              <w:rPr>
                <w:i/>
                <w:sz w:val="28"/>
                <w:szCs w:val="28"/>
                <w:lang w:val="es-MX"/>
              </w:rPr>
              <w:t xml:space="preserve">), en </w:t>
            </w:r>
            <w:r w:rsidRPr="0075152D">
              <w:rPr>
                <w:b/>
                <w:i/>
                <w:sz w:val="28"/>
                <w:szCs w:val="28"/>
                <w:lang w:val="es-MX"/>
              </w:rPr>
              <w:t>¢ 4</w:t>
            </w:r>
            <w:r>
              <w:rPr>
                <w:b/>
                <w:i/>
                <w:sz w:val="28"/>
                <w:szCs w:val="28"/>
                <w:lang w:val="es-MX"/>
              </w:rPr>
              <w:t>6</w:t>
            </w:r>
            <w:r w:rsidRPr="0075152D">
              <w:rPr>
                <w:b/>
                <w:i/>
                <w:sz w:val="28"/>
                <w:szCs w:val="28"/>
                <w:lang w:val="es-MX"/>
              </w:rPr>
              <w:t>0.219,38</w:t>
            </w:r>
            <w:r w:rsidRPr="0075152D">
              <w:rPr>
                <w:i/>
                <w:sz w:val="28"/>
                <w:szCs w:val="28"/>
                <w:lang w:val="es-MX"/>
              </w:rPr>
              <w:t>, lo que representa un incremento de un 47.4%, en el pago de peritos interpretes en lengua cabécar. Aumento debido a que la cantidad de horas intérprete fue superior en 25,15 a las utilizadas en los primeros nueve meses del 2016.</w:t>
            </w:r>
          </w:p>
          <w:p w:rsidR="00922319" w:rsidRPr="00480630" w:rsidRDefault="00922319" w:rsidP="00326D46">
            <w:pPr>
              <w:spacing w:line="480" w:lineRule="auto"/>
              <w:jc w:val="both"/>
              <w:rPr>
                <w:sz w:val="28"/>
                <w:szCs w:val="28"/>
                <w:lang w:val="es-MX"/>
              </w:rPr>
            </w:pPr>
          </w:p>
          <w:p w:rsidR="00922319" w:rsidRPr="0075152D" w:rsidRDefault="00922319" w:rsidP="00326D46">
            <w:pPr>
              <w:spacing w:line="480" w:lineRule="auto"/>
              <w:jc w:val="both"/>
              <w:rPr>
                <w:i/>
                <w:sz w:val="28"/>
                <w:szCs w:val="28"/>
                <w:lang w:val="es-MX"/>
              </w:rPr>
            </w:pPr>
            <w:r w:rsidRPr="00EB65D3">
              <w:rPr>
                <w:b/>
                <w:i/>
                <w:sz w:val="28"/>
                <w:szCs w:val="28"/>
                <w:lang w:val="es-MX"/>
              </w:rPr>
              <w:t>3.</w:t>
            </w:r>
            <w:r>
              <w:rPr>
                <w:b/>
                <w:i/>
                <w:sz w:val="28"/>
                <w:szCs w:val="28"/>
                <w:lang w:val="es-MX"/>
              </w:rPr>
              <w:t>3</w:t>
            </w:r>
            <w:r w:rsidRPr="00EB65D3">
              <w:rPr>
                <w:b/>
                <w:i/>
                <w:sz w:val="28"/>
                <w:szCs w:val="28"/>
                <w:lang w:val="es-MX"/>
              </w:rPr>
              <w:t>.-</w:t>
            </w:r>
            <w:r w:rsidRPr="0075152D">
              <w:rPr>
                <w:i/>
                <w:sz w:val="28"/>
                <w:szCs w:val="28"/>
                <w:lang w:val="es-MX"/>
              </w:rPr>
              <w:t xml:space="preserve">Durante los últimos catorce meses (2016, enero y febrero del 2017) el costo total de horas por interprete fue de </w:t>
            </w:r>
            <w:r w:rsidRPr="0075152D">
              <w:rPr>
                <w:b/>
                <w:i/>
                <w:sz w:val="28"/>
                <w:szCs w:val="28"/>
                <w:lang w:val="es-MX"/>
              </w:rPr>
              <w:t>¢ 3.029.212,71</w:t>
            </w:r>
            <w:r w:rsidRPr="0075152D">
              <w:rPr>
                <w:i/>
                <w:sz w:val="28"/>
                <w:szCs w:val="28"/>
                <w:lang w:val="es-MX"/>
              </w:rPr>
              <w:t xml:space="preserve">, desglosado en ¢ 2.400.879,38 costo horas interprete más </w:t>
            </w:r>
            <w:r w:rsidRPr="0075152D">
              <w:rPr>
                <w:b/>
                <w:i/>
                <w:sz w:val="28"/>
                <w:szCs w:val="28"/>
                <w:lang w:val="es-MX"/>
              </w:rPr>
              <w:t>¢</w:t>
            </w:r>
            <w:r w:rsidRPr="0075152D">
              <w:rPr>
                <w:i/>
                <w:sz w:val="28"/>
                <w:szCs w:val="28"/>
                <w:lang w:val="es-MX"/>
              </w:rPr>
              <w:t>628.333.33 costo horas por traslado.</w:t>
            </w:r>
          </w:p>
          <w:p w:rsidR="00922319" w:rsidRPr="0075152D" w:rsidRDefault="00922319" w:rsidP="00326D46">
            <w:pPr>
              <w:spacing w:line="480" w:lineRule="auto"/>
              <w:jc w:val="both"/>
              <w:rPr>
                <w:i/>
                <w:sz w:val="28"/>
                <w:szCs w:val="28"/>
                <w:lang w:val="es-MX"/>
              </w:rPr>
            </w:pPr>
          </w:p>
          <w:p w:rsidR="00922319" w:rsidRPr="0075152D" w:rsidRDefault="00922319" w:rsidP="00326D46">
            <w:pPr>
              <w:spacing w:line="480" w:lineRule="auto"/>
              <w:jc w:val="both"/>
              <w:rPr>
                <w:i/>
                <w:sz w:val="28"/>
                <w:szCs w:val="28"/>
                <w:lang w:val="es-MX"/>
              </w:rPr>
            </w:pPr>
            <w:r w:rsidRPr="0075152D">
              <w:rPr>
                <w:i/>
                <w:sz w:val="28"/>
                <w:szCs w:val="28"/>
                <w:lang w:val="es-MX"/>
              </w:rPr>
              <w:t xml:space="preserve">Mientras que al contabilizar el costo por intérprete durante el 2016, registró un total de  </w:t>
            </w:r>
            <w:r w:rsidRPr="0075152D">
              <w:rPr>
                <w:b/>
                <w:i/>
                <w:sz w:val="28"/>
                <w:szCs w:val="28"/>
                <w:lang w:val="es-MX"/>
              </w:rPr>
              <w:t xml:space="preserve">¢ 2.305.871,66, </w:t>
            </w:r>
            <w:r w:rsidRPr="0075152D">
              <w:rPr>
                <w:i/>
                <w:sz w:val="28"/>
                <w:szCs w:val="28"/>
                <w:lang w:val="es-MX"/>
              </w:rPr>
              <w:t xml:space="preserve">en razón de117,4 horas por interprete + 37 horas por traslados, para un total de </w:t>
            </w:r>
            <w:r w:rsidRPr="00802051">
              <w:rPr>
                <w:i/>
                <w:sz w:val="28"/>
                <w:szCs w:val="28"/>
                <w:lang w:val="es-MX"/>
              </w:rPr>
              <w:t xml:space="preserve">154,4 horas. </w:t>
            </w:r>
          </w:p>
          <w:p w:rsidR="00922319" w:rsidRDefault="00922319" w:rsidP="00326D46">
            <w:pPr>
              <w:spacing w:line="480" w:lineRule="auto"/>
              <w:jc w:val="both"/>
              <w:rPr>
                <w:b/>
                <w:i/>
                <w:sz w:val="28"/>
                <w:szCs w:val="28"/>
                <w:lang w:val="es-MX"/>
              </w:rPr>
            </w:pPr>
          </w:p>
          <w:p w:rsidR="00922319" w:rsidRPr="00FB0DA4" w:rsidRDefault="00922319" w:rsidP="00326D46">
            <w:pPr>
              <w:spacing w:line="480" w:lineRule="auto"/>
              <w:jc w:val="both"/>
              <w:rPr>
                <w:i/>
                <w:sz w:val="28"/>
                <w:szCs w:val="28"/>
              </w:rPr>
            </w:pPr>
            <w:r w:rsidRPr="00FB0DA4">
              <w:rPr>
                <w:b/>
                <w:i/>
                <w:sz w:val="28"/>
                <w:szCs w:val="28"/>
                <w:lang w:val="es-MX"/>
              </w:rPr>
              <w:t>3.4.-</w:t>
            </w:r>
            <w:r w:rsidRPr="00FB0DA4">
              <w:rPr>
                <w:i/>
                <w:sz w:val="28"/>
                <w:szCs w:val="28"/>
              </w:rPr>
              <w:t xml:space="preserve">La creación de una plaza de Técnica o Técnico Judicial </w:t>
            </w:r>
            <w:r w:rsidRPr="00FB0DA4">
              <w:rPr>
                <w:i/>
                <w:sz w:val="28"/>
                <w:szCs w:val="28"/>
              </w:rPr>
              <w:lastRenderedPageBreak/>
              <w:t xml:space="preserve">Supernumerario, implica un costo para la Institución de </w:t>
            </w:r>
            <w:r w:rsidRPr="00FB0DA4">
              <w:rPr>
                <w:b/>
                <w:i/>
                <w:sz w:val="28"/>
                <w:szCs w:val="28"/>
              </w:rPr>
              <w:t xml:space="preserve">¢ 15.708.000,00 </w:t>
            </w:r>
            <w:r w:rsidRPr="00FB0DA4">
              <w:rPr>
                <w:i/>
                <w:sz w:val="28"/>
                <w:szCs w:val="28"/>
              </w:rPr>
              <w:t xml:space="preserve">promedio anual. </w:t>
            </w:r>
          </w:p>
          <w:p w:rsidR="00922319" w:rsidRPr="00FB0DA4" w:rsidRDefault="00922319" w:rsidP="00326D46">
            <w:pPr>
              <w:spacing w:line="480" w:lineRule="auto"/>
              <w:jc w:val="both"/>
              <w:rPr>
                <w:b/>
                <w:i/>
                <w:color w:val="0000FF"/>
                <w:sz w:val="28"/>
                <w:szCs w:val="28"/>
                <w:lang w:val="es-MX"/>
              </w:rPr>
            </w:pPr>
          </w:p>
          <w:p w:rsidR="00922319" w:rsidRPr="00FB0DA4" w:rsidRDefault="00922319" w:rsidP="00326D46">
            <w:pPr>
              <w:spacing w:line="480" w:lineRule="auto"/>
              <w:jc w:val="both"/>
              <w:rPr>
                <w:b/>
                <w:i/>
                <w:sz w:val="28"/>
                <w:szCs w:val="28"/>
              </w:rPr>
            </w:pPr>
            <w:r w:rsidRPr="00FB0DA4">
              <w:rPr>
                <w:i/>
                <w:sz w:val="28"/>
                <w:szCs w:val="28"/>
                <w:lang w:val="es-MX"/>
              </w:rPr>
              <w:t xml:space="preserve">Al comparar el costo total por intérprete registrado durante el 2016, </w:t>
            </w:r>
            <w:r w:rsidRPr="00FB0DA4">
              <w:rPr>
                <w:b/>
                <w:i/>
                <w:sz w:val="28"/>
                <w:szCs w:val="28"/>
                <w:lang w:val="es-MX"/>
              </w:rPr>
              <w:t>¢2.305.871,66</w:t>
            </w:r>
            <w:r w:rsidRPr="00FB0DA4">
              <w:rPr>
                <w:i/>
                <w:sz w:val="28"/>
                <w:szCs w:val="28"/>
                <w:lang w:val="es-MX"/>
              </w:rPr>
              <w:t xml:space="preserve">, con el costo de asignar de </w:t>
            </w:r>
            <w:r w:rsidRPr="00FB0DA4">
              <w:rPr>
                <w:i/>
                <w:sz w:val="28"/>
                <w:szCs w:val="28"/>
              </w:rPr>
              <w:t>una plaza de Técnica o Técnico Supernumerario</w:t>
            </w:r>
            <w:r w:rsidRPr="00FB0DA4">
              <w:rPr>
                <w:b/>
                <w:i/>
                <w:sz w:val="28"/>
                <w:szCs w:val="28"/>
              </w:rPr>
              <w:t xml:space="preserve"> ¢15.708.000,00 </w:t>
            </w:r>
            <w:r w:rsidRPr="00FB0DA4">
              <w:rPr>
                <w:i/>
                <w:sz w:val="28"/>
                <w:szCs w:val="28"/>
              </w:rPr>
              <w:t xml:space="preserve">promedio anual, representaría una erogación superior para la Institución de más de </w:t>
            </w:r>
            <w:r w:rsidRPr="00FB0DA4">
              <w:rPr>
                <w:b/>
                <w:i/>
                <w:sz w:val="28"/>
                <w:szCs w:val="28"/>
              </w:rPr>
              <w:t>¢ 13.000.000,00.</w:t>
            </w:r>
          </w:p>
          <w:p w:rsidR="00922319" w:rsidRDefault="00922319" w:rsidP="00326D46">
            <w:pPr>
              <w:spacing w:line="480" w:lineRule="auto"/>
              <w:jc w:val="both"/>
              <w:rPr>
                <w:b/>
                <w:i/>
                <w:sz w:val="28"/>
                <w:szCs w:val="28"/>
              </w:rPr>
            </w:pPr>
          </w:p>
          <w:p w:rsidR="00922319" w:rsidRPr="003C6102" w:rsidRDefault="00922319" w:rsidP="00326D46">
            <w:pPr>
              <w:spacing w:line="480" w:lineRule="auto"/>
              <w:jc w:val="both"/>
              <w:rPr>
                <w:b/>
                <w:i/>
                <w:color w:val="0000FF"/>
                <w:sz w:val="28"/>
                <w:szCs w:val="28"/>
                <w:lang w:val="es-MX"/>
              </w:rPr>
            </w:pPr>
            <w:r w:rsidRPr="00EB65D3">
              <w:rPr>
                <w:b/>
                <w:i/>
                <w:sz w:val="28"/>
                <w:szCs w:val="28"/>
                <w:lang w:val="es-MX"/>
              </w:rPr>
              <w:t>3.</w:t>
            </w:r>
            <w:r>
              <w:rPr>
                <w:b/>
                <w:i/>
                <w:sz w:val="28"/>
                <w:szCs w:val="28"/>
                <w:lang w:val="es-MX"/>
              </w:rPr>
              <w:t>5</w:t>
            </w:r>
            <w:r w:rsidRPr="00EB65D3">
              <w:rPr>
                <w:b/>
                <w:i/>
                <w:sz w:val="28"/>
                <w:szCs w:val="28"/>
                <w:lang w:val="es-MX"/>
              </w:rPr>
              <w:t>.-</w:t>
            </w:r>
            <w:r w:rsidRPr="00802051">
              <w:rPr>
                <w:i/>
                <w:sz w:val="28"/>
                <w:szCs w:val="28"/>
                <w:lang w:val="es-MX"/>
              </w:rPr>
              <w:t xml:space="preserve">Se </w:t>
            </w:r>
            <w:r w:rsidRPr="003C6102">
              <w:rPr>
                <w:i/>
                <w:sz w:val="28"/>
                <w:szCs w:val="28"/>
              </w:rPr>
              <w:t>toma en cuenta que una servidora o servidor judicial, labora un promedio de veintiún días al mes, un total de 168 horas; por tanto, comparado con el total de horas utilizadas durante el 2016 (</w:t>
            </w:r>
            <w:r w:rsidRPr="003C6102">
              <w:rPr>
                <w:i/>
                <w:sz w:val="28"/>
                <w:szCs w:val="28"/>
                <w:lang w:val="es-MX"/>
              </w:rPr>
              <w:t>154,4</w:t>
            </w:r>
            <w:r w:rsidRPr="003C6102">
              <w:rPr>
                <w:b/>
                <w:i/>
                <w:sz w:val="28"/>
                <w:szCs w:val="28"/>
                <w:lang w:val="es-MX"/>
              </w:rPr>
              <w:t xml:space="preserve">, </w:t>
            </w:r>
            <w:r w:rsidRPr="003C6102">
              <w:rPr>
                <w:i/>
                <w:sz w:val="28"/>
                <w:szCs w:val="28"/>
                <w:lang w:val="es-MX"/>
              </w:rPr>
              <w:t>interpretación + traslado</w:t>
            </w:r>
            <w:r w:rsidRPr="003C6102">
              <w:rPr>
                <w:b/>
                <w:i/>
                <w:sz w:val="28"/>
                <w:szCs w:val="28"/>
                <w:lang w:val="es-MX"/>
              </w:rPr>
              <w:t xml:space="preserve">), </w:t>
            </w:r>
            <w:r w:rsidRPr="003C6102">
              <w:rPr>
                <w:i/>
                <w:sz w:val="28"/>
                <w:szCs w:val="28"/>
                <w:lang w:val="es-MX"/>
              </w:rPr>
              <w:t xml:space="preserve">equivaldría aproximadamente a un mes de labor de </w:t>
            </w:r>
            <w:r w:rsidRPr="003C6102">
              <w:rPr>
                <w:i/>
                <w:sz w:val="28"/>
                <w:szCs w:val="28"/>
              </w:rPr>
              <w:t>una plaza de Técnica o Técnico Supernumerario</w:t>
            </w:r>
            <w:r w:rsidRPr="003C6102">
              <w:rPr>
                <w:i/>
                <w:color w:val="0000FF"/>
                <w:sz w:val="28"/>
                <w:szCs w:val="28"/>
              </w:rPr>
              <w:t>.</w:t>
            </w:r>
          </w:p>
          <w:p w:rsidR="00922319" w:rsidRDefault="00922319" w:rsidP="00326D46">
            <w:pPr>
              <w:spacing w:line="480" w:lineRule="auto"/>
              <w:jc w:val="both"/>
              <w:rPr>
                <w:b/>
                <w:i/>
                <w:sz w:val="28"/>
                <w:szCs w:val="28"/>
                <w:lang w:val="es-MX"/>
              </w:rPr>
            </w:pPr>
          </w:p>
          <w:p w:rsidR="00922319" w:rsidRPr="003C6102" w:rsidRDefault="00922319" w:rsidP="00326D46">
            <w:pPr>
              <w:spacing w:line="480" w:lineRule="auto"/>
              <w:jc w:val="both"/>
              <w:rPr>
                <w:i/>
                <w:sz w:val="28"/>
                <w:szCs w:val="28"/>
              </w:rPr>
            </w:pPr>
            <w:r w:rsidRPr="00EB65D3">
              <w:rPr>
                <w:b/>
                <w:i/>
                <w:sz w:val="28"/>
                <w:szCs w:val="28"/>
                <w:lang w:val="es-MX"/>
              </w:rPr>
              <w:t>3.</w:t>
            </w:r>
            <w:r>
              <w:rPr>
                <w:b/>
                <w:i/>
                <w:sz w:val="28"/>
                <w:szCs w:val="28"/>
                <w:lang w:val="es-MX"/>
              </w:rPr>
              <w:t>6</w:t>
            </w:r>
            <w:r w:rsidRPr="00EB65D3">
              <w:rPr>
                <w:b/>
                <w:i/>
                <w:sz w:val="28"/>
                <w:szCs w:val="28"/>
                <w:lang w:val="es-MX"/>
              </w:rPr>
              <w:t>.-</w:t>
            </w:r>
            <w:r w:rsidRPr="003C6102">
              <w:rPr>
                <w:i/>
                <w:sz w:val="28"/>
                <w:szCs w:val="28"/>
              </w:rPr>
              <w:t xml:space="preserve">El Poder Judicial consciente de la necesidad de mejorar el acceso de la justicia a las poblaciones en condición de vulnerabilidad, aprobó las reglas prácticas para facilitar el acceso </w:t>
            </w:r>
            <w:r w:rsidRPr="003C6102">
              <w:rPr>
                <w:i/>
                <w:sz w:val="28"/>
                <w:szCs w:val="28"/>
              </w:rPr>
              <w:lastRenderedPageBreak/>
              <w:t>a la justicia de las poblaciones indígenas, en la sesión Nº 77-08 del Consejo Superior celebrada el 14 de octubre de 2008, artículo XLI, donde se establece el derecho a la persona interprete o traductora, figura sin la cual quedaría en total indefensión una persona indígena frente a las potestades de la administración de justicia.</w:t>
            </w:r>
          </w:p>
          <w:p w:rsidR="00922319" w:rsidRDefault="00922319" w:rsidP="00326D46">
            <w:pPr>
              <w:spacing w:line="480" w:lineRule="auto"/>
              <w:jc w:val="both"/>
              <w:rPr>
                <w:b/>
                <w:i/>
                <w:sz w:val="28"/>
                <w:szCs w:val="28"/>
              </w:rPr>
            </w:pPr>
          </w:p>
          <w:p w:rsidR="00922319" w:rsidRPr="00D13915" w:rsidRDefault="00922319" w:rsidP="00326D46">
            <w:pPr>
              <w:spacing w:line="480" w:lineRule="auto"/>
              <w:jc w:val="both"/>
              <w:rPr>
                <w:b/>
                <w:i/>
                <w:sz w:val="28"/>
                <w:szCs w:val="28"/>
              </w:rPr>
            </w:pPr>
            <w:r w:rsidRPr="00FB0DA4">
              <w:rPr>
                <w:b/>
                <w:i/>
                <w:sz w:val="28"/>
                <w:szCs w:val="28"/>
                <w:lang w:val="es-MX"/>
              </w:rPr>
              <w:t xml:space="preserve">3.7.- </w:t>
            </w:r>
            <w:r w:rsidRPr="00FB0DA4">
              <w:rPr>
                <w:i/>
                <w:sz w:val="28"/>
                <w:szCs w:val="28"/>
              </w:rPr>
              <w:t>La Magistrada Carmenmaría Escoto Fernández, Coordinadora de la Subcomisión para el Acceso a la Justicia de Pueblos Indígenas</w:t>
            </w:r>
            <w:r w:rsidRPr="00FB0DA4">
              <w:rPr>
                <w:rStyle w:val="Refdenotaalpie"/>
                <w:sz w:val="28"/>
                <w:szCs w:val="28"/>
              </w:rPr>
              <w:footnoteReference w:id="1"/>
            </w:r>
            <w:r w:rsidRPr="00FB0DA4">
              <w:rPr>
                <w:i/>
                <w:sz w:val="28"/>
                <w:szCs w:val="28"/>
              </w:rPr>
              <w:t xml:space="preserve">, se suma a la iniciativa presentada por el Consejo de Administración de Turrialba, apoyando su gestión para que el Consejo Superior, se sirva autorizar la asignación de una plaza nueva de Técnica o Técnico Judicial Supernumeraria (o), para ser usada por una persona indígena cabécar.    </w:t>
            </w:r>
          </w:p>
          <w:p w:rsidR="00922319" w:rsidRPr="00014E64" w:rsidRDefault="00922319" w:rsidP="00326D46">
            <w:pPr>
              <w:spacing w:line="480" w:lineRule="auto"/>
              <w:jc w:val="both"/>
              <w:rPr>
                <w:bCs/>
                <w:i/>
                <w:sz w:val="28"/>
                <w:szCs w:val="28"/>
                <w:lang w:val="es-MX"/>
              </w:rPr>
            </w:pPr>
          </w:p>
        </w:tc>
      </w:tr>
      <w:tr w:rsidR="00922319" w:rsidRPr="0062173C" w:rsidTr="00326D46">
        <w:trPr>
          <w:trHeight w:val="794"/>
        </w:trPr>
        <w:tc>
          <w:tcPr>
            <w:tcW w:w="2878" w:type="dxa"/>
            <w:shd w:val="clear" w:color="auto" w:fill="C0C0C0"/>
          </w:tcPr>
          <w:p w:rsidR="00922319" w:rsidRPr="006265CC" w:rsidRDefault="00922319" w:rsidP="00326D46">
            <w:pPr>
              <w:jc w:val="right"/>
              <w:rPr>
                <w:b/>
                <w:sz w:val="28"/>
                <w:szCs w:val="28"/>
              </w:rPr>
            </w:pPr>
            <w:r w:rsidRPr="006265CC">
              <w:rPr>
                <w:b/>
                <w:sz w:val="28"/>
                <w:szCs w:val="28"/>
              </w:rPr>
              <w:lastRenderedPageBreak/>
              <w:t>IV. Elementos Resolutivos</w:t>
            </w:r>
          </w:p>
        </w:tc>
        <w:tc>
          <w:tcPr>
            <w:tcW w:w="7784" w:type="dxa"/>
          </w:tcPr>
          <w:p w:rsidR="00922319" w:rsidRPr="0068198C" w:rsidRDefault="00922319" w:rsidP="00326D46">
            <w:pPr>
              <w:spacing w:line="480" w:lineRule="auto"/>
              <w:jc w:val="both"/>
              <w:rPr>
                <w:i/>
                <w:sz w:val="28"/>
                <w:szCs w:val="28"/>
                <w:lang w:val="es-MX"/>
              </w:rPr>
            </w:pPr>
            <w:r w:rsidRPr="0068198C">
              <w:rPr>
                <w:b/>
                <w:i/>
                <w:sz w:val="28"/>
                <w:szCs w:val="28"/>
              </w:rPr>
              <w:t>4.1.-</w:t>
            </w:r>
            <w:r w:rsidRPr="0068198C">
              <w:rPr>
                <w:i/>
                <w:sz w:val="28"/>
                <w:szCs w:val="28"/>
              </w:rPr>
              <w:t xml:space="preserve"> Entre </w:t>
            </w:r>
            <w:r w:rsidRPr="0068198C">
              <w:rPr>
                <w:i/>
                <w:sz w:val="28"/>
                <w:szCs w:val="28"/>
                <w:lang w:val="es-MX"/>
              </w:rPr>
              <w:t>octubre de 2016 y febrero de 2017, el costo por pago de intérprete fue de ¢</w:t>
            </w:r>
            <w:r w:rsidRPr="0068198C">
              <w:rPr>
                <w:i/>
                <w:color w:val="000000"/>
                <w:sz w:val="28"/>
                <w:szCs w:val="28"/>
              </w:rPr>
              <w:t>1.430.549,38,másel costo por traslado¢628.333,33,generaron untotalde</w:t>
            </w:r>
            <w:r w:rsidRPr="0068198C">
              <w:rPr>
                <w:b/>
                <w:i/>
                <w:color w:val="000000"/>
                <w:sz w:val="28"/>
                <w:szCs w:val="28"/>
              </w:rPr>
              <w:t xml:space="preserve"> ¢2.058.882.71. </w:t>
            </w:r>
            <w:r w:rsidRPr="0068198C">
              <w:rPr>
                <w:i/>
                <w:color w:val="000000"/>
                <w:sz w:val="28"/>
                <w:szCs w:val="28"/>
              </w:rPr>
              <w:t xml:space="preserve">Es </w:t>
            </w:r>
            <w:r w:rsidRPr="0068198C">
              <w:rPr>
                <w:i/>
                <w:color w:val="000000"/>
                <w:sz w:val="28"/>
                <w:szCs w:val="28"/>
              </w:rPr>
              <w:lastRenderedPageBreak/>
              <w:t xml:space="preserve">decir,sin incluir el costo por traslado, el pago por intérprete en los últimos cinco meses superó al registro de </w:t>
            </w:r>
            <w:r w:rsidRPr="0068198C">
              <w:rPr>
                <w:i/>
                <w:sz w:val="28"/>
                <w:szCs w:val="28"/>
                <w:lang w:val="es-MX"/>
              </w:rPr>
              <w:t xml:space="preserve">los primeros nueve meses del 2016 (¢970.330,00), en </w:t>
            </w:r>
            <w:r w:rsidRPr="0068198C">
              <w:rPr>
                <w:b/>
                <w:i/>
                <w:sz w:val="28"/>
                <w:szCs w:val="28"/>
                <w:lang w:val="es-MX"/>
              </w:rPr>
              <w:t>¢4</w:t>
            </w:r>
            <w:r>
              <w:rPr>
                <w:b/>
                <w:i/>
                <w:sz w:val="28"/>
                <w:szCs w:val="28"/>
                <w:lang w:val="es-MX"/>
              </w:rPr>
              <w:t>6</w:t>
            </w:r>
            <w:r w:rsidRPr="0068198C">
              <w:rPr>
                <w:b/>
                <w:i/>
                <w:sz w:val="28"/>
                <w:szCs w:val="28"/>
                <w:lang w:val="es-MX"/>
              </w:rPr>
              <w:t>0.219,38</w:t>
            </w:r>
            <w:r w:rsidRPr="0068198C">
              <w:rPr>
                <w:i/>
                <w:sz w:val="28"/>
                <w:szCs w:val="28"/>
                <w:lang w:val="es-MX"/>
              </w:rPr>
              <w:t xml:space="preserve">, lo que representa un incremento de un 47.4%, como consecuencia del aumento en la cantidad de horas intérprete de 25,15. </w:t>
            </w:r>
          </w:p>
          <w:p w:rsidR="00922319" w:rsidRPr="0068198C" w:rsidRDefault="00922319" w:rsidP="00326D46">
            <w:pPr>
              <w:spacing w:line="480" w:lineRule="auto"/>
              <w:jc w:val="both"/>
              <w:rPr>
                <w:i/>
                <w:sz w:val="28"/>
                <w:szCs w:val="28"/>
              </w:rPr>
            </w:pPr>
          </w:p>
          <w:p w:rsidR="00922319" w:rsidRPr="0068198C" w:rsidRDefault="00922319" w:rsidP="00326D46">
            <w:pPr>
              <w:spacing w:line="480" w:lineRule="auto"/>
              <w:jc w:val="both"/>
              <w:rPr>
                <w:i/>
                <w:color w:val="0000FF"/>
                <w:sz w:val="28"/>
                <w:szCs w:val="28"/>
                <w:lang w:val="es-MX"/>
              </w:rPr>
            </w:pPr>
            <w:r w:rsidRPr="0068198C">
              <w:rPr>
                <w:b/>
                <w:i/>
                <w:sz w:val="28"/>
                <w:szCs w:val="28"/>
              </w:rPr>
              <w:t>4.2.-</w:t>
            </w:r>
            <w:r w:rsidRPr="0068198C">
              <w:rPr>
                <w:i/>
                <w:sz w:val="28"/>
                <w:szCs w:val="28"/>
                <w:lang w:val="es-MX"/>
              </w:rPr>
              <w:t xml:space="preserve">El costo por intérprete durante el 2016, registró un total de </w:t>
            </w:r>
            <w:r w:rsidRPr="0068198C">
              <w:rPr>
                <w:b/>
                <w:i/>
                <w:sz w:val="28"/>
                <w:szCs w:val="28"/>
                <w:lang w:val="es-MX"/>
              </w:rPr>
              <w:t>¢2.305.871,66</w:t>
            </w:r>
            <w:r w:rsidRPr="0068198C">
              <w:rPr>
                <w:i/>
                <w:sz w:val="28"/>
                <w:szCs w:val="28"/>
                <w:lang w:val="es-MX"/>
              </w:rPr>
              <w:t>, correspondiente a la utilización de 117,4 horas por interpretación y 37 horas por traslado, para un total de 154,4 horas.</w:t>
            </w:r>
          </w:p>
          <w:p w:rsidR="00922319" w:rsidRPr="00480630" w:rsidRDefault="00922319" w:rsidP="00326D46">
            <w:pPr>
              <w:spacing w:line="480" w:lineRule="auto"/>
              <w:jc w:val="both"/>
              <w:rPr>
                <w:sz w:val="28"/>
                <w:szCs w:val="28"/>
                <w:lang w:val="es-MX"/>
              </w:rPr>
            </w:pPr>
          </w:p>
          <w:p w:rsidR="00922319" w:rsidRPr="0068198C" w:rsidRDefault="00922319" w:rsidP="00326D46">
            <w:pPr>
              <w:spacing w:line="480" w:lineRule="auto"/>
              <w:jc w:val="both"/>
              <w:rPr>
                <w:i/>
                <w:sz w:val="28"/>
                <w:szCs w:val="28"/>
              </w:rPr>
            </w:pPr>
            <w:r w:rsidRPr="0068198C">
              <w:rPr>
                <w:b/>
                <w:i/>
                <w:sz w:val="28"/>
                <w:szCs w:val="28"/>
              </w:rPr>
              <w:t xml:space="preserve">4.3.- </w:t>
            </w:r>
            <w:r w:rsidRPr="0068198C">
              <w:rPr>
                <w:i/>
                <w:sz w:val="28"/>
                <w:szCs w:val="28"/>
                <w:lang w:val="es-MX"/>
              </w:rPr>
              <w:t xml:space="preserve">Al comparar el costo total por intérprete registrado en el 2016, </w:t>
            </w:r>
            <w:r w:rsidRPr="0068198C">
              <w:rPr>
                <w:b/>
                <w:i/>
                <w:sz w:val="28"/>
                <w:szCs w:val="28"/>
                <w:lang w:val="es-MX"/>
              </w:rPr>
              <w:t>¢ 2.305.871,66</w:t>
            </w:r>
            <w:r w:rsidRPr="0068198C">
              <w:rPr>
                <w:i/>
                <w:sz w:val="28"/>
                <w:szCs w:val="28"/>
                <w:lang w:val="es-MX"/>
              </w:rPr>
              <w:t xml:space="preserve">, con el costo de asignar </w:t>
            </w:r>
            <w:r w:rsidRPr="0068198C">
              <w:rPr>
                <w:i/>
                <w:sz w:val="28"/>
                <w:szCs w:val="28"/>
              </w:rPr>
              <w:t>una plaza de Técnica o Técnico Supernumerario</w:t>
            </w:r>
            <w:r w:rsidRPr="0068198C">
              <w:rPr>
                <w:b/>
                <w:i/>
                <w:sz w:val="28"/>
                <w:szCs w:val="28"/>
              </w:rPr>
              <w:t xml:space="preserve"> ¢15.708.000,00</w:t>
            </w:r>
            <w:r w:rsidRPr="0068198C">
              <w:rPr>
                <w:i/>
                <w:sz w:val="28"/>
                <w:szCs w:val="28"/>
              </w:rPr>
              <w:t xml:space="preserve">, se demuestra que es más oneroso para el Poder Judicial, crear la citada plaza en un monto anual superior a los </w:t>
            </w:r>
            <w:r w:rsidRPr="0068198C">
              <w:rPr>
                <w:b/>
                <w:i/>
                <w:sz w:val="28"/>
                <w:szCs w:val="28"/>
              </w:rPr>
              <w:t xml:space="preserve">¢ 13.000.000,00; </w:t>
            </w:r>
            <w:r w:rsidRPr="0068198C">
              <w:rPr>
                <w:i/>
                <w:sz w:val="28"/>
                <w:szCs w:val="28"/>
              </w:rPr>
              <w:t>o sea, que es más rentablecontratar los servicios de peritaje.</w:t>
            </w:r>
          </w:p>
          <w:p w:rsidR="00922319" w:rsidRPr="0068198C" w:rsidRDefault="00922319" w:rsidP="00326D46">
            <w:pPr>
              <w:spacing w:line="480" w:lineRule="auto"/>
              <w:jc w:val="both"/>
              <w:rPr>
                <w:b/>
                <w:i/>
                <w:sz w:val="28"/>
                <w:szCs w:val="28"/>
              </w:rPr>
            </w:pPr>
          </w:p>
          <w:p w:rsidR="00922319" w:rsidRPr="0068198C" w:rsidRDefault="00922319" w:rsidP="00326D46">
            <w:pPr>
              <w:spacing w:line="480" w:lineRule="auto"/>
              <w:jc w:val="both"/>
              <w:rPr>
                <w:b/>
                <w:i/>
                <w:sz w:val="28"/>
                <w:szCs w:val="28"/>
                <w:lang w:val="es-MX"/>
              </w:rPr>
            </w:pPr>
            <w:r w:rsidRPr="0068198C">
              <w:rPr>
                <w:b/>
                <w:i/>
                <w:sz w:val="28"/>
                <w:szCs w:val="28"/>
              </w:rPr>
              <w:t xml:space="preserve">4.4.- </w:t>
            </w:r>
            <w:r w:rsidRPr="0068198C">
              <w:rPr>
                <w:i/>
                <w:sz w:val="28"/>
                <w:szCs w:val="28"/>
              </w:rPr>
              <w:t xml:space="preserve">Se considera que una servidora o servidor judicial, labora un </w:t>
            </w:r>
            <w:r w:rsidRPr="0068198C">
              <w:rPr>
                <w:i/>
                <w:sz w:val="28"/>
                <w:szCs w:val="28"/>
              </w:rPr>
              <w:lastRenderedPageBreak/>
              <w:t>promedio de veintiún días al mes (168 horas); comparado con el total de horas utilizadas durante el 2016 (</w:t>
            </w:r>
            <w:r w:rsidRPr="0068198C">
              <w:rPr>
                <w:b/>
                <w:i/>
                <w:sz w:val="28"/>
                <w:szCs w:val="28"/>
                <w:lang w:val="es-MX"/>
              </w:rPr>
              <w:t xml:space="preserve">154,4 </w:t>
            </w:r>
            <w:r w:rsidRPr="0068198C">
              <w:rPr>
                <w:i/>
                <w:sz w:val="28"/>
                <w:szCs w:val="28"/>
                <w:lang w:val="es-MX"/>
              </w:rPr>
              <w:t>interpretación + traslado</w:t>
            </w:r>
            <w:r w:rsidRPr="0068198C">
              <w:rPr>
                <w:b/>
                <w:i/>
                <w:sz w:val="28"/>
                <w:szCs w:val="28"/>
                <w:lang w:val="es-MX"/>
              </w:rPr>
              <w:t xml:space="preserve">), </w:t>
            </w:r>
            <w:r w:rsidRPr="0068198C">
              <w:rPr>
                <w:i/>
                <w:sz w:val="28"/>
                <w:szCs w:val="28"/>
                <w:lang w:val="es-MX"/>
              </w:rPr>
              <w:t xml:space="preserve">equivaldría aproximadamente a un mes de trabajo de </w:t>
            </w:r>
            <w:r w:rsidRPr="0068198C">
              <w:rPr>
                <w:i/>
                <w:sz w:val="28"/>
                <w:szCs w:val="28"/>
              </w:rPr>
              <w:t>una plaza de Técnica o Técnico Supernumerario, lo que supone una mayor cantidad de tiempo ocioso.</w:t>
            </w:r>
          </w:p>
          <w:p w:rsidR="00922319" w:rsidRPr="0068198C" w:rsidRDefault="00922319" w:rsidP="00326D46">
            <w:pPr>
              <w:spacing w:line="480" w:lineRule="auto"/>
              <w:jc w:val="both"/>
              <w:rPr>
                <w:i/>
                <w:sz w:val="28"/>
                <w:szCs w:val="28"/>
              </w:rPr>
            </w:pPr>
          </w:p>
          <w:p w:rsidR="00922319" w:rsidRPr="0068198C" w:rsidRDefault="00922319" w:rsidP="00326D46">
            <w:pPr>
              <w:spacing w:line="480" w:lineRule="auto"/>
              <w:jc w:val="both"/>
              <w:rPr>
                <w:i/>
                <w:sz w:val="28"/>
                <w:szCs w:val="28"/>
              </w:rPr>
            </w:pPr>
            <w:r w:rsidRPr="0068198C">
              <w:rPr>
                <w:b/>
                <w:i/>
                <w:sz w:val="28"/>
                <w:szCs w:val="28"/>
              </w:rPr>
              <w:t xml:space="preserve">4.5.- </w:t>
            </w:r>
            <w:r w:rsidRPr="0068198C">
              <w:rPr>
                <w:i/>
                <w:sz w:val="28"/>
                <w:szCs w:val="28"/>
              </w:rPr>
              <w:t xml:space="preserve">El Poder Judicial consciente de la necesidad de mejorar el acceso de la justicia a  las poblaciones en condición de vulnerabilidad, ha declarado este tema de interés institucional, desarrollando iniciativas, políticas y lineamientos institucionales que contribuyan a brindar una mejor atención a este tipo de población; por ejemplo en el caso de los indígenas se ha conformado la  </w:t>
            </w:r>
            <w:r w:rsidRPr="0068198C">
              <w:rPr>
                <w:b/>
                <w:i/>
                <w:sz w:val="28"/>
                <w:szCs w:val="28"/>
              </w:rPr>
              <w:t>Subcomisión para el acceso a la justicia de pueblos Indígenas</w:t>
            </w:r>
            <w:r w:rsidRPr="0068198C">
              <w:rPr>
                <w:i/>
                <w:sz w:val="28"/>
                <w:szCs w:val="28"/>
              </w:rPr>
              <w:t xml:space="preserve"> dentro de </w:t>
            </w:r>
            <w:r w:rsidRPr="0068198C">
              <w:rPr>
                <w:b/>
                <w:i/>
                <w:sz w:val="28"/>
                <w:szCs w:val="28"/>
              </w:rPr>
              <w:t>la Comisión de Acceso a la Justicia,</w:t>
            </w:r>
            <w:r w:rsidRPr="0068198C">
              <w:rPr>
                <w:i/>
                <w:sz w:val="28"/>
                <w:szCs w:val="28"/>
              </w:rPr>
              <w:t xml:space="preserve"> que trabaja en acciones que facilitan el acceso de la justicia a esta población. </w:t>
            </w:r>
          </w:p>
          <w:p w:rsidR="00922319" w:rsidRDefault="00922319" w:rsidP="00326D46">
            <w:pPr>
              <w:spacing w:line="480" w:lineRule="auto"/>
              <w:jc w:val="both"/>
              <w:rPr>
                <w:sz w:val="28"/>
                <w:szCs w:val="28"/>
              </w:rPr>
            </w:pPr>
          </w:p>
          <w:p w:rsidR="00922319" w:rsidRPr="0068198C" w:rsidRDefault="00922319" w:rsidP="00326D46">
            <w:pPr>
              <w:spacing w:line="480" w:lineRule="auto"/>
              <w:jc w:val="both"/>
              <w:rPr>
                <w:i/>
                <w:sz w:val="28"/>
                <w:szCs w:val="28"/>
              </w:rPr>
            </w:pPr>
            <w:r w:rsidRPr="0068198C">
              <w:rPr>
                <w:b/>
                <w:i/>
                <w:sz w:val="28"/>
                <w:szCs w:val="28"/>
              </w:rPr>
              <w:t xml:space="preserve">4.6.- </w:t>
            </w:r>
            <w:r w:rsidRPr="0068198C">
              <w:rPr>
                <w:i/>
                <w:sz w:val="28"/>
                <w:szCs w:val="28"/>
              </w:rPr>
              <w:t xml:space="preserve">La Institución dispone de una Lista Oficial de Peritas y Peritos Intérpretes en Lenguas Indígenas Maleku, Ngöbe, Bribri y </w:t>
            </w:r>
            <w:r w:rsidRPr="0068198C">
              <w:rPr>
                <w:i/>
                <w:sz w:val="28"/>
                <w:szCs w:val="28"/>
              </w:rPr>
              <w:lastRenderedPageBreak/>
              <w:t>Cabécar, que atienden las necesidades de la población indígena en todo el territorio nacional. Específicamente en la lengua c</w:t>
            </w:r>
            <w:r w:rsidRPr="0068198C">
              <w:rPr>
                <w:b/>
                <w:i/>
                <w:sz w:val="28"/>
                <w:szCs w:val="28"/>
              </w:rPr>
              <w:t xml:space="preserve">abécar, </w:t>
            </w:r>
            <w:r w:rsidRPr="0068198C">
              <w:rPr>
                <w:i/>
                <w:sz w:val="28"/>
                <w:szCs w:val="28"/>
              </w:rPr>
              <w:t xml:space="preserve">el PoderJudicial,al 30 de marzo de 2017, cuenta con 11 peritas/os intérpretes, debidamente incorporados en el Sistema de Administración de Peritos, quienes en su totalidad están disponibles para la atención de la zona de Turrialba. </w:t>
            </w:r>
          </w:p>
          <w:p w:rsidR="00922319" w:rsidRPr="0068198C" w:rsidRDefault="00922319" w:rsidP="00326D46">
            <w:pPr>
              <w:spacing w:line="480" w:lineRule="auto"/>
              <w:jc w:val="both"/>
              <w:rPr>
                <w:i/>
                <w:sz w:val="28"/>
                <w:szCs w:val="28"/>
              </w:rPr>
            </w:pPr>
          </w:p>
          <w:p w:rsidR="00922319" w:rsidRDefault="00922319" w:rsidP="00326D46">
            <w:pPr>
              <w:spacing w:line="480" w:lineRule="auto"/>
              <w:jc w:val="both"/>
              <w:rPr>
                <w:sz w:val="28"/>
                <w:szCs w:val="28"/>
              </w:rPr>
            </w:pPr>
            <w:r w:rsidRPr="0068198C">
              <w:rPr>
                <w:b/>
                <w:i/>
                <w:sz w:val="28"/>
                <w:szCs w:val="28"/>
              </w:rPr>
              <w:t>4.7.-</w:t>
            </w:r>
            <w:r w:rsidRPr="0068198C">
              <w:rPr>
                <w:i/>
                <w:sz w:val="28"/>
                <w:szCs w:val="28"/>
              </w:rPr>
              <w:t xml:space="preserve"> La Magistrada Carmenmaría Escoto Fernández, Coordinadora de la Subcomisión para el Acceso a la Justicia de Pueblos Indígenas</w:t>
            </w:r>
            <w:r w:rsidRPr="0068198C">
              <w:rPr>
                <w:rStyle w:val="Refdenotaalpie"/>
                <w:sz w:val="28"/>
                <w:szCs w:val="28"/>
              </w:rPr>
              <w:footnoteReference w:id="2"/>
            </w:r>
            <w:r w:rsidRPr="0068198C">
              <w:rPr>
                <w:i/>
                <w:sz w:val="28"/>
                <w:szCs w:val="28"/>
              </w:rPr>
              <w:t>, se suma a la iniciativa presentada por el Consejo de Administración de Turrialba, apoyando su gestión para que el Consejo Superior, se sirva autorizar la asignación de una plaza nueva de Técnica o Técnico Supernumeraria (o), para ser usada por una persona indígena  cabécar.</w:t>
            </w:r>
          </w:p>
          <w:p w:rsidR="00922319" w:rsidRDefault="00922319" w:rsidP="00326D46">
            <w:pPr>
              <w:spacing w:line="480" w:lineRule="auto"/>
              <w:jc w:val="both"/>
              <w:rPr>
                <w:sz w:val="28"/>
                <w:szCs w:val="28"/>
              </w:rPr>
            </w:pPr>
          </w:p>
          <w:p w:rsidR="00922319" w:rsidRPr="002A2B23" w:rsidRDefault="00922319" w:rsidP="00AB0F00">
            <w:pPr>
              <w:spacing w:line="480" w:lineRule="auto"/>
              <w:jc w:val="both"/>
              <w:rPr>
                <w:color w:val="0000FF"/>
                <w:sz w:val="28"/>
                <w:szCs w:val="28"/>
              </w:rPr>
            </w:pPr>
            <w:r w:rsidRPr="0068198C">
              <w:rPr>
                <w:b/>
                <w:i/>
                <w:sz w:val="28"/>
                <w:szCs w:val="28"/>
              </w:rPr>
              <w:t>4.8.-</w:t>
            </w:r>
            <w:r w:rsidRPr="0068198C">
              <w:rPr>
                <w:i/>
                <w:sz w:val="28"/>
                <w:szCs w:val="28"/>
              </w:rPr>
              <w:t xml:space="preserve"> Esta Dirección estima que con la lista de peritas y peritos oficial, se atiende el servicio en forma eficiente y no se afectan los derechos de este importante grupo vulnerable socialmente.</w:t>
            </w:r>
          </w:p>
        </w:tc>
      </w:tr>
      <w:tr w:rsidR="00922319" w:rsidRPr="0062173C" w:rsidTr="00326D46">
        <w:trPr>
          <w:trHeight w:val="1264"/>
        </w:trPr>
        <w:tc>
          <w:tcPr>
            <w:tcW w:w="2878" w:type="dxa"/>
            <w:shd w:val="clear" w:color="auto" w:fill="C0C0C0"/>
          </w:tcPr>
          <w:p w:rsidR="00922319" w:rsidRPr="002270DD" w:rsidRDefault="00922319" w:rsidP="00326D46">
            <w:pPr>
              <w:jc w:val="right"/>
              <w:rPr>
                <w:b/>
                <w:sz w:val="28"/>
                <w:szCs w:val="28"/>
              </w:rPr>
            </w:pPr>
            <w:r w:rsidRPr="002270DD">
              <w:rPr>
                <w:b/>
                <w:sz w:val="28"/>
                <w:szCs w:val="28"/>
              </w:rPr>
              <w:lastRenderedPageBreak/>
              <w:t>V. Recomendaciones</w:t>
            </w:r>
          </w:p>
          <w:p w:rsidR="00922319" w:rsidRPr="002270DD" w:rsidRDefault="00922319" w:rsidP="00326D46">
            <w:pPr>
              <w:jc w:val="right"/>
              <w:rPr>
                <w:b/>
                <w:sz w:val="28"/>
                <w:szCs w:val="28"/>
              </w:rPr>
            </w:pPr>
          </w:p>
          <w:p w:rsidR="00922319" w:rsidRPr="002270DD" w:rsidRDefault="00922319" w:rsidP="00326D46">
            <w:pPr>
              <w:jc w:val="right"/>
              <w:rPr>
                <w:b/>
                <w:sz w:val="28"/>
                <w:szCs w:val="28"/>
              </w:rPr>
            </w:pPr>
          </w:p>
          <w:p w:rsidR="00922319" w:rsidRDefault="00922319" w:rsidP="00326D46">
            <w:pPr>
              <w:jc w:val="right"/>
              <w:rPr>
                <w:b/>
                <w:sz w:val="28"/>
                <w:szCs w:val="28"/>
              </w:rPr>
            </w:pPr>
          </w:p>
          <w:p w:rsidR="00922319" w:rsidRPr="002270DD" w:rsidRDefault="00922319" w:rsidP="00326D46">
            <w:pPr>
              <w:jc w:val="right"/>
              <w:rPr>
                <w:b/>
                <w:sz w:val="28"/>
                <w:szCs w:val="28"/>
              </w:rPr>
            </w:pPr>
          </w:p>
          <w:p w:rsidR="00922319" w:rsidRPr="002270DD" w:rsidRDefault="00922319" w:rsidP="00326D46">
            <w:pPr>
              <w:jc w:val="right"/>
              <w:rPr>
                <w:b/>
                <w:sz w:val="28"/>
                <w:szCs w:val="28"/>
              </w:rPr>
            </w:pPr>
          </w:p>
        </w:tc>
        <w:tc>
          <w:tcPr>
            <w:tcW w:w="7784" w:type="dxa"/>
          </w:tcPr>
          <w:p w:rsidR="00922319" w:rsidRPr="0068198C" w:rsidRDefault="00922319" w:rsidP="00326D46">
            <w:pPr>
              <w:keepLines/>
              <w:tabs>
                <w:tab w:val="left" w:pos="1080"/>
              </w:tabs>
              <w:spacing w:line="480" w:lineRule="auto"/>
              <w:jc w:val="both"/>
              <w:rPr>
                <w:bCs/>
                <w:i/>
                <w:sz w:val="28"/>
                <w:szCs w:val="28"/>
              </w:rPr>
            </w:pPr>
            <w:r w:rsidRPr="0068198C">
              <w:rPr>
                <w:b/>
                <w:bCs/>
                <w:i/>
                <w:sz w:val="28"/>
                <w:szCs w:val="28"/>
              </w:rPr>
              <w:t xml:space="preserve">5.1.- </w:t>
            </w:r>
            <w:r w:rsidRPr="0068198C">
              <w:rPr>
                <w:bCs/>
                <w:i/>
                <w:sz w:val="28"/>
                <w:szCs w:val="28"/>
              </w:rPr>
              <w:t>En cuanto a recursos no se recomienda la creación de la plaza en estudio para el 2018.</w:t>
            </w:r>
          </w:p>
          <w:p w:rsidR="00922319" w:rsidRPr="0068198C" w:rsidRDefault="00922319" w:rsidP="00326D46">
            <w:pPr>
              <w:keepLines/>
              <w:tabs>
                <w:tab w:val="left" w:pos="1080"/>
              </w:tabs>
              <w:spacing w:line="480" w:lineRule="auto"/>
              <w:jc w:val="both"/>
              <w:rPr>
                <w:bCs/>
                <w:i/>
                <w:sz w:val="28"/>
                <w:szCs w:val="28"/>
              </w:rPr>
            </w:pPr>
          </w:p>
          <w:p w:rsidR="00922319" w:rsidRPr="0068198C" w:rsidRDefault="00922319" w:rsidP="00326D46">
            <w:pPr>
              <w:keepLines/>
              <w:tabs>
                <w:tab w:val="left" w:pos="1080"/>
              </w:tabs>
              <w:spacing w:line="480" w:lineRule="auto"/>
              <w:jc w:val="both"/>
              <w:rPr>
                <w:bCs/>
                <w:i/>
                <w:sz w:val="28"/>
                <w:szCs w:val="28"/>
              </w:rPr>
            </w:pPr>
            <w:r w:rsidRPr="0068198C">
              <w:rPr>
                <w:bCs/>
                <w:i/>
                <w:sz w:val="28"/>
                <w:szCs w:val="28"/>
              </w:rPr>
              <w:t>Lo anterior por cuanto se está atendiendo eficientemente el servicio (traducción a lenguaje indígena) a las personas usuarias de este importante grupo vulnerable socialmente, y a la vez, se manejan racionalmente los escasos recursos institucionales.</w:t>
            </w:r>
          </w:p>
          <w:p w:rsidR="00922319" w:rsidRDefault="00922319" w:rsidP="00326D46">
            <w:pPr>
              <w:keepLines/>
              <w:tabs>
                <w:tab w:val="left" w:pos="1080"/>
              </w:tabs>
              <w:spacing w:line="480" w:lineRule="auto"/>
              <w:jc w:val="both"/>
              <w:rPr>
                <w:bCs/>
                <w:sz w:val="28"/>
                <w:szCs w:val="28"/>
              </w:rPr>
            </w:pPr>
          </w:p>
          <w:p w:rsidR="00922319" w:rsidRPr="009468E8" w:rsidRDefault="00922319" w:rsidP="00326D46">
            <w:pPr>
              <w:spacing w:line="480" w:lineRule="auto"/>
              <w:jc w:val="both"/>
              <w:rPr>
                <w:bCs/>
                <w:i/>
                <w:sz w:val="28"/>
                <w:szCs w:val="28"/>
              </w:rPr>
            </w:pPr>
            <w:r w:rsidRPr="009468E8">
              <w:rPr>
                <w:b/>
                <w:bCs/>
                <w:i/>
                <w:sz w:val="28"/>
                <w:szCs w:val="28"/>
              </w:rPr>
              <w:t>5.2.-</w:t>
            </w:r>
            <w:r w:rsidRPr="009468E8">
              <w:rPr>
                <w:bCs/>
                <w:i/>
                <w:sz w:val="28"/>
                <w:szCs w:val="28"/>
              </w:rPr>
              <w:t>Vinculación con el Plan Estratégico del Poder Judicial 2013-2018</w:t>
            </w:r>
            <w:r w:rsidR="00AB0F00">
              <w:rPr>
                <w:bCs/>
                <w:i/>
                <w:sz w:val="28"/>
                <w:szCs w:val="28"/>
              </w:rPr>
              <w:t>.</w:t>
            </w:r>
          </w:p>
          <w:p w:rsidR="00922319" w:rsidRDefault="00922319" w:rsidP="00326D46">
            <w:pPr>
              <w:spacing w:line="480" w:lineRule="auto"/>
              <w:jc w:val="both"/>
              <w:rPr>
                <w:sz w:val="28"/>
                <w:szCs w:val="28"/>
              </w:rPr>
            </w:pPr>
            <w:r w:rsidRPr="009468E8">
              <w:rPr>
                <w:i/>
                <w:sz w:val="28"/>
                <w:szCs w:val="28"/>
              </w:rPr>
              <w:t>El presente estudio se apega al Tema Estratégico N° 7</w:t>
            </w:r>
            <w:r w:rsidRPr="004617EC">
              <w:rPr>
                <w:sz w:val="28"/>
                <w:szCs w:val="28"/>
              </w:rPr>
              <w:t xml:space="preserve"> “</w:t>
            </w:r>
            <w:r w:rsidRPr="004617EC">
              <w:rPr>
                <w:i/>
                <w:sz w:val="28"/>
                <w:szCs w:val="28"/>
              </w:rPr>
              <w:t>Planificación Institucional</w:t>
            </w:r>
            <w:r w:rsidRPr="004617EC">
              <w:rPr>
                <w:sz w:val="28"/>
                <w:szCs w:val="28"/>
              </w:rPr>
              <w:t>”:</w:t>
            </w:r>
          </w:p>
          <w:p w:rsidR="00922319" w:rsidRPr="004617EC" w:rsidRDefault="00922319" w:rsidP="00326D46">
            <w:pPr>
              <w:spacing w:line="480" w:lineRule="auto"/>
              <w:jc w:val="both"/>
              <w:rPr>
                <w:sz w:val="28"/>
                <w:szCs w:val="28"/>
              </w:rPr>
            </w:pPr>
          </w:p>
          <w:p w:rsidR="00922319" w:rsidRPr="0040718A" w:rsidRDefault="00922319" w:rsidP="00326D46">
            <w:pPr>
              <w:spacing w:line="480" w:lineRule="auto"/>
              <w:ind w:left="540" w:right="920"/>
              <w:jc w:val="both"/>
              <w:rPr>
                <w:b/>
                <w:bCs/>
                <w:i/>
                <w:sz w:val="28"/>
                <w:szCs w:val="28"/>
              </w:rPr>
            </w:pPr>
            <w:r w:rsidRPr="004617EC">
              <w:rPr>
                <w:i/>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tc>
      </w:tr>
    </w:tbl>
    <w:p w:rsidR="00922319" w:rsidRPr="00BC51C8" w:rsidRDefault="00922319" w:rsidP="00922319">
      <w:pPr>
        <w:jc w:val="center"/>
        <w:rPr>
          <w:rFonts w:ascii="Calibri" w:hAnsi="Calibri"/>
          <w:sz w:val="40"/>
          <w:szCs w:val="4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180"/>
      </w:tblGrid>
      <w:tr w:rsidR="00922319" w:rsidRPr="0062173C" w:rsidTr="00326D46">
        <w:tc>
          <w:tcPr>
            <w:tcW w:w="2448" w:type="dxa"/>
            <w:shd w:val="clear" w:color="auto" w:fill="B3B3B3"/>
          </w:tcPr>
          <w:p w:rsidR="00922319" w:rsidRPr="0062173C" w:rsidRDefault="00922319" w:rsidP="00326D46">
            <w:pPr>
              <w:jc w:val="right"/>
              <w:rPr>
                <w:b/>
                <w:sz w:val="28"/>
                <w:szCs w:val="28"/>
              </w:rPr>
            </w:pPr>
            <w:r w:rsidRPr="0062173C">
              <w:rPr>
                <w:b/>
                <w:sz w:val="28"/>
                <w:szCs w:val="28"/>
              </w:rPr>
              <w:t>Realizado por:</w:t>
            </w:r>
          </w:p>
        </w:tc>
        <w:tc>
          <w:tcPr>
            <w:tcW w:w="8180" w:type="dxa"/>
          </w:tcPr>
          <w:p w:rsidR="00922319" w:rsidRPr="00656CBE" w:rsidRDefault="00922319" w:rsidP="00326D46">
            <w:pPr>
              <w:spacing w:line="480" w:lineRule="auto"/>
              <w:rPr>
                <w:bCs/>
                <w:i/>
                <w:sz w:val="26"/>
                <w:szCs w:val="26"/>
              </w:rPr>
            </w:pPr>
            <w:r w:rsidRPr="00656CBE">
              <w:rPr>
                <w:bCs/>
                <w:i/>
                <w:sz w:val="26"/>
                <w:szCs w:val="26"/>
              </w:rPr>
              <w:t>Lic. Alexander Tenorio Campos, Profesional 2.</w:t>
            </w:r>
          </w:p>
        </w:tc>
      </w:tr>
      <w:tr w:rsidR="00922319" w:rsidRPr="0062173C" w:rsidTr="00326D46">
        <w:tc>
          <w:tcPr>
            <w:tcW w:w="2448" w:type="dxa"/>
            <w:shd w:val="clear" w:color="auto" w:fill="B3B3B3"/>
          </w:tcPr>
          <w:p w:rsidR="00922319" w:rsidRPr="0062173C" w:rsidRDefault="00922319" w:rsidP="00326D46">
            <w:pPr>
              <w:jc w:val="right"/>
              <w:rPr>
                <w:b/>
                <w:sz w:val="28"/>
                <w:szCs w:val="28"/>
              </w:rPr>
            </w:pPr>
            <w:r w:rsidRPr="0062173C">
              <w:rPr>
                <w:b/>
                <w:sz w:val="28"/>
                <w:szCs w:val="28"/>
              </w:rPr>
              <w:t>Aprobado por:</w:t>
            </w:r>
          </w:p>
        </w:tc>
        <w:tc>
          <w:tcPr>
            <w:tcW w:w="8180" w:type="dxa"/>
          </w:tcPr>
          <w:p w:rsidR="00922319" w:rsidRPr="00656CBE" w:rsidRDefault="00922319" w:rsidP="00656CBE">
            <w:pPr>
              <w:spacing w:line="480" w:lineRule="auto"/>
              <w:ind w:right="-220"/>
              <w:rPr>
                <w:bCs/>
                <w:i/>
                <w:sz w:val="26"/>
                <w:szCs w:val="26"/>
              </w:rPr>
            </w:pPr>
            <w:r w:rsidRPr="00656CBE">
              <w:rPr>
                <w:bCs/>
                <w:i/>
                <w:sz w:val="26"/>
                <w:szCs w:val="26"/>
              </w:rPr>
              <w:t>Máster Randall Quirós Soto, Jefe Subproceso Organización Institucional</w:t>
            </w:r>
          </w:p>
        </w:tc>
      </w:tr>
      <w:tr w:rsidR="00922319" w:rsidRPr="0062173C" w:rsidTr="00326D46">
        <w:tc>
          <w:tcPr>
            <w:tcW w:w="2448" w:type="dxa"/>
            <w:shd w:val="clear" w:color="auto" w:fill="B3B3B3"/>
          </w:tcPr>
          <w:p w:rsidR="00922319" w:rsidRPr="0062173C" w:rsidRDefault="00922319" w:rsidP="00326D46">
            <w:pPr>
              <w:jc w:val="right"/>
              <w:rPr>
                <w:b/>
                <w:sz w:val="28"/>
                <w:szCs w:val="28"/>
              </w:rPr>
            </w:pPr>
            <w:r w:rsidRPr="0062173C">
              <w:rPr>
                <w:b/>
                <w:sz w:val="28"/>
                <w:szCs w:val="28"/>
              </w:rPr>
              <w:t>Visto bueno:</w:t>
            </w:r>
          </w:p>
        </w:tc>
        <w:tc>
          <w:tcPr>
            <w:tcW w:w="8180" w:type="dxa"/>
          </w:tcPr>
          <w:p w:rsidR="00922319" w:rsidRPr="00656CBE" w:rsidRDefault="00922319" w:rsidP="00326D46">
            <w:pPr>
              <w:spacing w:line="480" w:lineRule="auto"/>
              <w:rPr>
                <w:bCs/>
                <w:i/>
                <w:sz w:val="26"/>
                <w:szCs w:val="26"/>
              </w:rPr>
            </w:pPr>
            <w:r w:rsidRPr="00656CBE">
              <w:rPr>
                <w:bCs/>
                <w:i/>
                <w:sz w:val="26"/>
                <w:szCs w:val="26"/>
              </w:rPr>
              <w:t xml:space="preserve">Licda. Nacira Valverde Bermúdez, Directora a.í de Planificación. </w:t>
            </w:r>
          </w:p>
        </w:tc>
      </w:tr>
    </w:tbl>
    <w:p w:rsidR="00922319" w:rsidRDefault="00922319" w:rsidP="00922319">
      <w:pPr>
        <w:jc w:val="center"/>
        <w:rPr>
          <w:rFonts w:ascii="Calibri" w:hAnsi="Calibri"/>
          <w:sz w:val="28"/>
          <w:szCs w:val="28"/>
        </w:rPr>
      </w:pPr>
    </w:p>
    <w:p w:rsidR="00922319" w:rsidRDefault="00922319" w:rsidP="00922319">
      <w:pPr>
        <w:jc w:val="center"/>
        <w:rPr>
          <w:rFonts w:ascii="Calibri" w:hAnsi="Calibri"/>
          <w:sz w:val="28"/>
          <w:szCs w:val="28"/>
        </w:rPr>
      </w:pPr>
    </w:p>
    <w:p w:rsidR="00AB0F00" w:rsidRPr="00AB0F00" w:rsidRDefault="006072F8">
      <w:pPr>
        <w:rPr>
          <w:sz w:val="28"/>
          <w:szCs w:val="28"/>
        </w:rPr>
      </w:pPr>
      <w:r>
        <w:rPr>
          <w:sz w:val="28"/>
          <w:szCs w:val="28"/>
        </w:rPr>
        <w:t>RQS</w:t>
      </w:r>
      <w:bookmarkStart w:id="0" w:name="_GoBack"/>
      <w:bookmarkEnd w:id="0"/>
      <w:r w:rsidR="00AB0F00" w:rsidRPr="00AB0F00">
        <w:rPr>
          <w:sz w:val="28"/>
          <w:szCs w:val="28"/>
        </w:rPr>
        <w:t>/xba</w:t>
      </w:r>
      <w:r w:rsidR="00AB0F00" w:rsidRPr="00AB0F00">
        <w:rPr>
          <w:sz w:val="28"/>
          <w:szCs w:val="28"/>
        </w:rPr>
        <w:br w:type="page"/>
      </w:r>
    </w:p>
    <w:p w:rsidR="00922319" w:rsidRPr="001679D2" w:rsidRDefault="00922319" w:rsidP="00922319">
      <w:pPr>
        <w:rPr>
          <w:rFonts w:ascii="Calibri" w:hAnsi="Calibri"/>
          <w:sz w:val="10"/>
          <w:szCs w:val="10"/>
        </w:rPr>
      </w:pPr>
    </w:p>
    <w:p w:rsidR="00922319" w:rsidRPr="00FE2E98" w:rsidRDefault="00922319" w:rsidP="00922319">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FE2E98">
        <w:t xml:space="preserve">I </w:t>
      </w:r>
      <w:bookmarkEnd w:id="1"/>
      <w:bookmarkEnd w:id="2"/>
      <w:bookmarkEnd w:id="3"/>
      <w:bookmarkEnd w:id="4"/>
      <w:bookmarkEnd w:id="5"/>
      <w:bookmarkEnd w:id="6"/>
      <w:bookmarkEnd w:id="7"/>
      <w:r w:rsidRPr="00FE2E98">
        <w:t>Plazas por Analizar</w:t>
      </w:r>
    </w:p>
    <w:p w:rsidR="00922319" w:rsidRPr="00DC07A2" w:rsidRDefault="00922319" w:rsidP="00922319">
      <w:pPr>
        <w:jc w:val="both"/>
        <w:rPr>
          <w:rFonts w:ascii="Calibri" w:hAnsi="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 w:type="dxa"/>
          <w:bottom w:w="11" w:type="dxa"/>
          <w:right w:w="11" w:type="dxa"/>
        </w:tblCellMar>
        <w:tblLook w:val="01E0"/>
      </w:tblPr>
      <w:tblGrid>
        <w:gridCol w:w="1138"/>
        <w:gridCol w:w="2625"/>
        <w:gridCol w:w="1503"/>
        <w:gridCol w:w="1071"/>
        <w:gridCol w:w="1286"/>
        <w:gridCol w:w="2457"/>
      </w:tblGrid>
      <w:tr w:rsidR="00922319" w:rsidRPr="00FE2E98" w:rsidTr="00326D46">
        <w:trPr>
          <w:jc w:val="center"/>
        </w:trPr>
        <w:tc>
          <w:tcPr>
            <w:tcW w:w="1138" w:type="dxa"/>
            <w:vAlign w:val="center"/>
          </w:tcPr>
          <w:p w:rsidR="00922319" w:rsidRPr="00FE2E98" w:rsidRDefault="00922319" w:rsidP="00326D46">
            <w:pPr>
              <w:jc w:val="center"/>
              <w:rPr>
                <w:b/>
              </w:rPr>
            </w:pPr>
            <w:r w:rsidRPr="00FE2E98">
              <w:rPr>
                <w:b/>
              </w:rPr>
              <w:t>Cantidad</w:t>
            </w:r>
          </w:p>
        </w:tc>
        <w:tc>
          <w:tcPr>
            <w:tcW w:w="2625" w:type="dxa"/>
            <w:vAlign w:val="center"/>
          </w:tcPr>
          <w:p w:rsidR="00922319" w:rsidRPr="00FE2E98" w:rsidRDefault="00922319" w:rsidP="00326D46">
            <w:pPr>
              <w:jc w:val="center"/>
              <w:rPr>
                <w:b/>
              </w:rPr>
            </w:pPr>
            <w:r w:rsidRPr="00FE2E98">
              <w:rPr>
                <w:b/>
              </w:rPr>
              <w:t>Tipo de</w:t>
            </w:r>
          </w:p>
          <w:p w:rsidR="00922319" w:rsidRPr="00FE2E98" w:rsidRDefault="00922319" w:rsidP="00326D46">
            <w:pPr>
              <w:jc w:val="center"/>
              <w:rPr>
                <w:b/>
              </w:rPr>
            </w:pPr>
            <w:r w:rsidRPr="00FE2E98">
              <w:rPr>
                <w:b/>
              </w:rPr>
              <w:t>Plaza</w:t>
            </w:r>
          </w:p>
        </w:tc>
        <w:tc>
          <w:tcPr>
            <w:tcW w:w="1503" w:type="dxa"/>
            <w:vAlign w:val="center"/>
          </w:tcPr>
          <w:p w:rsidR="00922319" w:rsidRPr="00FE2E98" w:rsidRDefault="00922319" w:rsidP="00326D46">
            <w:pPr>
              <w:jc w:val="center"/>
              <w:rPr>
                <w:b/>
              </w:rPr>
            </w:pPr>
            <w:r w:rsidRPr="00FE2E98">
              <w:rPr>
                <w:b/>
              </w:rPr>
              <w:t>Condición</w:t>
            </w:r>
          </w:p>
          <w:p w:rsidR="00922319" w:rsidRPr="00FE2E98" w:rsidRDefault="00922319" w:rsidP="00326D46">
            <w:pPr>
              <w:jc w:val="center"/>
              <w:rPr>
                <w:b/>
              </w:rPr>
            </w:pPr>
            <w:r w:rsidRPr="00FE2E98">
              <w:rPr>
                <w:b/>
              </w:rPr>
              <w:t>Actual</w:t>
            </w:r>
          </w:p>
        </w:tc>
        <w:tc>
          <w:tcPr>
            <w:tcW w:w="1071" w:type="dxa"/>
            <w:vAlign w:val="center"/>
          </w:tcPr>
          <w:p w:rsidR="00922319" w:rsidRPr="00FE2E98" w:rsidRDefault="00922319" w:rsidP="00326D46">
            <w:pPr>
              <w:jc w:val="center"/>
              <w:rPr>
                <w:b/>
              </w:rPr>
            </w:pPr>
            <w:r w:rsidRPr="00FE2E98">
              <w:rPr>
                <w:b/>
              </w:rPr>
              <w:t>Plazo</w:t>
            </w:r>
          </w:p>
          <w:p w:rsidR="00922319" w:rsidRPr="00FE2E98" w:rsidRDefault="00922319" w:rsidP="00326D46">
            <w:pPr>
              <w:jc w:val="center"/>
              <w:rPr>
                <w:b/>
              </w:rPr>
            </w:pPr>
            <w:r w:rsidRPr="00FE2E98">
              <w:rPr>
                <w:b/>
              </w:rPr>
              <w:t>Actual</w:t>
            </w:r>
          </w:p>
        </w:tc>
        <w:tc>
          <w:tcPr>
            <w:tcW w:w="1286" w:type="dxa"/>
            <w:vAlign w:val="center"/>
          </w:tcPr>
          <w:p w:rsidR="00922319" w:rsidRPr="00FE2E98" w:rsidRDefault="00922319" w:rsidP="00326D46">
            <w:pPr>
              <w:jc w:val="center"/>
              <w:rPr>
                <w:b/>
              </w:rPr>
            </w:pPr>
            <w:r w:rsidRPr="00FE2E98">
              <w:rPr>
                <w:b/>
              </w:rPr>
              <w:t>Tiempo de</w:t>
            </w:r>
          </w:p>
          <w:p w:rsidR="00922319" w:rsidRPr="00FE2E98" w:rsidRDefault="00922319" w:rsidP="00326D46">
            <w:pPr>
              <w:jc w:val="center"/>
              <w:rPr>
                <w:b/>
              </w:rPr>
            </w:pPr>
            <w:r w:rsidRPr="00FE2E98">
              <w:rPr>
                <w:b/>
              </w:rPr>
              <w:t>Existir Este</w:t>
            </w:r>
          </w:p>
          <w:p w:rsidR="00922319" w:rsidRPr="00FE2E98" w:rsidRDefault="00922319" w:rsidP="00326D46">
            <w:pPr>
              <w:jc w:val="center"/>
              <w:rPr>
                <w:b/>
              </w:rPr>
            </w:pPr>
            <w:r w:rsidRPr="00FE2E98">
              <w:rPr>
                <w:b/>
              </w:rPr>
              <w:t>Recurso</w:t>
            </w:r>
          </w:p>
        </w:tc>
        <w:tc>
          <w:tcPr>
            <w:tcW w:w="2457" w:type="dxa"/>
            <w:vAlign w:val="center"/>
          </w:tcPr>
          <w:p w:rsidR="00922319" w:rsidRPr="00FE2E98" w:rsidRDefault="00922319" w:rsidP="00326D46">
            <w:pPr>
              <w:jc w:val="center"/>
              <w:rPr>
                <w:b/>
              </w:rPr>
            </w:pPr>
            <w:r w:rsidRPr="00FE2E98">
              <w:rPr>
                <w:b/>
              </w:rPr>
              <w:t>Último Acuerdo</w:t>
            </w:r>
          </w:p>
          <w:p w:rsidR="00922319" w:rsidRPr="00FE2E98" w:rsidRDefault="00922319" w:rsidP="00326D46">
            <w:pPr>
              <w:jc w:val="center"/>
              <w:rPr>
                <w:b/>
              </w:rPr>
            </w:pPr>
            <w:r w:rsidRPr="00FE2E98">
              <w:rPr>
                <w:b/>
              </w:rPr>
              <w:t>Tomado</w:t>
            </w:r>
          </w:p>
        </w:tc>
      </w:tr>
      <w:tr w:rsidR="00922319" w:rsidRPr="00FE2E98" w:rsidTr="00326D46">
        <w:trPr>
          <w:trHeight w:val="935"/>
          <w:jc w:val="center"/>
        </w:trPr>
        <w:tc>
          <w:tcPr>
            <w:tcW w:w="1138" w:type="dxa"/>
            <w:vAlign w:val="center"/>
          </w:tcPr>
          <w:p w:rsidR="00922319" w:rsidRPr="00FE2E98" w:rsidRDefault="00922319" w:rsidP="00326D46">
            <w:pPr>
              <w:jc w:val="center"/>
              <w:rPr>
                <w:b/>
                <w:bCs/>
              </w:rPr>
            </w:pPr>
            <w:r>
              <w:t>1</w:t>
            </w:r>
          </w:p>
        </w:tc>
        <w:tc>
          <w:tcPr>
            <w:tcW w:w="2625" w:type="dxa"/>
            <w:vAlign w:val="center"/>
          </w:tcPr>
          <w:p w:rsidR="00922319" w:rsidRPr="00FE2E98" w:rsidRDefault="00922319" w:rsidP="00326D46">
            <w:pPr>
              <w:jc w:val="center"/>
            </w:pPr>
            <w:r w:rsidRPr="00FE2E98">
              <w:t>Técnica o Técnico</w:t>
            </w:r>
            <w:r>
              <w:t xml:space="preserve"> Supernumerario</w:t>
            </w:r>
          </w:p>
        </w:tc>
        <w:tc>
          <w:tcPr>
            <w:tcW w:w="1503" w:type="dxa"/>
            <w:vAlign w:val="center"/>
          </w:tcPr>
          <w:p w:rsidR="00922319" w:rsidRPr="00241BE7" w:rsidRDefault="00922319" w:rsidP="00326D46">
            <w:pPr>
              <w:jc w:val="center"/>
              <w:rPr>
                <w:bCs/>
              </w:rPr>
            </w:pPr>
            <w:r w:rsidRPr="00241BE7">
              <w:rPr>
                <w:bCs/>
              </w:rPr>
              <w:t>No existe</w:t>
            </w:r>
          </w:p>
        </w:tc>
        <w:tc>
          <w:tcPr>
            <w:tcW w:w="1071" w:type="dxa"/>
            <w:vAlign w:val="center"/>
          </w:tcPr>
          <w:p w:rsidR="00922319" w:rsidRPr="00FE2E98" w:rsidRDefault="00922319" w:rsidP="00326D46">
            <w:pPr>
              <w:jc w:val="center"/>
            </w:pPr>
            <w:r>
              <w:t>-</w:t>
            </w:r>
          </w:p>
        </w:tc>
        <w:tc>
          <w:tcPr>
            <w:tcW w:w="1286" w:type="dxa"/>
            <w:vAlign w:val="center"/>
          </w:tcPr>
          <w:p w:rsidR="00922319" w:rsidRPr="00FE2E98" w:rsidRDefault="00922319" w:rsidP="00326D46">
            <w:pPr>
              <w:jc w:val="center"/>
              <w:rPr>
                <w:b/>
                <w:bCs/>
              </w:rPr>
            </w:pPr>
            <w:r>
              <w:t>-</w:t>
            </w:r>
          </w:p>
        </w:tc>
        <w:tc>
          <w:tcPr>
            <w:tcW w:w="2457" w:type="dxa"/>
            <w:vAlign w:val="center"/>
          </w:tcPr>
          <w:p w:rsidR="00922319" w:rsidRPr="00FE2E98" w:rsidRDefault="00922319" w:rsidP="00326D46">
            <w:pPr>
              <w:ind w:left="103" w:right="78"/>
              <w:jc w:val="center"/>
              <w:rPr>
                <w:b/>
                <w:bCs/>
              </w:rPr>
            </w:pPr>
            <w:r>
              <w:t>Consejo de Administración de Turrialba, Sesión 03-17, artículo II</w:t>
            </w:r>
          </w:p>
        </w:tc>
      </w:tr>
    </w:tbl>
    <w:p w:rsidR="00922319" w:rsidRPr="00CC3995" w:rsidRDefault="00922319" w:rsidP="00922319">
      <w:pPr>
        <w:spacing w:line="480" w:lineRule="auto"/>
        <w:rPr>
          <w:sz w:val="28"/>
          <w:szCs w:val="28"/>
          <w:lang w:val="es-ES_tradnl"/>
        </w:rPr>
      </w:pPr>
    </w:p>
    <w:p w:rsidR="00922319" w:rsidRPr="003839D2" w:rsidRDefault="00922319" w:rsidP="00922319">
      <w:pPr>
        <w:pStyle w:val="Ttulo2"/>
      </w:pPr>
      <w:r w:rsidRPr="003839D2">
        <w:t xml:space="preserve">II Justificación de </w:t>
      </w:r>
      <w:smartTag w:uri="urn:schemas-microsoft-com:office:smarttags" w:element="PersonName">
        <w:smartTagPr>
          <w:attr w:name="ProductID" w:val="la Situaci￳n"/>
        </w:smartTagPr>
        <w:r w:rsidRPr="003839D2">
          <w:t>la Situación</w:t>
        </w:r>
      </w:smartTag>
      <w:r w:rsidRPr="003839D2">
        <w:t xml:space="preserve"> o Necesidad Planteada</w:t>
      </w:r>
    </w:p>
    <w:p w:rsidR="00922319" w:rsidRDefault="00922319" w:rsidP="00922319">
      <w:pPr>
        <w:spacing w:line="480" w:lineRule="auto"/>
        <w:jc w:val="both"/>
        <w:rPr>
          <w:sz w:val="28"/>
          <w:szCs w:val="28"/>
        </w:rPr>
      </w:pPr>
    </w:p>
    <w:p w:rsidR="00922319" w:rsidRPr="00456869" w:rsidRDefault="00922319" w:rsidP="00922319">
      <w:pPr>
        <w:spacing w:line="480" w:lineRule="auto"/>
        <w:jc w:val="both"/>
        <w:rPr>
          <w:sz w:val="28"/>
          <w:szCs w:val="28"/>
        </w:rPr>
      </w:pPr>
      <w:r w:rsidRPr="00C2115E">
        <w:rPr>
          <w:bCs/>
          <w:sz w:val="28"/>
          <w:szCs w:val="28"/>
        </w:rPr>
        <w:t xml:space="preserve">Una plaza de Técnica o Técnico Supernumerario </w:t>
      </w:r>
      <w:r>
        <w:rPr>
          <w:bCs/>
          <w:sz w:val="28"/>
          <w:szCs w:val="28"/>
        </w:rPr>
        <w:t>para ser ocupada por una persona indígena cabécar; dado que se argumenta un</w:t>
      </w:r>
      <w:r w:rsidRPr="00456869">
        <w:rPr>
          <w:iCs/>
          <w:sz w:val="28"/>
          <w:szCs w:val="28"/>
        </w:rPr>
        <w:t xml:space="preserve">aumento en el pago de peritos intérpretes en lengua cabécar, de </w:t>
      </w:r>
      <w:r>
        <w:rPr>
          <w:iCs/>
          <w:sz w:val="28"/>
          <w:szCs w:val="28"/>
        </w:rPr>
        <w:t xml:space="preserve">un </w:t>
      </w:r>
      <w:r w:rsidRPr="00456869">
        <w:rPr>
          <w:iCs/>
          <w:sz w:val="28"/>
          <w:szCs w:val="28"/>
        </w:rPr>
        <w:t>282% en los últimos cinco meses</w:t>
      </w:r>
      <w:r>
        <w:rPr>
          <w:iCs/>
          <w:sz w:val="28"/>
          <w:szCs w:val="28"/>
        </w:rPr>
        <w:t>.</w:t>
      </w:r>
    </w:p>
    <w:p w:rsidR="00922319" w:rsidRPr="00456869" w:rsidRDefault="00922319" w:rsidP="00922319">
      <w:pPr>
        <w:spacing w:line="480" w:lineRule="auto"/>
        <w:jc w:val="both"/>
        <w:rPr>
          <w:sz w:val="28"/>
          <w:szCs w:val="28"/>
        </w:rPr>
      </w:pPr>
    </w:p>
    <w:p w:rsidR="00922319" w:rsidRPr="00AF06BB" w:rsidRDefault="00922319" w:rsidP="00922319">
      <w:pPr>
        <w:pStyle w:val="Ttulo2"/>
      </w:pPr>
      <w:r w:rsidRPr="00AF06BB">
        <w:t>III Información Relevante</w:t>
      </w:r>
    </w:p>
    <w:p w:rsidR="00922319" w:rsidRDefault="00922319" w:rsidP="00922319">
      <w:pPr>
        <w:spacing w:line="480" w:lineRule="auto"/>
        <w:jc w:val="both"/>
        <w:rPr>
          <w:color w:val="0000FF"/>
          <w:sz w:val="28"/>
          <w:szCs w:val="28"/>
        </w:rPr>
      </w:pPr>
    </w:p>
    <w:p w:rsidR="00922319" w:rsidRPr="00086268" w:rsidRDefault="00922319" w:rsidP="00922319">
      <w:pPr>
        <w:spacing w:line="480" w:lineRule="auto"/>
        <w:jc w:val="both"/>
        <w:rPr>
          <w:b/>
          <w:sz w:val="28"/>
          <w:szCs w:val="28"/>
        </w:rPr>
      </w:pPr>
      <w:r>
        <w:rPr>
          <w:b/>
          <w:sz w:val="28"/>
          <w:szCs w:val="28"/>
        </w:rPr>
        <w:t>3.</w:t>
      </w:r>
      <w:r w:rsidRPr="002F0AF9">
        <w:rPr>
          <w:b/>
          <w:sz w:val="28"/>
          <w:szCs w:val="28"/>
        </w:rPr>
        <w:t>1.-</w:t>
      </w:r>
      <w:r w:rsidRPr="00086268">
        <w:rPr>
          <w:b/>
          <w:sz w:val="28"/>
          <w:szCs w:val="28"/>
        </w:rPr>
        <w:t>Administración Regional de Turrialba</w:t>
      </w:r>
    </w:p>
    <w:p w:rsidR="00922319" w:rsidRPr="00086268" w:rsidRDefault="00922319" w:rsidP="00922319">
      <w:pPr>
        <w:widowControl w:val="0"/>
        <w:jc w:val="both"/>
        <w:rPr>
          <w:b/>
          <w:sz w:val="28"/>
          <w:szCs w:val="28"/>
        </w:rPr>
      </w:pPr>
    </w:p>
    <w:p w:rsidR="00922319" w:rsidRPr="00086268" w:rsidRDefault="00922319" w:rsidP="00922319">
      <w:pPr>
        <w:widowControl w:val="0"/>
        <w:spacing w:line="480" w:lineRule="auto"/>
        <w:jc w:val="both"/>
        <w:rPr>
          <w:b/>
          <w:sz w:val="28"/>
          <w:szCs w:val="28"/>
        </w:rPr>
      </w:pPr>
      <w:r w:rsidRPr="00086268">
        <w:rPr>
          <w:b/>
          <w:bCs/>
          <w:sz w:val="28"/>
          <w:szCs w:val="28"/>
        </w:rPr>
        <w:t>3.</w:t>
      </w:r>
      <w:r>
        <w:rPr>
          <w:b/>
          <w:bCs/>
          <w:sz w:val="28"/>
          <w:szCs w:val="28"/>
        </w:rPr>
        <w:t>1</w:t>
      </w:r>
      <w:r w:rsidRPr="00086268">
        <w:rPr>
          <w:b/>
          <w:bCs/>
          <w:sz w:val="28"/>
          <w:szCs w:val="28"/>
        </w:rPr>
        <w:t xml:space="preserve">.1.- </w:t>
      </w:r>
      <w:r>
        <w:rPr>
          <w:b/>
          <w:bCs/>
          <w:sz w:val="28"/>
          <w:szCs w:val="28"/>
        </w:rPr>
        <w:t>Costos por Horas Intérpretes y Traslados</w:t>
      </w:r>
    </w:p>
    <w:p w:rsidR="00922319" w:rsidRPr="00086268" w:rsidRDefault="00922319" w:rsidP="00922319">
      <w:pPr>
        <w:widowControl w:val="0"/>
        <w:spacing w:line="480" w:lineRule="auto"/>
        <w:jc w:val="both"/>
        <w:rPr>
          <w:b/>
          <w:sz w:val="28"/>
          <w:szCs w:val="28"/>
        </w:rPr>
      </w:pPr>
    </w:p>
    <w:p w:rsidR="00922319" w:rsidRDefault="00922319" w:rsidP="00922319">
      <w:pPr>
        <w:spacing w:line="480" w:lineRule="auto"/>
        <w:jc w:val="both"/>
        <w:rPr>
          <w:sz w:val="28"/>
          <w:szCs w:val="28"/>
          <w:lang w:val="es-MX"/>
        </w:rPr>
      </w:pPr>
      <w:r w:rsidRPr="00086268">
        <w:rPr>
          <w:sz w:val="28"/>
          <w:szCs w:val="28"/>
          <w:lang w:val="es-MX"/>
        </w:rPr>
        <w:t xml:space="preserve">Se analiza la necesidad de una plaza </w:t>
      </w:r>
      <w:r>
        <w:rPr>
          <w:sz w:val="28"/>
          <w:szCs w:val="28"/>
          <w:lang w:val="es-MX"/>
        </w:rPr>
        <w:t xml:space="preserve">permanente </w:t>
      </w:r>
      <w:r w:rsidRPr="00086268">
        <w:rPr>
          <w:sz w:val="28"/>
          <w:szCs w:val="28"/>
          <w:lang w:val="es-MX"/>
        </w:rPr>
        <w:t xml:space="preserve">de intérprete en el idioma </w:t>
      </w:r>
      <w:r>
        <w:rPr>
          <w:sz w:val="28"/>
          <w:szCs w:val="28"/>
          <w:lang w:val="es-MX"/>
        </w:rPr>
        <w:t>c</w:t>
      </w:r>
      <w:r w:rsidRPr="00086268">
        <w:rPr>
          <w:sz w:val="28"/>
          <w:szCs w:val="28"/>
          <w:lang w:val="es-MX"/>
        </w:rPr>
        <w:t xml:space="preserve">abécar en la Administración de Turrialba. </w:t>
      </w:r>
    </w:p>
    <w:p w:rsidR="00922319" w:rsidRDefault="00922319" w:rsidP="00922319">
      <w:pPr>
        <w:spacing w:line="480" w:lineRule="auto"/>
        <w:jc w:val="both"/>
        <w:rPr>
          <w:sz w:val="28"/>
          <w:szCs w:val="28"/>
          <w:lang w:val="es-MX"/>
        </w:rPr>
      </w:pPr>
    </w:p>
    <w:p w:rsidR="00922319" w:rsidRPr="00095E33" w:rsidRDefault="00922319" w:rsidP="00922319">
      <w:pPr>
        <w:pStyle w:val="WW-Estilopredeterminado"/>
        <w:spacing w:line="480" w:lineRule="auto"/>
        <w:ind w:right="-142"/>
        <w:jc w:val="both"/>
        <w:rPr>
          <w:sz w:val="28"/>
          <w:szCs w:val="28"/>
        </w:rPr>
      </w:pPr>
      <w:r>
        <w:rPr>
          <w:sz w:val="28"/>
          <w:szCs w:val="28"/>
        </w:rPr>
        <w:lastRenderedPageBreak/>
        <w:t xml:space="preserve">Según la información suministrada por la Administración de Turrialba, en consultas realizadas </w:t>
      </w:r>
      <w:r w:rsidRPr="00095E33">
        <w:rPr>
          <w:sz w:val="28"/>
          <w:szCs w:val="28"/>
        </w:rPr>
        <w:t xml:space="preserve">a los principales despachos que atienden a la comunidad indígena, el Juzgado Contravencional y de Menor Cuantía tiene actualmente en trámite 111 expedientes en materia de </w:t>
      </w:r>
      <w:r>
        <w:rPr>
          <w:sz w:val="28"/>
          <w:szCs w:val="28"/>
        </w:rPr>
        <w:t>P</w:t>
      </w:r>
      <w:r w:rsidRPr="00095E33">
        <w:rPr>
          <w:sz w:val="28"/>
          <w:szCs w:val="28"/>
        </w:rPr>
        <w:t xml:space="preserve">ensiones </w:t>
      </w:r>
      <w:r>
        <w:rPr>
          <w:sz w:val="28"/>
          <w:szCs w:val="28"/>
        </w:rPr>
        <w:t xml:space="preserve">Alimentarias </w:t>
      </w:r>
      <w:r w:rsidRPr="00095E33">
        <w:rPr>
          <w:sz w:val="28"/>
          <w:szCs w:val="28"/>
        </w:rPr>
        <w:t>donde las partes son indígenas. Por su parte</w:t>
      </w:r>
      <w:r>
        <w:rPr>
          <w:sz w:val="28"/>
          <w:szCs w:val="28"/>
        </w:rPr>
        <w:t>,</w:t>
      </w:r>
      <w:r w:rsidRPr="00095E33">
        <w:rPr>
          <w:sz w:val="28"/>
          <w:szCs w:val="28"/>
        </w:rPr>
        <w:t xml:space="preserve"> el Ministerio Público informó que en el 2016 ingresaron 189 expedientes donde intervienen indígenas, lo </w:t>
      </w:r>
      <w:r>
        <w:rPr>
          <w:sz w:val="28"/>
          <w:szCs w:val="28"/>
        </w:rPr>
        <w:t xml:space="preserve">que </w:t>
      </w:r>
      <w:r w:rsidRPr="00095E33">
        <w:rPr>
          <w:sz w:val="28"/>
          <w:szCs w:val="28"/>
        </w:rPr>
        <w:t xml:space="preserve">representó el 32% del circulante (592) de la oficina en el 2016. </w:t>
      </w:r>
    </w:p>
    <w:p w:rsidR="00922319" w:rsidRPr="00095E33" w:rsidRDefault="00922319" w:rsidP="00922319">
      <w:pPr>
        <w:spacing w:line="480" w:lineRule="auto"/>
        <w:jc w:val="both"/>
        <w:rPr>
          <w:sz w:val="28"/>
          <w:szCs w:val="28"/>
          <w:lang w:val="es-CR"/>
        </w:rPr>
      </w:pPr>
    </w:p>
    <w:p w:rsidR="00922319" w:rsidRDefault="00922319" w:rsidP="00922319">
      <w:pPr>
        <w:spacing w:line="480" w:lineRule="auto"/>
        <w:jc w:val="both"/>
        <w:rPr>
          <w:color w:val="0000FF"/>
          <w:sz w:val="28"/>
          <w:szCs w:val="28"/>
          <w:lang w:val="es-MX"/>
        </w:rPr>
      </w:pPr>
      <w:r>
        <w:rPr>
          <w:iCs/>
          <w:sz w:val="28"/>
          <w:szCs w:val="28"/>
          <w:lang w:val="es-CR"/>
        </w:rPr>
        <w:t xml:space="preserve">Para el análisis del </w:t>
      </w:r>
      <w:r w:rsidRPr="00095E33">
        <w:rPr>
          <w:iCs/>
          <w:sz w:val="28"/>
          <w:szCs w:val="28"/>
        </w:rPr>
        <w:t>pago de perit</w:t>
      </w:r>
      <w:r>
        <w:rPr>
          <w:iCs/>
          <w:sz w:val="28"/>
          <w:szCs w:val="28"/>
        </w:rPr>
        <w:t>as/</w:t>
      </w:r>
      <w:r w:rsidRPr="00095E33">
        <w:rPr>
          <w:iCs/>
          <w:sz w:val="28"/>
          <w:szCs w:val="28"/>
        </w:rPr>
        <w:t xml:space="preserve">os intérpretes en </w:t>
      </w:r>
      <w:r>
        <w:rPr>
          <w:iCs/>
          <w:sz w:val="28"/>
          <w:szCs w:val="28"/>
        </w:rPr>
        <w:t xml:space="preserve">la </w:t>
      </w:r>
      <w:r w:rsidRPr="00095E33">
        <w:rPr>
          <w:iCs/>
          <w:sz w:val="28"/>
          <w:szCs w:val="28"/>
        </w:rPr>
        <w:t xml:space="preserve">lengua </w:t>
      </w:r>
      <w:r>
        <w:rPr>
          <w:iCs/>
          <w:sz w:val="28"/>
          <w:szCs w:val="28"/>
        </w:rPr>
        <w:t>c</w:t>
      </w:r>
      <w:r w:rsidRPr="00095E33">
        <w:rPr>
          <w:iCs/>
          <w:sz w:val="28"/>
          <w:szCs w:val="28"/>
        </w:rPr>
        <w:t xml:space="preserve">abécar, </w:t>
      </w:r>
      <w:r>
        <w:rPr>
          <w:iCs/>
          <w:sz w:val="28"/>
          <w:szCs w:val="28"/>
        </w:rPr>
        <w:t xml:space="preserve">en el 2016 y en los dos primeros meses del 2017, a continuación se presenta el siguiente detalle: </w:t>
      </w:r>
    </w:p>
    <w:p w:rsidR="00922319" w:rsidRPr="008110BF" w:rsidRDefault="00922319" w:rsidP="00922319">
      <w:pPr>
        <w:jc w:val="center"/>
        <w:rPr>
          <w:b/>
          <w:sz w:val="28"/>
          <w:szCs w:val="28"/>
          <w:lang w:val="es-MX"/>
        </w:rPr>
      </w:pPr>
      <w:r w:rsidRPr="008110BF">
        <w:rPr>
          <w:b/>
          <w:sz w:val="28"/>
          <w:szCs w:val="28"/>
          <w:lang w:val="es-MX"/>
        </w:rPr>
        <w:t>Cuadro Nº 1</w:t>
      </w:r>
    </w:p>
    <w:p w:rsidR="00922319" w:rsidRPr="008110BF" w:rsidRDefault="00922319" w:rsidP="00922319">
      <w:pPr>
        <w:jc w:val="center"/>
        <w:rPr>
          <w:b/>
          <w:sz w:val="28"/>
          <w:szCs w:val="28"/>
          <w:lang w:val="es-MX"/>
        </w:rPr>
      </w:pPr>
      <w:r w:rsidRPr="008110BF">
        <w:rPr>
          <w:b/>
          <w:sz w:val="28"/>
          <w:szCs w:val="28"/>
          <w:lang w:val="es-MX"/>
        </w:rPr>
        <w:t>Costos por horas de perit</w:t>
      </w:r>
      <w:r>
        <w:rPr>
          <w:b/>
          <w:sz w:val="28"/>
          <w:szCs w:val="28"/>
          <w:lang w:val="es-MX"/>
        </w:rPr>
        <w:t>as/</w:t>
      </w:r>
      <w:r w:rsidRPr="008110BF">
        <w:rPr>
          <w:b/>
          <w:sz w:val="28"/>
          <w:szCs w:val="28"/>
          <w:lang w:val="es-MX"/>
        </w:rPr>
        <w:t>os intérpretes y traslados</w:t>
      </w:r>
    </w:p>
    <w:p w:rsidR="00922319" w:rsidRPr="008110BF" w:rsidRDefault="00922319" w:rsidP="00922319">
      <w:pPr>
        <w:jc w:val="center"/>
        <w:rPr>
          <w:b/>
          <w:sz w:val="28"/>
          <w:szCs w:val="28"/>
          <w:lang w:val="es-MX"/>
        </w:rPr>
      </w:pPr>
      <w:r w:rsidRPr="008110BF">
        <w:rPr>
          <w:b/>
          <w:sz w:val="28"/>
          <w:szCs w:val="28"/>
          <w:lang w:val="es-MX"/>
        </w:rPr>
        <w:t>durante el período enero – setiembre del 2016</w:t>
      </w:r>
    </w:p>
    <w:p w:rsidR="00922319" w:rsidRDefault="00922319" w:rsidP="00922319">
      <w:pPr>
        <w:jc w:val="both"/>
        <w:rPr>
          <w:color w:val="0000FF"/>
          <w:sz w:val="28"/>
          <w:szCs w:val="28"/>
          <w:lang w:val="es-MX"/>
        </w:rPr>
      </w:pPr>
    </w:p>
    <w:tbl>
      <w:tblPr>
        <w:tblStyle w:val="Tablaconcuadrcula"/>
        <w:tblW w:w="0" w:type="auto"/>
        <w:tblLook w:val="04A0"/>
      </w:tblPr>
      <w:tblGrid>
        <w:gridCol w:w="1481"/>
        <w:gridCol w:w="1021"/>
        <w:gridCol w:w="3135"/>
        <w:gridCol w:w="1134"/>
        <w:gridCol w:w="3419"/>
      </w:tblGrid>
      <w:tr w:rsidR="00922319" w:rsidRPr="004E2FD1" w:rsidTr="00326D46">
        <w:tc>
          <w:tcPr>
            <w:tcW w:w="1481" w:type="dxa"/>
          </w:tcPr>
          <w:p w:rsidR="00922319" w:rsidRPr="003866C6" w:rsidRDefault="00922319" w:rsidP="00326D46">
            <w:pPr>
              <w:jc w:val="center"/>
              <w:rPr>
                <w:b/>
                <w:lang w:val="es-MX"/>
              </w:rPr>
            </w:pPr>
            <w:r w:rsidRPr="003866C6">
              <w:rPr>
                <w:b/>
                <w:lang w:val="es-MX"/>
              </w:rPr>
              <w:t>Mes</w:t>
            </w:r>
          </w:p>
        </w:tc>
        <w:tc>
          <w:tcPr>
            <w:tcW w:w="1021" w:type="dxa"/>
          </w:tcPr>
          <w:p w:rsidR="00922319" w:rsidRPr="003866C6" w:rsidRDefault="00922319" w:rsidP="00326D46">
            <w:pPr>
              <w:jc w:val="center"/>
              <w:rPr>
                <w:b/>
                <w:lang w:val="es-MX"/>
              </w:rPr>
            </w:pPr>
            <w:r w:rsidRPr="003866C6">
              <w:rPr>
                <w:b/>
                <w:lang w:val="es-MX"/>
              </w:rPr>
              <w:t>Horas</w:t>
            </w:r>
          </w:p>
        </w:tc>
        <w:tc>
          <w:tcPr>
            <w:tcW w:w="3135" w:type="dxa"/>
          </w:tcPr>
          <w:p w:rsidR="00922319" w:rsidRPr="003866C6" w:rsidRDefault="00922319" w:rsidP="00326D46">
            <w:pPr>
              <w:jc w:val="center"/>
              <w:rPr>
                <w:b/>
                <w:lang w:val="es-MX"/>
              </w:rPr>
            </w:pPr>
            <w:r w:rsidRPr="003866C6">
              <w:rPr>
                <w:b/>
                <w:lang w:val="es-MX"/>
              </w:rPr>
              <w:t>Costo por interprete</w:t>
            </w:r>
          </w:p>
        </w:tc>
        <w:tc>
          <w:tcPr>
            <w:tcW w:w="1134" w:type="dxa"/>
          </w:tcPr>
          <w:p w:rsidR="00922319" w:rsidRPr="003866C6" w:rsidRDefault="00922319" w:rsidP="00326D46">
            <w:pPr>
              <w:jc w:val="center"/>
              <w:rPr>
                <w:b/>
                <w:lang w:val="es-MX"/>
              </w:rPr>
            </w:pPr>
            <w:r w:rsidRPr="004E2FD1">
              <w:rPr>
                <w:b/>
                <w:sz w:val="28"/>
                <w:szCs w:val="28"/>
                <w:lang w:val="es-MX"/>
              </w:rPr>
              <w:t>Horas</w:t>
            </w:r>
          </w:p>
        </w:tc>
        <w:tc>
          <w:tcPr>
            <w:tcW w:w="3419" w:type="dxa"/>
          </w:tcPr>
          <w:p w:rsidR="00922319" w:rsidRPr="003866C6" w:rsidRDefault="00922319" w:rsidP="00326D46">
            <w:pPr>
              <w:jc w:val="center"/>
              <w:rPr>
                <w:b/>
                <w:lang w:val="es-MX"/>
              </w:rPr>
            </w:pPr>
            <w:r w:rsidRPr="003866C6">
              <w:rPr>
                <w:b/>
                <w:lang w:val="es-MX"/>
              </w:rPr>
              <w:t>Costo por traslado</w:t>
            </w:r>
          </w:p>
        </w:tc>
      </w:tr>
      <w:tr w:rsidR="00922319" w:rsidRPr="003866C6" w:rsidTr="00326D46">
        <w:tc>
          <w:tcPr>
            <w:tcW w:w="1481" w:type="dxa"/>
          </w:tcPr>
          <w:p w:rsidR="00922319" w:rsidRPr="003866C6" w:rsidRDefault="00922319" w:rsidP="00326D46">
            <w:pPr>
              <w:jc w:val="both"/>
              <w:rPr>
                <w:lang w:val="es-MX"/>
              </w:rPr>
            </w:pPr>
            <w:r w:rsidRPr="003866C6">
              <w:rPr>
                <w:lang w:val="es-MX"/>
              </w:rPr>
              <w:t>Enero</w:t>
            </w:r>
          </w:p>
        </w:tc>
        <w:tc>
          <w:tcPr>
            <w:tcW w:w="1021" w:type="dxa"/>
          </w:tcPr>
          <w:p w:rsidR="00922319" w:rsidRPr="003866C6" w:rsidRDefault="00922319" w:rsidP="00326D46">
            <w:pPr>
              <w:jc w:val="center"/>
              <w:rPr>
                <w:lang w:val="es-MX"/>
              </w:rPr>
            </w:pPr>
            <w:r w:rsidRPr="003866C6">
              <w:rPr>
                <w:lang w:val="es-MX"/>
              </w:rPr>
              <w:t>7</w:t>
            </w:r>
          </w:p>
        </w:tc>
        <w:tc>
          <w:tcPr>
            <w:tcW w:w="3135" w:type="dxa"/>
            <w:vAlign w:val="bottom"/>
          </w:tcPr>
          <w:p w:rsidR="00922319" w:rsidRPr="003866C6" w:rsidRDefault="00922319" w:rsidP="00326D46">
            <w:pPr>
              <w:jc w:val="center"/>
            </w:pPr>
            <w:r w:rsidRPr="003866C6">
              <w:t>₡ 88.150,00</w:t>
            </w:r>
          </w:p>
        </w:tc>
        <w:tc>
          <w:tcPr>
            <w:tcW w:w="1134" w:type="dxa"/>
          </w:tcPr>
          <w:p w:rsidR="00922319" w:rsidRDefault="00922319" w:rsidP="00326D46">
            <w:pPr>
              <w:jc w:val="center"/>
              <w:rPr>
                <w:lang w:val="es-MX"/>
              </w:rPr>
            </w:pPr>
            <w:r>
              <w:rPr>
                <w:lang w:val="es-MX"/>
              </w:rPr>
              <w:t>-</w:t>
            </w:r>
          </w:p>
        </w:tc>
        <w:tc>
          <w:tcPr>
            <w:tcW w:w="3419" w:type="dxa"/>
          </w:tcPr>
          <w:p w:rsidR="00922319" w:rsidRPr="003866C6" w:rsidRDefault="00922319" w:rsidP="00326D46">
            <w:pPr>
              <w:jc w:val="center"/>
              <w:rPr>
                <w:lang w:val="es-MX"/>
              </w:rPr>
            </w:pPr>
            <w:r>
              <w:rPr>
                <w:lang w:val="es-MX"/>
              </w:rPr>
              <w:t>-</w:t>
            </w:r>
          </w:p>
        </w:tc>
      </w:tr>
      <w:tr w:rsidR="00922319" w:rsidRPr="003866C6" w:rsidTr="00326D46">
        <w:tc>
          <w:tcPr>
            <w:tcW w:w="1481" w:type="dxa"/>
          </w:tcPr>
          <w:p w:rsidR="00922319" w:rsidRPr="003866C6" w:rsidRDefault="00922319" w:rsidP="00326D46">
            <w:pPr>
              <w:jc w:val="both"/>
              <w:rPr>
                <w:lang w:val="es-MX"/>
              </w:rPr>
            </w:pPr>
            <w:r w:rsidRPr="003866C6">
              <w:rPr>
                <w:lang w:val="es-MX"/>
              </w:rPr>
              <w:t>Febrero</w:t>
            </w:r>
          </w:p>
        </w:tc>
        <w:tc>
          <w:tcPr>
            <w:tcW w:w="1021" w:type="dxa"/>
          </w:tcPr>
          <w:p w:rsidR="00922319" w:rsidRPr="003866C6" w:rsidRDefault="00922319" w:rsidP="00326D46">
            <w:pPr>
              <w:jc w:val="center"/>
              <w:rPr>
                <w:lang w:val="es-MX"/>
              </w:rPr>
            </w:pPr>
            <w:r w:rsidRPr="003866C6">
              <w:rPr>
                <w:lang w:val="es-MX"/>
              </w:rPr>
              <w:t>6,9</w:t>
            </w:r>
          </w:p>
        </w:tc>
        <w:tc>
          <w:tcPr>
            <w:tcW w:w="3135" w:type="dxa"/>
            <w:vAlign w:val="bottom"/>
          </w:tcPr>
          <w:p w:rsidR="00922319" w:rsidRPr="003866C6" w:rsidRDefault="00922319" w:rsidP="00326D46">
            <w:pPr>
              <w:jc w:val="center"/>
            </w:pPr>
            <w:r w:rsidRPr="003866C6">
              <w:t>₡ 115.230,00</w:t>
            </w:r>
          </w:p>
        </w:tc>
        <w:tc>
          <w:tcPr>
            <w:tcW w:w="1134" w:type="dxa"/>
          </w:tcPr>
          <w:p w:rsidR="00922319" w:rsidRDefault="00922319" w:rsidP="00326D46">
            <w:pPr>
              <w:jc w:val="center"/>
              <w:rPr>
                <w:lang w:val="es-MX"/>
              </w:rPr>
            </w:pPr>
            <w:r>
              <w:rPr>
                <w:lang w:val="es-MX"/>
              </w:rPr>
              <w:t>-</w:t>
            </w:r>
          </w:p>
        </w:tc>
        <w:tc>
          <w:tcPr>
            <w:tcW w:w="3419" w:type="dxa"/>
          </w:tcPr>
          <w:p w:rsidR="00922319" w:rsidRPr="003866C6" w:rsidRDefault="00922319" w:rsidP="00326D46">
            <w:pPr>
              <w:jc w:val="center"/>
              <w:rPr>
                <w:lang w:val="es-MX"/>
              </w:rPr>
            </w:pPr>
            <w:r>
              <w:rPr>
                <w:lang w:val="es-MX"/>
              </w:rPr>
              <w:t>-</w:t>
            </w:r>
          </w:p>
        </w:tc>
      </w:tr>
      <w:tr w:rsidR="00922319" w:rsidRPr="003866C6" w:rsidTr="00326D46">
        <w:tc>
          <w:tcPr>
            <w:tcW w:w="1481" w:type="dxa"/>
          </w:tcPr>
          <w:p w:rsidR="00922319" w:rsidRPr="003866C6" w:rsidRDefault="00922319" w:rsidP="00326D46">
            <w:pPr>
              <w:jc w:val="both"/>
              <w:rPr>
                <w:lang w:val="es-MX"/>
              </w:rPr>
            </w:pPr>
            <w:r w:rsidRPr="003866C6">
              <w:rPr>
                <w:lang w:val="es-MX"/>
              </w:rPr>
              <w:t>Marzo</w:t>
            </w:r>
          </w:p>
        </w:tc>
        <w:tc>
          <w:tcPr>
            <w:tcW w:w="1021" w:type="dxa"/>
          </w:tcPr>
          <w:p w:rsidR="00922319" w:rsidRPr="003866C6" w:rsidRDefault="00922319" w:rsidP="00326D46">
            <w:pPr>
              <w:jc w:val="center"/>
              <w:rPr>
                <w:lang w:val="es-MX"/>
              </w:rPr>
            </w:pPr>
            <w:r w:rsidRPr="003866C6">
              <w:rPr>
                <w:lang w:val="es-MX"/>
              </w:rPr>
              <w:t>3,25</w:t>
            </w:r>
          </w:p>
        </w:tc>
        <w:tc>
          <w:tcPr>
            <w:tcW w:w="3135" w:type="dxa"/>
            <w:vAlign w:val="bottom"/>
          </w:tcPr>
          <w:p w:rsidR="00922319" w:rsidRPr="003866C6" w:rsidRDefault="00922319" w:rsidP="00326D46">
            <w:pPr>
              <w:jc w:val="center"/>
            </w:pPr>
            <w:r w:rsidRPr="003866C6">
              <w:t>₡ 57.200,00</w:t>
            </w:r>
          </w:p>
        </w:tc>
        <w:tc>
          <w:tcPr>
            <w:tcW w:w="1134" w:type="dxa"/>
          </w:tcPr>
          <w:p w:rsidR="00922319" w:rsidRDefault="00922319" w:rsidP="00326D46">
            <w:pPr>
              <w:jc w:val="center"/>
              <w:rPr>
                <w:lang w:val="es-MX"/>
              </w:rPr>
            </w:pPr>
            <w:r>
              <w:rPr>
                <w:lang w:val="es-MX"/>
              </w:rPr>
              <w:t>-</w:t>
            </w:r>
          </w:p>
        </w:tc>
        <w:tc>
          <w:tcPr>
            <w:tcW w:w="3419" w:type="dxa"/>
          </w:tcPr>
          <w:p w:rsidR="00922319" w:rsidRPr="003866C6" w:rsidRDefault="00922319" w:rsidP="00326D46">
            <w:pPr>
              <w:jc w:val="center"/>
              <w:rPr>
                <w:lang w:val="es-MX"/>
              </w:rPr>
            </w:pPr>
            <w:r>
              <w:rPr>
                <w:lang w:val="es-MX"/>
              </w:rPr>
              <w:t>-</w:t>
            </w:r>
          </w:p>
        </w:tc>
      </w:tr>
      <w:tr w:rsidR="00922319" w:rsidRPr="003866C6" w:rsidTr="00326D46">
        <w:tc>
          <w:tcPr>
            <w:tcW w:w="1481" w:type="dxa"/>
          </w:tcPr>
          <w:p w:rsidR="00922319" w:rsidRPr="003866C6" w:rsidRDefault="00922319" w:rsidP="00326D46">
            <w:pPr>
              <w:jc w:val="both"/>
              <w:rPr>
                <w:lang w:val="es-MX"/>
              </w:rPr>
            </w:pPr>
            <w:r w:rsidRPr="003866C6">
              <w:rPr>
                <w:lang w:val="es-MX"/>
              </w:rPr>
              <w:t>Abril</w:t>
            </w:r>
          </w:p>
        </w:tc>
        <w:tc>
          <w:tcPr>
            <w:tcW w:w="1021" w:type="dxa"/>
          </w:tcPr>
          <w:p w:rsidR="00922319" w:rsidRPr="003866C6" w:rsidRDefault="00922319" w:rsidP="00326D46">
            <w:pPr>
              <w:jc w:val="center"/>
              <w:rPr>
                <w:lang w:val="es-MX"/>
              </w:rPr>
            </w:pPr>
            <w:r w:rsidRPr="003866C6">
              <w:rPr>
                <w:lang w:val="es-MX"/>
              </w:rPr>
              <w:t>4</w:t>
            </w:r>
          </w:p>
        </w:tc>
        <w:tc>
          <w:tcPr>
            <w:tcW w:w="3135" w:type="dxa"/>
            <w:vAlign w:val="bottom"/>
          </w:tcPr>
          <w:p w:rsidR="00922319" w:rsidRPr="003866C6" w:rsidRDefault="00922319" w:rsidP="00326D46">
            <w:pPr>
              <w:jc w:val="center"/>
            </w:pPr>
            <w:r w:rsidRPr="003866C6">
              <w:t>₡ 66.800,00</w:t>
            </w:r>
          </w:p>
        </w:tc>
        <w:tc>
          <w:tcPr>
            <w:tcW w:w="1134" w:type="dxa"/>
          </w:tcPr>
          <w:p w:rsidR="00922319" w:rsidRDefault="00922319" w:rsidP="00326D46">
            <w:pPr>
              <w:jc w:val="center"/>
              <w:rPr>
                <w:lang w:val="es-MX"/>
              </w:rPr>
            </w:pPr>
            <w:r>
              <w:rPr>
                <w:lang w:val="es-MX"/>
              </w:rPr>
              <w:t>-</w:t>
            </w:r>
          </w:p>
        </w:tc>
        <w:tc>
          <w:tcPr>
            <w:tcW w:w="3419" w:type="dxa"/>
          </w:tcPr>
          <w:p w:rsidR="00922319" w:rsidRPr="003866C6" w:rsidRDefault="00922319" w:rsidP="00326D46">
            <w:pPr>
              <w:jc w:val="center"/>
              <w:rPr>
                <w:lang w:val="es-MX"/>
              </w:rPr>
            </w:pPr>
            <w:r>
              <w:rPr>
                <w:lang w:val="es-MX"/>
              </w:rPr>
              <w:t>-</w:t>
            </w:r>
          </w:p>
        </w:tc>
      </w:tr>
      <w:tr w:rsidR="00922319" w:rsidRPr="003866C6" w:rsidTr="00326D46">
        <w:tc>
          <w:tcPr>
            <w:tcW w:w="1481" w:type="dxa"/>
          </w:tcPr>
          <w:p w:rsidR="00922319" w:rsidRPr="003866C6" w:rsidRDefault="00922319" w:rsidP="00326D46">
            <w:pPr>
              <w:jc w:val="both"/>
              <w:rPr>
                <w:lang w:val="es-MX"/>
              </w:rPr>
            </w:pPr>
            <w:r w:rsidRPr="003866C6">
              <w:rPr>
                <w:lang w:val="es-MX"/>
              </w:rPr>
              <w:t>Mayo</w:t>
            </w:r>
          </w:p>
        </w:tc>
        <w:tc>
          <w:tcPr>
            <w:tcW w:w="1021" w:type="dxa"/>
          </w:tcPr>
          <w:p w:rsidR="00922319" w:rsidRPr="003866C6" w:rsidRDefault="00922319" w:rsidP="00326D46">
            <w:pPr>
              <w:jc w:val="center"/>
              <w:rPr>
                <w:lang w:val="es-MX"/>
              </w:rPr>
            </w:pPr>
            <w:r w:rsidRPr="003866C6">
              <w:rPr>
                <w:lang w:val="es-MX"/>
              </w:rPr>
              <w:t>11</w:t>
            </w:r>
          </w:p>
        </w:tc>
        <w:tc>
          <w:tcPr>
            <w:tcW w:w="3135" w:type="dxa"/>
            <w:vAlign w:val="bottom"/>
          </w:tcPr>
          <w:p w:rsidR="00922319" w:rsidRPr="003866C6" w:rsidRDefault="00922319" w:rsidP="00326D46">
            <w:pPr>
              <w:jc w:val="center"/>
            </w:pPr>
            <w:r w:rsidRPr="003866C6">
              <w:t>₡ 183.700,00</w:t>
            </w:r>
          </w:p>
        </w:tc>
        <w:tc>
          <w:tcPr>
            <w:tcW w:w="1134" w:type="dxa"/>
          </w:tcPr>
          <w:p w:rsidR="00922319" w:rsidRDefault="00922319" w:rsidP="00326D46">
            <w:pPr>
              <w:jc w:val="center"/>
              <w:rPr>
                <w:lang w:val="es-MX"/>
              </w:rPr>
            </w:pPr>
            <w:r>
              <w:rPr>
                <w:lang w:val="es-MX"/>
              </w:rPr>
              <w:t>-</w:t>
            </w:r>
          </w:p>
        </w:tc>
        <w:tc>
          <w:tcPr>
            <w:tcW w:w="3419" w:type="dxa"/>
          </w:tcPr>
          <w:p w:rsidR="00922319" w:rsidRPr="003866C6" w:rsidRDefault="00922319" w:rsidP="00326D46">
            <w:pPr>
              <w:jc w:val="center"/>
              <w:rPr>
                <w:lang w:val="es-MX"/>
              </w:rPr>
            </w:pPr>
            <w:r>
              <w:rPr>
                <w:lang w:val="es-MX"/>
              </w:rPr>
              <w:t>-</w:t>
            </w:r>
          </w:p>
        </w:tc>
      </w:tr>
      <w:tr w:rsidR="00922319" w:rsidRPr="003866C6" w:rsidTr="00326D46">
        <w:tc>
          <w:tcPr>
            <w:tcW w:w="1481" w:type="dxa"/>
          </w:tcPr>
          <w:p w:rsidR="00922319" w:rsidRPr="003866C6" w:rsidRDefault="00922319" w:rsidP="00326D46">
            <w:pPr>
              <w:jc w:val="both"/>
              <w:rPr>
                <w:lang w:val="es-MX"/>
              </w:rPr>
            </w:pPr>
            <w:r w:rsidRPr="003866C6">
              <w:rPr>
                <w:lang w:val="es-MX"/>
              </w:rPr>
              <w:t>Junio</w:t>
            </w:r>
          </w:p>
        </w:tc>
        <w:tc>
          <w:tcPr>
            <w:tcW w:w="1021" w:type="dxa"/>
          </w:tcPr>
          <w:p w:rsidR="00922319" w:rsidRPr="003866C6" w:rsidRDefault="00922319" w:rsidP="00326D46">
            <w:pPr>
              <w:jc w:val="center"/>
              <w:rPr>
                <w:lang w:val="es-MX"/>
              </w:rPr>
            </w:pPr>
            <w:r w:rsidRPr="003866C6">
              <w:rPr>
                <w:lang w:val="es-MX"/>
              </w:rPr>
              <w:t>4</w:t>
            </w:r>
          </w:p>
        </w:tc>
        <w:tc>
          <w:tcPr>
            <w:tcW w:w="3135" w:type="dxa"/>
            <w:vAlign w:val="bottom"/>
          </w:tcPr>
          <w:p w:rsidR="00922319" w:rsidRPr="003866C6" w:rsidRDefault="00922319" w:rsidP="00326D46">
            <w:pPr>
              <w:jc w:val="center"/>
            </w:pPr>
            <w:r w:rsidRPr="003866C6">
              <w:t>₡ 66.800,00</w:t>
            </w:r>
          </w:p>
        </w:tc>
        <w:tc>
          <w:tcPr>
            <w:tcW w:w="1134" w:type="dxa"/>
          </w:tcPr>
          <w:p w:rsidR="00922319" w:rsidRDefault="00922319" w:rsidP="00326D46">
            <w:pPr>
              <w:jc w:val="center"/>
              <w:rPr>
                <w:lang w:val="es-MX"/>
              </w:rPr>
            </w:pPr>
            <w:r>
              <w:rPr>
                <w:lang w:val="es-MX"/>
              </w:rPr>
              <w:t>-</w:t>
            </w:r>
          </w:p>
        </w:tc>
        <w:tc>
          <w:tcPr>
            <w:tcW w:w="3419" w:type="dxa"/>
          </w:tcPr>
          <w:p w:rsidR="00922319" w:rsidRPr="003866C6" w:rsidRDefault="00922319" w:rsidP="00326D46">
            <w:pPr>
              <w:jc w:val="center"/>
              <w:rPr>
                <w:lang w:val="es-MX"/>
              </w:rPr>
            </w:pPr>
            <w:r>
              <w:rPr>
                <w:lang w:val="es-MX"/>
              </w:rPr>
              <w:t>-</w:t>
            </w:r>
          </w:p>
        </w:tc>
      </w:tr>
      <w:tr w:rsidR="00922319" w:rsidRPr="003866C6" w:rsidTr="00326D46">
        <w:tc>
          <w:tcPr>
            <w:tcW w:w="1481" w:type="dxa"/>
          </w:tcPr>
          <w:p w:rsidR="00922319" w:rsidRPr="003866C6" w:rsidRDefault="00922319" w:rsidP="00326D46">
            <w:pPr>
              <w:jc w:val="both"/>
              <w:rPr>
                <w:lang w:val="es-MX"/>
              </w:rPr>
            </w:pPr>
            <w:r w:rsidRPr="003866C6">
              <w:rPr>
                <w:lang w:val="es-MX"/>
              </w:rPr>
              <w:t>Julio</w:t>
            </w:r>
          </w:p>
        </w:tc>
        <w:tc>
          <w:tcPr>
            <w:tcW w:w="1021" w:type="dxa"/>
          </w:tcPr>
          <w:p w:rsidR="00922319" w:rsidRPr="003866C6" w:rsidRDefault="00922319" w:rsidP="00326D46">
            <w:pPr>
              <w:jc w:val="center"/>
              <w:rPr>
                <w:lang w:val="es-MX"/>
              </w:rPr>
            </w:pPr>
            <w:r w:rsidRPr="003866C6">
              <w:rPr>
                <w:lang w:val="es-MX"/>
              </w:rPr>
              <w:t>5,5</w:t>
            </w:r>
          </w:p>
        </w:tc>
        <w:tc>
          <w:tcPr>
            <w:tcW w:w="3135" w:type="dxa"/>
            <w:vAlign w:val="bottom"/>
          </w:tcPr>
          <w:p w:rsidR="00922319" w:rsidRPr="003866C6" w:rsidRDefault="00922319" w:rsidP="00326D46">
            <w:pPr>
              <w:jc w:val="center"/>
            </w:pPr>
            <w:r w:rsidRPr="003866C6">
              <w:t>₡ 91.850,00</w:t>
            </w:r>
          </w:p>
        </w:tc>
        <w:tc>
          <w:tcPr>
            <w:tcW w:w="1134" w:type="dxa"/>
          </w:tcPr>
          <w:p w:rsidR="00922319" w:rsidRDefault="00922319" w:rsidP="00326D46">
            <w:pPr>
              <w:jc w:val="center"/>
              <w:rPr>
                <w:lang w:val="es-MX"/>
              </w:rPr>
            </w:pPr>
            <w:r>
              <w:rPr>
                <w:lang w:val="es-MX"/>
              </w:rPr>
              <w:t>-</w:t>
            </w:r>
          </w:p>
        </w:tc>
        <w:tc>
          <w:tcPr>
            <w:tcW w:w="3419" w:type="dxa"/>
          </w:tcPr>
          <w:p w:rsidR="00922319" w:rsidRPr="003866C6" w:rsidRDefault="00922319" w:rsidP="00326D46">
            <w:pPr>
              <w:jc w:val="center"/>
              <w:rPr>
                <w:lang w:val="es-MX"/>
              </w:rPr>
            </w:pPr>
            <w:r>
              <w:rPr>
                <w:lang w:val="es-MX"/>
              </w:rPr>
              <w:t>-</w:t>
            </w:r>
          </w:p>
        </w:tc>
      </w:tr>
      <w:tr w:rsidR="00922319" w:rsidRPr="003866C6" w:rsidTr="00326D46">
        <w:tc>
          <w:tcPr>
            <w:tcW w:w="1481" w:type="dxa"/>
          </w:tcPr>
          <w:p w:rsidR="00922319" w:rsidRPr="003866C6" w:rsidRDefault="00922319" w:rsidP="00326D46">
            <w:pPr>
              <w:jc w:val="both"/>
              <w:rPr>
                <w:lang w:val="es-MX"/>
              </w:rPr>
            </w:pPr>
            <w:r w:rsidRPr="003866C6">
              <w:rPr>
                <w:lang w:val="es-MX"/>
              </w:rPr>
              <w:t xml:space="preserve">Agosto </w:t>
            </w:r>
          </w:p>
        </w:tc>
        <w:tc>
          <w:tcPr>
            <w:tcW w:w="1021" w:type="dxa"/>
          </w:tcPr>
          <w:p w:rsidR="00922319" w:rsidRPr="003866C6" w:rsidRDefault="00922319" w:rsidP="00326D46">
            <w:pPr>
              <w:jc w:val="center"/>
              <w:rPr>
                <w:lang w:val="es-MX"/>
              </w:rPr>
            </w:pPr>
            <w:r w:rsidRPr="003866C6">
              <w:rPr>
                <w:lang w:val="es-MX"/>
              </w:rPr>
              <w:t>12</w:t>
            </w:r>
          </w:p>
        </w:tc>
        <w:tc>
          <w:tcPr>
            <w:tcW w:w="3135" w:type="dxa"/>
            <w:vAlign w:val="bottom"/>
          </w:tcPr>
          <w:p w:rsidR="00922319" w:rsidRPr="003866C6" w:rsidRDefault="00922319" w:rsidP="00326D46">
            <w:pPr>
              <w:jc w:val="center"/>
            </w:pPr>
            <w:r w:rsidRPr="003866C6">
              <w:t>₡ 200.400,00</w:t>
            </w:r>
          </w:p>
        </w:tc>
        <w:tc>
          <w:tcPr>
            <w:tcW w:w="1134" w:type="dxa"/>
          </w:tcPr>
          <w:p w:rsidR="00922319" w:rsidRDefault="00922319" w:rsidP="00326D46">
            <w:pPr>
              <w:jc w:val="center"/>
              <w:rPr>
                <w:lang w:val="es-MX"/>
              </w:rPr>
            </w:pPr>
            <w:r>
              <w:rPr>
                <w:lang w:val="es-MX"/>
              </w:rPr>
              <w:t>-</w:t>
            </w:r>
          </w:p>
        </w:tc>
        <w:tc>
          <w:tcPr>
            <w:tcW w:w="3419" w:type="dxa"/>
          </w:tcPr>
          <w:p w:rsidR="00922319" w:rsidRPr="003866C6" w:rsidRDefault="00922319" w:rsidP="00326D46">
            <w:pPr>
              <w:jc w:val="center"/>
              <w:rPr>
                <w:lang w:val="es-MX"/>
              </w:rPr>
            </w:pPr>
            <w:r>
              <w:rPr>
                <w:lang w:val="es-MX"/>
              </w:rPr>
              <w:t>-</w:t>
            </w:r>
          </w:p>
        </w:tc>
      </w:tr>
      <w:tr w:rsidR="00922319" w:rsidRPr="003866C6" w:rsidTr="00326D46">
        <w:tc>
          <w:tcPr>
            <w:tcW w:w="1481" w:type="dxa"/>
          </w:tcPr>
          <w:p w:rsidR="00922319" w:rsidRPr="003866C6" w:rsidRDefault="00922319" w:rsidP="00326D46">
            <w:pPr>
              <w:jc w:val="both"/>
              <w:rPr>
                <w:lang w:val="es-MX"/>
              </w:rPr>
            </w:pPr>
            <w:r w:rsidRPr="003866C6">
              <w:rPr>
                <w:lang w:val="es-MX"/>
              </w:rPr>
              <w:t>Setiembre</w:t>
            </w:r>
          </w:p>
        </w:tc>
        <w:tc>
          <w:tcPr>
            <w:tcW w:w="1021" w:type="dxa"/>
          </w:tcPr>
          <w:p w:rsidR="00922319" w:rsidRPr="003866C6" w:rsidRDefault="00922319" w:rsidP="00326D46">
            <w:pPr>
              <w:jc w:val="center"/>
              <w:rPr>
                <w:lang w:val="es-MX"/>
              </w:rPr>
            </w:pPr>
            <w:r w:rsidRPr="003866C6">
              <w:rPr>
                <w:lang w:val="es-MX"/>
              </w:rPr>
              <w:t>6</w:t>
            </w:r>
          </w:p>
        </w:tc>
        <w:tc>
          <w:tcPr>
            <w:tcW w:w="3135" w:type="dxa"/>
            <w:vAlign w:val="bottom"/>
          </w:tcPr>
          <w:p w:rsidR="00922319" w:rsidRPr="003866C6" w:rsidRDefault="00922319" w:rsidP="00326D46">
            <w:pPr>
              <w:jc w:val="center"/>
            </w:pPr>
            <w:r w:rsidRPr="003866C6">
              <w:t>₡ 100.200,00</w:t>
            </w:r>
          </w:p>
        </w:tc>
        <w:tc>
          <w:tcPr>
            <w:tcW w:w="1134" w:type="dxa"/>
          </w:tcPr>
          <w:p w:rsidR="00922319" w:rsidRDefault="00922319" w:rsidP="00326D46">
            <w:pPr>
              <w:jc w:val="center"/>
              <w:rPr>
                <w:lang w:val="es-MX"/>
              </w:rPr>
            </w:pPr>
            <w:r>
              <w:rPr>
                <w:lang w:val="es-MX"/>
              </w:rPr>
              <w:t>-</w:t>
            </w:r>
          </w:p>
        </w:tc>
        <w:tc>
          <w:tcPr>
            <w:tcW w:w="3419" w:type="dxa"/>
          </w:tcPr>
          <w:p w:rsidR="00922319" w:rsidRPr="003866C6" w:rsidRDefault="00922319" w:rsidP="00326D46">
            <w:pPr>
              <w:jc w:val="center"/>
              <w:rPr>
                <w:lang w:val="es-MX"/>
              </w:rPr>
            </w:pPr>
            <w:r>
              <w:rPr>
                <w:lang w:val="es-MX"/>
              </w:rPr>
              <w:t>-</w:t>
            </w:r>
          </w:p>
        </w:tc>
      </w:tr>
      <w:tr w:rsidR="00922319" w:rsidRPr="003866C6" w:rsidTr="00326D46">
        <w:trPr>
          <w:trHeight w:val="329"/>
        </w:trPr>
        <w:tc>
          <w:tcPr>
            <w:tcW w:w="1481" w:type="dxa"/>
          </w:tcPr>
          <w:p w:rsidR="00922319" w:rsidRDefault="00922319" w:rsidP="00326D46">
            <w:pPr>
              <w:jc w:val="right"/>
              <w:rPr>
                <w:b/>
                <w:lang w:val="es-MX"/>
              </w:rPr>
            </w:pPr>
          </w:p>
          <w:p w:rsidR="00922319" w:rsidRPr="003866C6" w:rsidRDefault="00922319" w:rsidP="00326D46">
            <w:pPr>
              <w:jc w:val="right"/>
              <w:rPr>
                <w:b/>
                <w:lang w:val="es-MX"/>
              </w:rPr>
            </w:pPr>
            <w:r w:rsidRPr="003866C6">
              <w:rPr>
                <w:b/>
                <w:lang w:val="es-MX"/>
              </w:rPr>
              <w:t>Total</w:t>
            </w:r>
          </w:p>
        </w:tc>
        <w:tc>
          <w:tcPr>
            <w:tcW w:w="1021" w:type="dxa"/>
          </w:tcPr>
          <w:p w:rsidR="00922319" w:rsidRDefault="00922319" w:rsidP="00326D46">
            <w:pPr>
              <w:jc w:val="center"/>
              <w:rPr>
                <w:lang w:val="es-MX"/>
              </w:rPr>
            </w:pPr>
          </w:p>
          <w:p w:rsidR="00922319" w:rsidRPr="00CB36EF" w:rsidRDefault="00922319" w:rsidP="00326D46">
            <w:pPr>
              <w:jc w:val="center"/>
              <w:rPr>
                <w:b/>
                <w:lang w:val="es-MX"/>
              </w:rPr>
            </w:pPr>
            <w:r w:rsidRPr="00CB36EF">
              <w:rPr>
                <w:b/>
                <w:lang w:val="es-MX"/>
              </w:rPr>
              <w:t>59,65</w:t>
            </w:r>
          </w:p>
        </w:tc>
        <w:tc>
          <w:tcPr>
            <w:tcW w:w="3135" w:type="dxa"/>
            <w:vAlign w:val="bottom"/>
          </w:tcPr>
          <w:p w:rsidR="00922319" w:rsidRDefault="00922319" w:rsidP="00326D46">
            <w:pPr>
              <w:jc w:val="center"/>
              <w:rPr>
                <w:rFonts w:ascii="Liberation Sans" w:hAnsi="Liberation Sans" w:cs="Liberation Sans"/>
                <w:b/>
                <w:color w:val="000000"/>
                <w:sz w:val="22"/>
                <w:szCs w:val="22"/>
              </w:rPr>
            </w:pPr>
          </w:p>
          <w:p w:rsidR="00922319" w:rsidRPr="003866C6" w:rsidRDefault="00922319" w:rsidP="00326D46">
            <w:pPr>
              <w:jc w:val="center"/>
              <w:rPr>
                <w:rFonts w:ascii="Liberation Sans" w:hAnsi="Liberation Sans" w:cs="Liberation Sans"/>
                <w:b/>
                <w:color w:val="000000"/>
                <w:sz w:val="22"/>
                <w:szCs w:val="22"/>
              </w:rPr>
            </w:pPr>
            <w:r w:rsidRPr="003866C6">
              <w:rPr>
                <w:rFonts w:ascii="Liberation Sans" w:hAnsi="Liberation Sans" w:cs="Liberation Sans"/>
                <w:b/>
                <w:color w:val="000000"/>
                <w:sz w:val="22"/>
                <w:szCs w:val="22"/>
              </w:rPr>
              <w:t>₡ 970.330,00</w:t>
            </w:r>
          </w:p>
          <w:p w:rsidR="00922319" w:rsidRPr="003866C6" w:rsidRDefault="00922319" w:rsidP="00326D46">
            <w:pPr>
              <w:jc w:val="center"/>
            </w:pPr>
          </w:p>
        </w:tc>
        <w:tc>
          <w:tcPr>
            <w:tcW w:w="1134" w:type="dxa"/>
          </w:tcPr>
          <w:p w:rsidR="00922319" w:rsidRDefault="00922319" w:rsidP="00326D46">
            <w:pPr>
              <w:jc w:val="center"/>
              <w:rPr>
                <w:lang w:val="es-MX"/>
              </w:rPr>
            </w:pPr>
          </w:p>
          <w:p w:rsidR="00922319" w:rsidRDefault="00922319" w:rsidP="00326D46">
            <w:pPr>
              <w:jc w:val="center"/>
              <w:rPr>
                <w:lang w:val="es-MX"/>
              </w:rPr>
            </w:pPr>
            <w:r>
              <w:rPr>
                <w:lang w:val="es-MX"/>
              </w:rPr>
              <w:t>-</w:t>
            </w:r>
          </w:p>
        </w:tc>
        <w:tc>
          <w:tcPr>
            <w:tcW w:w="3419" w:type="dxa"/>
          </w:tcPr>
          <w:p w:rsidR="00922319" w:rsidRDefault="00922319" w:rsidP="00326D46">
            <w:pPr>
              <w:jc w:val="center"/>
              <w:rPr>
                <w:lang w:val="es-MX"/>
              </w:rPr>
            </w:pPr>
          </w:p>
          <w:p w:rsidR="00922319" w:rsidRPr="003866C6" w:rsidRDefault="00922319" w:rsidP="00326D46">
            <w:pPr>
              <w:jc w:val="center"/>
              <w:rPr>
                <w:lang w:val="es-MX"/>
              </w:rPr>
            </w:pPr>
            <w:r>
              <w:rPr>
                <w:lang w:val="es-MX"/>
              </w:rPr>
              <w:t>-</w:t>
            </w:r>
          </w:p>
        </w:tc>
      </w:tr>
      <w:tr w:rsidR="00922319" w:rsidRPr="003866C6" w:rsidTr="00326D46">
        <w:trPr>
          <w:trHeight w:val="397"/>
        </w:trPr>
        <w:tc>
          <w:tcPr>
            <w:tcW w:w="1481" w:type="dxa"/>
          </w:tcPr>
          <w:p w:rsidR="00922319" w:rsidRPr="003866C6" w:rsidRDefault="00922319" w:rsidP="00326D46">
            <w:pPr>
              <w:jc w:val="both"/>
              <w:rPr>
                <w:lang w:val="es-MX"/>
              </w:rPr>
            </w:pPr>
            <w:r>
              <w:rPr>
                <w:lang w:val="es-MX"/>
              </w:rPr>
              <w:t xml:space="preserve">Costa </w:t>
            </w:r>
            <w:r w:rsidRPr="003866C6">
              <w:rPr>
                <w:lang w:val="es-MX"/>
              </w:rPr>
              <w:t xml:space="preserve">Promedio </w:t>
            </w:r>
            <w:r>
              <w:rPr>
                <w:lang w:val="es-MX"/>
              </w:rPr>
              <w:t>M</w:t>
            </w:r>
            <w:r w:rsidRPr="003866C6">
              <w:rPr>
                <w:lang w:val="es-MX"/>
              </w:rPr>
              <w:t>ensual</w:t>
            </w:r>
          </w:p>
        </w:tc>
        <w:tc>
          <w:tcPr>
            <w:tcW w:w="1021" w:type="dxa"/>
          </w:tcPr>
          <w:p w:rsidR="00922319" w:rsidRPr="003866C6" w:rsidRDefault="00922319" w:rsidP="00326D46">
            <w:pPr>
              <w:jc w:val="center"/>
              <w:rPr>
                <w:lang w:val="es-MX"/>
              </w:rPr>
            </w:pPr>
          </w:p>
        </w:tc>
        <w:tc>
          <w:tcPr>
            <w:tcW w:w="3135" w:type="dxa"/>
            <w:vAlign w:val="bottom"/>
          </w:tcPr>
          <w:p w:rsidR="00922319" w:rsidRDefault="00922319" w:rsidP="00326D46">
            <w:pPr>
              <w:jc w:val="center"/>
              <w:rPr>
                <w:rFonts w:ascii="Liberation Sans" w:hAnsi="Liberation Sans" w:cs="Liberation Sans"/>
                <w:b/>
                <w:color w:val="000000"/>
                <w:sz w:val="22"/>
                <w:szCs w:val="22"/>
              </w:rPr>
            </w:pPr>
          </w:p>
          <w:p w:rsidR="00922319" w:rsidRPr="003866C6" w:rsidRDefault="00922319" w:rsidP="00326D46">
            <w:pPr>
              <w:jc w:val="center"/>
              <w:rPr>
                <w:rFonts w:ascii="Liberation Sans" w:hAnsi="Liberation Sans" w:cs="Liberation Sans"/>
                <w:b/>
                <w:color w:val="000000"/>
                <w:sz w:val="22"/>
                <w:szCs w:val="22"/>
              </w:rPr>
            </w:pPr>
            <w:r w:rsidRPr="003866C6">
              <w:rPr>
                <w:rFonts w:ascii="Liberation Sans" w:hAnsi="Liberation Sans" w:cs="Liberation Sans"/>
                <w:b/>
                <w:color w:val="000000"/>
                <w:sz w:val="22"/>
                <w:szCs w:val="22"/>
              </w:rPr>
              <w:t>₡ 107.814,44</w:t>
            </w:r>
          </w:p>
          <w:p w:rsidR="00922319" w:rsidRPr="003866C6" w:rsidRDefault="00922319" w:rsidP="00326D46">
            <w:pPr>
              <w:jc w:val="center"/>
            </w:pPr>
          </w:p>
        </w:tc>
        <w:tc>
          <w:tcPr>
            <w:tcW w:w="1134" w:type="dxa"/>
          </w:tcPr>
          <w:p w:rsidR="00922319" w:rsidRDefault="00922319" w:rsidP="00326D46">
            <w:pPr>
              <w:jc w:val="center"/>
              <w:rPr>
                <w:lang w:val="es-MX"/>
              </w:rPr>
            </w:pPr>
          </w:p>
          <w:p w:rsidR="00922319" w:rsidRDefault="00922319" w:rsidP="00326D46">
            <w:pPr>
              <w:jc w:val="center"/>
              <w:rPr>
                <w:lang w:val="es-MX"/>
              </w:rPr>
            </w:pPr>
            <w:r>
              <w:rPr>
                <w:lang w:val="es-MX"/>
              </w:rPr>
              <w:t>-</w:t>
            </w:r>
          </w:p>
        </w:tc>
        <w:tc>
          <w:tcPr>
            <w:tcW w:w="3419" w:type="dxa"/>
          </w:tcPr>
          <w:p w:rsidR="00922319" w:rsidRDefault="00922319" w:rsidP="00326D46">
            <w:pPr>
              <w:jc w:val="center"/>
              <w:rPr>
                <w:lang w:val="es-MX"/>
              </w:rPr>
            </w:pPr>
          </w:p>
          <w:p w:rsidR="00922319" w:rsidRPr="003866C6" w:rsidRDefault="00922319" w:rsidP="00326D46">
            <w:pPr>
              <w:jc w:val="center"/>
              <w:rPr>
                <w:lang w:val="es-MX"/>
              </w:rPr>
            </w:pPr>
            <w:r>
              <w:rPr>
                <w:lang w:val="es-MX"/>
              </w:rPr>
              <w:t>-</w:t>
            </w:r>
          </w:p>
        </w:tc>
      </w:tr>
    </w:tbl>
    <w:p w:rsidR="00922319" w:rsidRPr="00095E33" w:rsidRDefault="00922319" w:rsidP="00922319">
      <w:pPr>
        <w:spacing w:line="480" w:lineRule="auto"/>
        <w:jc w:val="both"/>
        <w:rPr>
          <w:sz w:val="20"/>
          <w:szCs w:val="20"/>
          <w:lang w:val="es-MX"/>
        </w:rPr>
      </w:pPr>
      <w:r w:rsidRPr="00095E33">
        <w:rPr>
          <w:sz w:val="20"/>
          <w:szCs w:val="20"/>
          <w:lang w:val="es-MX"/>
        </w:rPr>
        <w:t>Fuente: Administración Regional de Turrialba</w:t>
      </w:r>
      <w:r>
        <w:rPr>
          <w:sz w:val="20"/>
          <w:szCs w:val="20"/>
          <w:lang w:val="es-MX"/>
        </w:rPr>
        <w:t>.</w:t>
      </w:r>
    </w:p>
    <w:p w:rsidR="00922319" w:rsidRPr="00713235" w:rsidRDefault="00922319" w:rsidP="00922319">
      <w:pPr>
        <w:spacing w:line="480" w:lineRule="auto"/>
        <w:jc w:val="both"/>
        <w:rPr>
          <w:sz w:val="28"/>
          <w:szCs w:val="28"/>
          <w:lang w:val="es-MX"/>
        </w:rPr>
      </w:pPr>
      <w:r>
        <w:rPr>
          <w:sz w:val="28"/>
          <w:szCs w:val="28"/>
          <w:lang w:val="es-MX"/>
        </w:rPr>
        <w:lastRenderedPageBreak/>
        <w:t xml:space="preserve">Según se nota, entre enero y setiembre del 2016, se utilizaron un total de 59,65 horas de intérpretes, siendo agosto y mayo los que registraron la mayor cantidad 12 y 11, respectivamente, al contrario la menor cantidad se dio en abril y junio con 4, para un costo total de </w:t>
      </w:r>
      <w:r w:rsidRPr="00713235">
        <w:rPr>
          <w:b/>
          <w:sz w:val="28"/>
          <w:szCs w:val="28"/>
          <w:lang w:val="es-MX"/>
        </w:rPr>
        <w:t>¢ 970.330,00</w:t>
      </w:r>
      <w:r>
        <w:rPr>
          <w:b/>
          <w:sz w:val="28"/>
          <w:szCs w:val="28"/>
          <w:lang w:val="es-MX"/>
        </w:rPr>
        <w:t xml:space="preserve">, </w:t>
      </w:r>
      <w:r>
        <w:rPr>
          <w:sz w:val="28"/>
          <w:szCs w:val="28"/>
          <w:lang w:val="es-MX"/>
        </w:rPr>
        <w:t>l</w:t>
      </w:r>
      <w:r w:rsidRPr="00713235">
        <w:rPr>
          <w:sz w:val="28"/>
          <w:szCs w:val="28"/>
          <w:lang w:val="es-MX"/>
        </w:rPr>
        <w:t xml:space="preserve">o que representó un promedio mensual de </w:t>
      </w:r>
      <w:r w:rsidRPr="00332346">
        <w:rPr>
          <w:b/>
          <w:sz w:val="28"/>
          <w:szCs w:val="28"/>
          <w:lang w:val="es-MX"/>
        </w:rPr>
        <w:t>¢ 107.814,44</w:t>
      </w:r>
      <w:r>
        <w:rPr>
          <w:b/>
          <w:sz w:val="28"/>
          <w:szCs w:val="28"/>
          <w:lang w:val="es-MX"/>
        </w:rPr>
        <w:t>.</w:t>
      </w:r>
    </w:p>
    <w:p w:rsidR="00922319" w:rsidRDefault="00922319" w:rsidP="00922319">
      <w:pPr>
        <w:spacing w:line="480" w:lineRule="auto"/>
        <w:jc w:val="both"/>
        <w:rPr>
          <w:sz w:val="28"/>
          <w:szCs w:val="28"/>
          <w:lang w:val="es-MX"/>
        </w:rPr>
      </w:pPr>
    </w:p>
    <w:p w:rsidR="00922319" w:rsidRPr="008110BF" w:rsidRDefault="00922319" w:rsidP="00922319">
      <w:pPr>
        <w:jc w:val="center"/>
        <w:rPr>
          <w:b/>
          <w:sz w:val="28"/>
          <w:szCs w:val="28"/>
          <w:lang w:val="es-MX"/>
        </w:rPr>
      </w:pPr>
      <w:r w:rsidRPr="008110BF">
        <w:rPr>
          <w:b/>
          <w:sz w:val="28"/>
          <w:szCs w:val="28"/>
          <w:lang w:val="es-MX"/>
        </w:rPr>
        <w:t>Cuadro Nº 2</w:t>
      </w:r>
    </w:p>
    <w:p w:rsidR="00922319" w:rsidRPr="008110BF" w:rsidRDefault="00922319" w:rsidP="00922319">
      <w:pPr>
        <w:jc w:val="center"/>
        <w:rPr>
          <w:b/>
          <w:sz w:val="28"/>
          <w:szCs w:val="28"/>
          <w:lang w:val="es-MX"/>
        </w:rPr>
      </w:pPr>
      <w:r w:rsidRPr="008110BF">
        <w:rPr>
          <w:b/>
          <w:sz w:val="28"/>
          <w:szCs w:val="28"/>
          <w:lang w:val="es-MX"/>
        </w:rPr>
        <w:t>Costos por horas de peritos intérpretes y traslados</w:t>
      </w:r>
    </w:p>
    <w:p w:rsidR="00922319" w:rsidRPr="008110BF" w:rsidRDefault="00922319" w:rsidP="00922319">
      <w:pPr>
        <w:jc w:val="center"/>
        <w:rPr>
          <w:b/>
          <w:sz w:val="28"/>
          <w:szCs w:val="28"/>
          <w:lang w:val="es-MX"/>
        </w:rPr>
      </w:pPr>
      <w:r w:rsidRPr="008110BF">
        <w:rPr>
          <w:b/>
          <w:sz w:val="28"/>
          <w:szCs w:val="28"/>
          <w:lang w:val="es-MX"/>
        </w:rPr>
        <w:t xml:space="preserve">durante el período octubre – diciembre 2016 </w:t>
      </w:r>
    </w:p>
    <w:p w:rsidR="00922319" w:rsidRPr="008110BF" w:rsidRDefault="00922319" w:rsidP="00922319">
      <w:pPr>
        <w:jc w:val="center"/>
        <w:rPr>
          <w:b/>
          <w:sz w:val="28"/>
          <w:szCs w:val="28"/>
          <w:lang w:val="es-MX"/>
        </w:rPr>
      </w:pPr>
      <w:r w:rsidRPr="008110BF">
        <w:rPr>
          <w:b/>
          <w:sz w:val="28"/>
          <w:szCs w:val="28"/>
          <w:lang w:val="es-MX"/>
        </w:rPr>
        <w:t>y enero – febrero 2017</w:t>
      </w:r>
    </w:p>
    <w:p w:rsidR="00922319" w:rsidRPr="004E2FD1" w:rsidRDefault="00922319" w:rsidP="00922319">
      <w:pPr>
        <w:jc w:val="both"/>
        <w:rPr>
          <w:sz w:val="28"/>
          <w:szCs w:val="28"/>
          <w:lang w:val="es-MX"/>
        </w:rPr>
      </w:pPr>
    </w:p>
    <w:tbl>
      <w:tblPr>
        <w:tblStyle w:val="Tablaconcuadrcula"/>
        <w:tblW w:w="0" w:type="auto"/>
        <w:tblLook w:val="04A0"/>
      </w:tblPr>
      <w:tblGrid>
        <w:gridCol w:w="1586"/>
        <w:gridCol w:w="1054"/>
        <w:gridCol w:w="2997"/>
        <w:gridCol w:w="1134"/>
        <w:gridCol w:w="3419"/>
      </w:tblGrid>
      <w:tr w:rsidR="00922319" w:rsidRPr="004E2FD1" w:rsidTr="00326D46">
        <w:tc>
          <w:tcPr>
            <w:tcW w:w="1586" w:type="dxa"/>
          </w:tcPr>
          <w:p w:rsidR="00922319" w:rsidRPr="00CB36EF" w:rsidRDefault="00922319" w:rsidP="00326D46">
            <w:pPr>
              <w:jc w:val="center"/>
              <w:rPr>
                <w:b/>
                <w:lang w:val="es-MX"/>
              </w:rPr>
            </w:pPr>
            <w:r w:rsidRPr="00CB36EF">
              <w:rPr>
                <w:b/>
                <w:lang w:val="es-MX"/>
              </w:rPr>
              <w:t>Mes</w:t>
            </w:r>
          </w:p>
        </w:tc>
        <w:tc>
          <w:tcPr>
            <w:tcW w:w="1054" w:type="dxa"/>
          </w:tcPr>
          <w:p w:rsidR="00922319" w:rsidRPr="00CB36EF" w:rsidRDefault="00922319" w:rsidP="00326D46">
            <w:pPr>
              <w:jc w:val="center"/>
              <w:rPr>
                <w:b/>
                <w:lang w:val="es-MX"/>
              </w:rPr>
            </w:pPr>
            <w:r w:rsidRPr="00CB36EF">
              <w:rPr>
                <w:b/>
                <w:lang w:val="es-MX"/>
              </w:rPr>
              <w:t>Horas</w:t>
            </w:r>
          </w:p>
        </w:tc>
        <w:tc>
          <w:tcPr>
            <w:tcW w:w="2997" w:type="dxa"/>
          </w:tcPr>
          <w:p w:rsidR="00922319" w:rsidRPr="00CB36EF" w:rsidRDefault="00922319" w:rsidP="00326D46">
            <w:pPr>
              <w:jc w:val="center"/>
              <w:rPr>
                <w:b/>
                <w:lang w:val="es-MX"/>
              </w:rPr>
            </w:pPr>
            <w:r w:rsidRPr="00CB36EF">
              <w:rPr>
                <w:b/>
                <w:lang w:val="es-MX"/>
              </w:rPr>
              <w:t>Costo por interprete</w:t>
            </w:r>
          </w:p>
        </w:tc>
        <w:tc>
          <w:tcPr>
            <w:tcW w:w="1134" w:type="dxa"/>
          </w:tcPr>
          <w:p w:rsidR="00922319" w:rsidRPr="00CB36EF" w:rsidRDefault="00922319" w:rsidP="00326D46">
            <w:pPr>
              <w:jc w:val="center"/>
              <w:rPr>
                <w:b/>
                <w:lang w:val="es-MX"/>
              </w:rPr>
            </w:pPr>
            <w:r w:rsidRPr="00CB36EF">
              <w:rPr>
                <w:b/>
                <w:lang w:val="es-MX"/>
              </w:rPr>
              <w:t>Horas</w:t>
            </w:r>
          </w:p>
        </w:tc>
        <w:tc>
          <w:tcPr>
            <w:tcW w:w="3419" w:type="dxa"/>
          </w:tcPr>
          <w:p w:rsidR="00922319" w:rsidRPr="00CB36EF" w:rsidRDefault="00922319" w:rsidP="00326D46">
            <w:pPr>
              <w:jc w:val="center"/>
              <w:rPr>
                <w:b/>
                <w:lang w:val="es-MX"/>
              </w:rPr>
            </w:pPr>
            <w:r w:rsidRPr="00CB36EF">
              <w:rPr>
                <w:b/>
                <w:lang w:val="es-MX"/>
              </w:rPr>
              <w:t>Costo por traslado</w:t>
            </w:r>
          </w:p>
        </w:tc>
      </w:tr>
      <w:tr w:rsidR="00922319" w:rsidRPr="004E2FD1" w:rsidTr="00326D46">
        <w:tc>
          <w:tcPr>
            <w:tcW w:w="1586" w:type="dxa"/>
          </w:tcPr>
          <w:p w:rsidR="00922319" w:rsidRPr="00CB36EF" w:rsidRDefault="00922319" w:rsidP="00326D46">
            <w:pPr>
              <w:jc w:val="both"/>
              <w:rPr>
                <w:lang w:val="es-MX"/>
              </w:rPr>
            </w:pPr>
            <w:r w:rsidRPr="00CB36EF">
              <w:rPr>
                <w:lang w:val="es-MX"/>
              </w:rPr>
              <w:t>Octubre</w:t>
            </w:r>
          </w:p>
        </w:tc>
        <w:tc>
          <w:tcPr>
            <w:tcW w:w="1054" w:type="dxa"/>
          </w:tcPr>
          <w:p w:rsidR="00922319" w:rsidRPr="00CB36EF" w:rsidRDefault="00922319" w:rsidP="00326D46">
            <w:pPr>
              <w:jc w:val="center"/>
              <w:rPr>
                <w:lang w:val="es-MX"/>
              </w:rPr>
            </w:pPr>
            <w:r w:rsidRPr="00CB36EF">
              <w:rPr>
                <w:lang w:val="es-MX"/>
              </w:rPr>
              <w:t>13,75</w:t>
            </w:r>
          </w:p>
        </w:tc>
        <w:tc>
          <w:tcPr>
            <w:tcW w:w="2997" w:type="dxa"/>
            <w:vAlign w:val="bottom"/>
          </w:tcPr>
          <w:p w:rsidR="00922319" w:rsidRPr="00CB36EF" w:rsidRDefault="00922319" w:rsidP="00326D46">
            <w:pPr>
              <w:jc w:val="center"/>
            </w:pPr>
            <w:r w:rsidRPr="00CB36EF">
              <w:t>₡ 232.408,33</w:t>
            </w:r>
          </w:p>
        </w:tc>
        <w:tc>
          <w:tcPr>
            <w:tcW w:w="1134" w:type="dxa"/>
          </w:tcPr>
          <w:p w:rsidR="00922319" w:rsidRPr="00CB36EF" w:rsidRDefault="00922319" w:rsidP="00326D46">
            <w:pPr>
              <w:jc w:val="center"/>
            </w:pPr>
            <w:r w:rsidRPr="00CB36EF">
              <w:t>5</w:t>
            </w:r>
          </w:p>
        </w:tc>
        <w:tc>
          <w:tcPr>
            <w:tcW w:w="3419" w:type="dxa"/>
            <w:vAlign w:val="bottom"/>
          </w:tcPr>
          <w:p w:rsidR="00922319" w:rsidRPr="00CB36EF" w:rsidRDefault="00922319" w:rsidP="00326D46">
            <w:pPr>
              <w:jc w:val="center"/>
            </w:pPr>
            <w:r w:rsidRPr="00CB36EF">
              <w:t>₡ 50.000,00</w:t>
            </w:r>
          </w:p>
        </w:tc>
      </w:tr>
      <w:tr w:rsidR="00922319" w:rsidRPr="004E2FD1" w:rsidTr="00326D46">
        <w:tc>
          <w:tcPr>
            <w:tcW w:w="1586" w:type="dxa"/>
          </w:tcPr>
          <w:p w:rsidR="00922319" w:rsidRPr="00CB36EF" w:rsidRDefault="00922319" w:rsidP="00326D46">
            <w:pPr>
              <w:jc w:val="both"/>
              <w:rPr>
                <w:lang w:val="es-MX"/>
              </w:rPr>
            </w:pPr>
            <w:r w:rsidRPr="00CB36EF">
              <w:rPr>
                <w:lang w:val="es-MX"/>
              </w:rPr>
              <w:t>Noviembre</w:t>
            </w:r>
          </w:p>
        </w:tc>
        <w:tc>
          <w:tcPr>
            <w:tcW w:w="1054" w:type="dxa"/>
          </w:tcPr>
          <w:p w:rsidR="00922319" w:rsidRPr="00CB36EF" w:rsidRDefault="00922319" w:rsidP="00326D46">
            <w:pPr>
              <w:jc w:val="center"/>
              <w:rPr>
                <w:lang w:val="es-MX"/>
              </w:rPr>
            </w:pPr>
            <w:r w:rsidRPr="00CB36EF">
              <w:rPr>
                <w:lang w:val="es-MX"/>
              </w:rPr>
              <w:t>26</w:t>
            </w:r>
          </w:p>
        </w:tc>
        <w:tc>
          <w:tcPr>
            <w:tcW w:w="2997" w:type="dxa"/>
            <w:vAlign w:val="bottom"/>
          </w:tcPr>
          <w:p w:rsidR="00922319" w:rsidRPr="00CB36EF" w:rsidRDefault="00922319" w:rsidP="00326D46">
            <w:pPr>
              <w:jc w:val="center"/>
            </w:pPr>
            <w:r w:rsidRPr="00CB36EF">
              <w:t>₡ 434.200,00</w:t>
            </w:r>
          </w:p>
        </w:tc>
        <w:tc>
          <w:tcPr>
            <w:tcW w:w="1134" w:type="dxa"/>
          </w:tcPr>
          <w:p w:rsidR="00922319" w:rsidRPr="00CB36EF" w:rsidRDefault="00922319" w:rsidP="00326D46">
            <w:pPr>
              <w:jc w:val="center"/>
            </w:pPr>
            <w:r w:rsidRPr="00CB36EF">
              <w:t>7</w:t>
            </w:r>
          </w:p>
        </w:tc>
        <w:tc>
          <w:tcPr>
            <w:tcW w:w="3419" w:type="dxa"/>
            <w:vAlign w:val="bottom"/>
          </w:tcPr>
          <w:p w:rsidR="00922319" w:rsidRPr="00CB36EF" w:rsidRDefault="00922319" w:rsidP="00326D46">
            <w:pPr>
              <w:jc w:val="center"/>
            </w:pPr>
            <w:r w:rsidRPr="00CB36EF">
              <w:t>₡ 70.000,00</w:t>
            </w:r>
          </w:p>
        </w:tc>
      </w:tr>
      <w:tr w:rsidR="00922319" w:rsidRPr="004E2FD1" w:rsidTr="00326D46">
        <w:tc>
          <w:tcPr>
            <w:tcW w:w="1586" w:type="dxa"/>
          </w:tcPr>
          <w:p w:rsidR="00922319" w:rsidRPr="00CB36EF" w:rsidRDefault="00922319" w:rsidP="00326D46">
            <w:pPr>
              <w:jc w:val="both"/>
              <w:rPr>
                <w:lang w:val="es-MX"/>
              </w:rPr>
            </w:pPr>
            <w:r w:rsidRPr="00CB36EF">
              <w:rPr>
                <w:lang w:val="es-MX"/>
              </w:rPr>
              <w:t>Diciembre</w:t>
            </w:r>
          </w:p>
        </w:tc>
        <w:tc>
          <w:tcPr>
            <w:tcW w:w="1054" w:type="dxa"/>
          </w:tcPr>
          <w:p w:rsidR="00922319" w:rsidRPr="00CB36EF" w:rsidRDefault="00922319" w:rsidP="00326D46">
            <w:pPr>
              <w:jc w:val="center"/>
              <w:rPr>
                <w:lang w:val="es-MX"/>
              </w:rPr>
            </w:pPr>
            <w:r w:rsidRPr="00CB36EF">
              <w:rPr>
                <w:lang w:val="es-MX"/>
              </w:rPr>
              <w:t>18</w:t>
            </w:r>
          </w:p>
        </w:tc>
        <w:tc>
          <w:tcPr>
            <w:tcW w:w="2997" w:type="dxa"/>
            <w:vAlign w:val="bottom"/>
          </w:tcPr>
          <w:p w:rsidR="00922319" w:rsidRPr="00CB36EF" w:rsidRDefault="00922319" w:rsidP="00326D46">
            <w:pPr>
              <w:jc w:val="center"/>
            </w:pPr>
            <w:r w:rsidRPr="00CB36EF">
              <w:t>₡ 300.600,00</w:t>
            </w:r>
          </w:p>
        </w:tc>
        <w:tc>
          <w:tcPr>
            <w:tcW w:w="1134" w:type="dxa"/>
          </w:tcPr>
          <w:p w:rsidR="00922319" w:rsidRPr="00CB36EF" w:rsidRDefault="00922319" w:rsidP="00326D46">
            <w:pPr>
              <w:jc w:val="center"/>
            </w:pPr>
            <w:r w:rsidRPr="00CB36EF">
              <w:t>25</w:t>
            </w:r>
          </w:p>
        </w:tc>
        <w:tc>
          <w:tcPr>
            <w:tcW w:w="3419" w:type="dxa"/>
            <w:vAlign w:val="bottom"/>
          </w:tcPr>
          <w:p w:rsidR="00922319" w:rsidRPr="00CB36EF" w:rsidRDefault="00922319" w:rsidP="00326D46">
            <w:pPr>
              <w:jc w:val="center"/>
            </w:pPr>
            <w:r w:rsidRPr="00CB36EF">
              <w:t>₡ 248.333,33</w:t>
            </w:r>
          </w:p>
        </w:tc>
      </w:tr>
      <w:tr w:rsidR="00922319" w:rsidRPr="004E2FD1" w:rsidTr="00326D46">
        <w:tc>
          <w:tcPr>
            <w:tcW w:w="1586" w:type="dxa"/>
          </w:tcPr>
          <w:p w:rsidR="00922319" w:rsidRPr="00CB36EF" w:rsidRDefault="00922319" w:rsidP="00326D46">
            <w:pPr>
              <w:jc w:val="both"/>
              <w:rPr>
                <w:lang w:val="es-MX"/>
              </w:rPr>
            </w:pPr>
            <w:r w:rsidRPr="00CB36EF">
              <w:rPr>
                <w:lang w:val="es-MX"/>
              </w:rPr>
              <w:t>Enero</w:t>
            </w:r>
          </w:p>
        </w:tc>
        <w:tc>
          <w:tcPr>
            <w:tcW w:w="1054" w:type="dxa"/>
          </w:tcPr>
          <w:p w:rsidR="00922319" w:rsidRPr="00CB36EF" w:rsidRDefault="00922319" w:rsidP="00326D46">
            <w:pPr>
              <w:jc w:val="center"/>
              <w:rPr>
                <w:lang w:val="es-MX"/>
              </w:rPr>
            </w:pPr>
            <w:r w:rsidRPr="00CB36EF">
              <w:rPr>
                <w:lang w:val="es-MX"/>
              </w:rPr>
              <w:t>12,75</w:t>
            </w:r>
          </w:p>
        </w:tc>
        <w:tc>
          <w:tcPr>
            <w:tcW w:w="2997" w:type="dxa"/>
            <w:vAlign w:val="bottom"/>
          </w:tcPr>
          <w:p w:rsidR="00922319" w:rsidRPr="00CB36EF" w:rsidRDefault="00922319" w:rsidP="00326D46">
            <w:pPr>
              <w:jc w:val="center"/>
            </w:pPr>
            <w:r w:rsidRPr="00CB36EF">
              <w:t>₡ 213.574,80</w:t>
            </w:r>
          </w:p>
        </w:tc>
        <w:tc>
          <w:tcPr>
            <w:tcW w:w="1134" w:type="dxa"/>
          </w:tcPr>
          <w:p w:rsidR="00922319" w:rsidRPr="00CB36EF" w:rsidRDefault="00922319" w:rsidP="00326D46">
            <w:pPr>
              <w:jc w:val="center"/>
            </w:pPr>
            <w:r w:rsidRPr="00CB36EF">
              <w:t>6</w:t>
            </w:r>
          </w:p>
        </w:tc>
        <w:tc>
          <w:tcPr>
            <w:tcW w:w="3419" w:type="dxa"/>
            <w:vAlign w:val="bottom"/>
          </w:tcPr>
          <w:p w:rsidR="00922319" w:rsidRPr="00CB36EF" w:rsidRDefault="00922319" w:rsidP="00326D46">
            <w:pPr>
              <w:jc w:val="center"/>
            </w:pPr>
            <w:r w:rsidRPr="00CB36EF">
              <w:t>₡ 60.000,00</w:t>
            </w:r>
          </w:p>
        </w:tc>
      </w:tr>
      <w:tr w:rsidR="00922319" w:rsidRPr="004E2FD1" w:rsidTr="00326D46">
        <w:tc>
          <w:tcPr>
            <w:tcW w:w="1586" w:type="dxa"/>
          </w:tcPr>
          <w:p w:rsidR="00922319" w:rsidRPr="00CB36EF" w:rsidRDefault="00922319" w:rsidP="00326D46">
            <w:pPr>
              <w:jc w:val="both"/>
              <w:rPr>
                <w:lang w:val="es-MX"/>
              </w:rPr>
            </w:pPr>
            <w:r w:rsidRPr="00CB36EF">
              <w:rPr>
                <w:lang w:val="es-MX"/>
              </w:rPr>
              <w:t>Febrero</w:t>
            </w:r>
          </w:p>
        </w:tc>
        <w:tc>
          <w:tcPr>
            <w:tcW w:w="1054" w:type="dxa"/>
          </w:tcPr>
          <w:p w:rsidR="00922319" w:rsidRPr="00CB36EF" w:rsidRDefault="00922319" w:rsidP="00326D46">
            <w:pPr>
              <w:jc w:val="center"/>
              <w:rPr>
                <w:lang w:val="es-MX"/>
              </w:rPr>
            </w:pPr>
            <w:r w:rsidRPr="00CB36EF">
              <w:rPr>
                <w:lang w:val="es-MX"/>
              </w:rPr>
              <w:t>14,30</w:t>
            </w:r>
          </w:p>
        </w:tc>
        <w:tc>
          <w:tcPr>
            <w:tcW w:w="2997" w:type="dxa"/>
            <w:vAlign w:val="bottom"/>
          </w:tcPr>
          <w:p w:rsidR="00922319" w:rsidRPr="00CB36EF" w:rsidRDefault="00922319" w:rsidP="00326D46">
            <w:pPr>
              <w:jc w:val="center"/>
            </w:pPr>
            <w:r w:rsidRPr="00CB36EF">
              <w:t>₡ 249.766,25</w:t>
            </w:r>
          </w:p>
        </w:tc>
        <w:tc>
          <w:tcPr>
            <w:tcW w:w="1134" w:type="dxa"/>
          </w:tcPr>
          <w:p w:rsidR="00922319" w:rsidRPr="00CB36EF" w:rsidRDefault="00922319" w:rsidP="00326D46">
            <w:pPr>
              <w:jc w:val="center"/>
            </w:pPr>
            <w:r w:rsidRPr="00CB36EF">
              <w:t>20</w:t>
            </w:r>
          </w:p>
        </w:tc>
        <w:tc>
          <w:tcPr>
            <w:tcW w:w="3419" w:type="dxa"/>
            <w:vAlign w:val="bottom"/>
          </w:tcPr>
          <w:p w:rsidR="00922319" w:rsidRPr="00CB36EF" w:rsidRDefault="00922319" w:rsidP="00326D46">
            <w:pPr>
              <w:jc w:val="center"/>
            </w:pPr>
            <w:r w:rsidRPr="00CB36EF">
              <w:t>₡ 200.000,00</w:t>
            </w:r>
          </w:p>
        </w:tc>
      </w:tr>
      <w:tr w:rsidR="00922319" w:rsidRPr="004E2FD1" w:rsidTr="00326D46">
        <w:tc>
          <w:tcPr>
            <w:tcW w:w="1586" w:type="dxa"/>
          </w:tcPr>
          <w:p w:rsidR="00922319" w:rsidRPr="00CB36EF" w:rsidRDefault="00922319" w:rsidP="00326D46">
            <w:pPr>
              <w:jc w:val="right"/>
              <w:rPr>
                <w:b/>
                <w:lang w:val="es-MX"/>
              </w:rPr>
            </w:pPr>
          </w:p>
          <w:p w:rsidR="00922319" w:rsidRPr="00CB36EF" w:rsidRDefault="00922319" w:rsidP="00326D46">
            <w:pPr>
              <w:jc w:val="right"/>
              <w:rPr>
                <w:lang w:val="es-MX"/>
              </w:rPr>
            </w:pPr>
            <w:r w:rsidRPr="00CB36EF">
              <w:rPr>
                <w:b/>
                <w:lang w:val="es-MX"/>
              </w:rPr>
              <w:t>Total</w:t>
            </w:r>
          </w:p>
        </w:tc>
        <w:tc>
          <w:tcPr>
            <w:tcW w:w="1054" w:type="dxa"/>
          </w:tcPr>
          <w:p w:rsidR="00922319" w:rsidRDefault="00922319" w:rsidP="00326D46">
            <w:pPr>
              <w:jc w:val="center"/>
              <w:rPr>
                <w:lang w:val="es-MX"/>
              </w:rPr>
            </w:pPr>
          </w:p>
          <w:p w:rsidR="00922319" w:rsidRPr="00CB36EF" w:rsidRDefault="00922319" w:rsidP="00326D46">
            <w:pPr>
              <w:jc w:val="center"/>
              <w:rPr>
                <w:b/>
                <w:lang w:val="es-MX"/>
              </w:rPr>
            </w:pPr>
            <w:r w:rsidRPr="00CB36EF">
              <w:rPr>
                <w:b/>
                <w:lang w:val="es-MX"/>
              </w:rPr>
              <w:t>84,8</w:t>
            </w:r>
          </w:p>
        </w:tc>
        <w:tc>
          <w:tcPr>
            <w:tcW w:w="2997" w:type="dxa"/>
            <w:vAlign w:val="bottom"/>
          </w:tcPr>
          <w:p w:rsidR="00922319" w:rsidRPr="00CB36EF" w:rsidRDefault="00922319" w:rsidP="00326D46">
            <w:pPr>
              <w:jc w:val="center"/>
              <w:rPr>
                <w:b/>
                <w:color w:val="000000"/>
              </w:rPr>
            </w:pPr>
            <w:r w:rsidRPr="00CB36EF">
              <w:rPr>
                <w:b/>
                <w:color w:val="000000"/>
              </w:rPr>
              <w:t>₡ 1.430.549,38</w:t>
            </w:r>
          </w:p>
        </w:tc>
        <w:tc>
          <w:tcPr>
            <w:tcW w:w="1134" w:type="dxa"/>
          </w:tcPr>
          <w:p w:rsidR="00922319" w:rsidRDefault="00922319" w:rsidP="00326D46">
            <w:pPr>
              <w:jc w:val="center"/>
              <w:rPr>
                <w:b/>
                <w:color w:val="000000"/>
              </w:rPr>
            </w:pPr>
          </w:p>
          <w:p w:rsidR="00922319" w:rsidRPr="00CB36EF" w:rsidRDefault="00922319" w:rsidP="00326D46">
            <w:pPr>
              <w:jc w:val="center"/>
              <w:rPr>
                <w:b/>
                <w:color w:val="000000"/>
              </w:rPr>
            </w:pPr>
            <w:r w:rsidRPr="00CB36EF">
              <w:rPr>
                <w:b/>
                <w:color w:val="000000"/>
              </w:rPr>
              <w:t>63</w:t>
            </w:r>
          </w:p>
        </w:tc>
        <w:tc>
          <w:tcPr>
            <w:tcW w:w="3419" w:type="dxa"/>
            <w:vAlign w:val="bottom"/>
          </w:tcPr>
          <w:p w:rsidR="00922319" w:rsidRPr="00CB36EF" w:rsidRDefault="00922319" w:rsidP="00326D46">
            <w:pPr>
              <w:jc w:val="center"/>
              <w:rPr>
                <w:b/>
                <w:color w:val="000000"/>
              </w:rPr>
            </w:pPr>
            <w:r w:rsidRPr="00CB36EF">
              <w:rPr>
                <w:b/>
                <w:color w:val="000000"/>
              </w:rPr>
              <w:t>₡ 628.333,33</w:t>
            </w:r>
          </w:p>
        </w:tc>
      </w:tr>
      <w:tr w:rsidR="00922319" w:rsidTr="00326D46">
        <w:tc>
          <w:tcPr>
            <w:tcW w:w="1586" w:type="dxa"/>
          </w:tcPr>
          <w:p w:rsidR="00922319" w:rsidRPr="00CB36EF" w:rsidRDefault="00922319" w:rsidP="00326D46">
            <w:pPr>
              <w:jc w:val="both"/>
              <w:rPr>
                <w:color w:val="0000FF"/>
                <w:lang w:val="es-MX"/>
              </w:rPr>
            </w:pPr>
            <w:r>
              <w:rPr>
                <w:lang w:val="es-MX"/>
              </w:rPr>
              <w:t xml:space="preserve">Costo </w:t>
            </w:r>
            <w:r w:rsidRPr="00CB36EF">
              <w:rPr>
                <w:lang w:val="es-MX"/>
              </w:rPr>
              <w:t xml:space="preserve">Promedio </w:t>
            </w:r>
            <w:r>
              <w:rPr>
                <w:lang w:val="es-MX"/>
              </w:rPr>
              <w:t>M</w:t>
            </w:r>
            <w:r w:rsidRPr="00CB36EF">
              <w:rPr>
                <w:lang w:val="es-MX"/>
              </w:rPr>
              <w:t>ensual</w:t>
            </w:r>
          </w:p>
        </w:tc>
        <w:tc>
          <w:tcPr>
            <w:tcW w:w="1054" w:type="dxa"/>
          </w:tcPr>
          <w:p w:rsidR="00922319" w:rsidRPr="00CB36EF" w:rsidRDefault="00922319" w:rsidP="00326D46">
            <w:pPr>
              <w:jc w:val="center"/>
              <w:rPr>
                <w:color w:val="0000FF"/>
                <w:lang w:val="es-MX"/>
              </w:rPr>
            </w:pPr>
          </w:p>
        </w:tc>
        <w:tc>
          <w:tcPr>
            <w:tcW w:w="2997" w:type="dxa"/>
            <w:vAlign w:val="bottom"/>
          </w:tcPr>
          <w:p w:rsidR="00922319" w:rsidRPr="00CB36EF" w:rsidRDefault="00922319" w:rsidP="00326D46">
            <w:pPr>
              <w:jc w:val="center"/>
              <w:rPr>
                <w:b/>
                <w:color w:val="000000"/>
              </w:rPr>
            </w:pPr>
            <w:r w:rsidRPr="00CB36EF">
              <w:rPr>
                <w:b/>
                <w:color w:val="000000"/>
              </w:rPr>
              <w:t>₡ 286.109,88</w:t>
            </w:r>
          </w:p>
        </w:tc>
        <w:tc>
          <w:tcPr>
            <w:tcW w:w="1134" w:type="dxa"/>
          </w:tcPr>
          <w:p w:rsidR="00922319" w:rsidRPr="00CB36EF" w:rsidRDefault="00922319" w:rsidP="00326D46">
            <w:pPr>
              <w:jc w:val="center"/>
              <w:rPr>
                <w:b/>
                <w:color w:val="000000"/>
              </w:rPr>
            </w:pPr>
          </w:p>
        </w:tc>
        <w:tc>
          <w:tcPr>
            <w:tcW w:w="3419" w:type="dxa"/>
            <w:vAlign w:val="bottom"/>
          </w:tcPr>
          <w:p w:rsidR="00922319" w:rsidRPr="00CB36EF" w:rsidRDefault="00922319" w:rsidP="00326D46">
            <w:pPr>
              <w:jc w:val="center"/>
              <w:rPr>
                <w:b/>
                <w:color w:val="000000"/>
              </w:rPr>
            </w:pPr>
            <w:r w:rsidRPr="00CB36EF">
              <w:rPr>
                <w:b/>
                <w:color w:val="000000"/>
              </w:rPr>
              <w:t>₡ 125.666,67</w:t>
            </w:r>
          </w:p>
        </w:tc>
      </w:tr>
    </w:tbl>
    <w:p w:rsidR="00922319" w:rsidRPr="00095E33" w:rsidRDefault="00922319" w:rsidP="00922319">
      <w:pPr>
        <w:spacing w:line="480" w:lineRule="auto"/>
        <w:jc w:val="both"/>
        <w:rPr>
          <w:sz w:val="20"/>
          <w:szCs w:val="20"/>
          <w:lang w:val="es-MX"/>
        </w:rPr>
      </w:pPr>
      <w:r w:rsidRPr="00095E33">
        <w:rPr>
          <w:sz w:val="20"/>
          <w:szCs w:val="20"/>
          <w:lang w:val="es-MX"/>
        </w:rPr>
        <w:t>Fuente: Administración Regional de Turrialba</w:t>
      </w:r>
      <w:r>
        <w:rPr>
          <w:sz w:val="20"/>
          <w:szCs w:val="20"/>
          <w:lang w:val="es-MX"/>
        </w:rPr>
        <w:t>.</w:t>
      </w:r>
    </w:p>
    <w:p w:rsidR="00922319" w:rsidRDefault="00922319" w:rsidP="00922319">
      <w:pPr>
        <w:spacing w:line="480" w:lineRule="auto"/>
        <w:jc w:val="both"/>
        <w:rPr>
          <w:color w:val="0000FF"/>
          <w:sz w:val="28"/>
          <w:szCs w:val="28"/>
          <w:lang w:val="es-MX"/>
        </w:rPr>
      </w:pPr>
    </w:p>
    <w:p w:rsidR="00922319" w:rsidRDefault="00922319" w:rsidP="00922319">
      <w:pPr>
        <w:spacing w:line="480" w:lineRule="auto"/>
        <w:jc w:val="both"/>
        <w:rPr>
          <w:b/>
          <w:color w:val="000000"/>
          <w:sz w:val="28"/>
          <w:szCs w:val="28"/>
        </w:rPr>
      </w:pPr>
      <w:r>
        <w:rPr>
          <w:sz w:val="28"/>
          <w:szCs w:val="28"/>
          <w:lang w:val="es-MX"/>
        </w:rPr>
        <w:t xml:space="preserve">El </w:t>
      </w:r>
      <w:r w:rsidRPr="00480630">
        <w:rPr>
          <w:sz w:val="28"/>
          <w:szCs w:val="28"/>
          <w:lang w:val="es-MX"/>
        </w:rPr>
        <w:t xml:space="preserve">costo por intérprete entre octubre de 2016 y febrero de 2017, </w:t>
      </w:r>
      <w:r>
        <w:rPr>
          <w:sz w:val="28"/>
          <w:szCs w:val="28"/>
          <w:lang w:val="es-MX"/>
        </w:rPr>
        <w:t xml:space="preserve">fue de </w:t>
      </w:r>
      <w:r w:rsidRPr="00BF5BDE">
        <w:rPr>
          <w:sz w:val="28"/>
          <w:szCs w:val="28"/>
          <w:lang w:val="es-MX"/>
        </w:rPr>
        <w:t>¢</w:t>
      </w:r>
      <w:r w:rsidRPr="00BF5BDE">
        <w:rPr>
          <w:color w:val="000000"/>
          <w:sz w:val="28"/>
          <w:szCs w:val="28"/>
        </w:rPr>
        <w:t>1.430.549,38,</w:t>
      </w:r>
      <w:r w:rsidRPr="00EB65D3">
        <w:rPr>
          <w:color w:val="000000"/>
          <w:sz w:val="28"/>
          <w:szCs w:val="28"/>
        </w:rPr>
        <w:t>más</w:t>
      </w:r>
      <w:r w:rsidRPr="00170057">
        <w:rPr>
          <w:color w:val="000000"/>
          <w:sz w:val="28"/>
          <w:szCs w:val="28"/>
        </w:rPr>
        <w:t>el costo por traslado</w:t>
      </w:r>
      <w:r w:rsidRPr="00BF5BDE">
        <w:rPr>
          <w:color w:val="000000"/>
          <w:sz w:val="28"/>
          <w:szCs w:val="28"/>
        </w:rPr>
        <w:t>¢628.333,33,</w:t>
      </w:r>
      <w:r w:rsidRPr="007816D5">
        <w:rPr>
          <w:color w:val="000000"/>
          <w:sz w:val="28"/>
          <w:szCs w:val="28"/>
        </w:rPr>
        <w:t>para u</w:t>
      </w:r>
      <w:r w:rsidRPr="00170057">
        <w:rPr>
          <w:color w:val="000000"/>
          <w:sz w:val="28"/>
          <w:szCs w:val="28"/>
        </w:rPr>
        <w:t>n</w:t>
      </w:r>
      <w:r w:rsidRPr="002C72B6">
        <w:rPr>
          <w:color w:val="000000"/>
          <w:sz w:val="28"/>
          <w:szCs w:val="28"/>
        </w:rPr>
        <w:t>total</w:t>
      </w:r>
      <w:r w:rsidRPr="00560BDE">
        <w:rPr>
          <w:color w:val="000000"/>
          <w:sz w:val="28"/>
          <w:szCs w:val="28"/>
        </w:rPr>
        <w:t>de</w:t>
      </w:r>
      <w:r>
        <w:rPr>
          <w:b/>
          <w:color w:val="000000"/>
          <w:sz w:val="28"/>
          <w:szCs w:val="28"/>
        </w:rPr>
        <w:t xml:space="preserve"> ¢2.058.882.71.</w:t>
      </w:r>
    </w:p>
    <w:p w:rsidR="00922319" w:rsidRDefault="00922319" w:rsidP="00922319">
      <w:pPr>
        <w:spacing w:line="480" w:lineRule="auto"/>
        <w:jc w:val="both"/>
        <w:rPr>
          <w:b/>
          <w:color w:val="000000"/>
          <w:sz w:val="28"/>
          <w:szCs w:val="28"/>
        </w:rPr>
      </w:pPr>
    </w:p>
    <w:p w:rsidR="00922319" w:rsidRPr="00480630" w:rsidRDefault="00922319" w:rsidP="00922319">
      <w:pPr>
        <w:spacing w:line="480" w:lineRule="auto"/>
        <w:jc w:val="both"/>
        <w:rPr>
          <w:sz w:val="28"/>
          <w:szCs w:val="28"/>
          <w:lang w:val="es-MX"/>
        </w:rPr>
      </w:pPr>
      <w:r>
        <w:rPr>
          <w:color w:val="000000"/>
          <w:sz w:val="28"/>
          <w:szCs w:val="28"/>
        </w:rPr>
        <w:t>De lo anterior se desprende que sin incluir el costo por traslado, el p</w:t>
      </w:r>
      <w:r w:rsidRPr="002C72B6">
        <w:rPr>
          <w:color w:val="000000"/>
          <w:sz w:val="28"/>
          <w:szCs w:val="28"/>
        </w:rPr>
        <w:t xml:space="preserve">ago por intérprete en los últimos cinco meses </w:t>
      </w:r>
      <w:r w:rsidRPr="004A0228">
        <w:rPr>
          <w:b/>
          <w:color w:val="000000"/>
          <w:sz w:val="28"/>
          <w:szCs w:val="28"/>
        </w:rPr>
        <w:t>(</w:t>
      </w:r>
      <w:r w:rsidRPr="004A0228">
        <w:rPr>
          <w:b/>
          <w:sz w:val="28"/>
          <w:szCs w:val="28"/>
          <w:lang w:val="es-MX"/>
        </w:rPr>
        <w:t>¢</w:t>
      </w:r>
      <w:r w:rsidRPr="004A0228">
        <w:rPr>
          <w:b/>
          <w:color w:val="000000"/>
          <w:sz w:val="28"/>
          <w:szCs w:val="28"/>
        </w:rPr>
        <w:t xml:space="preserve"> 1.430.549,38</w:t>
      </w:r>
      <w:r>
        <w:rPr>
          <w:color w:val="000000"/>
          <w:sz w:val="28"/>
          <w:szCs w:val="28"/>
        </w:rPr>
        <w:t xml:space="preserve">), superó al registro </w:t>
      </w:r>
      <w:r w:rsidRPr="002C72B6">
        <w:rPr>
          <w:color w:val="000000"/>
          <w:sz w:val="28"/>
          <w:szCs w:val="28"/>
        </w:rPr>
        <w:t xml:space="preserve">de </w:t>
      </w:r>
      <w:r w:rsidRPr="00480630">
        <w:rPr>
          <w:sz w:val="28"/>
          <w:szCs w:val="28"/>
          <w:lang w:val="es-MX"/>
        </w:rPr>
        <w:t xml:space="preserve">los primeros nueve </w:t>
      </w:r>
      <w:r w:rsidRPr="00480630">
        <w:rPr>
          <w:sz w:val="28"/>
          <w:szCs w:val="28"/>
          <w:lang w:val="es-MX"/>
        </w:rPr>
        <w:lastRenderedPageBreak/>
        <w:t>meses del 2016</w:t>
      </w:r>
      <w:r w:rsidRPr="004A0228">
        <w:rPr>
          <w:b/>
          <w:sz w:val="28"/>
          <w:szCs w:val="28"/>
          <w:lang w:val="es-MX"/>
        </w:rPr>
        <w:t>(¢ 970.330,00</w:t>
      </w:r>
      <w:r w:rsidRPr="00193B41">
        <w:rPr>
          <w:sz w:val="28"/>
          <w:szCs w:val="28"/>
          <w:lang w:val="es-MX"/>
        </w:rPr>
        <w:t>)</w:t>
      </w:r>
      <w:r w:rsidRPr="00480630">
        <w:rPr>
          <w:sz w:val="28"/>
          <w:szCs w:val="28"/>
          <w:lang w:val="es-MX"/>
        </w:rPr>
        <w:t xml:space="preserve">, </w:t>
      </w:r>
      <w:r>
        <w:rPr>
          <w:sz w:val="28"/>
          <w:szCs w:val="28"/>
          <w:lang w:val="es-MX"/>
        </w:rPr>
        <w:t xml:space="preserve">en </w:t>
      </w:r>
      <w:r w:rsidRPr="00193B41">
        <w:rPr>
          <w:b/>
          <w:sz w:val="28"/>
          <w:szCs w:val="28"/>
          <w:lang w:val="es-MX"/>
        </w:rPr>
        <w:t>¢ 4</w:t>
      </w:r>
      <w:r>
        <w:rPr>
          <w:b/>
          <w:sz w:val="28"/>
          <w:szCs w:val="28"/>
          <w:lang w:val="es-MX"/>
        </w:rPr>
        <w:t>6</w:t>
      </w:r>
      <w:r w:rsidRPr="00193B41">
        <w:rPr>
          <w:b/>
          <w:sz w:val="28"/>
          <w:szCs w:val="28"/>
          <w:lang w:val="es-MX"/>
        </w:rPr>
        <w:t>0.219,38</w:t>
      </w:r>
      <w:r>
        <w:rPr>
          <w:sz w:val="28"/>
          <w:szCs w:val="28"/>
          <w:lang w:val="es-MX"/>
        </w:rPr>
        <w:t xml:space="preserve">, lo que representa un incremento de un 47.4%, </w:t>
      </w:r>
      <w:r w:rsidRPr="00480630">
        <w:rPr>
          <w:sz w:val="28"/>
          <w:szCs w:val="28"/>
          <w:lang w:val="es-MX"/>
        </w:rPr>
        <w:t>en el pago de perit</w:t>
      </w:r>
      <w:r>
        <w:rPr>
          <w:sz w:val="28"/>
          <w:szCs w:val="28"/>
          <w:lang w:val="es-MX"/>
        </w:rPr>
        <w:t>as/</w:t>
      </w:r>
      <w:r w:rsidRPr="00480630">
        <w:rPr>
          <w:sz w:val="28"/>
          <w:szCs w:val="28"/>
          <w:lang w:val="es-MX"/>
        </w:rPr>
        <w:t xml:space="preserve">os interpretes en lengua cabécar. </w:t>
      </w:r>
      <w:r>
        <w:rPr>
          <w:sz w:val="28"/>
          <w:szCs w:val="28"/>
          <w:lang w:val="es-MX"/>
        </w:rPr>
        <w:t xml:space="preserve">El aumento se debe a que </w:t>
      </w:r>
      <w:r w:rsidRPr="00480630">
        <w:rPr>
          <w:sz w:val="28"/>
          <w:szCs w:val="28"/>
          <w:lang w:val="es-MX"/>
        </w:rPr>
        <w:t>la cantidad de horas intérprete fue superior en 25,15 a</w:t>
      </w:r>
      <w:r>
        <w:rPr>
          <w:sz w:val="28"/>
          <w:szCs w:val="28"/>
          <w:lang w:val="es-MX"/>
        </w:rPr>
        <w:t xml:space="preserve"> las utilizadas en </w:t>
      </w:r>
      <w:r w:rsidRPr="00480630">
        <w:rPr>
          <w:sz w:val="28"/>
          <w:szCs w:val="28"/>
          <w:lang w:val="es-MX"/>
        </w:rPr>
        <w:t>los primeros nueve meses del 2016</w:t>
      </w:r>
      <w:r>
        <w:rPr>
          <w:sz w:val="28"/>
          <w:szCs w:val="28"/>
          <w:lang w:val="es-MX"/>
        </w:rPr>
        <w:t>.</w:t>
      </w:r>
    </w:p>
    <w:p w:rsidR="00922319" w:rsidRPr="00480630" w:rsidRDefault="00922319" w:rsidP="00922319">
      <w:pPr>
        <w:spacing w:line="480" w:lineRule="auto"/>
        <w:jc w:val="both"/>
        <w:rPr>
          <w:sz w:val="28"/>
          <w:szCs w:val="28"/>
          <w:lang w:val="es-MX"/>
        </w:rPr>
      </w:pPr>
    </w:p>
    <w:p w:rsidR="00922319" w:rsidRPr="00480630" w:rsidRDefault="00922319" w:rsidP="00922319">
      <w:pPr>
        <w:spacing w:line="480" w:lineRule="auto"/>
        <w:jc w:val="both"/>
        <w:rPr>
          <w:sz w:val="28"/>
          <w:szCs w:val="28"/>
          <w:lang w:val="es-MX"/>
        </w:rPr>
      </w:pPr>
      <w:r>
        <w:rPr>
          <w:sz w:val="28"/>
          <w:szCs w:val="28"/>
          <w:lang w:val="es-MX"/>
        </w:rPr>
        <w:t xml:space="preserve">En síntesis, según la información suministrada en los </w:t>
      </w:r>
      <w:r w:rsidRPr="00480630">
        <w:rPr>
          <w:sz w:val="28"/>
          <w:szCs w:val="28"/>
          <w:lang w:val="es-MX"/>
        </w:rPr>
        <w:t>cuadros precedentes, durante los últimos catorce meses (2016</w:t>
      </w:r>
      <w:r>
        <w:rPr>
          <w:sz w:val="28"/>
          <w:szCs w:val="28"/>
          <w:lang w:val="es-MX"/>
        </w:rPr>
        <w:t xml:space="preserve">, </w:t>
      </w:r>
      <w:r w:rsidRPr="00480630">
        <w:rPr>
          <w:sz w:val="28"/>
          <w:szCs w:val="28"/>
          <w:lang w:val="es-MX"/>
        </w:rPr>
        <w:t xml:space="preserve">enero y febrero del 2017) el costo total de horas por interprete fue de </w:t>
      </w:r>
      <w:r w:rsidRPr="00480630">
        <w:rPr>
          <w:b/>
          <w:sz w:val="28"/>
          <w:szCs w:val="28"/>
          <w:lang w:val="es-MX"/>
        </w:rPr>
        <w:t>¢ 3.029.212,71</w:t>
      </w:r>
      <w:r w:rsidRPr="00480630">
        <w:rPr>
          <w:sz w:val="28"/>
          <w:szCs w:val="28"/>
          <w:lang w:val="es-MX"/>
        </w:rPr>
        <w:t xml:space="preserve">, desglosado en ¢ 2.400.879,38 costo horas interprete más </w:t>
      </w:r>
      <w:r w:rsidRPr="00480630">
        <w:rPr>
          <w:b/>
          <w:sz w:val="28"/>
          <w:szCs w:val="28"/>
          <w:lang w:val="es-MX"/>
        </w:rPr>
        <w:t xml:space="preserve">¢ </w:t>
      </w:r>
      <w:r w:rsidRPr="00480630">
        <w:rPr>
          <w:sz w:val="28"/>
          <w:szCs w:val="28"/>
          <w:lang w:val="es-MX"/>
        </w:rPr>
        <w:t>628.333.33 costo horas por traslado.</w:t>
      </w:r>
    </w:p>
    <w:p w:rsidR="00922319" w:rsidRPr="00480630" w:rsidRDefault="00922319" w:rsidP="00922319">
      <w:pPr>
        <w:spacing w:line="480" w:lineRule="auto"/>
        <w:jc w:val="both"/>
        <w:rPr>
          <w:sz w:val="28"/>
          <w:szCs w:val="28"/>
          <w:lang w:val="es-MX"/>
        </w:rPr>
      </w:pPr>
    </w:p>
    <w:p w:rsidR="00922319" w:rsidRPr="00480630" w:rsidRDefault="00922319" w:rsidP="00922319">
      <w:pPr>
        <w:spacing w:line="480" w:lineRule="auto"/>
        <w:jc w:val="both"/>
        <w:rPr>
          <w:sz w:val="28"/>
          <w:szCs w:val="28"/>
          <w:lang w:val="es-MX"/>
        </w:rPr>
      </w:pPr>
      <w:r w:rsidRPr="00480630">
        <w:rPr>
          <w:sz w:val="28"/>
          <w:szCs w:val="28"/>
          <w:lang w:val="es-MX"/>
        </w:rPr>
        <w:t xml:space="preserve">Mientras que </w:t>
      </w:r>
      <w:r>
        <w:rPr>
          <w:sz w:val="28"/>
          <w:szCs w:val="28"/>
          <w:lang w:val="es-MX"/>
        </w:rPr>
        <w:t xml:space="preserve">al contabilizar </w:t>
      </w:r>
      <w:r w:rsidRPr="00480630">
        <w:rPr>
          <w:sz w:val="28"/>
          <w:szCs w:val="28"/>
          <w:lang w:val="es-MX"/>
        </w:rPr>
        <w:t>el costo por intérprete durante el 2016, registr</w:t>
      </w:r>
      <w:r>
        <w:rPr>
          <w:sz w:val="28"/>
          <w:szCs w:val="28"/>
          <w:lang w:val="es-MX"/>
        </w:rPr>
        <w:t>ó</w:t>
      </w:r>
      <w:r w:rsidRPr="00480630">
        <w:rPr>
          <w:sz w:val="28"/>
          <w:szCs w:val="28"/>
          <w:lang w:val="es-MX"/>
        </w:rPr>
        <w:t xml:space="preserve"> un total de</w:t>
      </w:r>
      <w:r w:rsidRPr="00480630">
        <w:rPr>
          <w:b/>
          <w:sz w:val="28"/>
          <w:szCs w:val="28"/>
          <w:lang w:val="es-MX"/>
        </w:rPr>
        <w:t xml:space="preserve">¢2.305.871,66, </w:t>
      </w:r>
      <w:r w:rsidRPr="00480630">
        <w:rPr>
          <w:sz w:val="28"/>
          <w:szCs w:val="28"/>
          <w:lang w:val="es-MX"/>
        </w:rPr>
        <w:t xml:space="preserve">en razón de117,4 horas por interprete + 37 horas por traslados, para un total de </w:t>
      </w:r>
      <w:r w:rsidRPr="00541AB8">
        <w:rPr>
          <w:sz w:val="28"/>
          <w:szCs w:val="28"/>
          <w:lang w:val="es-MX"/>
        </w:rPr>
        <w:t>154,4 horas.</w:t>
      </w:r>
    </w:p>
    <w:p w:rsidR="00922319" w:rsidRPr="00480630" w:rsidRDefault="00922319" w:rsidP="00922319">
      <w:pPr>
        <w:spacing w:line="480" w:lineRule="auto"/>
        <w:jc w:val="both"/>
        <w:rPr>
          <w:sz w:val="28"/>
          <w:szCs w:val="28"/>
          <w:lang w:val="es-MX"/>
        </w:rPr>
      </w:pPr>
    </w:p>
    <w:p w:rsidR="00922319" w:rsidRPr="00086268" w:rsidRDefault="00922319" w:rsidP="00922319">
      <w:pPr>
        <w:spacing w:line="480" w:lineRule="auto"/>
        <w:jc w:val="both"/>
        <w:rPr>
          <w:b/>
          <w:sz w:val="28"/>
          <w:szCs w:val="28"/>
        </w:rPr>
      </w:pPr>
      <w:r w:rsidRPr="00086268">
        <w:rPr>
          <w:b/>
          <w:bCs/>
          <w:sz w:val="28"/>
          <w:szCs w:val="28"/>
        </w:rPr>
        <w:t>3.</w:t>
      </w:r>
      <w:r>
        <w:rPr>
          <w:b/>
          <w:bCs/>
          <w:sz w:val="28"/>
          <w:szCs w:val="28"/>
        </w:rPr>
        <w:t>1</w:t>
      </w:r>
      <w:r w:rsidRPr="00086268">
        <w:rPr>
          <w:b/>
          <w:bCs/>
          <w:sz w:val="28"/>
          <w:szCs w:val="28"/>
        </w:rPr>
        <w:t>.</w:t>
      </w:r>
      <w:r>
        <w:rPr>
          <w:b/>
          <w:bCs/>
          <w:sz w:val="28"/>
          <w:szCs w:val="28"/>
        </w:rPr>
        <w:t>2</w:t>
      </w:r>
      <w:r w:rsidRPr="00086268">
        <w:rPr>
          <w:b/>
          <w:bCs/>
          <w:sz w:val="28"/>
          <w:szCs w:val="28"/>
        </w:rPr>
        <w:t xml:space="preserve">.- </w:t>
      </w:r>
      <w:r>
        <w:rPr>
          <w:b/>
          <w:bCs/>
          <w:sz w:val="28"/>
          <w:szCs w:val="28"/>
        </w:rPr>
        <w:t>Costo de una Plaza de Técnica o Técnico Supernumerario.</w:t>
      </w:r>
    </w:p>
    <w:p w:rsidR="00922319" w:rsidRPr="00480630" w:rsidRDefault="00922319" w:rsidP="00922319">
      <w:pPr>
        <w:spacing w:line="480" w:lineRule="auto"/>
        <w:jc w:val="both"/>
        <w:rPr>
          <w:sz w:val="28"/>
          <w:szCs w:val="28"/>
        </w:rPr>
      </w:pPr>
      <w:r w:rsidRPr="00480630">
        <w:rPr>
          <w:sz w:val="28"/>
          <w:szCs w:val="28"/>
        </w:rPr>
        <w:t xml:space="preserve">La dotación de una plaza de Técnica o Técnico Supernumerario, implica un costo para la Institución de </w:t>
      </w:r>
      <w:r w:rsidRPr="00480630">
        <w:rPr>
          <w:b/>
          <w:sz w:val="28"/>
          <w:szCs w:val="28"/>
        </w:rPr>
        <w:t xml:space="preserve">¢ 15.708.000,00 </w:t>
      </w:r>
      <w:r w:rsidRPr="00480630">
        <w:rPr>
          <w:sz w:val="28"/>
          <w:szCs w:val="28"/>
        </w:rPr>
        <w:t xml:space="preserve">promedio anual. </w:t>
      </w:r>
    </w:p>
    <w:p w:rsidR="00922319" w:rsidRDefault="00922319" w:rsidP="00922319">
      <w:pPr>
        <w:spacing w:line="480" w:lineRule="auto"/>
        <w:jc w:val="both"/>
        <w:rPr>
          <w:color w:val="0000FF"/>
          <w:sz w:val="28"/>
          <w:szCs w:val="28"/>
        </w:rPr>
      </w:pPr>
    </w:p>
    <w:p w:rsidR="00922319" w:rsidRPr="00480630" w:rsidRDefault="00922319" w:rsidP="00922319">
      <w:pPr>
        <w:spacing w:line="480" w:lineRule="auto"/>
        <w:jc w:val="both"/>
        <w:rPr>
          <w:b/>
          <w:sz w:val="28"/>
          <w:szCs w:val="28"/>
        </w:rPr>
      </w:pPr>
      <w:r w:rsidRPr="00480630">
        <w:rPr>
          <w:sz w:val="28"/>
          <w:szCs w:val="28"/>
          <w:lang w:val="es-MX"/>
        </w:rPr>
        <w:t xml:space="preserve">Al comparar el costo total por intérprete registrado durante el 2016, </w:t>
      </w:r>
      <w:r w:rsidRPr="00480630">
        <w:rPr>
          <w:b/>
          <w:sz w:val="28"/>
          <w:szCs w:val="28"/>
          <w:lang w:val="es-MX"/>
        </w:rPr>
        <w:t>¢ 2.305.871,66</w:t>
      </w:r>
      <w:r w:rsidRPr="00480630">
        <w:rPr>
          <w:sz w:val="28"/>
          <w:szCs w:val="28"/>
          <w:lang w:val="es-MX"/>
        </w:rPr>
        <w:t xml:space="preserve">, </w:t>
      </w:r>
      <w:r>
        <w:rPr>
          <w:sz w:val="28"/>
          <w:szCs w:val="28"/>
          <w:lang w:val="es-MX"/>
        </w:rPr>
        <w:t>con</w:t>
      </w:r>
      <w:r w:rsidRPr="00480630">
        <w:rPr>
          <w:sz w:val="28"/>
          <w:szCs w:val="28"/>
          <w:lang w:val="es-MX"/>
        </w:rPr>
        <w:t xml:space="preserve"> el costo de asignar de </w:t>
      </w:r>
      <w:r w:rsidRPr="00480630">
        <w:rPr>
          <w:sz w:val="28"/>
          <w:szCs w:val="28"/>
        </w:rPr>
        <w:t>una plaza de Técnica o Técnico Supernumerario</w:t>
      </w:r>
      <w:r w:rsidRPr="00480630">
        <w:rPr>
          <w:b/>
          <w:sz w:val="28"/>
          <w:szCs w:val="28"/>
        </w:rPr>
        <w:t xml:space="preserve"> ¢15.708.000,00 </w:t>
      </w:r>
      <w:r>
        <w:rPr>
          <w:b/>
          <w:sz w:val="28"/>
          <w:szCs w:val="28"/>
        </w:rPr>
        <w:lastRenderedPageBreak/>
        <w:t>(</w:t>
      </w:r>
      <w:r w:rsidRPr="00480630">
        <w:rPr>
          <w:sz w:val="28"/>
          <w:szCs w:val="28"/>
        </w:rPr>
        <w:t>promedio anual</w:t>
      </w:r>
      <w:r>
        <w:rPr>
          <w:sz w:val="28"/>
          <w:szCs w:val="28"/>
        </w:rPr>
        <w:t>)</w:t>
      </w:r>
      <w:r w:rsidRPr="00480630">
        <w:rPr>
          <w:sz w:val="28"/>
          <w:szCs w:val="28"/>
        </w:rPr>
        <w:t xml:space="preserve">, representaría una erogación superior para la Institución de más de </w:t>
      </w:r>
      <w:r w:rsidRPr="00480630">
        <w:rPr>
          <w:b/>
          <w:sz w:val="28"/>
          <w:szCs w:val="28"/>
        </w:rPr>
        <w:t>¢ 13</w:t>
      </w:r>
      <w:r>
        <w:rPr>
          <w:b/>
          <w:sz w:val="28"/>
          <w:szCs w:val="28"/>
        </w:rPr>
        <w:t xml:space="preserve"> millones</w:t>
      </w:r>
      <w:r w:rsidRPr="00480630">
        <w:rPr>
          <w:b/>
          <w:sz w:val="28"/>
          <w:szCs w:val="28"/>
        </w:rPr>
        <w:t>.</w:t>
      </w:r>
    </w:p>
    <w:p w:rsidR="00922319" w:rsidRPr="00480630" w:rsidRDefault="00922319" w:rsidP="00922319">
      <w:pPr>
        <w:spacing w:line="480" w:lineRule="auto"/>
        <w:jc w:val="both"/>
        <w:rPr>
          <w:b/>
          <w:sz w:val="28"/>
          <w:szCs w:val="28"/>
        </w:rPr>
      </w:pPr>
    </w:p>
    <w:p w:rsidR="00922319" w:rsidRDefault="00922319" w:rsidP="00922319">
      <w:pPr>
        <w:spacing w:line="480" w:lineRule="auto"/>
        <w:jc w:val="both"/>
        <w:rPr>
          <w:b/>
          <w:color w:val="0000FF"/>
          <w:sz w:val="28"/>
          <w:szCs w:val="28"/>
          <w:lang w:val="es-MX"/>
        </w:rPr>
      </w:pPr>
      <w:r w:rsidRPr="00480630">
        <w:rPr>
          <w:sz w:val="28"/>
          <w:szCs w:val="28"/>
        </w:rPr>
        <w:t>Por otra parte, si se toma en cuenta que una servidora o servidor judicial, labora un promedio de veintiún días al mes, un total de 168 horas</w:t>
      </w:r>
      <w:r>
        <w:rPr>
          <w:sz w:val="28"/>
          <w:szCs w:val="28"/>
        </w:rPr>
        <w:t xml:space="preserve">, al compararlo con </w:t>
      </w:r>
      <w:r w:rsidRPr="00480630">
        <w:rPr>
          <w:sz w:val="28"/>
          <w:szCs w:val="28"/>
        </w:rPr>
        <w:t>el total de horas utilizadas durante el 2016 (</w:t>
      </w:r>
      <w:r w:rsidRPr="00C10830">
        <w:rPr>
          <w:sz w:val="28"/>
          <w:szCs w:val="28"/>
          <w:lang w:val="es-MX"/>
        </w:rPr>
        <w:t>154,4</w:t>
      </w:r>
      <w:r>
        <w:rPr>
          <w:sz w:val="28"/>
          <w:szCs w:val="28"/>
          <w:lang w:val="es-MX"/>
        </w:rPr>
        <w:t>,</w:t>
      </w:r>
      <w:r w:rsidRPr="00480630">
        <w:rPr>
          <w:sz w:val="28"/>
          <w:szCs w:val="28"/>
          <w:lang w:val="es-MX"/>
        </w:rPr>
        <w:t>interpretación + traslado</w:t>
      </w:r>
      <w:r w:rsidRPr="00480630">
        <w:rPr>
          <w:b/>
          <w:sz w:val="28"/>
          <w:szCs w:val="28"/>
          <w:lang w:val="es-MX"/>
        </w:rPr>
        <w:t xml:space="preserve">), </w:t>
      </w:r>
      <w:r w:rsidRPr="00480630">
        <w:rPr>
          <w:sz w:val="28"/>
          <w:szCs w:val="28"/>
          <w:lang w:val="es-MX"/>
        </w:rPr>
        <w:t xml:space="preserve">equivaldría aproximadamente a un mes de labor de </w:t>
      </w:r>
      <w:r w:rsidRPr="00480630">
        <w:rPr>
          <w:sz w:val="28"/>
          <w:szCs w:val="28"/>
        </w:rPr>
        <w:t>una plaza de Técnica o Técnico Supernumerario</w:t>
      </w:r>
      <w:r>
        <w:rPr>
          <w:color w:val="0000FF"/>
          <w:sz w:val="28"/>
          <w:szCs w:val="28"/>
        </w:rPr>
        <w:t>.</w:t>
      </w:r>
    </w:p>
    <w:p w:rsidR="00922319" w:rsidRPr="009048E1" w:rsidRDefault="00922319" w:rsidP="00922319">
      <w:pPr>
        <w:spacing w:line="480" w:lineRule="auto"/>
        <w:jc w:val="both"/>
        <w:rPr>
          <w:color w:val="0000FF"/>
          <w:sz w:val="28"/>
          <w:szCs w:val="28"/>
          <w:lang w:val="es-MX"/>
        </w:rPr>
      </w:pPr>
    </w:p>
    <w:p w:rsidR="00922319" w:rsidRPr="00086268" w:rsidRDefault="00922319" w:rsidP="00922319">
      <w:pPr>
        <w:rPr>
          <w:b/>
          <w:sz w:val="28"/>
          <w:szCs w:val="28"/>
        </w:rPr>
      </w:pPr>
      <w:r w:rsidRPr="00086268">
        <w:rPr>
          <w:b/>
          <w:sz w:val="28"/>
          <w:szCs w:val="28"/>
        </w:rPr>
        <w:t>3.2.</w:t>
      </w:r>
      <w:r>
        <w:rPr>
          <w:b/>
          <w:sz w:val="28"/>
          <w:szCs w:val="28"/>
        </w:rPr>
        <w:t>-</w:t>
      </w:r>
      <w:r w:rsidRPr="00086268">
        <w:rPr>
          <w:b/>
          <w:sz w:val="28"/>
          <w:szCs w:val="28"/>
        </w:rPr>
        <w:t xml:space="preserve"> ANÁLISIS CUALITATIVO</w:t>
      </w:r>
    </w:p>
    <w:p w:rsidR="00922319" w:rsidRPr="00086268" w:rsidRDefault="00922319" w:rsidP="00922319">
      <w:pPr>
        <w:spacing w:line="480" w:lineRule="auto"/>
        <w:rPr>
          <w:b/>
          <w:sz w:val="28"/>
          <w:szCs w:val="28"/>
        </w:rPr>
      </w:pPr>
    </w:p>
    <w:p w:rsidR="00922319" w:rsidRDefault="00922319" w:rsidP="00922319">
      <w:pPr>
        <w:pStyle w:val="WW-Estilopredeterminado"/>
        <w:spacing w:line="480" w:lineRule="auto"/>
        <w:ind w:right="-142"/>
        <w:jc w:val="both"/>
        <w:rPr>
          <w:sz w:val="28"/>
          <w:szCs w:val="28"/>
        </w:rPr>
      </w:pPr>
      <w:r>
        <w:rPr>
          <w:sz w:val="28"/>
          <w:szCs w:val="28"/>
        </w:rPr>
        <w:t xml:space="preserve">El Cantón de </w:t>
      </w:r>
      <w:r w:rsidRPr="002066DF">
        <w:rPr>
          <w:sz w:val="28"/>
          <w:szCs w:val="28"/>
        </w:rPr>
        <w:t xml:space="preserve">Turrialba es uno de los cantones más extensos del país, con un área aproximada de 1.657 km², </w:t>
      </w:r>
      <w:r>
        <w:rPr>
          <w:sz w:val="28"/>
          <w:szCs w:val="28"/>
        </w:rPr>
        <w:t xml:space="preserve">representando </w:t>
      </w:r>
      <w:r w:rsidRPr="002066DF">
        <w:rPr>
          <w:sz w:val="28"/>
          <w:szCs w:val="28"/>
        </w:rPr>
        <w:t>un 52% de la superficie total de la provincia de Cartago. El distrito más extenso del cantón es Chirripó, el cual mide 966.5 km², lugar donde reside la población indígena más grande del país, aproximadamente unas 14.000 personas y que ocupa el último lugar (477) en el Índice de Desarrollo Social Distrital 2013</w:t>
      </w:r>
      <w:r>
        <w:rPr>
          <w:sz w:val="28"/>
          <w:szCs w:val="28"/>
        </w:rPr>
        <w:t>,</w:t>
      </w:r>
      <w:r w:rsidRPr="002066DF">
        <w:rPr>
          <w:sz w:val="28"/>
          <w:szCs w:val="28"/>
        </w:rPr>
        <w:t xml:space="preserve"> según nivel de desarrollo de MIDEPLAN.   </w:t>
      </w:r>
    </w:p>
    <w:p w:rsidR="00AB0F00" w:rsidRPr="002066DF" w:rsidRDefault="00AB0F00" w:rsidP="00922319">
      <w:pPr>
        <w:pStyle w:val="WW-Estilopredeterminado"/>
        <w:spacing w:line="480" w:lineRule="auto"/>
        <w:ind w:right="-142"/>
        <w:jc w:val="both"/>
        <w:rPr>
          <w:sz w:val="28"/>
          <w:szCs w:val="28"/>
        </w:rPr>
      </w:pPr>
    </w:p>
    <w:p w:rsidR="00922319" w:rsidRPr="00086268" w:rsidRDefault="00922319" w:rsidP="00922319">
      <w:pPr>
        <w:spacing w:line="480" w:lineRule="auto"/>
        <w:jc w:val="both"/>
        <w:rPr>
          <w:sz w:val="28"/>
          <w:szCs w:val="28"/>
        </w:rPr>
      </w:pPr>
      <w:r w:rsidRPr="00086268">
        <w:rPr>
          <w:sz w:val="28"/>
          <w:szCs w:val="28"/>
        </w:rPr>
        <w:t xml:space="preserve">El Poder Judicial consciente de la necesidad de mejorar el acceso de la justicia a las poblaciones en condición de vulnerabilidad, ha declarado este tema de interés institucional, desarrollando iniciativas, políticas y lineamientos institucionales que </w:t>
      </w:r>
      <w:r w:rsidRPr="00086268">
        <w:rPr>
          <w:sz w:val="28"/>
          <w:szCs w:val="28"/>
        </w:rPr>
        <w:lastRenderedPageBreak/>
        <w:t xml:space="preserve">contribuyan a brindar una mejor atención a este tipo de población. En el caso de los indígenas se ha conformado la  </w:t>
      </w:r>
      <w:r w:rsidRPr="00086268">
        <w:rPr>
          <w:b/>
          <w:sz w:val="28"/>
          <w:szCs w:val="28"/>
        </w:rPr>
        <w:t xml:space="preserve">Subcomisión </w:t>
      </w:r>
      <w:r>
        <w:rPr>
          <w:b/>
          <w:sz w:val="28"/>
          <w:szCs w:val="28"/>
        </w:rPr>
        <w:t xml:space="preserve">para el acceso a la justicia de pueblos </w:t>
      </w:r>
      <w:r w:rsidRPr="00086268">
        <w:rPr>
          <w:b/>
          <w:sz w:val="28"/>
          <w:szCs w:val="28"/>
        </w:rPr>
        <w:t>Indígenas</w:t>
      </w:r>
      <w:r w:rsidRPr="00086268">
        <w:rPr>
          <w:sz w:val="28"/>
          <w:szCs w:val="28"/>
        </w:rPr>
        <w:t xml:space="preserve"> dentro de </w:t>
      </w:r>
      <w:r w:rsidRPr="00086268">
        <w:rPr>
          <w:b/>
          <w:sz w:val="28"/>
          <w:szCs w:val="28"/>
        </w:rPr>
        <w:t>la Comisión de Acceso a la Justicia,</w:t>
      </w:r>
      <w:r w:rsidRPr="00086268">
        <w:rPr>
          <w:sz w:val="28"/>
          <w:szCs w:val="28"/>
        </w:rPr>
        <w:t xml:space="preserve"> que trabaja en acciones que facilitan el acceso de la justicia a esta población. </w:t>
      </w:r>
    </w:p>
    <w:p w:rsidR="00922319" w:rsidRDefault="00922319" w:rsidP="00922319">
      <w:pPr>
        <w:spacing w:line="480" w:lineRule="auto"/>
        <w:jc w:val="both"/>
        <w:rPr>
          <w:sz w:val="28"/>
          <w:szCs w:val="28"/>
        </w:rPr>
      </w:pPr>
    </w:p>
    <w:p w:rsidR="00922319" w:rsidRDefault="00922319" w:rsidP="00922319">
      <w:pPr>
        <w:spacing w:line="480" w:lineRule="auto"/>
        <w:jc w:val="both"/>
        <w:rPr>
          <w:sz w:val="28"/>
          <w:szCs w:val="28"/>
        </w:rPr>
      </w:pPr>
      <w:r w:rsidRPr="00C86722">
        <w:rPr>
          <w:sz w:val="28"/>
          <w:szCs w:val="28"/>
        </w:rPr>
        <w:t xml:space="preserve">Así se desprende de las reglas prácticas para facilitar el acceso a la justicia de las poblaciones indígenas, aprobadas en la sesión Nº 77-08 del Consejo Superior </w:t>
      </w:r>
      <w:r>
        <w:rPr>
          <w:sz w:val="28"/>
          <w:szCs w:val="28"/>
        </w:rPr>
        <w:t>d</w:t>
      </w:r>
      <w:r w:rsidRPr="00C86722">
        <w:rPr>
          <w:sz w:val="28"/>
          <w:szCs w:val="28"/>
        </w:rPr>
        <w:t>el 14 de octubre de 2008, artículo XLI, donde se establece el derecho a la persona int</w:t>
      </w:r>
      <w:r>
        <w:rPr>
          <w:sz w:val="28"/>
          <w:szCs w:val="28"/>
        </w:rPr>
        <w:t>é</w:t>
      </w:r>
      <w:r w:rsidRPr="00C86722">
        <w:rPr>
          <w:sz w:val="28"/>
          <w:szCs w:val="28"/>
        </w:rPr>
        <w:t>rprete o traductora, figura sin la cual quedaría en total indefensión una persona indígena frente a las potestades de la administración de justicia.</w:t>
      </w:r>
    </w:p>
    <w:p w:rsidR="00922319" w:rsidRDefault="00922319" w:rsidP="00922319">
      <w:pPr>
        <w:spacing w:line="480" w:lineRule="auto"/>
        <w:jc w:val="both"/>
        <w:rPr>
          <w:sz w:val="28"/>
          <w:szCs w:val="28"/>
        </w:rPr>
      </w:pPr>
    </w:p>
    <w:p w:rsidR="00922319" w:rsidRDefault="00922319" w:rsidP="00922319">
      <w:pPr>
        <w:spacing w:line="480" w:lineRule="auto"/>
        <w:jc w:val="both"/>
        <w:rPr>
          <w:sz w:val="28"/>
          <w:szCs w:val="28"/>
        </w:rPr>
      </w:pPr>
      <w:r>
        <w:rPr>
          <w:sz w:val="28"/>
          <w:szCs w:val="28"/>
        </w:rPr>
        <w:t xml:space="preserve">Por ejemplo, se han desarrollada algunas </w:t>
      </w:r>
      <w:r w:rsidRPr="00086268">
        <w:rPr>
          <w:i/>
        </w:rPr>
        <w:t>“</w:t>
      </w:r>
      <w:hyperlink r:id="rId11" w:history="1">
        <w:r w:rsidRPr="009F58C1">
          <w:rPr>
            <w:rStyle w:val="Hipervnculo"/>
            <w:i/>
          </w:rPr>
          <w:t>Reglas Prácticas para facilitar el acceso a la justicia de las Poblaciones Indígenas</w:t>
        </w:r>
      </w:hyperlink>
      <w:r w:rsidRPr="009F58C1">
        <w:rPr>
          <w:i/>
        </w:rPr>
        <w:t>”</w:t>
      </w:r>
      <w:r w:rsidRPr="00086268">
        <w:rPr>
          <w:sz w:val="28"/>
          <w:szCs w:val="28"/>
        </w:rPr>
        <w:t>, que para el análisis de</w:t>
      </w:r>
      <w:r>
        <w:rPr>
          <w:sz w:val="28"/>
          <w:szCs w:val="28"/>
        </w:rPr>
        <w:t xml:space="preserve"> la plaza en </w:t>
      </w:r>
      <w:r w:rsidRPr="00086268">
        <w:rPr>
          <w:sz w:val="28"/>
          <w:szCs w:val="28"/>
        </w:rPr>
        <w:t>est</w:t>
      </w:r>
      <w:r>
        <w:rPr>
          <w:sz w:val="28"/>
          <w:szCs w:val="28"/>
        </w:rPr>
        <w:t>udi</w:t>
      </w:r>
      <w:r w:rsidRPr="00086268">
        <w:rPr>
          <w:sz w:val="28"/>
          <w:szCs w:val="28"/>
        </w:rPr>
        <w:t>o, interesa el numeral 10</w:t>
      </w:r>
      <w:r>
        <w:rPr>
          <w:sz w:val="28"/>
          <w:szCs w:val="28"/>
        </w:rPr>
        <w:t>, que cita</w:t>
      </w:r>
      <w:r w:rsidRPr="00086268">
        <w:rPr>
          <w:sz w:val="28"/>
          <w:szCs w:val="28"/>
        </w:rPr>
        <w:t>:</w:t>
      </w:r>
    </w:p>
    <w:p w:rsidR="00922319" w:rsidRPr="002066DF" w:rsidRDefault="00922319" w:rsidP="00922319">
      <w:pPr>
        <w:pStyle w:val="Ttulo1"/>
        <w:shd w:val="clear" w:color="auto" w:fill="auto"/>
        <w:ind w:left="540" w:right="920"/>
        <w:rPr>
          <w:rFonts w:ascii="Times New Roman" w:hAnsi="Times New Roman" w:cs="Times New Roman"/>
          <w:b w:val="0"/>
          <w:sz w:val="24"/>
          <w:szCs w:val="24"/>
        </w:rPr>
      </w:pPr>
      <w:r w:rsidRPr="002066DF">
        <w:rPr>
          <w:rFonts w:ascii="Times New Roman" w:hAnsi="Times New Roman" w:cs="Times New Roman"/>
          <w:b w:val="0"/>
          <w:bCs w:val="0"/>
          <w:iCs/>
          <w:sz w:val="24"/>
          <w:szCs w:val="24"/>
        </w:rPr>
        <w:t>“</w:t>
      </w:r>
      <w:r w:rsidRPr="002066DF">
        <w:rPr>
          <w:rFonts w:ascii="Times New Roman" w:hAnsi="Times New Roman" w:cs="Times New Roman"/>
          <w:b w:val="0"/>
          <w:sz w:val="24"/>
          <w:szCs w:val="24"/>
        </w:rPr>
        <w:t>Derecho al intérprete o traductor: La Administración de Justicia procederá a nombrar siempre a toda persona indígena intérprete y traductor en su lengua materna, con cargo al presupuesto del Poder Judicial, salvo que hablé y comprenda el idioma español. El intérprete y o traductor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lo establece el artículo 14 del Código Procesal Penal”</w:t>
      </w:r>
    </w:p>
    <w:p w:rsidR="00922319" w:rsidRPr="00086268" w:rsidRDefault="00922319" w:rsidP="00922319">
      <w:pPr>
        <w:spacing w:line="480" w:lineRule="auto"/>
        <w:rPr>
          <w:b/>
          <w:sz w:val="28"/>
          <w:szCs w:val="28"/>
        </w:rPr>
      </w:pPr>
    </w:p>
    <w:p w:rsidR="00922319" w:rsidRDefault="00922319" w:rsidP="00922319">
      <w:pPr>
        <w:spacing w:line="480" w:lineRule="auto"/>
        <w:jc w:val="both"/>
        <w:rPr>
          <w:sz w:val="28"/>
          <w:szCs w:val="28"/>
        </w:rPr>
      </w:pPr>
      <w:r>
        <w:rPr>
          <w:sz w:val="28"/>
          <w:szCs w:val="28"/>
        </w:rPr>
        <w:lastRenderedPageBreak/>
        <w:t xml:space="preserve">En línea con lo anterior, </w:t>
      </w:r>
      <w:r w:rsidRPr="00086268">
        <w:rPr>
          <w:sz w:val="28"/>
          <w:szCs w:val="28"/>
        </w:rPr>
        <w:t xml:space="preserve">la Institución ha previsto la existencia de intérpretes para la persona usuaria indígena cuando sea requerido en algún trámite judicial,  para lo que dispone de una lista oficial de peritos, que incluye los intérpretes en leguas indígenas, sea: </w:t>
      </w:r>
      <w:r w:rsidRPr="00086268">
        <w:rPr>
          <w:i/>
          <w:sz w:val="28"/>
          <w:szCs w:val="28"/>
        </w:rPr>
        <w:t>Maleku, Ngöbe, Bribri y Cabécar</w:t>
      </w:r>
      <w:r w:rsidRPr="00086268">
        <w:rPr>
          <w:sz w:val="28"/>
          <w:szCs w:val="28"/>
        </w:rPr>
        <w:t xml:space="preserve">, la que está a disposición de las Administraciones Regionales, para cuando se requiera. </w:t>
      </w:r>
    </w:p>
    <w:p w:rsidR="00922319" w:rsidRDefault="00922319" w:rsidP="00922319">
      <w:pPr>
        <w:spacing w:line="480" w:lineRule="auto"/>
        <w:jc w:val="both"/>
        <w:rPr>
          <w:sz w:val="28"/>
          <w:szCs w:val="28"/>
        </w:rPr>
      </w:pPr>
    </w:p>
    <w:p w:rsidR="00922319" w:rsidRDefault="00922319" w:rsidP="00922319">
      <w:pPr>
        <w:spacing w:line="480" w:lineRule="auto"/>
        <w:jc w:val="both"/>
        <w:rPr>
          <w:sz w:val="28"/>
          <w:szCs w:val="28"/>
        </w:rPr>
      </w:pPr>
      <w:r>
        <w:rPr>
          <w:sz w:val="28"/>
          <w:szCs w:val="28"/>
        </w:rPr>
        <w:t>Específicamente en la lengua cabécar, gracias a la colaboración de la Oficina de Peritas y Peritos de la Dirección Ejecutiva, se corroboró que al 30 de marzo del 2017, existen 11 personas que le brindan servicios al Poder Judicial, como intérpretes en la lengua cabécar, quienes se encuentran incorporados en el Sistema de Administración de Peritos y disponibles en su totalidad, para la atención de la zona de Turrialba.</w:t>
      </w:r>
    </w:p>
    <w:p w:rsidR="00922319" w:rsidRPr="00086268" w:rsidRDefault="00922319" w:rsidP="00922319">
      <w:pPr>
        <w:autoSpaceDE w:val="0"/>
        <w:autoSpaceDN w:val="0"/>
        <w:adjustRightInd w:val="0"/>
        <w:spacing w:line="480" w:lineRule="auto"/>
        <w:jc w:val="both"/>
        <w:rPr>
          <w:sz w:val="28"/>
          <w:szCs w:val="28"/>
        </w:rPr>
      </w:pPr>
    </w:p>
    <w:p w:rsidR="00922319" w:rsidRDefault="00922319" w:rsidP="00922319">
      <w:pPr>
        <w:spacing w:line="480" w:lineRule="auto"/>
        <w:jc w:val="both"/>
        <w:rPr>
          <w:sz w:val="28"/>
          <w:szCs w:val="28"/>
        </w:rPr>
      </w:pPr>
      <w:r w:rsidRPr="004B5CF6">
        <w:rPr>
          <w:sz w:val="28"/>
          <w:szCs w:val="28"/>
        </w:rPr>
        <w:t>Señala la Magistrada Carmenmaría Escoto Fernández, Coordinadora de la Subcomisión para el Acceso a la Justicia de Pueblos Indígenas</w:t>
      </w:r>
      <w:r w:rsidRPr="004B5CF6">
        <w:rPr>
          <w:rStyle w:val="Refdenotaalpie"/>
          <w:sz w:val="28"/>
          <w:szCs w:val="28"/>
        </w:rPr>
        <w:footnoteReference w:id="3"/>
      </w:r>
      <w:r w:rsidRPr="004B5CF6">
        <w:rPr>
          <w:sz w:val="28"/>
          <w:szCs w:val="28"/>
        </w:rPr>
        <w:t xml:space="preserve"> en consonancia con el oficio 08-CAT-2017 que da origen a este informe, </w:t>
      </w:r>
      <w:r>
        <w:rPr>
          <w:sz w:val="28"/>
          <w:szCs w:val="28"/>
        </w:rPr>
        <w:t xml:space="preserve">que </w:t>
      </w:r>
      <w:r w:rsidRPr="004B5CF6">
        <w:rPr>
          <w:sz w:val="28"/>
          <w:szCs w:val="28"/>
        </w:rPr>
        <w:t xml:space="preserve">se suma a la iniciativa </w:t>
      </w:r>
      <w:r>
        <w:rPr>
          <w:sz w:val="28"/>
          <w:szCs w:val="28"/>
        </w:rPr>
        <w:t>d</w:t>
      </w:r>
      <w:r w:rsidRPr="004B5CF6">
        <w:rPr>
          <w:sz w:val="28"/>
          <w:szCs w:val="28"/>
        </w:rPr>
        <w:t xml:space="preserve">el Consejo de Administración de Turrialba, apoyando su gestión para que el Consejo Superior, se sirva autorizar la asignación de una plaza nueva de Técnica o Técnico Supernumerario, para ser usada por una persona indígena </w:t>
      </w:r>
      <w:r>
        <w:rPr>
          <w:sz w:val="28"/>
          <w:szCs w:val="28"/>
        </w:rPr>
        <w:t>c</w:t>
      </w:r>
      <w:r w:rsidRPr="004B5CF6">
        <w:rPr>
          <w:sz w:val="28"/>
          <w:szCs w:val="28"/>
        </w:rPr>
        <w:t xml:space="preserve">abécar, acción afirmativa que sin duda contribuiría a mejorar las condicionesde accesode justicia a los pueblos indígenas.   </w:t>
      </w:r>
    </w:p>
    <w:p w:rsidR="00922319" w:rsidRPr="00B95A89" w:rsidRDefault="00922319" w:rsidP="00922319">
      <w:pPr>
        <w:pStyle w:val="Ttulo2"/>
      </w:pPr>
      <w:r w:rsidRPr="00B95A89">
        <w:lastRenderedPageBreak/>
        <w:t>IV Elementos Resolutivos</w:t>
      </w:r>
    </w:p>
    <w:p w:rsidR="00922319" w:rsidRPr="002F0AF9" w:rsidRDefault="00922319" w:rsidP="00922319">
      <w:pPr>
        <w:spacing w:line="480" w:lineRule="auto"/>
        <w:jc w:val="both"/>
        <w:rPr>
          <w:sz w:val="28"/>
          <w:szCs w:val="28"/>
        </w:rPr>
      </w:pPr>
    </w:p>
    <w:p w:rsidR="00922319" w:rsidRPr="00480630" w:rsidRDefault="00922319" w:rsidP="00922319">
      <w:pPr>
        <w:spacing w:line="480" w:lineRule="auto"/>
        <w:jc w:val="both"/>
        <w:rPr>
          <w:sz w:val="28"/>
          <w:szCs w:val="28"/>
          <w:lang w:val="es-MX"/>
        </w:rPr>
      </w:pPr>
      <w:r w:rsidRPr="002F0AF9">
        <w:rPr>
          <w:b/>
          <w:sz w:val="28"/>
          <w:szCs w:val="28"/>
        </w:rPr>
        <w:t>4.1.-</w:t>
      </w:r>
      <w:r>
        <w:rPr>
          <w:sz w:val="28"/>
          <w:szCs w:val="28"/>
        </w:rPr>
        <w:t xml:space="preserve">Entre </w:t>
      </w:r>
      <w:r w:rsidRPr="00480630">
        <w:rPr>
          <w:sz w:val="28"/>
          <w:szCs w:val="28"/>
          <w:lang w:val="es-MX"/>
        </w:rPr>
        <w:t xml:space="preserve">octubre de 2016 y febrero de 2017, </w:t>
      </w:r>
      <w:r>
        <w:rPr>
          <w:sz w:val="28"/>
          <w:szCs w:val="28"/>
          <w:lang w:val="es-MX"/>
        </w:rPr>
        <w:t xml:space="preserve">el costo por pago de intérprete fue de   </w:t>
      </w:r>
      <w:r w:rsidRPr="00BF5BDE">
        <w:rPr>
          <w:sz w:val="28"/>
          <w:szCs w:val="28"/>
          <w:lang w:val="es-MX"/>
        </w:rPr>
        <w:t>¢</w:t>
      </w:r>
      <w:r w:rsidRPr="00BF5BDE">
        <w:rPr>
          <w:color w:val="000000"/>
          <w:sz w:val="28"/>
          <w:szCs w:val="28"/>
        </w:rPr>
        <w:t>1.430.549,38,</w:t>
      </w:r>
      <w:r w:rsidRPr="00EB65D3">
        <w:rPr>
          <w:color w:val="000000"/>
          <w:sz w:val="28"/>
          <w:szCs w:val="28"/>
        </w:rPr>
        <w:t>más</w:t>
      </w:r>
      <w:r w:rsidRPr="00170057">
        <w:rPr>
          <w:color w:val="000000"/>
          <w:sz w:val="28"/>
          <w:szCs w:val="28"/>
        </w:rPr>
        <w:t>el costo por traslado</w:t>
      </w:r>
      <w:r w:rsidRPr="00BF5BDE">
        <w:rPr>
          <w:color w:val="000000"/>
          <w:sz w:val="28"/>
          <w:szCs w:val="28"/>
        </w:rPr>
        <w:t>¢628.333,33,</w:t>
      </w:r>
      <w:r w:rsidRPr="00753101">
        <w:rPr>
          <w:color w:val="000000"/>
          <w:sz w:val="28"/>
          <w:szCs w:val="28"/>
        </w:rPr>
        <w:t xml:space="preserve">generaron </w:t>
      </w:r>
      <w:r w:rsidRPr="00170057">
        <w:rPr>
          <w:color w:val="000000"/>
          <w:sz w:val="28"/>
          <w:szCs w:val="28"/>
        </w:rPr>
        <w:t>un</w:t>
      </w:r>
      <w:r w:rsidRPr="002C72B6">
        <w:rPr>
          <w:color w:val="000000"/>
          <w:sz w:val="28"/>
          <w:szCs w:val="28"/>
        </w:rPr>
        <w:t>total</w:t>
      </w:r>
      <w:r w:rsidRPr="00560BDE">
        <w:rPr>
          <w:color w:val="000000"/>
          <w:sz w:val="28"/>
          <w:szCs w:val="28"/>
        </w:rPr>
        <w:t>de</w:t>
      </w:r>
      <w:r>
        <w:rPr>
          <w:b/>
          <w:color w:val="000000"/>
          <w:sz w:val="28"/>
          <w:szCs w:val="28"/>
        </w:rPr>
        <w:t xml:space="preserve"> ¢2.058.882.71. </w:t>
      </w:r>
      <w:r w:rsidRPr="007679CE">
        <w:rPr>
          <w:color w:val="000000"/>
          <w:sz w:val="28"/>
          <w:szCs w:val="28"/>
        </w:rPr>
        <w:t>Es decir,</w:t>
      </w:r>
      <w:r>
        <w:rPr>
          <w:color w:val="000000"/>
          <w:sz w:val="28"/>
          <w:szCs w:val="28"/>
        </w:rPr>
        <w:t>sin incluir el costo por traslado, el p</w:t>
      </w:r>
      <w:r w:rsidRPr="002C72B6">
        <w:rPr>
          <w:color w:val="000000"/>
          <w:sz w:val="28"/>
          <w:szCs w:val="28"/>
        </w:rPr>
        <w:t xml:space="preserve">ago por intérprete en los últimos cinco meses </w:t>
      </w:r>
      <w:r>
        <w:rPr>
          <w:color w:val="000000"/>
          <w:sz w:val="28"/>
          <w:szCs w:val="28"/>
        </w:rPr>
        <w:t xml:space="preserve">superó al registro </w:t>
      </w:r>
      <w:r w:rsidRPr="002C72B6">
        <w:rPr>
          <w:color w:val="000000"/>
          <w:sz w:val="28"/>
          <w:szCs w:val="28"/>
        </w:rPr>
        <w:t xml:space="preserve">de </w:t>
      </w:r>
      <w:r w:rsidRPr="00480630">
        <w:rPr>
          <w:sz w:val="28"/>
          <w:szCs w:val="28"/>
          <w:lang w:val="es-MX"/>
        </w:rPr>
        <w:t>los primeros nueve meses del 2016</w:t>
      </w:r>
      <w:r w:rsidRPr="005870D0">
        <w:rPr>
          <w:sz w:val="28"/>
          <w:szCs w:val="28"/>
          <w:lang w:val="es-MX"/>
        </w:rPr>
        <w:t>(¢970.330,00)</w:t>
      </w:r>
      <w:r w:rsidRPr="00480630">
        <w:rPr>
          <w:sz w:val="28"/>
          <w:szCs w:val="28"/>
          <w:lang w:val="es-MX"/>
        </w:rPr>
        <w:t xml:space="preserve">, </w:t>
      </w:r>
      <w:r>
        <w:rPr>
          <w:sz w:val="28"/>
          <w:szCs w:val="28"/>
          <w:lang w:val="es-MX"/>
        </w:rPr>
        <w:t xml:space="preserve">en </w:t>
      </w:r>
      <w:r w:rsidRPr="00193B41">
        <w:rPr>
          <w:b/>
          <w:sz w:val="28"/>
          <w:szCs w:val="28"/>
          <w:lang w:val="es-MX"/>
        </w:rPr>
        <w:t>¢430.219,38</w:t>
      </w:r>
      <w:r>
        <w:rPr>
          <w:sz w:val="28"/>
          <w:szCs w:val="28"/>
          <w:lang w:val="es-MX"/>
        </w:rPr>
        <w:t xml:space="preserve">, lo que representa un incremento de un 47.4%, como consecuencia del aumento en </w:t>
      </w:r>
      <w:r w:rsidRPr="00480630">
        <w:rPr>
          <w:sz w:val="28"/>
          <w:szCs w:val="28"/>
          <w:lang w:val="es-MX"/>
        </w:rPr>
        <w:t xml:space="preserve">la cantidad de horas intérprete </w:t>
      </w:r>
      <w:r>
        <w:rPr>
          <w:sz w:val="28"/>
          <w:szCs w:val="28"/>
          <w:lang w:val="es-MX"/>
        </w:rPr>
        <w:t xml:space="preserve">de </w:t>
      </w:r>
      <w:r w:rsidRPr="00480630">
        <w:rPr>
          <w:sz w:val="28"/>
          <w:szCs w:val="28"/>
          <w:lang w:val="es-MX"/>
        </w:rPr>
        <w:t>25,15</w:t>
      </w:r>
      <w:r>
        <w:rPr>
          <w:sz w:val="28"/>
          <w:szCs w:val="28"/>
          <w:lang w:val="es-MX"/>
        </w:rPr>
        <w:t>.</w:t>
      </w:r>
    </w:p>
    <w:p w:rsidR="00922319" w:rsidRPr="002F0AF9" w:rsidRDefault="00922319" w:rsidP="00922319">
      <w:pPr>
        <w:spacing w:line="480" w:lineRule="auto"/>
        <w:jc w:val="both"/>
        <w:rPr>
          <w:sz w:val="28"/>
          <w:szCs w:val="28"/>
        </w:rPr>
      </w:pPr>
    </w:p>
    <w:p w:rsidR="00922319" w:rsidRDefault="00922319" w:rsidP="00922319">
      <w:pPr>
        <w:spacing w:line="480" w:lineRule="auto"/>
        <w:jc w:val="both"/>
        <w:rPr>
          <w:color w:val="0000FF"/>
          <w:sz w:val="28"/>
          <w:szCs w:val="28"/>
          <w:lang w:val="es-MX"/>
        </w:rPr>
      </w:pPr>
      <w:r w:rsidRPr="002D268B">
        <w:rPr>
          <w:b/>
          <w:sz w:val="28"/>
          <w:szCs w:val="28"/>
        </w:rPr>
        <w:t>4.2.-</w:t>
      </w:r>
      <w:r w:rsidRPr="00480630">
        <w:rPr>
          <w:sz w:val="28"/>
          <w:szCs w:val="28"/>
          <w:lang w:val="es-MX"/>
        </w:rPr>
        <w:t>El costo por intérprete durante el 2016, registr</w:t>
      </w:r>
      <w:r>
        <w:rPr>
          <w:sz w:val="28"/>
          <w:szCs w:val="28"/>
          <w:lang w:val="es-MX"/>
        </w:rPr>
        <w:t>ó</w:t>
      </w:r>
      <w:r w:rsidRPr="00480630">
        <w:rPr>
          <w:sz w:val="28"/>
          <w:szCs w:val="28"/>
          <w:lang w:val="es-MX"/>
        </w:rPr>
        <w:t xml:space="preserve"> un total de </w:t>
      </w:r>
      <w:r w:rsidRPr="00480630">
        <w:rPr>
          <w:b/>
          <w:sz w:val="28"/>
          <w:szCs w:val="28"/>
          <w:lang w:val="es-MX"/>
        </w:rPr>
        <w:t>¢2.305.871,66</w:t>
      </w:r>
      <w:r w:rsidRPr="00480630">
        <w:rPr>
          <w:sz w:val="28"/>
          <w:szCs w:val="28"/>
          <w:lang w:val="es-MX"/>
        </w:rPr>
        <w:t xml:space="preserve">, correspondiente a la utilización de 117,4 horas por interpretación y 37 horas por traslado, para un total de </w:t>
      </w:r>
      <w:r w:rsidRPr="00A54CC7">
        <w:rPr>
          <w:sz w:val="28"/>
          <w:szCs w:val="28"/>
          <w:lang w:val="es-MX"/>
        </w:rPr>
        <w:t>154,4 horas.</w:t>
      </w:r>
    </w:p>
    <w:p w:rsidR="00922319" w:rsidRPr="00480630" w:rsidRDefault="00922319" w:rsidP="00922319">
      <w:pPr>
        <w:spacing w:line="480" w:lineRule="auto"/>
        <w:jc w:val="both"/>
        <w:rPr>
          <w:sz w:val="28"/>
          <w:szCs w:val="28"/>
          <w:lang w:val="es-MX"/>
        </w:rPr>
      </w:pPr>
    </w:p>
    <w:p w:rsidR="00922319" w:rsidRPr="00480630" w:rsidRDefault="00922319" w:rsidP="00922319">
      <w:pPr>
        <w:spacing w:line="480" w:lineRule="auto"/>
        <w:jc w:val="both"/>
        <w:rPr>
          <w:sz w:val="28"/>
          <w:szCs w:val="28"/>
        </w:rPr>
      </w:pPr>
      <w:r w:rsidRPr="00480630">
        <w:rPr>
          <w:b/>
          <w:sz w:val="28"/>
          <w:szCs w:val="28"/>
        </w:rPr>
        <w:t xml:space="preserve">4.3.- </w:t>
      </w:r>
      <w:r>
        <w:rPr>
          <w:sz w:val="28"/>
          <w:szCs w:val="28"/>
          <w:lang w:val="es-MX"/>
        </w:rPr>
        <w:t xml:space="preserve">Al comparar </w:t>
      </w:r>
      <w:r w:rsidRPr="00480630">
        <w:rPr>
          <w:sz w:val="28"/>
          <w:szCs w:val="28"/>
          <w:lang w:val="es-MX"/>
        </w:rPr>
        <w:t xml:space="preserve">el costo total por intérprete registrado </w:t>
      </w:r>
      <w:r>
        <w:rPr>
          <w:sz w:val="28"/>
          <w:szCs w:val="28"/>
          <w:lang w:val="es-MX"/>
        </w:rPr>
        <w:t>en</w:t>
      </w:r>
      <w:r w:rsidRPr="00480630">
        <w:rPr>
          <w:sz w:val="28"/>
          <w:szCs w:val="28"/>
          <w:lang w:val="es-MX"/>
        </w:rPr>
        <w:t xml:space="preserve"> el 2016, </w:t>
      </w:r>
      <w:r w:rsidRPr="00480630">
        <w:rPr>
          <w:b/>
          <w:sz w:val="28"/>
          <w:szCs w:val="28"/>
          <w:lang w:val="es-MX"/>
        </w:rPr>
        <w:t>¢ 2.305.871,66</w:t>
      </w:r>
      <w:r w:rsidRPr="00480630">
        <w:rPr>
          <w:sz w:val="28"/>
          <w:szCs w:val="28"/>
          <w:lang w:val="es-MX"/>
        </w:rPr>
        <w:t xml:space="preserve">, </w:t>
      </w:r>
      <w:r>
        <w:rPr>
          <w:sz w:val="28"/>
          <w:szCs w:val="28"/>
          <w:lang w:val="es-MX"/>
        </w:rPr>
        <w:t>con</w:t>
      </w:r>
      <w:r w:rsidRPr="00480630">
        <w:rPr>
          <w:sz w:val="28"/>
          <w:szCs w:val="28"/>
          <w:lang w:val="es-MX"/>
        </w:rPr>
        <w:t xml:space="preserve"> el costo de asignar </w:t>
      </w:r>
      <w:r w:rsidRPr="00480630">
        <w:rPr>
          <w:sz w:val="28"/>
          <w:szCs w:val="28"/>
        </w:rPr>
        <w:t>una plaza de Técnica o Técnico Supernumerario</w:t>
      </w:r>
      <w:r w:rsidRPr="00480630">
        <w:rPr>
          <w:b/>
          <w:sz w:val="28"/>
          <w:szCs w:val="28"/>
        </w:rPr>
        <w:t xml:space="preserve"> ¢15.708.000,00</w:t>
      </w:r>
      <w:r w:rsidRPr="00480630">
        <w:rPr>
          <w:sz w:val="28"/>
          <w:szCs w:val="28"/>
        </w:rPr>
        <w:t xml:space="preserve">, </w:t>
      </w:r>
      <w:r>
        <w:rPr>
          <w:sz w:val="28"/>
          <w:szCs w:val="28"/>
        </w:rPr>
        <w:t xml:space="preserve">se </w:t>
      </w:r>
      <w:r w:rsidRPr="00480630">
        <w:rPr>
          <w:sz w:val="28"/>
          <w:szCs w:val="28"/>
        </w:rPr>
        <w:t>demuestra que es más oneroso para el Poder Judicial</w:t>
      </w:r>
      <w:r>
        <w:rPr>
          <w:sz w:val="28"/>
          <w:szCs w:val="28"/>
        </w:rPr>
        <w:t>,</w:t>
      </w:r>
      <w:r w:rsidRPr="00480630">
        <w:rPr>
          <w:sz w:val="28"/>
          <w:szCs w:val="28"/>
        </w:rPr>
        <w:t xml:space="preserve"> crear la citada plaza </w:t>
      </w:r>
      <w:r>
        <w:rPr>
          <w:sz w:val="28"/>
          <w:szCs w:val="28"/>
        </w:rPr>
        <w:t>en</w:t>
      </w:r>
      <w:r w:rsidRPr="00480630">
        <w:rPr>
          <w:sz w:val="28"/>
          <w:szCs w:val="28"/>
        </w:rPr>
        <w:t xml:space="preserve"> un monto </w:t>
      </w:r>
      <w:r>
        <w:rPr>
          <w:sz w:val="28"/>
          <w:szCs w:val="28"/>
        </w:rPr>
        <w:t xml:space="preserve">anual </w:t>
      </w:r>
      <w:r w:rsidRPr="00480630">
        <w:rPr>
          <w:sz w:val="28"/>
          <w:szCs w:val="28"/>
        </w:rPr>
        <w:t xml:space="preserve">superior a los </w:t>
      </w:r>
      <w:r w:rsidRPr="00480630">
        <w:rPr>
          <w:b/>
          <w:sz w:val="28"/>
          <w:szCs w:val="28"/>
        </w:rPr>
        <w:t xml:space="preserve">¢ 13.000.000,00; </w:t>
      </w:r>
      <w:r w:rsidRPr="00480630">
        <w:rPr>
          <w:sz w:val="28"/>
          <w:szCs w:val="28"/>
        </w:rPr>
        <w:t>o sea</w:t>
      </w:r>
      <w:r>
        <w:rPr>
          <w:sz w:val="28"/>
          <w:szCs w:val="28"/>
        </w:rPr>
        <w:t xml:space="preserve">,que </w:t>
      </w:r>
      <w:r w:rsidRPr="00480630">
        <w:rPr>
          <w:sz w:val="28"/>
          <w:szCs w:val="28"/>
        </w:rPr>
        <w:t>es más rentablecontratar los servicios de peritaje.</w:t>
      </w:r>
    </w:p>
    <w:p w:rsidR="00922319" w:rsidRPr="00E33B5A" w:rsidRDefault="00922319" w:rsidP="00922319">
      <w:pPr>
        <w:spacing w:line="480" w:lineRule="auto"/>
        <w:jc w:val="both"/>
        <w:rPr>
          <w:b/>
          <w:sz w:val="28"/>
          <w:szCs w:val="28"/>
        </w:rPr>
      </w:pPr>
    </w:p>
    <w:p w:rsidR="00922319" w:rsidRPr="00480630" w:rsidRDefault="00922319" w:rsidP="00922319">
      <w:pPr>
        <w:spacing w:line="480" w:lineRule="auto"/>
        <w:jc w:val="both"/>
        <w:rPr>
          <w:b/>
          <w:sz w:val="28"/>
          <w:szCs w:val="28"/>
          <w:lang w:val="es-MX"/>
        </w:rPr>
      </w:pPr>
      <w:r w:rsidRPr="002D268B">
        <w:rPr>
          <w:b/>
          <w:sz w:val="28"/>
          <w:szCs w:val="28"/>
        </w:rPr>
        <w:t>4</w:t>
      </w:r>
      <w:r w:rsidRPr="00480630">
        <w:rPr>
          <w:b/>
          <w:sz w:val="28"/>
          <w:szCs w:val="28"/>
        </w:rPr>
        <w:t xml:space="preserve">.4.- </w:t>
      </w:r>
      <w:r w:rsidRPr="00F021AC">
        <w:rPr>
          <w:sz w:val="28"/>
          <w:szCs w:val="28"/>
        </w:rPr>
        <w:t xml:space="preserve">Se </w:t>
      </w:r>
      <w:r>
        <w:rPr>
          <w:sz w:val="28"/>
          <w:szCs w:val="28"/>
        </w:rPr>
        <w:t xml:space="preserve">considera </w:t>
      </w:r>
      <w:r w:rsidRPr="00480630">
        <w:rPr>
          <w:sz w:val="28"/>
          <w:szCs w:val="28"/>
        </w:rPr>
        <w:t>que una servidora o servidor judicial, labora un promedio de veintiún días al mes (168 horas); comparado con el total de horas utilizadas durante el 2016 (</w:t>
      </w:r>
      <w:r w:rsidRPr="00480630">
        <w:rPr>
          <w:b/>
          <w:sz w:val="28"/>
          <w:szCs w:val="28"/>
          <w:lang w:val="es-MX"/>
        </w:rPr>
        <w:t xml:space="preserve">154,4 </w:t>
      </w:r>
      <w:r w:rsidRPr="00480630">
        <w:rPr>
          <w:sz w:val="28"/>
          <w:szCs w:val="28"/>
          <w:lang w:val="es-MX"/>
        </w:rPr>
        <w:t>interpretación + traslado</w:t>
      </w:r>
      <w:r w:rsidRPr="00480630">
        <w:rPr>
          <w:b/>
          <w:sz w:val="28"/>
          <w:szCs w:val="28"/>
          <w:lang w:val="es-MX"/>
        </w:rPr>
        <w:t xml:space="preserve">), </w:t>
      </w:r>
      <w:r w:rsidRPr="00480630">
        <w:rPr>
          <w:sz w:val="28"/>
          <w:szCs w:val="28"/>
          <w:lang w:val="es-MX"/>
        </w:rPr>
        <w:t xml:space="preserve">equivaldría aproximadamente a un mes de </w:t>
      </w:r>
      <w:r>
        <w:rPr>
          <w:sz w:val="28"/>
          <w:szCs w:val="28"/>
          <w:lang w:val="es-MX"/>
        </w:rPr>
        <w:t>trabajo</w:t>
      </w:r>
      <w:r w:rsidRPr="00480630">
        <w:rPr>
          <w:sz w:val="28"/>
          <w:szCs w:val="28"/>
          <w:lang w:val="es-MX"/>
        </w:rPr>
        <w:t xml:space="preserve"> de </w:t>
      </w:r>
      <w:r w:rsidRPr="00480630">
        <w:rPr>
          <w:sz w:val="28"/>
          <w:szCs w:val="28"/>
        </w:rPr>
        <w:t>una plaza de Técnica o Técnico Supernumerario</w:t>
      </w:r>
      <w:r>
        <w:rPr>
          <w:sz w:val="28"/>
          <w:szCs w:val="28"/>
        </w:rPr>
        <w:t xml:space="preserve">, lo que supone una </w:t>
      </w:r>
      <w:r w:rsidRPr="00480630">
        <w:rPr>
          <w:sz w:val="28"/>
          <w:szCs w:val="28"/>
        </w:rPr>
        <w:t>mayor cantidad de tiempo ocioso.</w:t>
      </w:r>
    </w:p>
    <w:p w:rsidR="00922319" w:rsidRPr="00480630" w:rsidRDefault="00922319" w:rsidP="00922319">
      <w:pPr>
        <w:spacing w:line="480" w:lineRule="auto"/>
        <w:jc w:val="both"/>
        <w:rPr>
          <w:sz w:val="28"/>
          <w:szCs w:val="28"/>
        </w:rPr>
      </w:pPr>
    </w:p>
    <w:p w:rsidR="00922319" w:rsidRPr="00086268" w:rsidRDefault="00922319" w:rsidP="00922319">
      <w:pPr>
        <w:spacing w:line="480" w:lineRule="auto"/>
        <w:jc w:val="both"/>
        <w:rPr>
          <w:sz w:val="28"/>
          <w:szCs w:val="28"/>
        </w:rPr>
      </w:pPr>
      <w:r w:rsidRPr="000452A9">
        <w:rPr>
          <w:b/>
          <w:sz w:val="28"/>
          <w:szCs w:val="28"/>
        </w:rPr>
        <w:t>4.5.-</w:t>
      </w:r>
      <w:r w:rsidRPr="00086268">
        <w:rPr>
          <w:sz w:val="28"/>
          <w:szCs w:val="28"/>
        </w:rPr>
        <w:t>El Poder Judicial consciente de la necesidad de mejorar el acceso de la justicia a  las poblaciones en condición de vulnerabilidad, ha declarado este tema de interés institucional, desarrollando iniciativas, políticas y lineamientos institucionales que contribuyan a brindar una mejor atención a este tipo de población</w:t>
      </w:r>
      <w:r>
        <w:rPr>
          <w:sz w:val="28"/>
          <w:szCs w:val="28"/>
        </w:rPr>
        <w:t xml:space="preserve">; por ejemplo en </w:t>
      </w:r>
      <w:r w:rsidRPr="00086268">
        <w:rPr>
          <w:sz w:val="28"/>
          <w:szCs w:val="28"/>
        </w:rPr>
        <w:t xml:space="preserve">el caso de los indígenas se ha conformado la  </w:t>
      </w:r>
      <w:r w:rsidRPr="00086268">
        <w:rPr>
          <w:b/>
          <w:sz w:val="28"/>
          <w:szCs w:val="28"/>
        </w:rPr>
        <w:t xml:space="preserve">Subcomisión </w:t>
      </w:r>
      <w:r>
        <w:rPr>
          <w:b/>
          <w:sz w:val="28"/>
          <w:szCs w:val="28"/>
        </w:rPr>
        <w:t xml:space="preserve">para el acceso a la justicia de pueblos </w:t>
      </w:r>
      <w:r w:rsidRPr="00086268">
        <w:rPr>
          <w:b/>
          <w:sz w:val="28"/>
          <w:szCs w:val="28"/>
        </w:rPr>
        <w:t>Indígenas</w:t>
      </w:r>
      <w:r w:rsidRPr="00086268">
        <w:rPr>
          <w:sz w:val="28"/>
          <w:szCs w:val="28"/>
        </w:rPr>
        <w:t xml:space="preserve"> dentro de </w:t>
      </w:r>
      <w:r w:rsidRPr="00086268">
        <w:rPr>
          <w:b/>
          <w:sz w:val="28"/>
          <w:szCs w:val="28"/>
        </w:rPr>
        <w:t>la Comisión de Acceso a la Justicia,</w:t>
      </w:r>
      <w:r w:rsidRPr="00086268">
        <w:rPr>
          <w:sz w:val="28"/>
          <w:szCs w:val="28"/>
        </w:rPr>
        <w:t xml:space="preserve"> que trabaja en acciones que facilitan el acceso de la justicia a esta población. </w:t>
      </w:r>
    </w:p>
    <w:p w:rsidR="00922319" w:rsidRDefault="00922319" w:rsidP="00922319">
      <w:pPr>
        <w:spacing w:line="480" w:lineRule="auto"/>
        <w:jc w:val="both"/>
        <w:rPr>
          <w:sz w:val="28"/>
          <w:szCs w:val="28"/>
        </w:rPr>
      </w:pPr>
    </w:p>
    <w:p w:rsidR="00922319" w:rsidRPr="00086268" w:rsidRDefault="00922319" w:rsidP="00922319">
      <w:pPr>
        <w:spacing w:line="480" w:lineRule="auto"/>
        <w:jc w:val="both"/>
        <w:rPr>
          <w:sz w:val="28"/>
          <w:szCs w:val="28"/>
        </w:rPr>
      </w:pPr>
      <w:r w:rsidRPr="003E6AD1">
        <w:rPr>
          <w:b/>
          <w:sz w:val="28"/>
          <w:szCs w:val="28"/>
        </w:rPr>
        <w:t xml:space="preserve">4.6.- </w:t>
      </w:r>
      <w:r w:rsidRPr="003E6AD1">
        <w:rPr>
          <w:sz w:val="28"/>
          <w:szCs w:val="28"/>
        </w:rPr>
        <w:t>La Institución dispone de una Lista Oficial de Perit</w:t>
      </w:r>
      <w:r>
        <w:rPr>
          <w:sz w:val="28"/>
          <w:szCs w:val="28"/>
        </w:rPr>
        <w:t>as y Perit</w:t>
      </w:r>
      <w:r w:rsidRPr="003E6AD1">
        <w:rPr>
          <w:sz w:val="28"/>
          <w:szCs w:val="28"/>
        </w:rPr>
        <w:t>os Intérpretes en Lenguas Indígenas Maleku, Ngöbe, Bribri y Cabécar</w:t>
      </w:r>
      <w:r>
        <w:rPr>
          <w:sz w:val="28"/>
          <w:szCs w:val="28"/>
        </w:rPr>
        <w:t>,</w:t>
      </w:r>
      <w:r w:rsidRPr="003E6AD1">
        <w:rPr>
          <w:sz w:val="28"/>
          <w:szCs w:val="28"/>
        </w:rPr>
        <w:t xml:space="preserve"> que atiende</w:t>
      </w:r>
      <w:r>
        <w:rPr>
          <w:sz w:val="28"/>
          <w:szCs w:val="28"/>
        </w:rPr>
        <w:t>n</w:t>
      </w:r>
      <w:r w:rsidRPr="003E6AD1">
        <w:rPr>
          <w:sz w:val="28"/>
          <w:szCs w:val="28"/>
        </w:rPr>
        <w:t xml:space="preserve"> las necesidades de la población indígena en todo el territorio nacional.</w:t>
      </w:r>
      <w:r>
        <w:rPr>
          <w:sz w:val="28"/>
          <w:szCs w:val="28"/>
        </w:rPr>
        <w:t xml:space="preserve"> Específicamente en la lengua c</w:t>
      </w:r>
      <w:r w:rsidRPr="003E6AD1">
        <w:rPr>
          <w:b/>
          <w:sz w:val="28"/>
          <w:szCs w:val="28"/>
        </w:rPr>
        <w:t>abécar</w:t>
      </w:r>
      <w:r>
        <w:rPr>
          <w:b/>
          <w:sz w:val="28"/>
          <w:szCs w:val="28"/>
        </w:rPr>
        <w:t xml:space="preserve">, </w:t>
      </w:r>
      <w:r w:rsidRPr="00C10214">
        <w:rPr>
          <w:sz w:val="28"/>
          <w:szCs w:val="28"/>
        </w:rPr>
        <w:t>el PoderJudicial,</w:t>
      </w:r>
      <w:r>
        <w:rPr>
          <w:sz w:val="28"/>
          <w:szCs w:val="28"/>
        </w:rPr>
        <w:t xml:space="preserve">al 30 de marzo de 2017, cuenta con 11 peritas/os intérpretes,debidamente incorporados en el Sistema de Administración de Peritos, quienes en su totalidad están disponibles para la atención de la zona de Turrialba. </w:t>
      </w:r>
    </w:p>
    <w:p w:rsidR="00922319" w:rsidRDefault="00922319" w:rsidP="00922319">
      <w:pPr>
        <w:spacing w:line="480" w:lineRule="auto"/>
        <w:jc w:val="both"/>
        <w:rPr>
          <w:sz w:val="28"/>
          <w:szCs w:val="28"/>
        </w:rPr>
      </w:pPr>
      <w:r w:rsidRPr="000452A9">
        <w:rPr>
          <w:b/>
          <w:sz w:val="28"/>
          <w:szCs w:val="28"/>
        </w:rPr>
        <w:t>4.7.-</w:t>
      </w:r>
      <w:r>
        <w:rPr>
          <w:sz w:val="28"/>
          <w:szCs w:val="28"/>
        </w:rPr>
        <w:t xml:space="preserve">La </w:t>
      </w:r>
      <w:r w:rsidRPr="004B5CF6">
        <w:rPr>
          <w:sz w:val="28"/>
          <w:szCs w:val="28"/>
        </w:rPr>
        <w:t>Magistrada Carmenmaría Escoto Fernández, Coordinadora de la Subcomisión para el Acceso a la Justicia de Pueblos Indígenas</w:t>
      </w:r>
      <w:r w:rsidRPr="004B5CF6">
        <w:rPr>
          <w:rStyle w:val="Refdenotaalpie"/>
          <w:sz w:val="28"/>
          <w:szCs w:val="28"/>
        </w:rPr>
        <w:footnoteReference w:id="4"/>
      </w:r>
      <w:r w:rsidRPr="004B5CF6">
        <w:rPr>
          <w:sz w:val="28"/>
          <w:szCs w:val="28"/>
        </w:rPr>
        <w:t xml:space="preserve">, se suma a la iniciativa presentada por el Consejo de Administración de Turrialba, apoyando su gestión para que el Consejo Superior, se sirva autorizar la asignación de una plaza nueva de Técnica o Técnico Supernumeraria (o), para ser usada por una persona indígena  </w:t>
      </w:r>
      <w:r>
        <w:rPr>
          <w:sz w:val="28"/>
          <w:szCs w:val="28"/>
        </w:rPr>
        <w:t>c</w:t>
      </w:r>
      <w:r w:rsidRPr="004B5CF6">
        <w:rPr>
          <w:sz w:val="28"/>
          <w:szCs w:val="28"/>
        </w:rPr>
        <w:t>abécar</w:t>
      </w:r>
      <w:r>
        <w:rPr>
          <w:sz w:val="28"/>
          <w:szCs w:val="28"/>
        </w:rPr>
        <w:t xml:space="preserve">. </w:t>
      </w:r>
    </w:p>
    <w:p w:rsidR="00922319" w:rsidRDefault="00922319" w:rsidP="00922319">
      <w:pPr>
        <w:spacing w:line="480" w:lineRule="auto"/>
        <w:jc w:val="both"/>
        <w:rPr>
          <w:sz w:val="28"/>
          <w:szCs w:val="28"/>
        </w:rPr>
      </w:pPr>
    </w:p>
    <w:p w:rsidR="00922319" w:rsidRDefault="00922319" w:rsidP="00922319">
      <w:pPr>
        <w:spacing w:line="480" w:lineRule="auto"/>
        <w:jc w:val="both"/>
        <w:rPr>
          <w:sz w:val="28"/>
          <w:szCs w:val="28"/>
        </w:rPr>
      </w:pPr>
      <w:r w:rsidRPr="000452A9">
        <w:rPr>
          <w:b/>
          <w:sz w:val="28"/>
          <w:szCs w:val="28"/>
        </w:rPr>
        <w:t>4.8.-</w:t>
      </w:r>
      <w:r w:rsidRPr="00086268">
        <w:rPr>
          <w:sz w:val="28"/>
          <w:szCs w:val="28"/>
        </w:rPr>
        <w:t xml:space="preserve"> Est</w:t>
      </w:r>
      <w:r>
        <w:rPr>
          <w:sz w:val="28"/>
          <w:szCs w:val="28"/>
        </w:rPr>
        <w:t>a</w:t>
      </w:r>
      <w:r w:rsidRPr="00086268">
        <w:rPr>
          <w:sz w:val="28"/>
          <w:szCs w:val="28"/>
        </w:rPr>
        <w:t xml:space="preserve"> D</w:t>
      </w:r>
      <w:r>
        <w:rPr>
          <w:sz w:val="28"/>
          <w:szCs w:val="28"/>
        </w:rPr>
        <w:t>irección</w:t>
      </w:r>
      <w:r w:rsidRPr="00086268">
        <w:rPr>
          <w:sz w:val="28"/>
          <w:szCs w:val="28"/>
        </w:rPr>
        <w:t xml:space="preserve"> e</w:t>
      </w:r>
      <w:r>
        <w:rPr>
          <w:sz w:val="28"/>
          <w:szCs w:val="28"/>
        </w:rPr>
        <w:t>stima que con la lista de peritas y peritos</w:t>
      </w:r>
      <w:r w:rsidRPr="00086268">
        <w:rPr>
          <w:sz w:val="28"/>
          <w:szCs w:val="28"/>
        </w:rPr>
        <w:t xml:space="preserve"> oficial</w:t>
      </w:r>
      <w:r>
        <w:rPr>
          <w:sz w:val="28"/>
          <w:szCs w:val="28"/>
        </w:rPr>
        <w:t>,</w:t>
      </w:r>
      <w:r w:rsidRPr="00086268">
        <w:rPr>
          <w:sz w:val="28"/>
          <w:szCs w:val="28"/>
        </w:rPr>
        <w:t xml:space="preserve"> se atiende el servicio en forma eficiente y no se afectan los derechos de este importante grupo vulnerable socialmente.</w:t>
      </w:r>
    </w:p>
    <w:p w:rsidR="00922319" w:rsidRPr="00086268" w:rsidRDefault="00922319" w:rsidP="00922319">
      <w:pPr>
        <w:spacing w:line="480" w:lineRule="auto"/>
        <w:jc w:val="both"/>
        <w:rPr>
          <w:sz w:val="28"/>
          <w:szCs w:val="28"/>
        </w:rPr>
      </w:pPr>
    </w:p>
    <w:p w:rsidR="00922319" w:rsidRPr="00B61362" w:rsidRDefault="00922319" w:rsidP="00922319">
      <w:pPr>
        <w:pStyle w:val="Ttulo2"/>
      </w:pPr>
      <w:r w:rsidRPr="00B61362">
        <w:t>V Recomendaciones</w:t>
      </w:r>
    </w:p>
    <w:p w:rsidR="00922319" w:rsidRPr="00B61362" w:rsidRDefault="00922319" w:rsidP="00922319">
      <w:pPr>
        <w:spacing w:line="480" w:lineRule="auto"/>
        <w:jc w:val="both"/>
        <w:rPr>
          <w:sz w:val="28"/>
          <w:szCs w:val="28"/>
        </w:rPr>
      </w:pPr>
    </w:p>
    <w:p w:rsidR="00922319" w:rsidRDefault="00922319" w:rsidP="00922319">
      <w:pPr>
        <w:keepLines/>
        <w:tabs>
          <w:tab w:val="left" w:pos="1080"/>
        </w:tabs>
        <w:spacing w:line="480" w:lineRule="auto"/>
        <w:jc w:val="both"/>
        <w:rPr>
          <w:bCs/>
          <w:sz w:val="28"/>
          <w:szCs w:val="28"/>
        </w:rPr>
      </w:pPr>
      <w:r w:rsidRPr="00B61362">
        <w:rPr>
          <w:b/>
          <w:bCs/>
          <w:sz w:val="28"/>
          <w:szCs w:val="28"/>
        </w:rPr>
        <w:t xml:space="preserve">5.1.- </w:t>
      </w:r>
      <w:r w:rsidRPr="00B61362">
        <w:rPr>
          <w:bCs/>
          <w:sz w:val="28"/>
          <w:szCs w:val="28"/>
        </w:rPr>
        <w:t xml:space="preserve">En cuanto a recursos </w:t>
      </w:r>
      <w:r w:rsidRPr="0040718A">
        <w:rPr>
          <w:bCs/>
          <w:sz w:val="28"/>
          <w:szCs w:val="28"/>
        </w:rPr>
        <w:t xml:space="preserve">no </w:t>
      </w:r>
      <w:r w:rsidRPr="00B61362">
        <w:rPr>
          <w:bCs/>
          <w:sz w:val="28"/>
          <w:szCs w:val="28"/>
        </w:rPr>
        <w:t xml:space="preserve">se recomienda </w:t>
      </w:r>
      <w:r>
        <w:rPr>
          <w:bCs/>
          <w:sz w:val="28"/>
          <w:szCs w:val="28"/>
        </w:rPr>
        <w:t>la creación de la plaza en estudio para el 2018.</w:t>
      </w:r>
    </w:p>
    <w:p w:rsidR="00922319" w:rsidRDefault="00922319" w:rsidP="00922319">
      <w:pPr>
        <w:keepLines/>
        <w:tabs>
          <w:tab w:val="left" w:pos="1080"/>
        </w:tabs>
        <w:spacing w:line="480" w:lineRule="auto"/>
        <w:jc w:val="both"/>
        <w:rPr>
          <w:bCs/>
          <w:sz w:val="28"/>
          <w:szCs w:val="28"/>
        </w:rPr>
      </w:pPr>
    </w:p>
    <w:p w:rsidR="00922319" w:rsidRDefault="00922319" w:rsidP="00922319">
      <w:pPr>
        <w:keepLines/>
        <w:tabs>
          <w:tab w:val="left" w:pos="1080"/>
        </w:tabs>
        <w:spacing w:line="480" w:lineRule="auto"/>
        <w:jc w:val="both"/>
        <w:rPr>
          <w:bCs/>
          <w:sz w:val="28"/>
          <w:szCs w:val="28"/>
        </w:rPr>
      </w:pPr>
      <w:r>
        <w:rPr>
          <w:bCs/>
          <w:sz w:val="28"/>
          <w:szCs w:val="28"/>
        </w:rPr>
        <w:t>Lo anterior por cuanto se está atendiendo eficientemente el servicio (traducción a lenguaje indígena) a las personas usuarias de este importante grupo vulnerable socialmente, y a la vez, se manejan racionalmente los escasos recursos institucionales.</w:t>
      </w:r>
    </w:p>
    <w:p w:rsidR="00922319" w:rsidRDefault="00922319" w:rsidP="00922319">
      <w:pPr>
        <w:keepLines/>
        <w:tabs>
          <w:tab w:val="left" w:pos="1080"/>
        </w:tabs>
        <w:spacing w:line="480" w:lineRule="auto"/>
        <w:jc w:val="both"/>
        <w:rPr>
          <w:bCs/>
          <w:sz w:val="28"/>
          <w:szCs w:val="28"/>
        </w:rPr>
      </w:pPr>
    </w:p>
    <w:p w:rsidR="00922319" w:rsidRDefault="00922319" w:rsidP="00922319">
      <w:pPr>
        <w:spacing w:line="480" w:lineRule="auto"/>
        <w:jc w:val="both"/>
        <w:rPr>
          <w:b/>
          <w:bCs/>
          <w:sz w:val="28"/>
          <w:szCs w:val="28"/>
        </w:rPr>
      </w:pPr>
      <w:r>
        <w:rPr>
          <w:b/>
          <w:bCs/>
          <w:sz w:val="28"/>
          <w:szCs w:val="28"/>
        </w:rPr>
        <w:t>5.2</w:t>
      </w:r>
      <w:r w:rsidRPr="004617EC">
        <w:rPr>
          <w:b/>
          <w:bCs/>
          <w:sz w:val="28"/>
          <w:szCs w:val="28"/>
        </w:rPr>
        <w:t>.-Vinculación con el Plan Estratégico del Poder Judicial 2013-2018</w:t>
      </w:r>
    </w:p>
    <w:p w:rsidR="00922319" w:rsidRPr="004617EC" w:rsidRDefault="00922319" w:rsidP="00922319">
      <w:pPr>
        <w:spacing w:line="480" w:lineRule="auto"/>
        <w:jc w:val="both"/>
        <w:rPr>
          <w:sz w:val="28"/>
          <w:szCs w:val="28"/>
        </w:rPr>
      </w:pPr>
    </w:p>
    <w:p w:rsidR="00922319" w:rsidRDefault="00922319" w:rsidP="00922319">
      <w:pPr>
        <w:spacing w:line="480" w:lineRule="auto"/>
        <w:jc w:val="both"/>
        <w:rPr>
          <w:sz w:val="28"/>
          <w:szCs w:val="28"/>
        </w:rPr>
      </w:pPr>
      <w:r w:rsidRPr="004617EC">
        <w:rPr>
          <w:sz w:val="28"/>
          <w:szCs w:val="28"/>
        </w:rPr>
        <w:t>El presente estudio se apega al Tema Estratégico N° 7 “</w:t>
      </w:r>
      <w:r w:rsidRPr="004617EC">
        <w:rPr>
          <w:i/>
          <w:sz w:val="28"/>
          <w:szCs w:val="28"/>
        </w:rPr>
        <w:t>Planificación Institucional</w:t>
      </w:r>
      <w:r w:rsidRPr="004617EC">
        <w:rPr>
          <w:sz w:val="28"/>
          <w:szCs w:val="28"/>
        </w:rPr>
        <w:t>”:</w:t>
      </w:r>
    </w:p>
    <w:p w:rsidR="00922319" w:rsidRPr="004617EC" w:rsidRDefault="00922319" w:rsidP="00922319">
      <w:pPr>
        <w:spacing w:line="480" w:lineRule="auto"/>
        <w:jc w:val="both"/>
        <w:rPr>
          <w:sz w:val="28"/>
          <w:szCs w:val="28"/>
        </w:rPr>
      </w:pPr>
    </w:p>
    <w:p w:rsidR="00922319" w:rsidRPr="004617EC" w:rsidRDefault="00922319" w:rsidP="00922319">
      <w:pPr>
        <w:spacing w:line="480" w:lineRule="auto"/>
        <w:ind w:left="540" w:right="920"/>
        <w:jc w:val="both"/>
        <w:rPr>
          <w:i/>
          <w:sz w:val="28"/>
          <w:szCs w:val="28"/>
        </w:rPr>
      </w:pPr>
      <w:r w:rsidRPr="004617EC">
        <w:rPr>
          <w:i/>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922319" w:rsidRPr="004617EC" w:rsidRDefault="00922319" w:rsidP="00922319">
      <w:pPr>
        <w:autoSpaceDE w:val="0"/>
        <w:autoSpaceDN w:val="0"/>
        <w:adjustRightInd w:val="0"/>
        <w:spacing w:line="480" w:lineRule="auto"/>
        <w:jc w:val="both"/>
        <w:rPr>
          <w:b/>
          <w:bCs/>
          <w:sz w:val="28"/>
          <w:szCs w:val="28"/>
        </w:rPr>
      </w:pPr>
    </w:p>
    <w:p w:rsidR="00922319" w:rsidRPr="004617EC" w:rsidRDefault="00922319" w:rsidP="00922319">
      <w:pPr>
        <w:spacing w:line="480" w:lineRule="auto"/>
        <w:jc w:val="both"/>
        <w:rPr>
          <w:sz w:val="28"/>
          <w:szCs w:val="28"/>
        </w:rPr>
      </w:pPr>
    </w:p>
    <w:p w:rsidR="00922319" w:rsidRDefault="00922319" w:rsidP="00922319"/>
    <w:p w:rsidR="000A10A2" w:rsidRDefault="000A10A2"/>
    <w:sectPr w:rsidR="000A10A2" w:rsidSect="00DC111F">
      <w:headerReference w:type="default" r:id="rId12"/>
      <w:footerReference w:type="even" r:id="rId13"/>
      <w:footerReference w:type="default" r:id="rId14"/>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2F" w:rsidRDefault="007E712F" w:rsidP="00922319">
      <w:r>
        <w:separator/>
      </w:r>
    </w:p>
  </w:endnote>
  <w:endnote w:type="continuationSeparator" w:id="0">
    <w:p w:rsidR="007E712F" w:rsidRDefault="007E712F" w:rsidP="00922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2" w:rsidRDefault="00AC6C38" w:rsidP="00DC111F">
    <w:pPr>
      <w:pStyle w:val="Piedepgina"/>
      <w:framePr w:wrap="around" w:vAnchor="text" w:hAnchor="margin" w:xAlign="right" w:y="1"/>
      <w:rPr>
        <w:rStyle w:val="Nmerodepgina"/>
      </w:rPr>
    </w:pPr>
    <w:r>
      <w:rPr>
        <w:rStyle w:val="Nmerodepgina"/>
      </w:rPr>
      <w:fldChar w:fldCharType="begin"/>
    </w:r>
    <w:r w:rsidR="00A203D6">
      <w:rPr>
        <w:rStyle w:val="Nmerodepgina"/>
      </w:rPr>
      <w:instrText xml:space="preserve">PAGE  </w:instrText>
    </w:r>
    <w:r>
      <w:rPr>
        <w:rStyle w:val="Nmerodepgina"/>
      </w:rPr>
      <w:fldChar w:fldCharType="end"/>
    </w:r>
  </w:p>
  <w:p w:rsidR="003C6102" w:rsidRDefault="002E6623" w:rsidP="00DC111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2" w:rsidRDefault="00AC6C38" w:rsidP="00DC111F">
    <w:pPr>
      <w:pStyle w:val="Piedepgina"/>
      <w:framePr w:wrap="around" w:vAnchor="text" w:hAnchor="margin" w:xAlign="right" w:y="1"/>
      <w:rPr>
        <w:rStyle w:val="Nmerodepgina"/>
      </w:rPr>
    </w:pPr>
    <w:r>
      <w:rPr>
        <w:rStyle w:val="Nmerodepgina"/>
      </w:rPr>
      <w:fldChar w:fldCharType="begin"/>
    </w:r>
    <w:r w:rsidR="00A203D6">
      <w:rPr>
        <w:rStyle w:val="Nmerodepgina"/>
      </w:rPr>
      <w:instrText xml:space="preserve">PAGE  </w:instrText>
    </w:r>
    <w:r>
      <w:rPr>
        <w:rStyle w:val="Nmerodepgina"/>
      </w:rPr>
      <w:fldChar w:fldCharType="separate"/>
    </w:r>
    <w:r w:rsidR="002E6623">
      <w:rPr>
        <w:rStyle w:val="Nmerodepgina"/>
        <w:noProof/>
      </w:rPr>
      <w:t>2</w:t>
    </w:r>
    <w:r>
      <w:rPr>
        <w:rStyle w:val="Nmerodepgina"/>
      </w:rPr>
      <w:fldChar w:fldCharType="end"/>
    </w:r>
  </w:p>
  <w:p w:rsidR="003C6102" w:rsidRDefault="002E6623" w:rsidP="00DC111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2F" w:rsidRDefault="007E712F" w:rsidP="00922319">
      <w:r>
        <w:separator/>
      </w:r>
    </w:p>
  </w:footnote>
  <w:footnote w:type="continuationSeparator" w:id="0">
    <w:p w:rsidR="007E712F" w:rsidRDefault="007E712F" w:rsidP="00922319">
      <w:r>
        <w:continuationSeparator/>
      </w:r>
    </w:p>
  </w:footnote>
  <w:footnote w:id="1">
    <w:p w:rsidR="00922319" w:rsidRPr="00911D9A" w:rsidRDefault="00922319" w:rsidP="00922319">
      <w:pPr>
        <w:pStyle w:val="Textonotapie"/>
        <w:rPr>
          <w:lang w:val="es-CR"/>
        </w:rPr>
      </w:pPr>
      <w:r w:rsidRPr="00911D9A">
        <w:rPr>
          <w:rStyle w:val="Refdenotaalpie"/>
        </w:rPr>
        <w:footnoteRef/>
      </w:r>
      <w:r w:rsidRPr="00911D9A">
        <w:rPr>
          <w:lang w:val="es-CR"/>
        </w:rPr>
        <w:t xml:space="preserve">Mediante </w:t>
      </w:r>
      <w:r>
        <w:rPr>
          <w:lang w:val="es-CR"/>
        </w:rPr>
        <w:t xml:space="preserve">oficio CCAC-056-2017 </w:t>
      </w:r>
      <w:r w:rsidRPr="00911D9A">
        <w:rPr>
          <w:lang w:val="es-CR"/>
        </w:rPr>
        <w:t xml:space="preserve"> del 2</w:t>
      </w:r>
      <w:r>
        <w:rPr>
          <w:lang w:val="es-CR"/>
        </w:rPr>
        <w:t>1</w:t>
      </w:r>
      <w:r w:rsidRPr="00911D9A">
        <w:rPr>
          <w:lang w:val="es-CR"/>
        </w:rPr>
        <w:t xml:space="preserve"> de marzo de 201</w:t>
      </w:r>
      <w:r>
        <w:rPr>
          <w:lang w:val="es-CR"/>
        </w:rPr>
        <w:t>7</w:t>
      </w:r>
      <w:r w:rsidRPr="00911D9A">
        <w:rPr>
          <w:lang w:val="es-CR"/>
        </w:rPr>
        <w:t>.</w:t>
      </w:r>
    </w:p>
  </w:footnote>
  <w:footnote w:id="2">
    <w:p w:rsidR="00922319" w:rsidRPr="00911D9A" w:rsidRDefault="00922319" w:rsidP="00922319">
      <w:pPr>
        <w:pStyle w:val="Textonotapie"/>
        <w:rPr>
          <w:lang w:val="es-CR"/>
        </w:rPr>
      </w:pPr>
      <w:r w:rsidRPr="00911D9A">
        <w:rPr>
          <w:rStyle w:val="Refdenotaalpie"/>
        </w:rPr>
        <w:footnoteRef/>
      </w:r>
      <w:r w:rsidRPr="00911D9A">
        <w:rPr>
          <w:lang w:val="es-CR"/>
        </w:rPr>
        <w:t xml:space="preserve">Mediante </w:t>
      </w:r>
      <w:r>
        <w:rPr>
          <w:lang w:val="es-CR"/>
        </w:rPr>
        <w:t xml:space="preserve">oficio CCAC-056-2017 </w:t>
      </w:r>
      <w:r w:rsidRPr="00911D9A">
        <w:rPr>
          <w:lang w:val="es-CR"/>
        </w:rPr>
        <w:t xml:space="preserve"> del 2</w:t>
      </w:r>
      <w:r>
        <w:rPr>
          <w:lang w:val="es-CR"/>
        </w:rPr>
        <w:t>1</w:t>
      </w:r>
      <w:r w:rsidRPr="00911D9A">
        <w:rPr>
          <w:lang w:val="es-CR"/>
        </w:rPr>
        <w:t xml:space="preserve"> de marzo de 201</w:t>
      </w:r>
      <w:r>
        <w:rPr>
          <w:lang w:val="es-CR"/>
        </w:rPr>
        <w:t>7</w:t>
      </w:r>
      <w:r w:rsidRPr="00911D9A">
        <w:rPr>
          <w:lang w:val="es-CR"/>
        </w:rPr>
        <w:t>.</w:t>
      </w:r>
    </w:p>
  </w:footnote>
  <w:footnote w:id="3">
    <w:p w:rsidR="00922319" w:rsidRPr="00911D9A" w:rsidRDefault="00922319" w:rsidP="00922319">
      <w:pPr>
        <w:pStyle w:val="Textonotapie"/>
        <w:rPr>
          <w:lang w:val="es-CR"/>
        </w:rPr>
      </w:pPr>
      <w:r w:rsidRPr="00911D9A">
        <w:rPr>
          <w:rStyle w:val="Refdenotaalpie"/>
        </w:rPr>
        <w:footnoteRef/>
      </w:r>
      <w:r w:rsidRPr="00911D9A">
        <w:rPr>
          <w:lang w:val="es-CR"/>
        </w:rPr>
        <w:t xml:space="preserve">Mediante </w:t>
      </w:r>
      <w:r>
        <w:rPr>
          <w:lang w:val="es-CR"/>
        </w:rPr>
        <w:t xml:space="preserve">oficio CCAC-056-2017 </w:t>
      </w:r>
      <w:r w:rsidRPr="00911D9A">
        <w:rPr>
          <w:lang w:val="es-CR"/>
        </w:rPr>
        <w:t xml:space="preserve"> del 2</w:t>
      </w:r>
      <w:r>
        <w:rPr>
          <w:lang w:val="es-CR"/>
        </w:rPr>
        <w:t>1</w:t>
      </w:r>
      <w:r w:rsidRPr="00911D9A">
        <w:rPr>
          <w:lang w:val="es-CR"/>
        </w:rPr>
        <w:t xml:space="preserve"> de marzo de 201</w:t>
      </w:r>
      <w:r>
        <w:rPr>
          <w:lang w:val="es-CR"/>
        </w:rPr>
        <w:t>7</w:t>
      </w:r>
      <w:r w:rsidRPr="00911D9A">
        <w:rPr>
          <w:lang w:val="es-CR"/>
        </w:rPr>
        <w:t>.</w:t>
      </w:r>
    </w:p>
  </w:footnote>
  <w:footnote w:id="4">
    <w:p w:rsidR="00922319" w:rsidRPr="00911D9A" w:rsidRDefault="00922319" w:rsidP="00922319">
      <w:pPr>
        <w:pStyle w:val="Textonotapie"/>
        <w:rPr>
          <w:lang w:val="es-CR"/>
        </w:rPr>
      </w:pPr>
      <w:r w:rsidRPr="00911D9A">
        <w:rPr>
          <w:rStyle w:val="Refdenotaalpie"/>
        </w:rPr>
        <w:footnoteRef/>
      </w:r>
      <w:r w:rsidRPr="00911D9A">
        <w:rPr>
          <w:lang w:val="es-CR"/>
        </w:rPr>
        <w:t xml:space="preserve">Mediante </w:t>
      </w:r>
      <w:r>
        <w:rPr>
          <w:lang w:val="es-CR"/>
        </w:rPr>
        <w:t xml:space="preserve">oficio CCAC-056-2017 </w:t>
      </w:r>
      <w:r w:rsidRPr="00911D9A">
        <w:rPr>
          <w:lang w:val="es-CR"/>
        </w:rPr>
        <w:t xml:space="preserve"> del 2</w:t>
      </w:r>
      <w:r>
        <w:rPr>
          <w:lang w:val="es-CR"/>
        </w:rPr>
        <w:t>1</w:t>
      </w:r>
      <w:r w:rsidRPr="00911D9A">
        <w:rPr>
          <w:lang w:val="es-CR"/>
        </w:rPr>
        <w:t xml:space="preserve"> de marzo de 201</w:t>
      </w:r>
      <w:r>
        <w:rPr>
          <w:lang w:val="es-CR"/>
        </w:rPr>
        <w:t>7</w:t>
      </w:r>
      <w:r w:rsidRPr="00911D9A">
        <w:rPr>
          <w:lang w:val="es-C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2" w:rsidRDefault="00A203D6">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AC6C38">
      <w:rPr>
        <w:noProof/>
        <w:lang w:val="es-CR" w:eastAsia="es-CR"/>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3C6102" w:rsidRPr="00BC690B" w:rsidRDefault="00A203D6" w:rsidP="00DC111F">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3C6102" w:rsidRPr="00BC690B" w:rsidRDefault="00A203D6" w:rsidP="00DC111F">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3C6102" w:rsidRPr="00BC690B" w:rsidRDefault="00A203D6" w:rsidP="00DC111F">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3C6102" w:rsidRPr="00BC690B" w:rsidRDefault="002E6623" w:rsidP="00DC111F"/>
            </w:txbxContent>
          </v:textbox>
        </v:shape>
      </w:pict>
    </w:r>
  </w:p>
  <w:p w:rsidR="003C6102" w:rsidRDefault="002E6623">
    <w:pPr>
      <w:pStyle w:val="Encabezado"/>
    </w:pPr>
  </w:p>
  <w:p w:rsidR="003C6102" w:rsidRDefault="002E6623">
    <w:pPr>
      <w:pStyle w:val="Encabezado"/>
    </w:pPr>
  </w:p>
  <w:p w:rsidR="003C6102" w:rsidRDefault="002E6623">
    <w:pPr>
      <w:pStyle w:val="Encabezado"/>
      <w:pBdr>
        <w:bottom w:val="single" w:sz="12" w:space="1" w:color="auto"/>
      </w:pBdr>
    </w:pPr>
  </w:p>
  <w:p w:rsidR="003C6102" w:rsidRDefault="002E66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22319"/>
    <w:rsid w:val="000A10A2"/>
    <w:rsid w:val="00257864"/>
    <w:rsid w:val="002E6623"/>
    <w:rsid w:val="00597D02"/>
    <w:rsid w:val="005A19BB"/>
    <w:rsid w:val="006072F8"/>
    <w:rsid w:val="00656CBE"/>
    <w:rsid w:val="007E712F"/>
    <w:rsid w:val="00922319"/>
    <w:rsid w:val="00971DB8"/>
    <w:rsid w:val="00A203D6"/>
    <w:rsid w:val="00AB0F00"/>
    <w:rsid w:val="00AC6C38"/>
    <w:rsid w:val="00BA10A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19"/>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922319"/>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922319"/>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922319"/>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922319"/>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922319"/>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922319"/>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922319"/>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922319"/>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922319"/>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2319"/>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922319"/>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922319"/>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922319"/>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922319"/>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922319"/>
    <w:rPr>
      <w:rFonts w:ascii="Arial" w:eastAsia="Times New Roman" w:hAnsi="Arial" w:cs="Times New Roman"/>
      <w:b/>
      <w:bCs/>
      <w:lang w:val="en-US"/>
    </w:rPr>
  </w:style>
  <w:style w:type="character" w:customStyle="1" w:styleId="Ttulo7Car">
    <w:name w:val="Título 7 Car"/>
    <w:basedOn w:val="Fuentedeprrafopredeter"/>
    <w:link w:val="Ttulo7"/>
    <w:rsid w:val="00922319"/>
    <w:rPr>
      <w:rFonts w:ascii="Arial" w:eastAsia="Times New Roman" w:hAnsi="Arial" w:cs="Times New Roman"/>
      <w:szCs w:val="20"/>
      <w:lang w:val="en-US"/>
    </w:rPr>
  </w:style>
  <w:style w:type="character" w:customStyle="1" w:styleId="Ttulo8Car">
    <w:name w:val="Título 8 Car"/>
    <w:basedOn w:val="Fuentedeprrafopredeter"/>
    <w:link w:val="Ttulo8"/>
    <w:rsid w:val="00922319"/>
    <w:rPr>
      <w:rFonts w:ascii="Arial" w:eastAsia="Times New Roman" w:hAnsi="Arial" w:cs="Times New Roman"/>
      <w:i/>
      <w:iCs/>
      <w:szCs w:val="20"/>
      <w:lang w:val="en-US"/>
    </w:rPr>
  </w:style>
  <w:style w:type="character" w:customStyle="1" w:styleId="Ttulo9Car">
    <w:name w:val="Título 9 Car"/>
    <w:basedOn w:val="Fuentedeprrafopredeter"/>
    <w:link w:val="Ttulo9"/>
    <w:rsid w:val="00922319"/>
    <w:rPr>
      <w:rFonts w:ascii="Arial" w:eastAsia="Times New Roman" w:hAnsi="Arial" w:cs="Arial"/>
      <w:lang w:val="en-US"/>
    </w:rPr>
  </w:style>
  <w:style w:type="paragraph" w:styleId="Encabezado">
    <w:name w:val="header"/>
    <w:aliases w:val="encabezado"/>
    <w:basedOn w:val="Normal"/>
    <w:link w:val="EncabezadoCar"/>
    <w:rsid w:val="00922319"/>
    <w:pPr>
      <w:tabs>
        <w:tab w:val="center" w:pos="4252"/>
        <w:tab w:val="right" w:pos="8504"/>
      </w:tabs>
    </w:pPr>
  </w:style>
  <w:style w:type="character" w:customStyle="1" w:styleId="EncabezadoCar">
    <w:name w:val="Encabezado Car"/>
    <w:aliases w:val="encabezado Car"/>
    <w:basedOn w:val="Fuentedeprrafopredeter"/>
    <w:link w:val="Encabezado"/>
    <w:rsid w:val="0092231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22319"/>
    <w:pPr>
      <w:tabs>
        <w:tab w:val="center" w:pos="4252"/>
        <w:tab w:val="right" w:pos="8504"/>
      </w:tabs>
    </w:pPr>
  </w:style>
  <w:style w:type="character" w:customStyle="1" w:styleId="PiedepginaCar">
    <w:name w:val="Pie de página Car"/>
    <w:basedOn w:val="Fuentedeprrafopredeter"/>
    <w:link w:val="Piedepgina"/>
    <w:rsid w:val="0092231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922319"/>
    <w:rPr>
      <w:sz w:val="20"/>
      <w:szCs w:val="20"/>
    </w:rPr>
  </w:style>
  <w:style w:type="character" w:customStyle="1" w:styleId="TextonotapieCar">
    <w:name w:val="Texto nota pie Car"/>
    <w:basedOn w:val="Fuentedeprrafopredeter"/>
    <w:link w:val="Textonotapie"/>
    <w:semiHidden/>
    <w:rsid w:val="00922319"/>
    <w:rPr>
      <w:rFonts w:ascii="Times New Roman" w:eastAsia="Times New Roman" w:hAnsi="Times New Roman" w:cs="Times New Roman"/>
      <w:sz w:val="20"/>
      <w:szCs w:val="20"/>
      <w:lang w:val="es-ES" w:eastAsia="es-ES"/>
    </w:rPr>
  </w:style>
  <w:style w:type="character" w:styleId="Refdenotaalpie">
    <w:name w:val="footnote reference"/>
    <w:semiHidden/>
    <w:rsid w:val="00922319"/>
    <w:rPr>
      <w:vertAlign w:val="superscript"/>
    </w:rPr>
  </w:style>
  <w:style w:type="character" w:styleId="Nmerodepgina">
    <w:name w:val="page number"/>
    <w:basedOn w:val="Fuentedeprrafopredeter"/>
    <w:rsid w:val="00922319"/>
  </w:style>
  <w:style w:type="character" w:styleId="Hipervnculo">
    <w:name w:val="Hyperlink"/>
    <w:basedOn w:val="Fuentedeprrafopredeter"/>
    <w:rsid w:val="00922319"/>
    <w:rPr>
      <w:color w:val="0000FF"/>
      <w:u w:val="single"/>
    </w:rPr>
  </w:style>
  <w:style w:type="paragraph" w:customStyle="1" w:styleId="WW-Estilopredeterminado">
    <w:name w:val="WW-Estilo predeterminado"/>
    <w:rsid w:val="00922319"/>
    <w:pPr>
      <w:widowControl w:val="0"/>
      <w:suppressAutoHyphens/>
      <w:autoSpaceDE w:val="0"/>
    </w:pPr>
    <w:rPr>
      <w:rFonts w:ascii="Times New Roman" w:eastAsia="Times New Roman" w:hAnsi="Times New Roman" w:cs="Times New Roman"/>
      <w:kern w:val="1"/>
      <w:sz w:val="24"/>
      <w:szCs w:val="24"/>
      <w:lang w:eastAsia="zh-CN" w:bidi="hi-IN"/>
    </w:rPr>
  </w:style>
  <w:style w:type="table" w:styleId="Tablaconcuadrcula">
    <w:name w:val="Table Grid"/>
    <w:basedOn w:val="Tablanormal"/>
    <w:rsid w:val="00922319"/>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indigenas/index.php/reglas-de-acces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3147</Words>
  <Characters>17311</Characters>
  <Application>Microsoft Office Word</Application>
  <DocSecurity>0</DocSecurity>
  <Lines>144</Lines>
  <Paragraphs>40</Paragraphs>
  <ScaleCrop>false</ScaleCrop>
  <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amenac</cp:lastModifiedBy>
  <cp:revision>2</cp:revision>
  <dcterms:created xsi:type="dcterms:W3CDTF">2017-04-07T17:31:00Z</dcterms:created>
  <dcterms:modified xsi:type="dcterms:W3CDTF">2017-04-07T17:31:00Z</dcterms:modified>
</cp:coreProperties>
</file>