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A421A9" w:rsidP="00A4667A">
      <w:r w:rsidRPr="00A421A9">
        <w:rPr>
          <w:noProof/>
        </w:rPr>
        <w:pict>
          <v:group id="Group 2" o:spid="_x0000_s1026" style="position:absolute;margin-left:-90pt;margin-top:-136.6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F156BF" w:rsidRDefault="00F156BF" w:rsidP="00A4667A">
      <w:pPr>
        <w:jc w:val="center"/>
        <w:rPr>
          <w:rFonts w:ascii="Calibri" w:hAnsi="Calibri"/>
          <w:sz w:val="40"/>
          <w:szCs w:val="40"/>
        </w:rPr>
      </w:pPr>
      <w:r>
        <w:rPr>
          <w:rFonts w:ascii="Calibri" w:hAnsi="Calibri"/>
          <w:sz w:val="40"/>
          <w:szCs w:val="40"/>
        </w:rPr>
        <w:t xml:space="preserve">Oficina de Control Interno, Transparencia </w:t>
      </w:r>
    </w:p>
    <w:p w:rsidR="00A4667A" w:rsidRDefault="00F156BF" w:rsidP="00A4667A">
      <w:pPr>
        <w:jc w:val="center"/>
        <w:rPr>
          <w:rFonts w:ascii="Calibri" w:hAnsi="Calibri"/>
          <w:sz w:val="40"/>
          <w:szCs w:val="40"/>
        </w:rPr>
      </w:pPr>
      <w:r>
        <w:rPr>
          <w:rFonts w:ascii="Calibri" w:hAnsi="Calibri"/>
          <w:sz w:val="40"/>
          <w:szCs w:val="40"/>
        </w:rPr>
        <w:t>y Anticorrupción</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BC2A51" w:rsidP="00A4667A">
      <w:pPr>
        <w:jc w:val="center"/>
        <w:rPr>
          <w:rFonts w:ascii="Calibri" w:hAnsi="Calibri"/>
          <w:sz w:val="40"/>
          <w:szCs w:val="40"/>
        </w:rPr>
      </w:pPr>
      <w:r>
        <w:rPr>
          <w:rFonts w:ascii="Calibri" w:hAnsi="Calibri"/>
          <w:sz w:val="40"/>
          <w:szCs w:val="40"/>
        </w:rPr>
        <w:t>12</w:t>
      </w:r>
      <w:r w:rsidR="00CE5C6A">
        <w:rPr>
          <w:rFonts w:ascii="Calibri" w:hAnsi="Calibri"/>
          <w:sz w:val="40"/>
          <w:szCs w:val="40"/>
        </w:rPr>
        <w:t xml:space="preserve"> </w:t>
      </w:r>
      <w:r w:rsidR="00A4667A" w:rsidRPr="002640EC">
        <w:rPr>
          <w:rFonts w:ascii="Calibri" w:hAnsi="Calibri"/>
          <w:sz w:val="40"/>
          <w:szCs w:val="40"/>
        </w:rPr>
        <w:t xml:space="preserve">de </w:t>
      </w:r>
      <w:r w:rsidR="00BB0646">
        <w:rPr>
          <w:rFonts w:ascii="Calibri" w:hAnsi="Calibri"/>
          <w:sz w:val="40"/>
          <w:szCs w:val="40"/>
        </w:rPr>
        <w:t>abril</w:t>
      </w:r>
      <w:r w:rsidR="00A4667A" w:rsidRPr="002640EC">
        <w:rPr>
          <w:rFonts w:ascii="Calibri" w:hAnsi="Calibri"/>
          <w:sz w:val="40"/>
          <w:szCs w:val="40"/>
        </w:rPr>
        <w:t xml:space="preserve"> 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281"/>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BC2A51" w:rsidP="009A1F55">
            <w:pPr>
              <w:jc w:val="center"/>
              <w:rPr>
                <w:i/>
                <w:sz w:val="28"/>
                <w:szCs w:val="28"/>
              </w:rPr>
            </w:pPr>
            <w:r>
              <w:rPr>
                <w:i/>
                <w:sz w:val="28"/>
                <w:szCs w:val="28"/>
              </w:rPr>
              <w:t>12</w:t>
            </w:r>
            <w:r w:rsidR="00A4667A" w:rsidRPr="00EE5396">
              <w:rPr>
                <w:i/>
                <w:sz w:val="28"/>
                <w:szCs w:val="28"/>
              </w:rPr>
              <w:t>/</w:t>
            </w:r>
            <w:r w:rsidR="0041739F">
              <w:rPr>
                <w:i/>
                <w:sz w:val="28"/>
                <w:szCs w:val="28"/>
              </w:rPr>
              <w:t>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B2469D" w:rsidP="009A1F55">
            <w:pPr>
              <w:jc w:val="center"/>
              <w:rPr>
                <w:i/>
                <w:sz w:val="28"/>
                <w:szCs w:val="28"/>
              </w:rPr>
            </w:pPr>
            <w:r>
              <w:rPr>
                <w:i/>
                <w:sz w:val="28"/>
                <w:szCs w:val="28"/>
              </w:rPr>
              <w:t>21</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3A2B29">
        <w:trPr>
          <w:trHeight w:val="494"/>
        </w:trPr>
        <w:tc>
          <w:tcPr>
            <w:tcW w:w="2518"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8080" w:type="dxa"/>
            <w:gridSpan w:val="3"/>
            <w:vAlign w:val="center"/>
          </w:tcPr>
          <w:p w:rsidR="00A4667A" w:rsidRPr="00F765B2" w:rsidRDefault="00D9537B" w:rsidP="00ED0978">
            <w:pPr>
              <w:jc w:val="both"/>
              <w:rPr>
                <w:bCs/>
                <w:i/>
                <w:sz w:val="28"/>
                <w:szCs w:val="28"/>
              </w:rPr>
            </w:pPr>
            <w:r>
              <w:rPr>
                <w:bCs/>
                <w:i/>
                <w:sz w:val="28"/>
                <w:szCs w:val="28"/>
              </w:rPr>
              <w:t>Oficina de Control Interno, Transparencia y Anticorrupción</w:t>
            </w:r>
          </w:p>
        </w:tc>
      </w:tr>
    </w:tbl>
    <w:p w:rsidR="00A4667A" w:rsidRPr="00EE5396"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Pr="00F55CA5" w:rsidRDefault="00A4667A" w:rsidP="00757E5E">
            <w:pPr>
              <w:jc w:val="both"/>
              <w:rPr>
                <w:bCs/>
                <w:i/>
                <w:sz w:val="10"/>
                <w:szCs w:val="10"/>
              </w:rPr>
            </w:pPr>
          </w:p>
          <w:tbl>
            <w:tblPr>
              <w:tblW w:w="5409" w:type="dxa"/>
              <w:jc w:val="center"/>
              <w:tblLayout w:type="fixed"/>
              <w:tblCellMar>
                <w:left w:w="0" w:type="dxa"/>
                <w:right w:w="0" w:type="dxa"/>
              </w:tblCellMar>
              <w:tblLook w:val="0000"/>
            </w:tblPr>
            <w:tblGrid>
              <w:gridCol w:w="1382"/>
              <w:gridCol w:w="709"/>
              <w:gridCol w:w="1215"/>
              <w:gridCol w:w="2103"/>
            </w:tblGrid>
            <w:tr w:rsidR="00E03888" w:rsidRPr="00D901EE" w:rsidTr="00E03888">
              <w:trPr>
                <w:trHeight w:val="51"/>
                <w:tblHeader/>
                <w:jc w:val="center"/>
              </w:trPr>
              <w:tc>
                <w:tcPr>
                  <w:tcW w:w="1278"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Despacho</w:t>
                  </w:r>
                </w:p>
              </w:tc>
              <w:tc>
                <w:tcPr>
                  <w:tcW w:w="65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Cant</w:t>
                  </w:r>
                </w:p>
              </w:tc>
              <w:tc>
                <w:tcPr>
                  <w:tcW w:w="112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Default="00773A60" w:rsidP="0022789F">
                  <w:pPr>
                    <w:jc w:val="center"/>
                    <w:rPr>
                      <w:b/>
                      <w:bCs/>
                      <w:sz w:val="18"/>
                      <w:szCs w:val="18"/>
                    </w:rPr>
                  </w:pPr>
                  <w:r w:rsidRPr="00D901EE">
                    <w:rPr>
                      <w:b/>
                      <w:bCs/>
                      <w:sz w:val="18"/>
                      <w:szCs w:val="18"/>
                    </w:rPr>
                    <w:t>Tipo de</w:t>
                  </w:r>
                </w:p>
                <w:p w:rsidR="00773A60" w:rsidRPr="00D901EE" w:rsidRDefault="00773A60" w:rsidP="0022789F">
                  <w:pPr>
                    <w:jc w:val="center"/>
                    <w:rPr>
                      <w:b/>
                      <w:bCs/>
                      <w:sz w:val="18"/>
                      <w:szCs w:val="18"/>
                    </w:rPr>
                  </w:pPr>
                  <w:r>
                    <w:rPr>
                      <w:b/>
                      <w:bCs/>
                      <w:sz w:val="18"/>
                      <w:szCs w:val="18"/>
                    </w:rPr>
                    <w:t>P</w:t>
                  </w:r>
                  <w:r w:rsidRPr="00D901EE">
                    <w:rPr>
                      <w:b/>
                      <w:bCs/>
                      <w:sz w:val="18"/>
                      <w:szCs w:val="18"/>
                    </w:rPr>
                    <w:t>laza</w:t>
                  </w:r>
                </w:p>
              </w:tc>
              <w:tc>
                <w:tcPr>
                  <w:tcW w:w="19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Condición</w:t>
                  </w:r>
                  <w:r w:rsidR="00862DC0">
                    <w:rPr>
                      <w:b/>
                      <w:bCs/>
                      <w:sz w:val="18"/>
                      <w:szCs w:val="18"/>
                    </w:rPr>
                    <w:t xml:space="preserve"> </w:t>
                  </w:r>
                  <w:r w:rsidRPr="00D901EE">
                    <w:rPr>
                      <w:b/>
                      <w:bCs/>
                      <w:sz w:val="18"/>
                      <w:szCs w:val="18"/>
                    </w:rPr>
                    <w:t>actual</w:t>
                  </w:r>
                </w:p>
              </w:tc>
            </w:tr>
            <w:tr w:rsidR="00AC102D" w:rsidRPr="00D901EE" w:rsidTr="00AC102D">
              <w:trPr>
                <w:trHeight w:val="51"/>
                <w:tblHeader/>
                <w:jc w:val="center"/>
              </w:trPr>
              <w:tc>
                <w:tcPr>
                  <w:tcW w:w="5000" w:type="pct"/>
                  <w:gridSpan w:val="4"/>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C102D" w:rsidRPr="00424AF8" w:rsidRDefault="00AC102D" w:rsidP="00AC102D">
                  <w:pPr>
                    <w:jc w:val="center"/>
                    <w:rPr>
                      <w:b/>
                      <w:bCs/>
                      <w:sz w:val="18"/>
                      <w:szCs w:val="18"/>
                    </w:rPr>
                  </w:pPr>
                  <w:r>
                    <w:rPr>
                      <w:b/>
                      <w:bCs/>
                      <w:sz w:val="18"/>
                      <w:szCs w:val="18"/>
                    </w:rPr>
                    <w:t>Control Interno</w:t>
                  </w:r>
                </w:p>
              </w:tc>
            </w:tr>
            <w:tr w:rsidR="00AC102D" w:rsidRPr="00D901EE" w:rsidTr="00E03888">
              <w:trPr>
                <w:trHeight w:val="710"/>
                <w:jc w:val="center"/>
              </w:trPr>
              <w:tc>
                <w:tcPr>
                  <w:tcW w:w="1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D901EE" w:rsidRDefault="00AC102D" w:rsidP="00AC102D">
                  <w:pPr>
                    <w:jc w:val="both"/>
                    <w:rPr>
                      <w:sz w:val="18"/>
                      <w:szCs w:val="18"/>
                    </w:rPr>
                  </w:pPr>
                  <w:r>
                    <w:rPr>
                      <w:sz w:val="18"/>
                      <w:szCs w:val="18"/>
                    </w:rPr>
                    <w:t>Oficina de Control Interno, Transparencia y Anticorrupción</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D901EE" w:rsidRDefault="00AC102D" w:rsidP="00AC102D">
                  <w:pPr>
                    <w:jc w:val="center"/>
                    <w:rPr>
                      <w:sz w:val="18"/>
                      <w:szCs w:val="18"/>
                    </w:rPr>
                  </w:pPr>
                  <w:r>
                    <w:rPr>
                      <w:sz w:val="18"/>
                      <w:szCs w:val="18"/>
                    </w:rPr>
                    <w:t>1</w:t>
                  </w:r>
                </w:p>
              </w:tc>
              <w:tc>
                <w:tcPr>
                  <w:tcW w:w="11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D901EE" w:rsidRDefault="00AC102D" w:rsidP="00AC102D">
                  <w:pPr>
                    <w:jc w:val="both"/>
                    <w:rPr>
                      <w:sz w:val="18"/>
                      <w:szCs w:val="18"/>
                    </w:rPr>
                  </w:pPr>
                  <w:r w:rsidRPr="00E03888">
                    <w:rPr>
                      <w:b/>
                      <w:sz w:val="18"/>
                      <w:szCs w:val="18"/>
                    </w:rPr>
                    <w:t>PCGS</w:t>
                  </w:r>
                  <w:r>
                    <w:rPr>
                      <w:sz w:val="18"/>
                      <w:szCs w:val="18"/>
                    </w:rPr>
                    <w:t xml:space="preserve"> de Profesional en Control Interno</w:t>
                  </w:r>
                </w:p>
              </w:tc>
              <w:tc>
                <w:tcPr>
                  <w:tcW w:w="1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D901EE" w:rsidRDefault="00AC102D" w:rsidP="00AC102D">
                  <w:pPr>
                    <w:jc w:val="center"/>
                    <w:rPr>
                      <w:sz w:val="18"/>
                      <w:szCs w:val="18"/>
                    </w:rPr>
                  </w:pPr>
                  <w:r>
                    <w:rPr>
                      <w:sz w:val="18"/>
                      <w:szCs w:val="18"/>
                    </w:rPr>
                    <w:t>No Existe</w:t>
                  </w:r>
                </w:p>
              </w:tc>
            </w:tr>
            <w:tr w:rsidR="00AC102D" w:rsidRPr="00D901EE" w:rsidTr="00AC102D">
              <w:trPr>
                <w:trHeight w:val="204"/>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E03888" w:rsidRDefault="00AC102D" w:rsidP="00AC102D">
                  <w:pPr>
                    <w:jc w:val="center"/>
                    <w:rPr>
                      <w:b/>
                      <w:sz w:val="18"/>
                      <w:szCs w:val="18"/>
                    </w:rPr>
                  </w:pPr>
                  <w:r w:rsidRPr="00E03888">
                    <w:rPr>
                      <w:b/>
                      <w:sz w:val="18"/>
                      <w:szCs w:val="18"/>
                    </w:rPr>
                    <w:t>Buenas Prácticas</w:t>
                  </w:r>
                </w:p>
              </w:tc>
            </w:tr>
            <w:tr w:rsidR="00AC102D" w:rsidRPr="00D901EE" w:rsidTr="00AC102D">
              <w:trPr>
                <w:trHeight w:val="204"/>
                <w:jc w:val="center"/>
              </w:trPr>
              <w:tc>
                <w:tcPr>
                  <w:tcW w:w="12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Del="000F2F8C" w:rsidRDefault="00AC102D" w:rsidP="00AC102D">
                  <w:pPr>
                    <w:jc w:val="both"/>
                    <w:rPr>
                      <w:sz w:val="18"/>
                      <w:szCs w:val="18"/>
                    </w:rPr>
                  </w:pPr>
                  <w:r>
                    <w:rPr>
                      <w:sz w:val="18"/>
                      <w:szCs w:val="18"/>
                    </w:rPr>
                    <w:t>Dirección de Planificación</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Default="00AC102D" w:rsidP="00AC102D">
                  <w:pPr>
                    <w:jc w:val="center"/>
                    <w:rPr>
                      <w:sz w:val="18"/>
                      <w:szCs w:val="18"/>
                    </w:rPr>
                  </w:pPr>
                  <w:r>
                    <w:rPr>
                      <w:sz w:val="18"/>
                      <w:szCs w:val="18"/>
                    </w:rPr>
                    <w:t>1</w:t>
                  </w:r>
                </w:p>
              </w:tc>
              <w:tc>
                <w:tcPr>
                  <w:tcW w:w="11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Pr="00E03888" w:rsidRDefault="00AC102D" w:rsidP="00AC102D">
                  <w:pPr>
                    <w:jc w:val="both"/>
                    <w:rPr>
                      <w:sz w:val="18"/>
                      <w:szCs w:val="18"/>
                    </w:rPr>
                  </w:pPr>
                  <w:r>
                    <w:rPr>
                      <w:sz w:val="18"/>
                      <w:szCs w:val="18"/>
                    </w:rPr>
                    <w:t>Pr</w:t>
                  </w:r>
                  <w:r w:rsidR="00345F18">
                    <w:rPr>
                      <w:sz w:val="18"/>
                      <w:szCs w:val="18"/>
                    </w:rPr>
                    <w:t>ofesional 2</w:t>
                  </w:r>
                </w:p>
              </w:tc>
              <w:tc>
                <w:tcPr>
                  <w:tcW w:w="19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02D" w:rsidRDefault="00345F18" w:rsidP="00AC102D">
                  <w:pPr>
                    <w:jc w:val="center"/>
                    <w:rPr>
                      <w:sz w:val="18"/>
                      <w:szCs w:val="18"/>
                    </w:rPr>
                  </w:pPr>
                  <w:r>
                    <w:rPr>
                      <w:sz w:val="18"/>
                      <w:szCs w:val="18"/>
                    </w:rPr>
                    <w:t>No Existe</w:t>
                  </w:r>
                </w:p>
              </w:tc>
            </w:tr>
          </w:tbl>
          <w:p w:rsidR="00A754F2" w:rsidRPr="00627F9B" w:rsidRDefault="00A754F2" w:rsidP="00757E5E">
            <w:pPr>
              <w:jc w:val="both"/>
              <w:rPr>
                <w:bCs/>
                <w:i/>
                <w:sz w:val="28"/>
                <w:szCs w:val="28"/>
              </w:rPr>
            </w:pPr>
          </w:p>
        </w:tc>
      </w:tr>
      <w:tr w:rsidR="00A4667A" w:rsidRPr="00723CF6" w:rsidTr="001906B5">
        <w:trPr>
          <w:trHeight w:val="2693"/>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B91ECA" w:rsidRPr="007D3985" w:rsidRDefault="001662C3" w:rsidP="00805A07">
            <w:pPr>
              <w:pStyle w:val="NormalWeb"/>
              <w:numPr>
                <w:ilvl w:val="0"/>
                <w:numId w:val="35"/>
              </w:numPr>
              <w:jc w:val="both"/>
              <w:rPr>
                <w:i/>
                <w:sz w:val="28"/>
                <w:szCs w:val="28"/>
              </w:rPr>
            </w:pPr>
            <w:r>
              <w:rPr>
                <w:i/>
                <w:sz w:val="28"/>
                <w:szCs w:val="28"/>
              </w:rPr>
              <w:t>El</w:t>
            </w:r>
            <w:r w:rsidR="00180D5F">
              <w:rPr>
                <w:i/>
                <w:sz w:val="28"/>
                <w:szCs w:val="28"/>
              </w:rPr>
              <w:t xml:space="preserve"> Permiso con goce de salario y sustitución de un Profesional en Control Interno, se concedió para apoyar a la Comisión de Transparencia y </w:t>
            </w:r>
            <w:r w:rsidR="003E68F3">
              <w:rPr>
                <w:i/>
                <w:sz w:val="28"/>
                <w:szCs w:val="28"/>
              </w:rPr>
              <w:t>Antic</w:t>
            </w:r>
            <w:r w:rsidR="00180D5F">
              <w:rPr>
                <w:i/>
                <w:sz w:val="28"/>
                <w:szCs w:val="28"/>
              </w:rPr>
              <w:t>orrupción</w:t>
            </w:r>
            <w:r w:rsidR="00805A07">
              <w:rPr>
                <w:rStyle w:val="Refdenotaalpie"/>
                <w:i/>
                <w:sz w:val="28"/>
                <w:szCs w:val="28"/>
              </w:rPr>
              <w:footnoteReference w:id="1"/>
            </w:r>
            <w:r w:rsidR="00180D5F">
              <w:rPr>
                <w:i/>
                <w:sz w:val="28"/>
                <w:szCs w:val="28"/>
              </w:rPr>
              <w:t xml:space="preserve"> y crear las estrategias necesarias para enfrentar la corrupción en el Poder Judicial</w:t>
            </w:r>
            <w:r w:rsidR="008A7888">
              <w:rPr>
                <w:i/>
                <w:sz w:val="28"/>
                <w:szCs w:val="28"/>
              </w:rPr>
              <w:t>.</w:t>
            </w:r>
          </w:p>
          <w:p w:rsidR="005D2517" w:rsidRPr="002B0482" w:rsidRDefault="00653CBB" w:rsidP="002B0482">
            <w:pPr>
              <w:pStyle w:val="Prrafodelista"/>
              <w:widowControl w:val="0"/>
              <w:numPr>
                <w:ilvl w:val="0"/>
                <w:numId w:val="35"/>
              </w:numPr>
              <w:jc w:val="both"/>
              <w:rPr>
                <w:i/>
                <w:sz w:val="28"/>
                <w:szCs w:val="28"/>
                <w:lang w:val="es-ES_tradnl"/>
              </w:rPr>
            </w:pPr>
            <w:r>
              <w:rPr>
                <w:i/>
                <w:sz w:val="28"/>
                <w:szCs w:val="28"/>
                <w:lang w:val="es-ES_tradnl"/>
              </w:rPr>
              <w:t>Para el tema de “Buenas Prácticas”, se reitera la solicitud de una plaza de Profesional 2, para que asuma estas funciones en la Dirección de Planificación, la cual no ha sido posible otorgarla por restricciones presupuestarias.</w:t>
            </w: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8080" w:type="dxa"/>
          </w:tcPr>
          <w:p w:rsidR="00AB76EA" w:rsidRDefault="00F77F8B">
            <w:pPr>
              <w:widowControl w:val="0"/>
              <w:jc w:val="both"/>
              <w:rPr>
                <w:b/>
                <w:i/>
                <w:sz w:val="28"/>
                <w:szCs w:val="28"/>
              </w:rPr>
            </w:pPr>
            <w:r w:rsidRPr="00F77F8B">
              <w:rPr>
                <w:b/>
                <w:i/>
                <w:sz w:val="28"/>
                <w:szCs w:val="28"/>
              </w:rPr>
              <w:t xml:space="preserve">3.1.- </w:t>
            </w:r>
            <w:r w:rsidR="00AB76EA">
              <w:rPr>
                <w:b/>
                <w:i/>
                <w:sz w:val="28"/>
                <w:szCs w:val="28"/>
              </w:rPr>
              <w:t>Origen de los recursos analizados</w:t>
            </w:r>
          </w:p>
          <w:p w:rsidR="00AB76EA" w:rsidRDefault="00AB76EA">
            <w:pPr>
              <w:widowControl w:val="0"/>
              <w:jc w:val="both"/>
              <w:rPr>
                <w:i/>
                <w:sz w:val="28"/>
                <w:szCs w:val="28"/>
              </w:rPr>
            </w:pPr>
          </w:p>
          <w:p w:rsidR="005E7468" w:rsidRDefault="000B69EB">
            <w:pPr>
              <w:widowControl w:val="0"/>
              <w:jc w:val="both"/>
              <w:rPr>
                <w:i/>
                <w:sz w:val="28"/>
                <w:szCs w:val="28"/>
              </w:rPr>
            </w:pPr>
            <w:r w:rsidRPr="006F63CB">
              <w:rPr>
                <w:i/>
                <w:sz w:val="28"/>
                <w:szCs w:val="28"/>
              </w:rPr>
              <w:t xml:space="preserve">Mediante </w:t>
            </w:r>
            <w:r w:rsidR="006F63CB">
              <w:rPr>
                <w:i/>
                <w:sz w:val="28"/>
                <w:szCs w:val="28"/>
              </w:rPr>
              <w:t xml:space="preserve">el </w:t>
            </w:r>
            <w:r w:rsidRPr="006F63CB">
              <w:rPr>
                <w:i/>
                <w:sz w:val="28"/>
                <w:szCs w:val="28"/>
              </w:rPr>
              <w:t xml:space="preserve">oficio </w:t>
            </w:r>
            <w:r w:rsidR="00A67544">
              <w:rPr>
                <w:i/>
                <w:sz w:val="28"/>
                <w:szCs w:val="28"/>
              </w:rPr>
              <w:t>1560</w:t>
            </w:r>
            <w:r w:rsidRPr="006F63CB">
              <w:rPr>
                <w:i/>
                <w:sz w:val="28"/>
                <w:szCs w:val="28"/>
              </w:rPr>
              <w:t>-1</w:t>
            </w:r>
            <w:r w:rsidR="00A67544">
              <w:rPr>
                <w:i/>
                <w:sz w:val="28"/>
                <w:szCs w:val="28"/>
              </w:rPr>
              <w:t>8</w:t>
            </w:r>
            <w:r w:rsidR="006F63CB">
              <w:rPr>
                <w:i/>
                <w:sz w:val="28"/>
                <w:szCs w:val="28"/>
              </w:rPr>
              <w:t xml:space="preserve"> del</w:t>
            </w:r>
            <w:r w:rsidRPr="006F63CB">
              <w:rPr>
                <w:i/>
                <w:sz w:val="28"/>
                <w:szCs w:val="28"/>
              </w:rPr>
              <w:t xml:space="preserve"> </w:t>
            </w:r>
            <w:r w:rsidR="00A67544">
              <w:rPr>
                <w:i/>
                <w:sz w:val="28"/>
                <w:szCs w:val="28"/>
              </w:rPr>
              <w:t>12</w:t>
            </w:r>
            <w:r w:rsidRPr="006F63CB">
              <w:rPr>
                <w:i/>
                <w:sz w:val="28"/>
                <w:szCs w:val="28"/>
              </w:rPr>
              <w:t xml:space="preserve"> de </w:t>
            </w:r>
            <w:r w:rsidR="00A67544">
              <w:rPr>
                <w:i/>
                <w:sz w:val="28"/>
                <w:szCs w:val="28"/>
              </w:rPr>
              <w:t>febrero</w:t>
            </w:r>
            <w:r w:rsidRPr="006F63CB">
              <w:rPr>
                <w:i/>
                <w:sz w:val="28"/>
                <w:szCs w:val="28"/>
              </w:rPr>
              <w:t xml:space="preserve"> del 201</w:t>
            </w:r>
            <w:r w:rsidR="00A67544">
              <w:rPr>
                <w:i/>
                <w:sz w:val="28"/>
                <w:szCs w:val="28"/>
              </w:rPr>
              <w:t>8</w:t>
            </w:r>
            <w:r w:rsidRPr="006F63CB">
              <w:rPr>
                <w:i/>
                <w:sz w:val="28"/>
                <w:szCs w:val="28"/>
              </w:rPr>
              <w:t xml:space="preserve">, la Secretaría General de la Corte comunicó el acuerdo tomado por el Consejo Superior en la sesión </w:t>
            </w:r>
            <w:r w:rsidR="00A67544">
              <w:rPr>
                <w:i/>
                <w:sz w:val="28"/>
                <w:szCs w:val="28"/>
              </w:rPr>
              <w:t>4</w:t>
            </w:r>
            <w:r w:rsidRPr="006F63CB">
              <w:rPr>
                <w:i/>
                <w:sz w:val="28"/>
                <w:szCs w:val="28"/>
              </w:rPr>
              <w:t>-1</w:t>
            </w:r>
            <w:r w:rsidR="00A67544">
              <w:rPr>
                <w:i/>
                <w:sz w:val="28"/>
                <w:szCs w:val="28"/>
              </w:rPr>
              <w:t>8</w:t>
            </w:r>
            <w:r w:rsidRPr="006F63CB">
              <w:rPr>
                <w:i/>
                <w:sz w:val="28"/>
                <w:szCs w:val="28"/>
              </w:rPr>
              <w:t xml:space="preserve"> del </w:t>
            </w:r>
            <w:r w:rsidR="00A67544">
              <w:rPr>
                <w:i/>
                <w:sz w:val="28"/>
                <w:szCs w:val="28"/>
              </w:rPr>
              <w:t>18</w:t>
            </w:r>
            <w:r w:rsidRPr="006F63CB">
              <w:rPr>
                <w:i/>
                <w:sz w:val="28"/>
                <w:szCs w:val="28"/>
              </w:rPr>
              <w:t xml:space="preserve"> de </w:t>
            </w:r>
            <w:r w:rsidR="00A67544">
              <w:rPr>
                <w:i/>
                <w:sz w:val="28"/>
                <w:szCs w:val="28"/>
              </w:rPr>
              <w:t>enero</w:t>
            </w:r>
            <w:r w:rsidRPr="006F63CB">
              <w:rPr>
                <w:i/>
                <w:sz w:val="28"/>
                <w:szCs w:val="28"/>
              </w:rPr>
              <w:t xml:space="preserve"> del 201</w:t>
            </w:r>
            <w:r w:rsidR="00A67544">
              <w:rPr>
                <w:i/>
                <w:sz w:val="28"/>
                <w:szCs w:val="28"/>
              </w:rPr>
              <w:t>8</w:t>
            </w:r>
            <w:r w:rsidRPr="006F63CB">
              <w:rPr>
                <w:i/>
                <w:sz w:val="28"/>
                <w:szCs w:val="28"/>
              </w:rPr>
              <w:t xml:space="preserve">, artículo </w:t>
            </w:r>
            <w:r w:rsidR="00A67544">
              <w:rPr>
                <w:i/>
                <w:sz w:val="28"/>
                <w:szCs w:val="28"/>
              </w:rPr>
              <w:t>L</w:t>
            </w:r>
            <w:r w:rsidR="006F63CB">
              <w:rPr>
                <w:i/>
                <w:sz w:val="28"/>
                <w:szCs w:val="28"/>
              </w:rPr>
              <w:t>X</w:t>
            </w:r>
            <w:r w:rsidR="00A67544">
              <w:rPr>
                <w:i/>
                <w:sz w:val="28"/>
                <w:szCs w:val="28"/>
              </w:rPr>
              <w:t>X</w:t>
            </w:r>
            <w:r w:rsidR="006F63CB">
              <w:rPr>
                <w:i/>
                <w:sz w:val="28"/>
                <w:szCs w:val="28"/>
              </w:rPr>
              <w:t>II</w:t>
            </w:r>
            <w:r w:rsidRPr="006F63CB">
              <w:rPr>
                <w:i/>
                <w:sz w:val="28"/>
                <w:szCs w:val="28"/>
              </w:rPr>
              <w:t>, en el cual se dispuso</w:t>
            </w:r>
            <w:r w:rsidR="00A67544">
              <w:rPr>
                <w:i/>
                <w:sz w:val="28"/>
                <w:szCs w:val="28"/>
              </w:rPr>
              <w:t>:</w:t>
            </w:r>
          </w:p>
          <w:p w:rsidR="00A67544" w:rsidRDefault="00A67544">
            <w:pPr>
              <w:widowControl w:val="0"/>
              <w:jc w:val="both"/>
              <w:rPr>
                <w:i/>
                <w:sz w:val="28"/>
                <w:szCs w:val="28"/>
              </w:rPr>
            </w:pPr>
          </w:p>
          <w:p w:rsidR="00A67544" w:rsidRPr="00CD4216" w:rsidRDefault="00A67544" w:rsidP="006952EB">
            <w:pPr>
              <w:widowControl w:val="0"/>
              <w:ind w:left="774" w:right="861"/>
              <w:jc w:val="both"/>
              <w:rPr>
                <w:i/>
                <w:sz w:val="28"/>
                <w:szCs w:val="28"/>
              </w:rPr>
            </w:pPr>
            <w:r w:rsidRPr="00CD4216">
              <w:rPr>
                <w:i/>
                <w:sz w:val="28"/>
                <w:szCs w:val="28"/>
              </w:rPr>
              <w:t>“…</w:t>
            </w:r>
            <w:r w:rsidRPr="00CD4216">
              <w:rPr>
                <w:i/>
                <w:sz w:val="23"/>
                <w:szCs w:val="23"/>
                <w:lang w:val="es-CR"/>
              </w:rPr>
              <w:t xml:space="preserve">Denegar la anterior solicitud en razón de que la necesidad presentada es de carácter permanente, por lo que los permisos solicitados no están contemplados dentro de los lineamientos establecidos en el artículo 44 de la Ley Orgánica del Poder Judicial; por cuanto este tipo de permisos vienen a suplir necesidades temporales, son para atender y colaborar en el desarrollo de algún proyecto especial y de interés institucional </w:t>
            </w:r>
            <w:r w:rsidRPr="00CD4216">
              <w:rPr>
                <w:bCs/>
                <w:i/>
                <w:sz w:val="23"/>
                <w:szCs w:val="23"/>
                <w:lang w:val="es-CR"/>
              </w:rPr>
              <w:t>2.)</w:t>
            </w:r>
            <w:r w:rsidRPr="00CD4216">
              <w:rPr>
                <w:i/>
                <w:sz w:val="23"/>
                <w:szCs w:val="23"/>
                <w:lang w:val="es-CR"/>
              </w:rPr>
              <w:t xml:space="preserve"> </w:t>
            </w:r>
            <w:r w:rsidRPr="00CD4216">
              <w:rPr>
                <w:i/>
                <w:sz w:val="23"/>
                <w:szCs w:val="23"/>
                <w:lang w:val="es-CR"/>
              </w:rPr>
              <w:lastRenderedPageBreak/>
              <w:t>Por tratarse de recursos solicitados para solventar una necesidad permanente, se traslada a la Dirección de Planificación para que los valore e indique si es necesario incluirlas en el proyecto de presupuesto para el año 2019.”</w:t>
            </w:r>
          </w:p>
          <w:p w:rsidR="004B1E87" w:rsidRDefault="004B1E87">
            <w:pPr>
              <w:widowControl w:val="0"/>
              <w:jc w:val="both"/>
              <w:rPr>
                <w:bCs/>
                <w:i/>
                <w:sz w:val="28"/>
                <w:szCs w:val="28"/>
              </w:rPr>
            </w:pPr>
          </w:p>
          <w:p w:rsidR="002525B9" w:rsidRDefault="002525B9">
            <w:pPr>
              <w:widowControl w:val="0"/>
              <w:jc w:val="both"/>
              <w:rPr>
                <w:b/>
                <w:bCs/>
                <w:i/>
                <w:sz w:val="28"/>
                <w:szCs w:val="28"/>
              </w:rPr>
            </w:pPr>
            <w:r>
              <w:rPr>
                <w:b/>
                <w:bCs/>
                <w:i/>
                <w:sz w:val="28"/>
                <w:szCs w:val="28"/>
              </w:rPr>
              <w:t>3.2</w:t>
            </w:r>
            <w:r w:rsidRPr="00F77F8B">
              <w:rPr>
                <w:b/>
                <w:bCs/>
                <w:i/>
                <w:sz w:val="28"/>
                <w:szCs w:val="28"/>
              </w:rPr>
              <w:t xml:space="preserve">.- </w:t>
            </w:r>
            <w:r w:rsidR="004B1E87">
              <w:rPr>
                <w:b/>
                <w:bCs/>
                <w:i/>
                <w:sz w:val="28"/>
                <w:szCs w:val="28"/>
              </w:rPr>
              <w:t xml:space="preserve">Alcances del </w:t>
            </w:r>
            <w:r w:rsidRPr="00F77F8B">
              <w:rPr>
                <w:b/>
                <w:bCs/>
                <w:i/>
                <w:sz w:val="28"/>
                <w:szCs w:val="28"/>
              </w:rPr>
              <w:t xml:space="preserve">Informe </w:t>
            </w:r>
            <w:r w:rsidR="00F62516">
              <w:rPr>
                <w:b/>
                <w:bCs/>
                <w:i/>
                <w:sz w:val="28"/>
                <w:szCs w:val="28"/>
              </w:rPr>
              <w:t>125</w:t>
            </w:r>
            <w:r w:rsidRPr="00F77F8B">
              <w:rPr>
                <w:b/>
                <w:bCs/>
                <w:i/>
                <w:sz w:val="28"/>
                <w:szCs w:val="28"/>
              </w:rPr>
              <w:t>-</w:t>
            </w:r>
            <w:r w:rsidR="00F62516">
              <w:rPr>
                <w:b/>
                <w:bCs/>
                <w:i/>
                <w:sz w:val="28"/>
                <w:szCs w:val="28"/>
              </w:rPr>
              <w:t>O</w:t>
            </w:r>
            <w:r w:rsidR="00C351A5">
              <w:rPr>
                <w:b/>
                <w:bCs/>
                <w:i/>
                <w:sz w:val="28"/>
                <w:szCs w:val="28"/>
              </w:rPr>
              <w:t>I</w:t>
            </w:r>
            <w:r w:rsidRPr="00F77F8B">
              <w:rPr>
                <w:b/>
                <w:bCs/>
                <w:i/>
                <w:sz w:val="28"/>
                <w:szCs w:val="28"/>
              </w:rPr>
              <w:t>-2017</w:t>
            </w:r>
            <w:r w:rsidR="008531CD">
              <w:rPr>
                <w:b/>
                <w:bCs/>
                <w:i/>
                <w:sz w:val="28"/>
                <w:szCs w:val="28"/>
              </w:rPr>
              <w:t xml:space="preserve"> del 21 de diciembre del 2017</w:t>
            </w:r>
          </w:p>
          <w:p w:rsidR="00E17754" w:rsidRDefault="00E17754">
            <w:pPr>
              <w:widowControl w:val="0"/>
              <w:jc w:val="both"/>
              <w:rPr>
                <w:b/>
                <w:bCs/>
                <w:i/>
                <w:sz w:val="28"/>
                <w:szCs w:val="28"/>
              </w:rPr>
            </w:pPr>
          </w:p>
          <w:p w:rsidR="00C26EFD" w:rsidRDefault="00E17754">
            <w:pPr>
              <w:widowControl w:val="0"/>
              <w:jc w:val="both"/>
              <w:rPr>
                <w:bCs/>
                <w:i/>
                <w:sz w:val="28"/>
                <w:szCs w:val="28"/>
              </w:rPr>
            </w:pPr>
            <w:r w:rsidRPr="00C26EFD">
              <w:rPr>
                <w:bCs/>
                <w:i/>
                <w:sz w:val="28"/>
                <w:szCs w:val="28"/>
              </w:rPr>
              <w:t>En</w:t>
            </w:r>
            <w:r w:rsidR="00C26EFD">
              <w:rPr>
                <w:bCs/>
                <w:i/>
                <w:sz w:val="28"/>
                <w:szCs w:val="28"/>
              </w:rPr>
              <w:t xml:space="preserve"> ese estudio se a</w:t>
            </w:r>
            <w:r w:rsidR="00DB4149">
              <w:rPr>
                <w:bCs/>
                <w:i/>
                <w:sz w:val="28"/>
                <w:szCs w:val="28"/>
              </w:rPr>
              <w:t>bordaron</w:t>
            </w:r>
            <w:r w:rsidR="00C26EFD">
              <w:rPr>
                <w:bCs/>
                <w:i/>
                <w:sz w:val="28"/>
                <w:szCs w:val="28"/>
              </w:rPr>
              <w:t xml:space="preserve"> tres aspectos a saber:</w:t>
            </w:r>
          </w:p>
          <w:p w:rsidR="00C26EFD" w:rsidRDefault="00C26EFD" w:rsidP="00C26EFD">
            <w:pPr>
              <w:pStyle w:val="Prrafodelista"/>
              <w:widowControl w:val="0"/>
              <w:numPr>
                <w:ilvl w:val="0"/>
                <w:numId w:val="36"/>
              </w:numPr>
              <w:jc w:val="both"/>
              <w:rPr>
                <w:bCs/>
                <w:i/>
                <w:sz w:val="28"/>
                <w:szCs w:val="28"/>
              </w:rPr>
            </w:pPr>
            <w:r>
              <w:rPr>
                <w:bCs/>
                <w:i/>
                <w:sz w:val="28"/>
                <w:szCs w:val="28"/>
              </w:rPr>
              <w:t xml:space="preserve">Permiso con goce de salario y sustitución del puesto 350002 de Profesional </w:t>
            </w:r>
            <w:r w:rsidR="00B03F9B">
              <w:rPr>
                <w:bCs/>
                <w:i/>
                <w:sz w:val="28"/>
                <w:szCs w:val="28"/>
              </w:rPr>
              <w:t>en</w:t>
            </w:r>
            <w:r>
              <w:rPr>
                <w:bCs/>
                <w:i/>
                <w:sz w:val="28"/>
                <w:szCs w:val="28"/>
              </w:rPr>
              <w:t xml:space="preserve"> Control Interno</w:t>
            </w:r>
            <w:r w:rsidR="00877A6F">
              <w:rPr>
                <w:bCs/>
                <w:i/>
                <w:sz w:val="28"/>
                <w:szCs w:val="28"/>
              </w:rPr>
              <w:t>, con el fin de que continúe dando apoyo a la Comisión de Transparencia y Anticorrupción.</w:t>
            </w:r>
          </w:p>
          <w:p w:rsidR="00442056" w:rsidRDefault="00442056" w:rsidP="00C26EFD">
            <w:pPr>
              <w:pStyle w:val="Prrafodelista"/>
              <w:widowControl w:val="0"/>
              <w:numPr>
                <w:ilvl w:val="0"/>
                <w:numId w:val="36"/>
              </w:numPr>
              <w:jc w:val="both"/>
              <w:rPr>
                <w:bCs/>
                <w:i/>
                <w:sz w:val="28"/>
                <w:szCs w:val="28"/>
              </w:rPr>
            </w:pPr>
            <w:r>
              <w:rPr>
                <w:bCs/>
                <w:i/>
                <w:sz w:val="28"/>
                <w:szCs w:val="28"/>
              </w:rPr>
              <w:t>E</w:t>
            </w:r>
            <w:r w:rsidRPr="00442056">
              <w:rPr>
                <w:bCs/>
                <w:i/>
                <w:sz w:val="28"/>
                <w:szCs w:val="28"/>
              </w:rPr>
              <w:t>structura, labores, funcionamiento y ubicación orgánica de la</w:t>
            </w:r>
            <w:r>
              <w:rPr>
                <w:bCs/>
                <w:i/>
                <w:sz w:val="28"/>
                <w:szCs w:val="28"/>
              </w:rPr>
              <w:t xml:space="preserve"> entonces</w:t>
            </w:r>
            <w:r w:rsidRPr="00442056">
              <w:rPr>
                <w:bCs/>
                <w:i/>
                <w:sz w:val="28"/>
                <w:szCs w:val="28"/>
              </w:rPr>
              <w:t xml:space="preserve"> Unidad de Control Interno</w:t>
            </w:r>
            <w:r>
              <w:rPr>
                <w:bCs/>
                <w:i/>
                <w:sz w:val="28"/>
                <w:szCs w:val="28"/>
              </w:rPr>
              <w:t>.</w:t>
            </w:r>
          </w:p>
          <w:p w:rsidR="00596C81" w:rsidRPr="00622AE3" w:rsidRDefault="00442056" w:rsidP="00862DC0">
            <w:pPr>
              <w:pStyle w:val="Prrafodelista"/>
              <w:widowControl w:val="0"/>
              <w:numPr>
                <w:ilvl w:val="0"/>
                <w:numId w:val="36"/>
              </w:numPr>
              <w:jc w:val="both"/>
              <w:rPr>
                <w:bCs/>
                <w:i/>
                <w:sz w:val="28"/>
                <w:szCs w:val="28"/>
              </w:rPr>
            </w:pPr>
            <w:r>
              <w:rPr>
                <w:bCs/>
                <w:i/>
                <w:sz w:val="28"/>
                <w:szCs w:val="28"/>
              </w:rPr>
              <w:t>Tema de “Buenas Prácticas”.</w:t>
            </w:r>
          </w:p>
          <w:p w:rsidR="005811C5" w:rsidRDefault="00CA4EAC" w:rsidP="00517A5C">
            <w:pPr>
              <w:widowControl w:val="0"/>
              <w:jc w:val="both"/>
              <w:rPr>
                <w:i/>
                <w:sz w:val="28"/>
                <w:szCs w:val="28"/>
              </w:rPr>
            </w:pPr>
            <w:r w:rsidRPr="005B1131">
              <w:rPr>
                <w:i/>
                <w:sz w:val="28"/>
                <w:szCs w:val="28"/>
              </w:rPr>
              <w:t>Tratándose</w:t>
            </w:r>
            <w:r w:rsidR="00C70D10" w:rsidRPr="005B1131">
              <w:rPr>
                <w:i/>
                <w:sz w:val="28"/>
                <w:szCs w:val="28"/>
              </w:rPr>
              <w:t xml:space="preserve"> del</w:t>
            </w:r>
            <w:r w:rsidR="00622AE3" w:rsidRPr="005B1131">
              <w:rPr>
                <w:i/>
                <w:sz w:val="28"/>
                <w:szCs w:val="28"/>
              </w:rPr>
              <w:t xml:space="preserve"> permiso con goce de salario</w:t>
            </w:r>
            <w:r w:rsidR="005811C5" w:rsidRPr="005B1131">
              <w:rPr>
                <w:i/>
                <w:sz w:val="28"/>
                <w:szCs w:val="28"/>
              </w:rPr>
              <w:t xml:space="preserve"> y sustitución del puesto 350002</w:t>
            </w:r>
            <w:r w:rsidR="005B1131">
              <w:rPr>
                <w:i/>
                <w:sz w:val="28"/>
                <w:szCs w:val="28"/>
              </w:rPr>
              <w:t xml:space="preserve">, </w:t>
            </w:r>
            <w:r w:rsidR="006B3AA9">
              <w:rPr>
                <w:i/>
                <w:sz w:val="28"/>
                <w:szCs w:val="28"/>
              </w:rPr>
              <w:t xml:space="preserve">se entrevistó al Lic. Luis Guzmán Gutiérrez, Profesional de Control Interno de la Oficina de Control Interno, Transparencia y Anticorrupción, quien manifestó que el permiso con goce de salario en </w:t>
            </w:r>
            <w:r w:rsidR="000E51AB">
              <w:rPr>
                <w:i/>
                <w:sz w:val="28"/>
                <w:szCs w:val="28"/>
              </w:rPr>
              <w:t>cuestión</w:t>
            </w:r>
            <w:r w:rsidR="006B3AA9">
              <w:rPr>
                <w:i/>
                <w:sz w:val="28"/>
                <w:szCs w:val="28"/>
              </w:rPr>
              <w:t xml:space="preserve"> apoyó a la Comisión de Transparencia y Anticorrupción en labores que en su momento se le encomendaron, hasta el 9 de abril del 2017, por lo que a la fecha no se dispone del citado recurso.</w:t>
            </w:r>
          </w:p>
          <w:p w:rsidR="005B6F52" w:rsidRDefault="005B6F52" w:rsidP="00517A5C">
            <w:pPr>
              <w:widowControl w:val="0"/>
              <w:jc w:val="both"/>
              <w:rPr>
                <w:i/>
                <w:sz w:val="28"/>
                <w:szCs w:val="28"/>
              </w:rPr>
            </w:pPr>
          </w:p>
          <w:p w:rsidR="001C2485" w:rsidRDefault="00DD58AF" w:rsidP="00517A5C">
            <w:pPr>
              <w:widowControl w:val="0"/>
              <w:jc w:val="both"/>
              <w:rPr>
                <w:i/>
                <w:sz w:val="28"/>
                <w:szCs w:val="28"/>
              </w:rPr>
            </w:pPr>
            <w:r>
              <w:rPr>
                <w:i/>
                <w:sz w:val="28"/>
                <w:szCs w:val="28"/>
              </w:rPr>
              <w:t>En virtud de lo anterior, se abordó el acuerdo del Consejo Superior en sesión 34-17 del 5 de abril del 2017</w:t>
            </w:r>
            <w:r w:rsidR="00AB76EA">
              <w:rPr>
                <w:i/>
                <w:sz w:val="28"/>
                <w:szCs w:val="28"/>
              </w:rPr>
              <w:t>,</w:t>
            </w:r>
            <w:r>
              <w:rPr>
                <w:i/>
                <w:sz w:val="28"/>
                <w:szCs w:val="28"/>
              </w:rPr>
              <w:t xml:space="preserve"> artículo LXIX, donde </w:t>
            </w:r>
            <w:r w:rsidR="00AB76EA">
              <w:rPr>
                <w:i/>
                <w:sz w:val="28"/>
                <w:szCs w:val="28"/>
              </w:rPr>
              <w:t xml:space="preserve">se </w:t>
            </w:r>
            <w:r>
              <w:rPr>
                <w:i/>
                <w:sz w:val="28"/>
                <w:szCs w:val="28"/>
              </w:rPr>
              <w:t>conoció</w:t>
            </w:r>
            <w:r w:rsidRPr="00DD58AF">
              <w:rPr>
                <w:i/>
                <w:sz w:val="28"/>
                <w:szCs w:val="28"/>
              </w:rPr>
              <w:t xml:space="preserve"> el informe realizado por la entonces Sección de Proyección Institucional de esta Dirección, sobre la estructura, labores, funcionamiento y ubicación orgánica de la Unidad de Control Interno</w:t>
            </w:r>
            <w:r w:rsidRPr="00B0302A">
              <w:rPr>
                <w:rStyle w:val="Refdenotaalpie"/>
                <w:sz w:val="23"/>
                <w:szCs w:val="23"/>
                <w:lang w:val="es-ES_tradnl"/>
              </w:rPr>
              <w:footnoteReference w:id="2"/>
            </w:r>
            <w:r w:rsidR="002010BD">
              <w:rPr>
                <w:i/>
                <w:sz w:val="28"/>
                <w:szCs w:val="28"/>
              </w:rPr>
              <w:t xml:space="preserve">, </w:t>
            </w:r>
            <w:r w:rsidR="002010BD" w:rsidRPr="002010BD">
              <w:rPr>
                <w:i/>
                <w:sz w:val="28"/>
                <w:szCs w:val="28"/>
              </w:rPr>
              <w:t>donde se acordó entre otros aspectos lo siguiente</w:t>
            </w:r>
            <w:r w:rsidR="006066AD" w:rsidRPr="00B0302A">
              <w:rPr>
                <w:rStyle w:val="Refdenotaalpie"/>
                <w:sz w:val="23"/>
                <w:szCs w:val="23"/>
                <w:lang w:val="es-ES_tradnl"/>
              </w:rPr>
              <w:footnoteReference w:id="3"/>
            </w:r>
            <w:r w:rsidR="002010BD">
              <w:rPr>
                <w:i/>
                <w:sz w:val="28"/>
                <w:szCs w:val="28"/>
              </w:rPr>
              <w:t>:</w:t>
            </w:r>
          </w:p>
          <w:p w:rsidR="005B6F52" w:rsidRDefault="001C2485" w:rsidP="005B6F52">
            <w:pPr>
              <w:pStyle w:val="ecxmsonormal"/>
              <w:widowControl/>
              <w:spacing w:before="120" w:after="0"/>
              <w:ind w:left="774" w:right="851"/>
              <w:jc w:val="both"/>
              <w:rPr>
                <w:rFonts w:ascii="Times New Roman" w:hAnsi="Times New Roman" w:cs="Times New Roman"/>
                <w:i/>
                <w:sz w:val="23"/>
                <w:szCs w:val="23"/>
                <w:lang w:val="es-ES_tradnl"/>
              </w:rPr>
            </w:pPr>
            <w:r w:rsidRPr="00B0302A">
              <w:rPr>
                <w:rFonts w:ascii="Times New Roman" w:hAnsi="Times New Roman" w:cs="Times New Roman"/>
                <w:b/>
                <w:bCs/>
                <w:i/>
                <w:sz w:val="23"/>
                <w:szCs w:val="23"/>
                <w:lang w:val="es-ES_tradnl"/>
              </w:rPr>
              <w:t>“ 1)</w:t>
            </w:r>
            <w:r w:rsidRPr="00B0302A">
              <w:rPr>
                <w:rFonts w:ascii="Times New Roman" w:hAnsi="Times New Roman" w:cs="Times New Roman"/>
                <w:i/>
                <w:sz w:val="23"/>
                <w:szCs w:val="23"/>
                <w:lang w:val="es-ES_tradnl"/>
              </w:rPr>
              <w:t xml:space="preserve"> Tener por rendido el informe Nº 80-PI-2016-B y su adición, elaborados por la Sección de Proyección Institucional de la Dirección de Planificación, relacionado con la estructura y funciones de la Unidad de Control Interno </w:t>
            </w:r>
            <w:r w:rsidRPr="00B0302A">
              <w:rPr>
                <w:rFonts w:ascii="Times New Roman" w:hAnsi="Times New Roman" w:cs="Times New Roman"/>
                <w:b/>
                <w:bCs/>
                <w:i/>
                <w:sz w:val="23"/>
                <w:szCs w:val="23"/>
                <w:lang w:val="es-ES_tradnl"/>
              </w:rPr>
              <w:t>2.)</w:t>
            </w:r>
            <w:r w:rsidRPr="00B0302A">
              <w:rPr>
                <w:rFonts w:ascii="Times New Roman" w:hAnsi="Times New Roman" w:cs="Times New Roman"/>
                <w:i/>
                <w:sz w:val="23"/>
                <w:szCs w:val="23"/>
                <w:lang w:val="es-ES_tradnl"/>
              </w:rPr>
              <w:t xml:space="preserve"> Tomar nota de las </w:t>
            </w:r>
            <w:r w:rsidRPr="00B0302A">
              <w:rPr>
                <w:rFonts w:ascii="Times New Roman" w:hAnsi="Times New Roman" w:cs="Times New Roman"/>
                <w:i/>
                <w:sz w:val="23"/>
                <w:szCs w:val="23"/>
                <w:lang w:val="es-ES_tradnl"/>
              </w:rPr>
              <w:lastRenderedPageBreak/>
              <w:t xml:space="preserve">manifestaciones de la integrante Conejo Aguilar. </w:t>
            </w:r>
            <w:r w:rsidRPr="00B0302A">
              <w:rPr>
                <w:rFonts w:ascii="Times New Roman" w:hAnsi="Times New Roman" w:cs="Times New Roman"/>
                <w:b/>
                <w:bCs/>
                <w:i/>
                <w:sz w:val="23"/>
                <w:szCs w:val="23"/>
                <w:lang w:val="es-ES_tradnl"/>
              </w:rPr>
              <w:t>3.)</w:t>
            </w:r>
            <w:r w:rsidRPr="00B0302A">
              <w:rPr>
                <w:rFonts w:ascii="Times New Roman" w:hAnsi="Times New Roman" w:cs="Times New Roman"/>
                <w:i/>
                <w:sz w:val="23"/>
                <w:szCs w:val="23"/>
                <w:lang w:val="es-ES_tradnl"/>
              </w:rPr>
              <w:t xml:space="preserve"> Acoger las recomendaciones que contiene el informe, con las siguientes modificaciones: </w:t>
            </w:r>
            <w:r w:rsidRPr="00B0302A">
              <w:rPr>
                <w:rFonts w:ascii="Times New Roman" w:hAnsi="Times New Roman" w:cs="Times New Roman"/>
                <w:b/>
                <w:bCs/>
                <w:i/>
                <w:sz w:val="23"/>
                <w:szCs w:val="23"/>
                <w:lang w:val="es-ES_tradnl"/>
              </w:rPr>
              <w:t>a)</w:t>
            </w:r>
            <w:r w:rsidRPr="00B0302A">
              <w:rPr>
                <w:rFonts w:ascii="Times New Roman" w:hAnsi="Times New Roman" w:cs="Times New Roman"/>
                <w:i/>
                <w:sz w:val="23"/>
                <w:szCs w:val="23"/>
                <w:lang w:val="es-ES_tradnl"/>
              </w:rPr>
              <w:t xml:space="preserve"> En cuanto a la recomendación 3.1.1, el tema “</w:t>
            </w:r>
            <w:r w:rsidRPr="00B0302A">
              <w:rPr>
                <w:rFonts w:ascii="Times New Roman" w:hAnsi="Times New Roman" w:cs="Times New Roman"/>
                <w:i/>
                <w:iCs/>
                <w:sz w:val="23"/>
                <w:szCs w:val="23"/>
                <w:lang w:val="es-ES_tradnl"/>
              </w:rPr>
              <w:t>Buenas Prácticas”</w:t>
            </w:r>
            <w:r w:rsidRPr="00B0302A">
              <w:rPr>
                <w:rFonts w:ascii="Times New Roman" w:hAnsi="Times New Roman" w:cs="Times New Roman"/>
                <w:i/>
                <w:sz w:val="23"/>
                <w:szCs w:val="23"/>
                <w:lang w:val="es-ES_tradnl"/>
              </w:rPr>
              <w:t xml:space="preserve">, formará parte de la Dirección de Planificación, destacada dentro de la nueva Sección que se creará en esta Oficina (dedicadas a labores de innovación), con el fin de potenciar el recurso y el tema. </w:t>
            </w:r>
            <w:r w:rsidRPr="00B0302A">
              <w:rPr>
                <w:rFonts w:ascii="Times New Roman" w:hAnsi="Times New Roman" w:cs="Times New Roman"/>
                <w:b/>
                <w:bCs/>
                <w:i/>
                <w:sz w:val="23"/>
                <w:szCs w:val="23"/>
                <w:lang w:val="es-ES_tradnl"/>
              </w:rPr>
              <w:t>b)</w:t>
            </w:r>
            <w:r w:rsidRPr="00B0302A">
              <w:rPr>
                <w:rFonts w:ascii="Times New Roman" w:hAnsi="Times New Roman" w:cs="Times New Roman"/>
                <w:i/>
                <w:sz w:val="23"/>
                <w:szCs w:val="23"/>
                <w:lang w:val="es-ES_tradnl"/>
              </w:rPr>
              <w:t xml:space="preserve"> Respecto a la recomendación 3.3.1 del nombre para la Unidad, pasará a denominarse Oficina de </w:t>
            </w:r>
            <w:r w:rsidRPr="00CE5C6A">
              <w:rPr>
                <w:rFonts w:ascii="Times New Roman" w:hAnsi="Times New Roman" w:cs="Times New Roman"/>
                <w:i/>
                <w:sz w:val="23"/>
                <w:szCs w:val="23"/>
                <w:lang w:val="es-ES_tradnl"/>
              </w:rPr>
              <w:t>Control Interno, Transparencia y Anticorrupción</w:t>
            </w:r>
            <w:r w:rsidRPr="00F36FF2">
              <w:rPr>
                <w:rFonts w:ascii="Times New Roman" w:hAnsi="Times New Roman" w:cs="Times New Roman"/>
                <w:i/>
                <w:sz w:val="23"/>
                <w:szCs w:val="23"/>
                <w:lang w:val="es-ES_tradnl"/>
              </w:rPr>
              <w:t xml:space="preserve">”. </w:t>
            </w:r>
            <w:r w:rsidRPr="00F36FF2">
              <w:rPr>
                <w:rFonts w:ascii="Times New Roman" w:hAnsi="Times New Roman" w:cs="Times New Roman"/>
                <w:b/>
                <w:bCs/>
                <w:i/>
                <w:sz w:val="23"/>
                <w:szCs w:val="23"/>
                <w:lang w:val="es-ES_tradnl"/>
              </w:rPr>
              <w:t>c)</w:t>
            </w:r>
            <w:r w:rsidRPr="00F36FF2">
              <w:rPr>
                <w:rFonts w:ascii="Times New Roman" w:hAnsi="Times New Roman" w:cs="Times New Roman"/>
                <w:i/>
                <w:sz w:val="23"/>
                <w:szCs w:val="23"/>
                <w:lang w:val="es-ES_tradnl"/>
              </w:rPr>
              <w:t xml:space="preserve"> En cuanto al punto 3.3.3 relativo a la estructura, la “Oficina de Control Interno, Transparencia y Anticorrupción”, estará conformada por dos áreas de trabajo, Control Interno y la de Transparencia y Anticorrupción y contará con cinco plazas de profesionales, cuyas funciones se encuentran descritas en el presente informe”.</w:t>
            </w:r>
          </w:p>
          <w:p w:rsidR="00AB76EA" w:rsidRDefault="00AB76EA" w:rsidP="00AB76EA">
            <w:pPr>
              <w:pStyle w:val="ecxmsonormal"/>
              <w:widowControl/>
              <w:spacing w:before="0" w:after="0"/>
              <w:jc w:val="both"/>
              <w:rPr>
                <w:rFonts w:ascii="Times New Roman" w:hAnsi="Times New Roman" w:cs="Times New Roman"/>
                <w:i/>
                <w:sz w:val="28"/>
                <w:szCs w:val="28"/>
              </w:rPr>
            </w:pPr>
          </w:p>
          <w:p w:rsidR="007E4DE7" w:rsidRDefault="005B6F52" w:rsidP="00AB76EA">
            <w:pPr>
              <w:pStyle w:val="ecxmsonormal"/>
              <w:widowControl/>
              <w:spacing w:before="0" w:after="0"/>
              <w:jc w:val="both"/>
              <w:rPr>
                <w:rFonts w:ascii="Times New Roman" w:hAnsi="Times New Roman" w:cs="Times New Roman"/>
                <w:i/>
                <w:sz w:val="28"/>
                <w:szCs w:val="28"/>
              </w:rPr>
            </w:pPr>
            <w:r>
              <w:rPr>
                <w:rFonts w:ascii="Times New Roman" w:hAnsi="Times New Roman" w:cs="Times New Roman"/>
                <w:i/>
                <w:sz w:val="28"/>
                <w:szCs w:val="28"/>
              </w:rPr>
              <w:t>Por</w:t>
            </w:r>
            <w:r w:rsidRPr="005B6F52">
              <w:rPr>
                <w:rFonts w:ascii="Times New Roman" w:hAnsi="Times New Roman" w:cs="Times New Roman"/>
                <w:i/>
                <w:sz w:val="28"/>
                <w:szCs w:val="28"/>
              </w:rPr>
              <w:t xml:space="preserve"> lo anterior</w:t>
            </w:r>
            <w:r>
              <w:rPr>
                <w:rFonts w:ascii="Times New Roman" w:hAnsi="Times New Roman" w:cs="Times New Roman"/>
                <w:i/>
                <w:sz w:val="28"/>
                <w:szCs w:val="28"/>
              </w:rPr>
              <w:t xml:space="preserve">, quedó claramente definido que la función de transparencia y </w:t>
            </w:r>
            <w:r w:rsidR="00AB76EA">
              <w:rPr>
                <w:rFonts w:ascii="Times New Roman" w:hAnsi="Times New Roman" w:cs="Times New Roman"/>
                <w:i/>
                <w:sz w:val="28"/>
                <w:szCs w:val="28"/>
              </w:rPr>
              <w:t>anti</w:t>
            </w:r>
            <w:r>
              <w:rPr>
                <w:rFonts w:ascii="Times New Roman" w:hAnsi="Times New Roman" w:cs="Times New Roman"/>
                <w:i/>
                <w:sz w:val="28"/>
                <w:szCs w:val="28"/>
              </w:rPr>
              <w:t xml:space="preserve">corrupción sería asumida por la Oficina de Control Interno, Transparencia y </w:t>
            </w:r>
            <w:r w:rsidR="00AB76EA">
              <w:rPr>
                <w:rFonts w:ascii="Times New Roman" w:hAnsi="Times New Roman" w:cs="Times New Roman"/>
                <w:i/>
                <w:sz w:val="28"/>
                <w:szCs w:val="28"/>
              </w:rPr>
              <w:t>Antic</w:t>
            </w:r>
            <w:r>
              <w:rPr>
                <w:rFonts w:ascii="Times New Roman" w:hAnsi="Times New Roman" w:cs="Times New Roman"/>
                <w:i/>
                <w:sz w:val="28"/>
                <w:szCs w:val="28"/>
              </w:rPr>
              <w:t>orrupción, con la dotación de personal asignado (cinco profesionales adscritos).</w:t>
            </w:r>
          </w:p>
          <w:p w:rsidR="00AB76EA" w:rsidRDefault="00AB76EA" w:rsidP="00AB76EA">
            <w:pPr>
              <w:pStyle w:val="ecxmsonormal"/>
              <w:widowControl/>
              <w:spacing w:before="0" w:after="0"/>
              <w:jc w:val="both"/>
              <w:rPr>
                <w:rFonts w:ascii="Times New Roman" w:hAnsi="Times New Roman" w:cs="Times New Roman"/>
                <w:i/>
                <w:sz w:val="28"/>
                <w:szCs w:val="28"/>
              </w:rPr>
            </w:pPr>
          </w:p>
          <w:p w:rsidR="005B6F52" w:rsidRDefault="005B6F52" w:rsidP="00AB76EA">
            <w:pPr>
              <w:pStyle w:val="ecxmsonormal"/>
              <w:widowControl/>
              <w:spacing w:before="0" w:after="0"/>
              <w:jc w:val="both"/>
              <w:rPr>
                <w:rFonts w:ascii="Times New Roman" w:hAnsi="Times New Roman" w:cs="Times New Roman"/>
                <w:i/>
                <w:sz w:val="28"/>
                <w:szCs w:val="28"/>
              </w:rPr>
            </w:pPr>
            <w:r>
              <w:rPr>
                <w:rFonts w:ascii="Times New Roman" w:hAnsi="Times New Roman" w:cs="Times New Roman"/>
                <w:i/>
                <w:sz w:val="28"/>
                <w:szCs w:val="28"/>
              </w:rPr>
              <w:t xml:space="preserve">Asimismo, </w:t>
            </w:r>
            <w:r w:rsidR="008531F1">
              <w:rPr>
                <w:rFonts w:ascii="Times New Roman" w:hAnsi="Times New Roman" w:cs="Times New Roman"/>
                <w:i/>
                <w:sz w:val="28"/>
                <w:szCs w:val="28"/>
              </w:rPr>
              <w:t xml:space="preserve">se confirmó que la nueva estructura de la Oficina de Control Interno, Transparencia y </w:t>
            </w:r>
            <w:r w:rsidR="00033742">
              <w:rPr>
                <w:rFonts w:ascii="Times New Roman" w:hAnsi="Times New Roman" w:cs="Times New Roman"/>
                <w:i/>
                <w:sz w:val="28"/>
                <w:szCs w:val="28"/>
              </w:rPr>
              <w:t>Anticorrupción</w:t>
            </w:r>
            <w:r w:rsidR="008531F1">
              <w:rPr>
                <w:rFonts w:ascii="Times New Roman" w:hAnsi="Times New Roman" w:cs="Times New Roman"/>
                <w:i/>
                <w:sz w:val="28"/>
                <w:szCs w:val="28"/>
              </w:rPr>
              <w:t xml:space="preserve"> entró en funcionamiento a partir del 2 de mayo del 2017, tal como lo dispuso el Consejo Superior.</w:t>
            </w:r>
          </w:p>
          <w:p w:rsidR="00AB76EA" w:rsidRDefault="00AB76EA" w:rsidP="00AB76EA">
            <w:pPr>
              <w:pStyle w:val="ecxmsonormal"/>
              <w:widowControl/>
              <w:spacing w:before="0" w:after="0"/>
              <w:jc w:val="both"/>
              <w:rPr>
                <w:rFonts w:ascii="Times New Roman" w:hAnsi="Times New Roman" w:cs="Times New Roman"/>
                <w:i/>
                <w:sz w:val="28"/>
                <w:szCs w:val="28"/>
              </w:rPr>
            </w:pPr>
          </w:p>
          <w:p w:rsidR="001C2485" w:rsidRPr="00934448" w:rsidRDefault="006D5DF4" w:rsidP="00AB76EA">
            <w:pPr>
              <w:pStyle w:val="ecxmsonormal"/>
              <w:widowControl/>
              <w:spacing w:before="0" w:after="0"/>
              <w:jc w:val="both"/>
              <w:rPr>
                <w:rFonts w:ascii="Times New Roman" w:hAnsi="Times New Roman" w:cs="Times New Roman"/>
                <w:i/>
                <w:sz w:val="28"/>
                <w:szCs w:val="28"/>
                <w:lang w:val="es-ES_tradnl"/>
              </w:rPr>
            </w:pPr>
            <w:r>
              <w:rPr>
                <w:rFonts w:ascii="Times New Roman" w:hAnsi="Times New Roman" w:cs="Times New Roman"/>
                <w:i/>
                <w:sz w:val="28"/>
                <w:szCs w:val="28"/>
              </w:rPr>
              <w:t>En cuanto al tema de</w:t>
            </w:r>
            <w:r w:rsidR="001A7E3E">
              <w:rPr>
                <w:rFonts w:ascii="Times New Roman" w:hAnsi="Times New Roman" w:cs="Times New Roman"/>
                <w:i/>
                <w:sz w:val="28"/>
                <w:szCs w:val="28"/>
              </w:rPr>
              <w:t xml:space="preserve"> “Buenas Prácticas”, se señaló</w:t>
            </w:r>
            <w:r>
              <w:rPr>
                <w:rFonts w:ascii="Times New Roman" w:hAnsi="Times New Roman" w:cs="Times New Roman"/>
                <w:i/>
                <w:sz w:val="28"/>
                <w:szCs w:val="28"/>
              </w:rPr>
              <w:t xml:space="preserve"> en</w:t>
            </w:r>
            <w:r w:rsidR="00934448">
              <w:rPr>
                <w:rFonts w:ascii="Times New Roman" w:hAnsi="Times New Roman" w:cs="Times New Roman"/>
                <w:i/>
                <w:sz w:val="28"/>
                <w:szCs w:val="28"/>
              </w:rPr>
              <w:t xml:space="preserve"> las recomendaciones formuladas por la Dirección de Planificación en los mencionados estudios (51-PI-201</w:t>
            </w:r>
            <w:r w:rsidR="00750CD4">
              <w:rPr>
                <w:rFonts w:ascii="Times New Roman" w:hAnsi="Times New Roman" w:cs="Times New Roman"/>
                <w:i/>
                <w:sz w:val="28"/>
                <w:szCs w:val="28"/>
              </w:rPr>
              <w:t>5-B y 80-PI-2016-B),</w:t>
            </w:r>
            <w:r w:rsidR="00934448">
              <w:rPr>
                <w:rFonts w:ascii="Times New Roman" w:hAnsi="Times New Roman" w:cs="Times New Roman"/>
                <w:i/>
                <w:sz w:val="28"/>
                <w:szCs w:val="28"/>
              </w:rPr>
              <w:t xml:space="preserve"> lo siguiente:</w:t>
            </w:r>
          </w:p>
          <w:p w:rsidR="00285BBE" w:rsidRPr="00B0302A" w:rsidRDefault="00934448" w:rsidP="00934448">
            <w:pPr>
              <w:pStyle w:val="NormalWeb"/>
              <w:spacing w:before="120" w:after="0"/>
              <w:ind w:left="774" w:right="851"/>
              <w:jc w:val="both"/>
              <w:rPr>
                <w:sz w:val="23"/>
                <w:szCs w:val="23"/>
                <w:lang w:val="es-ES_tradnl"/>
              </w:rPr>
            </w:pPr>
            <w:r w:rsidRPr="00B0302A">
              <w:rPr>
                <w:sz w:val="23"/>
                <w:szCs w:val="23"/>
                <w:lang w:val="es-ES_tradnl"/>
              </w:rPr>
              <w:t xml:space="preserve"> </w:t>
            </w:r>
            <w:r w:rsidR="00285BBE" w:rsidRPr="00B0302A">
              <w:rPr>
                <w:sz w:val="23"/>
                <w:szCs w:val="23"/>
                <w:lang w:val="es-ES_tradnl"/>
              </w:rPr>
              <w:t>“</w:t>
            </w:r>
            <w:r w:rsidR="00285BBE" w:rsidRPr="00B0302A">
              <w:rPr>
                <w:i/>
                <w:sz w:val="23"/>
                <w:szCs w:val="23"/>
                <w:lang w:val="es-ES_tradnl"/>
              </w:rPr>
              <w:t xml:space="preserve">3.1.1 </w:t>
            </w:r>
            <w:r w:rsidR="00285BBE" w:rsidRPr="00B0302A">
              <w:rPr>
                <w:b/>
                <w:i/>
                <w:sz w:val="23"/>
                <w:szCs w:val="23"/>
                <w:lang w:val="es-ES_tradnl"/>
              </w:rPr>
              <w:t>El tema “Buenas Prácticas”</w:t>
            </w:r>
            <w:r w:rsidR="00285BBE" w:rsidRPr="00B0302A">
              <w:rPr>
                <w:i/>
                <w:sz w:val="23"/>
                <w:szCs w:val="23"/>
                <w:lang w:val="es-ES_tradnl"/>
              </w:rPr>
              <w:t xml:space="preserve"> </w:t>
            </w:r>
            <w:r w:rsidR="00285BBE" w:rsidRPr="00B0302A">
              <w:rPr>
                <w:b/>
                <w:i/>
                <w:sz w:val="23"/>
                <w:szCs w:val="23"/>
                <w:lang w:val="es-ES_tradnl"/>
              </w:rPr>
              <w:t>y la persona que asume actualmente esa tarea, formará parte de la Dirección de Planificación</w:t>
            </w:r>
            <w:r w:rsidR="00285BBE" w:rsidRPr="00B0302A">
              <w:rPr>
                <w:i/>
                <w:sz w:val="23"/>
                <w:szCs w:val="23"/>
                <w:lang w:val="es-ES_tradnl"/>
              </w:rPr>
              <w:t>, destacada dentro de la nueva Sección que se creará en esta Oficina (dedicadas a labores de innovación), con el fin de potenciar el recurso y el tema</w:t>
            </w:r>
            <w:r w:rsidR="00285BBE" w:rsidRPr="00B0302A">
              <w:rPr>
                <w:sz w:val="23"/>
                <w:szCs w:val="23"/>
                <w:lang w:val="es-ES_tradnl"/>
              </w:rPr>
              <w:t>”. (LA NEGRITA NO ES DEL ORIGINAL)</w:t>
            </w:r>
          </w:p>
          <w:p w:rsidR="002B6CAE" w:rsidRPr="006D5DF4" w:rsidRDefault="00285BBE" w:rsidP="004411BC">
            <w:pPr>
              <w:pStyle w:val="NormalWeb"/>
              <w:spacing w:before="120" w:after="0"/>
              <w:jc w:val="both"/>
              <w:rPr>
                <w:i/>
                <w:sz w:val="28"/>
                <w:szCs w:val="28"/>
              </w:rPr>
            </w:pPr>
            <w:r w:rsidRPr="006D5DF4">
              <w:rPr>
                <w:i/>
                <w:sz w:val="28"/>
                <w:szCs w:val="28"/>
              </w:rPr>
              <w:t xml:space="preserve">Al comparar esta recomendación con lo dispuesto por el Consejo Superior en la sesión N° 34-17, artículo LXIX, se observa que el Órgano Superior avaló el traslado de las funciones asociadas con ese tema a la Dirección de Planificación, pero no a </w:t>
            </w:r>
            <w:r w:rsidR="001A38B8">
              <w:rPr>
                <w:i/>
                <w:sz w:val="28"/>
                <w:szCs w:val="28"/>
              </w:rPr>
              <w:t>la persona que asumía las funciones de</w:t>
            </w:r>
            <w:r w:rsidRPr="006D5DF4">
              <w:rPr>
                <w:i/>
                <w:sz w:val="28"/>
                <w:szCs w:val="28"/>
              </w:rPr>
              <w:t xml:space="preserve"> “Buenas Prácticas”, por lo que el puesto </w:t>
            </w:r>
            <w:r w:rsidRPr="006D5DF4">
              <w:rPr>
                <w:i/>
                <w:sz w:val="28"/>
                <w:szCs w:val="28"/>
              </w:rPr>
              <w:lastRenderedPageBreak/>
              <w:t>respectivo contin</w:t>
            </w:r>
            <w:r w:rsidR="00AB76EA">
              <w:rPr>
                <w:i/>
                <w:sz w:val="28"/>
                <w:szCs w:val="28"/>
              </w:rPr>
              <w:t>uó</w:t>
            </w:r>
            <w:r w:rsidRPr="006D5DF4">
              <w:rPr>
                <w:i/>
                <w:sz w:val="28"/>
                <w:szCs w:val="28"/>
              </w:rPr>
              <w:t xml:space="preserve"> destacado en la Oficina de Control Interno, Transparencia y Anticorrupción</w:t>
            </w:r>
            <w:r w:rsidR="00AB76EA">
              <w:rPr>
                <w:i/>
                <w:sz w:val="28"/>
                <w:szCs w:val="28"/>
              </w:rPr>
              <w:t>, condición que se mantiene a la fecha</w:t>
            </w:r>
            <w:r w:rsidRPr="006D5DF4">
              <w:rPr>
                <w:i/>
                <w:sz w:val="28"/>
                <w:szCs w:val="28"/>
              </w:rPr>
              <w:t>.</w:t>
            </w:r>
          </w:p>
          <w:p w:rsidR="009E587E" w:rsidRDefault="00285BBE" w:rsidP="009E587E">
            <w:pPr>
              <w:pStyle w:val="NormalWeb"/>
              <w:jc w:val="both"/>
              <w:rPr>
                <w:i/>
                <w:sz w:val="28"/>
                <w:szCs w:val="28"/>
              </w:rPr>
            </w:pPr>
            <w:r w:rsidRPr="00EC7847">
              <w:rPr>
                <w:i/>
                <w:sz w:val="28"/>
                <w:szCs w:val="28"/>
              </w:rPr>
              <w:t>Esa situación ha generado recargos en las labores definidas para el Subproceso de Planificación Estratégica que asumió las labores de “Buenas Prácticas”, por tratarse de funciones no contempladas en su oportunidad dentro de la propuesta de Rediseño de Procesos de la Dirección de Planificación</w:t>
            </w:r>
            <w:r w:rsidRPr="00C73ED6">
              <w:rPr>
                <w:i/>
                <w:sz w:val="28"/>
                <w:szCs w:val="28"/>
                <w:vertAlign w:val="superscript"/>
              </w:rPr>
              <w:footnoteReference w:id="4"/>
            </w:r>
            <w:r w:rsidRPr="00EC7847">
              <w:rPr>
                <w:i/>
                <w:sz w:val="28"/>
                <w:szCs w:val="28"/>
              </w:rPr>
              <w:t>, avalada por el Consejo Superior en la sesión 95-16 del 13 de octubre de 2016, artículo LXII</w:t>
            </w:r>
            <w:r w:rsidRPr="00310B94">
              <w:rPr>
                <w:i/>
                <w:sz w:val="28"/>
                <w:szCs w:val="28"/>
                <w:vertAlign w:val="superscript"/>
              </w:rPr>
              <w:footnoteReference w:id="5"/>
            </w:r>
            <w:r w:rsidRPr="00EC7847">
              <w:rPr>
                <w:i/>
                <w:sz w:val="28"/>
                <w:szCs w:val="28"/>
              </w:rPr>
              <w:t>.</w:t>
            </w:r>
          </w:p>
          <w:p w:rsidR="00DC4083" w:rsidRDefault="00971DDE" w:rsidP="009E587E">
            <w:pPr>
              <w:pStyle w:val="NormalWeb"/>
              <w:jc w:val="both"/>
              <w:rPr>
                <w:i/>
                <w:sz w:val="28"/>
                <w:szCs w:val="28"/>
              </w:rPr>
            </w:pPr>
            <w:r w:rsidRPr="009E587E">
              <w:rPr>
                <w:i/>
                <w:sz w:val="28"/>
                <w:szCs w:val="28"/>
              </w:rPr>
              <w:t xml:space="preserve">Con base en la información consignada en los puntos </w:t>
            </w:r>
            <w:r w:rsidR="009E587E" w:rsidRPr="009E587E">
              <w:rPr>
                <w:i/>
                <w:sz w:val="28"/>
                <w:szCs w:val="28"/>
              </w:rPr>
              <w:t>anteriores</w:t>
            </w:r>
            <w:r w:rsidRPr="009E587E">
              <w:rPr>
                <w:i/>
                <w:sz w:val="28"/>
                <w:szCs w:val="28"/>
              </w:rPr>
              <w:t>, la D</w:t>
            </w:r>
            <w:r w:rsidR="009E587E">
              <w:rPr>
                <w:i/>
                <w:sz w:val="28"/>
                <w:szCs w:val="28"/>
              </w:rPr>
              <w:t>irección de Planificación estimó</w:t>
            </w:r>
            <w:r w:rsidRPr="009E587E">
              <w:rPr>
                <w:i/>
                <w:sz w:val="28"/>
                <w:szCs w:val="28"/>
              </w:rPr>
              <w:t xml:space="preserve"> que no </w:t>
            </w:r>
            <w:r w:rsidR="00AB76EA">
              <w:rPr>
                <w:i/>
                <w:sz w:val="28"/>
                <w:szCs w:val="28"/>
              </w:rPr>
              <w:t>era</w:t>
            </w:r>
            <w:r w:rsidRPr="009E587E">
              <w:rPr>
                <w:i/>
                <w:sz w:val="28"/>
                <w:szCs w:val="28"/>
              </w:rPr>
              <w:t xml:space="preserve"> necesario darle continuidad al permiso con goce de salario avalado por el Consejo Superior en la sesión 113-16 del 20 de diciembre del 2016, artículo LXI, para apoyar a la Comisión de Transparencia</w:t>
            </w:r>
            <w:r w:rsidR="00AB76EA">
              <w:rPr>
                <w:i/>
                <w:sz w:val="28"/>
                <w:szCs w:val="28"/>
              </w:rPr>
              <w:t xml:space="preserve"> y Anticorrupción</w:t>
            </w:r>
            <w:r w:rsidRPr="009E587E">
              <w:rPr>
                <w:i/>
                <w:sz w:val="28"/>
                <w:szCs w:val="28"/>
              </w:rPr>
              <w:t>, por cuanto quedó claramente definido en la sesión 34-17 del 5 de abril del 2017</w:t>
            </w:r>
            <w:r w:rsidR="00AB76EA">
              <w:rPr>
                <w:i/>
                <w:sz w:val="28"/>
                <w:szCs w:val="28"/>
              </w:rPr>
              <w:t>,</w:t>
            </w:r>
            <w:r w:rsidRPr="009E587E">
              <w:rPr>
                <w:i/>
                <w:sz w:val="28"/>
                <w:szCs w:val="28"/>
              </w:rPr>
              <w:t xml:space="preserve"> artículo LXIX, que ese tema sería atendido con el personal profesional destacado en la Oficina de Control Interno, Transparencia y Anticorrupción (cinco profesionales).</w:t>
            </w:r>
          </w:p>
          <w:p w:rsidR="00DC4083" w:rsidRPr="00DC4083" w:rsidRDefault="0094437F" w:rsidP="00DC4083">
            <w:pPr>
              <w:pStyle w:val="NormalWeb"/>
              <w:spacing w:before="120" w:after="0"/>
              <w:jc w:val="both"/>
              <w:rPr>
                <w:i/>
                <w:sz w:val="28"/>
                <w:szCs w:val="28"/>
              </w:rPr>
            </w:pPr>
            <w:r>
              <w:rPr>
                <w:i/>
                <w:sz w:val="28"/>
                <w:szCs w:val="28"/>
              </w:rPr>
              <w:t>Finalmente</w:t>
            </w:r>
            <w:r w:rsidR="00DC4083" w:rsidRPr="00DC4083">
              <w:rPr>
                <w:i/>
                <w:sz w:val="28"/>
                <w:szCs w:val="28"/>
              </w:rPr>
              <w:t>,</w:t>
            </w:r>
            <w:r>
              <w:rPr>
                <w:i/>
                <w:sz w:val="28"/>
                <w:szCs w:val="28"/>
              </w:rPr>
              <w:t xml:space="preserve"> en el </w:t>
            </w:r>
            <w:r w:rsidRPr="0094437F">
              <w:rPr>
                <w:bCs/>
                <w:i/>
                <w:sz w:val="28"/>
                <w:szCs w:val="28"/>
              </w:rPr>
              <w:t>Informe 125-OI-2017</w:t>
            </w:r>
            <w:r>
              <w:rPr>
                <w:bCs/>
                <w:i/>
                <w:sz w:val="28"/>
                <w:szCs w:val="28"/>
              </w:rPr>
              <w:t>,</w:t>
            </w:r>
            <w:r>
              <w:rPr>
                <w:b/>
                <w:bCs/>
                <w:i/>
                <w:sz w:val="28"/>
                <w:szCs w:val="28"/>
              </w:rPr>
              <w:t xml:space="preserve"> </w:t>
            </w:r>
            <w:r w:rsidRPr="0094437F">
              <w:rPr>
                <w:bCs/>
                <w:i/>
                <w:sz w:val="28"/>
                <w:szCs w:val="28"/>
              </w:rPr>
              <w:t>se</w:t>
            </w:r>
            <w:r>
              <w:rPr>
                <w:i/>
                <w:sz w:val="28"/>
                <w:szCs w:val="28"/>
              </w:rPr>
              <w:t xml:space="preserve"> evidenció</w:t>
            </w:r>
            <w:r w:rsidR="00DC4083" w:rsidRPr="00DC4083">
              <w:rPr>
                <w:i/>
                <w:sz w:val="28"/>
                <w:szCs w:val="28"/>
              </w:rPr>
              <w:t xml:space="preserve"> que el traslado del tema de “Buenas Prácticas” a la Dirección de Planificación no fue acompañado del respectivo puesto profesional que las asumía</w:t>
            </w:r>
            <w:r w:rsidR="00892181">
              <w:rPr>
                <w:i/>
                <w:sz w:val="28"/>
                <w:szCs w:val="28"/>
              </w:rPr>
              <w:t xml:space="preserve"> en la citada Oficina, </w:t>
            </w:r>
            <w:r w:rsidR="00AB76EA">
              <w:rPr>
                <w:i/>
                <w:sz w:val="28"/>
                <w:szCs w:val="28"/>
              </w:rPr>
              <w:t xml:space="preserve">por lo que </w:t>
            </w:r>
            <w:r w:rsidR="00892181">
              <w:rPr>
                <w:i/>
                <w:sz w:val="28"/>
                <w:szCs w:val="28"/>
              </w:rPr>
              <w:t>se estimó</w:t>
            </w:r>
            <w:r w:rsidR="00DC4083" w:rsidRPr="00DC4083">
              <w:rPr>
                <w:i/>
                <w:sz w:val="28"/>
                <w:szCs w:val="28"/>
              </w:rPr>
              <w:t xml:space="preserve"> pertinente retomar lo indicado en el informe 51-PI-2015-B a efecto de que, en el momento que exist</w:t>
            </w:r>
            <w:r w:rsidR="00AB76EA">
              <w:rPr>
                <w:i/>
                <w:sz w:val="28"/>
                <w:szCs w:val="28"/>
              </w:rPr>
              <w:t>ier</w:t>
            </w:r>
            <w:r w:rsidR="00DC4083" w:rsidRPr="00DC4083">
              <w:rPr>
                <w:i/>
                <w:sz w:val="28"/>
                <w:szCs w:val="28"/>
              </w:rPr>
              <w:t>an recursos institucionales disponibles, se autori</w:t>
            </w:r>
            <w:r w:rsidR="00AB76EA">
              <w:rPr>
                <w:i/>
                <w:sz w:val="28"/>
                <w:szCs w:val="28"/>
              </w:rPr>
              <w:t>zara</w:t>
            </w:r>
            <w:r w:rsidR="00DC4083" w:rsidRPr="00DC4083">
              <w:rPr>
                <w:i/>
                <w:sz w:val="28"/>
                <w:szCs w:val="28"/>
              </w:rPr>
              <w:t xml:space="preserve"> la incorporación de una plaza de Profesional 2 al Subproceso de Planificación Estratégica de esta Dirección, la cual se encargaría de la atención de esas labores.</w:t>
            </w:r>
          </w:p>
          <w:p w:rsidR="005B3F8F" w:rsidRDefault="00AB76EA" w:rsidP="007467D0">
            <w:pPr>
              <w:pStyle w:val="NormalWeb"/>
              <w:spacing w:before="120" w:after="0"/>
              <w:jc w:val="both"/>
              <w:rPr>
                <w:i/>
                <w:sz w:val="28"/>
                <w:szCs w:val="28"/>
              </w:rPr>
            </w:pPr>
            <w:r>
              <w:rPr>
                <w:i/>
                <w:sz w:val="28"/>
                <w:szCs w:val="28"/>
              </w:rPr>
              <w:t xml:space="preserve">Asimismo, se consignó que en el </w:t>
            </w:r>
            <w:r w:rsidR="00DC4083" w:rsidRPr="00DC4083">
              <w:rPr>
                <w:i/>
                <w:sz w:val="28"/>
                <w:szCs w:val="28"/>
              </w:rPr>
              <w:t>tanto no exist</w:t>
            </w:r>
            <w:r>
              <w:rPr>
                <w:i/>
                <w:sz w:val="28"/>
                <w:szCs w:val="28"/>
              </w:rPr>
              <w:t>ier</w:t>
            </w:r>
            <w:r w:rsidR="00DC4083" w:rsidRPr="00DC4083">
              <w:rPr>
                <w:i/>
                <w:sz w:val="28"/>
                <w:szCs w:val="28"/>
              </w:rPr>
              <w:t xml:space="preserve">an las condiciones </w:t>
            </w:r>
            <w:r w:rsidR="00DC4083" w:rsidRPr="001744ED">
              <w:rPr>
                <w:i/>
                <w:sz w:val="28"/>
                <w:szCs w:val="28"/>
              </w:rPr>
              <w:t xml:space="preserve">presupuestarias adecuadas para asignar el puesto indicado, el </w:t>
            </w:r>
            <w:r w:rsidR="00DC4083" w:rsidRPr="001906B5">
              <w:rPr>
                <w:i/>
                <w:sz w:val="28"/>
                <w:szCs w:val="28"/>
              </w:rPr>
              <w:t xml:space="preserve">personal asignado al Subproceso de Planificación Estratégica </w:t>
            </w:r>
            <w:r w:rsidR="00DC4083" w:rsidRPr="001906B5">
              <w:rPr>
                <w:i/>
                <w:sz w:val="28"/>
                <w:szCs w:val="28"/>
              </w:rPr>
              <w:lastRenderedPageBreak/>
              <w:t>continuar</w:t>
            </w:r>
            <w:r w:rsidRPr="001906B5">
              <w:rPr>
                <w:i/>
                <w:sz w:val="28"/>
                <w:szCs w:val="28"/>
              </w:rPr>
              <w:t>ía</w:t>
            </w:r>
            <w:r w:rsidR="00DC4083" w:rsidRPr="001906B5">
              <w:rPr>
                <w:i/>
                <w:sz w:val="28"/>
                <w:szCs w:val="28"/>
              </w:rPr>
              <w:t xml:space="preserve"> con el recargo del tema de “Buenas Prácticas”.</w:t>
            </w:r>
            <w:r w:rsidR="00DC4083" w:rsidRPr="00DC4083">
              <w:rPr>
                <w:i/>
                <w:sz w:val="28"/>
                <w:szCs w:val="28"/>
              </w:rPr>
              <w:t xml:space="preserve"> </w:t>
            </w:r>
          </w:p>
          <w:p w:rsidR="004B1E87" w:rsidRPr="007467D0" w:rsidRDefault="005B3F8F" w:rsidP="00862DC0">
            <w:pPr>
              <w:jc w:val="both"/>
              <w:rPr>
                <w:b/>
                <w:i/>
                <w:sz w:val="28"/>
                <w:szCs w:val="28"/>
                <w:lang w:val="es-CR" w:eastAsia="es-CR"/>
              </w:rPr>
            </w:pPr>
            <w:r w:rsidRPr="005B3F8F">
              <w:rPr>
                <w:b/>
                <w:i/>
                <w:sz w:val="28"/>
                <w:szCs w:val="28"/>
                <w:lang w:val="es-CR" w:eastAsia="es-CR"/>
              </w:rPr>
              <w:t>3</w:t>
            </w:r>
            <w:r w:rsidRPr="004B1E87">
              <w:rPr>
                <w:b/>
                <w:i/>
                <w:sz w:val="28"/>
                <w:szCs w:val="28"/>
                <w:lang w:val="es-CR" w:eastAsia="es-CR"/>
              </w:rPr>
              <w:t>.</w:t>
            </w:r>
            <w:r w:rsidR="004B1E87" w:rsidRPr="004B1E87">
              <w:rPr>
                <w:b/>
                <w:i/>
                <w:sz w:val="28"/>
                <w:szCs w:val="28"/>
                <w:lang w:val="es-CR" w:eastAsia="es-CR"/>
              </w:rPr>
              <w:t>3</w:t>
            </w:r>
            <w:r w:rsidRPr="00E03888">
              <w:rPr>
                <w:b/>
                <w:i/>
                <w:sz w:val="28"/>
                <w:szCs w:val="28"/>
                <w:lang w:val="es-CR" w:eastAsia="es-CR"/>
              </w:rPr>
              <w:t>.</w:t>
            </w:r>
            <w:r w:rsidR="004B1E87" w:rsidRPr="00E03888">
              <w:rPr>
                <w:b/>
                <w:i/>
                <w:sz w:val="28"/>
                <w:szCs w:val="28"/>
                <w:lang w:val="es-CR" w:eastAsia="es-CR"/>
              </w:rPr>
              <w:t>-</w:t>
            </w:r>
            <w:r w:rsidRPr="00E03888">
              <w:rPr>
                <w:b/>
                <w:i/>
                <w:sz w:val="28"/>
                <w:szCs w:val="28"/>
                <w:lang w:val="es-CR" w:eastAsia="es-CR"/>
              </w:rPr>
              <w:t xml:space="preserve"> </w:t>
            </w:r>
            <w:r w:rsidR="004B1E87" w:rsidRPr="00E03888">
              <w:rPr>
                <w:b/>
                <w:i/>
                <w:sz w:val="28"/>
                <w:szCs w:val="28"/>
                <w:lang w:val="es-CR" w:eastAsia="es-CR"/>
              </w:rPr>
              <w:t>Medidas para la Contención del Gasto en el Poder Judicial</w:t>
            </w:r>
          </w:p>
          <w:p w:rsidR="00AB76EA" w:rsidRDefault="00AB76EA">
            <w:pPr>
              <w:jc w:val="both"/>
              <w:rPr>
                <w:i/>
                <w:sz w:val="28"/>
                <w:szCs w:val="28"/>
                <w:lang w:val="es-CR" w:eastAsia="es-CR"/>
              </w:rPr>
            </w:pPr>
          </w:p>
          <w:p w:rsidR="005B3F8F" w:rsidRPr="005B3F8F" w:rsidRDefault="00386194">
            <w:pPr>
              <w:jc w:val="both"/>
              <w:rPr>
                <w:i/>
                <w:sz w:val="28"/>
                <w:szCs w:val="28"/>
                <w:lang w:val="es-CR" w:eastAsia="es-CR"/>
              </w:rPr>
            </w:pPr>
            <w:r>
              <w:rPr>
                <w:i/>
                <w:sz w:val="28"/>
                <w:szCs w:val="28"/>
                <w:lang w:val="es-CR" w:eastAsia="es-CR"/>
              </w:rPr>
              <w:t>L</w:t>
            </w:r>
            <w:r w:rsidR="005B3F8F" w:rsidRPr="005B3F8F">
              <w:rPr>
                <w:i/>
                <w:sz w:val="28"/>
                <w:szCs w:val="28"/>
                <w:lang w:val="es-CR" w:eastAsia="es-CR"/>
              </w:rPr>
              <w:t>a Corte Plena en la sesión 27-17 del 21 de agosto del 2017, artículo XVI, aprobó el punto primero de las “</w:t>
            </w:r>
            <w:r w:rsidR="005B3F8F" w:rsidRPr="00A711C4">
              <w:rPr>
                <w:b/>
                <w:i/>
                <w:sz w:val="28"/>
                <w:szCs w:val="28"/>
                <w:lang w:val="es-CR" w:eastAsia="es-CR"/>
              </w:rPr>
              <w:t>Medidas de Adopción Inmediata</w:t>
            </w:r>
            <w:r w:rsidR="005B3F8F" w:rsidRPr="005B3F8F">
              <w:rPr>
                <w:i/>
                <w:sz w:val="28"/>
                <w:szCs w:val="28"/>
                <w:lang w:val="es-CR" w:eastAsia="es-CR"/>
              </w:rPr>
              <w:t>” contenido en el informe de las Medidas para la Contención del Gasto en el Poder Judicial, en los siguientes términos:</w:t>
            </w:r>
          </w:p>
          <w:p w:rsidR="005B3F8F" w:rsidRDefault="005B3F8F">
            <w:pPr>
              <w:rPr>
                <w:rFonts w:ascii="Book Antiqua" w:hAnsi="Book Antiqua" w:cs="Book Antiqua"/>
                <w:lang w:val="es-CR"/>
              </w:rPr>
            </w:pPr>
          </w:p>
          <w:p w:rsidR="005B3F8F" w:rsidRDefault="005B3F8F" w:rsidP="00742557">
            <w:pPr>
              <w:ind w:left="709" w:right="861"/>
              <w:jc w:val="both"/>
              <w:rPr>
                <w:i/>
                <w:sz w:val="28"/>
                <w:szCs w:val="28"/>
                <w:lang w:val="es-CR"/>
              </w:rPr>
            </w:pPr>
            <w:r w:rsidRPr="00DC3805">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2D145B" w:rsidRPr="00DC3805" w:rsidRDefault="002D145B">
            <w:pPr>
              <w:ind w:left="709" w:right="618"/>
              <w:jc w:val="both"/>
              <w:rPr>
                <w:i/>
                <w:sz w:val="28"/>
                <w:szCs w:val="28"/>
                <w:lang w:val="es-CR"/>
              </w:rPr>
            </w:pPr>
          </w:p>
          <w:p w:rsidR="00391E8D" w:rsidRDefault="002D145B" w:rsidP="007467D0">
            <w:pPr>
              <w:pStyle w:val="Prrafodelista"/>
              <w:spacing w:before="0" w:beforeAutospacing="0" w:after="0" w:afterAutospacing="0"/>
              <w:jc w:val="both"/>
              <w:rPr>
                <w:i/>
                <w:sz w:val="28"/>
                <w:szCs w:val="28"/>
              </w:rPr>
            </w:pPr>
            <w:r>
              <w:rPr>
                <w:i/>
                <w:color w:val="000000"/>
                <w:sz w:val="28"/>
                <w:szCs w:val="28"/>
                <w:lang w:eastAsia="es-ES"/>
              </w:rPr>
              <w:t xml:space="preserve">Este tema fue incorporado dentro de las </w:t>
            </w:r>
            <w:r w:rsidRPr="00857403">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AB76EA" w:rsidRPr="00391E8D" w:rsidRDefault="00AB76EA" w:rsidP="007467D0">
            <w:pPr>
              <w:pStyle w:val="Prrafodelista"/>
              <w:spacing w:before="0" w:beforeAutospacing="0" w:after="0" w:afterAutospacing="0"/>
              <w:jc w:val="both"/>
              <w:rPr>
                <w:i/>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87079B" w:rsidRDefault="00A4667A" w:rsidP="00930675">
            <w:pPr>
              <w:widowControl w:val="0"/>
              <w:jc w:val="both"/>
              <w:rPr>
                <w:i/>
                <w:color w:val="000000"/>
                <w:sz w:val="28"/>
                <w:szCs w:val="28"/>
              </w:rPr>
            </w:pPr>
            <w:r w:rsidRPr="00316FB2">
              <w:rPr>
                <w:b/>
                <w:i/>
                <w:color w:val="000000"/>
                <w:sz w:val="28"/>
                <w:szCs w:val="28"/>
              </w:rPr>
              <w:t>4.1.-</w:t>
            </w:r>
            <w:r w:rsidRPr="00EF4D1A">
              <w:rPr>
                <w:i/>
                <w:color w:val="000000"/>
                <w:sz w:val="28"/>
                <w:szCs w:val="28"/>
              </w:rPr>
              <w:t xml:space="preserve"> </w:t>
            </w:r>
            <w:r w:rsidR="0087079B">
              <w:rPr>
                <w:i/>
                <w:color w:val="000000"/>
                <w:sz w:val="28"/>
                <w:szCs w:val="28"/>
              </w:rPr>
              <w:t>El Permiso con goce de salario y sustitución de un Profesional en Control Interno, se concedió para apoyar a la Comisión de Transparencia y Anticorrupción</w:t>
            </w:r>
            <w:r w:rsidR="00917516">
              <w:rPr>
                <w:i/>
                <w:color w:val="000000"/>
                <w:sz w:val="28"/>
                <w:szCs w:val="28"/>
              </w:rPr>
              <w:t>.</w:t>
            </w:r>
            <w:r w:rsidR="00BF2C1C">
              <w:rPr>
                <w:i/>
                <w:color w:val="000000"/>
                <w:sz w:val="28"/>
                <w:szCs w:val="28"/>
              </w:rPr>
              <w:t xml:space="preserve"> </w:t>
            </w:r>
            <w:r w:rsidR="00C86B4E">
              <w:rPr>
                <w:i/>
                <w:color w:val="000000"/>
                <w:sz w:val="28"/>
                <w:szCs w:val="28"/>
              </w:rPr>
              <w:t xml:space="preserve">Por su </w:t>
            </w:r>
            <w:r w:rsidR="00CB2356">
              <w:rPr>
                <w:i/>
                <w:color w:val="000000"/>
                <w:sz w:val="28"/>
                <w:szCs w:val="28"/>
              </w:rPr>
              <w:t>parte, la</w:t>
            </w:r>
            <w:r w:rsidR="00BF2C1C">
              <w:rPr>
                <w:i/>
                <w:color w:val="000000"/>
                <w:sz w:val="28"/>
                <w:szCs w:val="28"/>
              </w:rPr>
              <w:t xml:space="preserve"> plaza de Profesional 2</w:t>
            </w:r>
            <w:r w:rsidR="00F217AA">
              <w:rPr>
                <w:i/>
                <w:color w:val="000000"/>
                <w:sz w:val="28"/>
                <w:szCs w:val="28"/>
              </w:rPr>
              <w:t xml:space="preserve"> en la Dirección de Planificación, </w:t>
            </w:r>
            <w:r w:rsidR="00C86B4E">
              <w:rPr>
                <w:i/>
                <w:color w:val="000000"/>
                <w:sz w:val="28"/>
                <w:szCs w:val="28"/>
              </w:rPr>
              <w:t xml:space="preserve">es </w:t>
            </w:r>
            <w:r w:rsidR="00F217AA">
              <w:rPr>
                <w:i/>
                <w:color w:val="000000"/>
                <w:sz w:val="28"/>
                <w:szCs w:val="28"/>
              </w:rPr>
              <w:t>para asum</w:t>
            </w:r>
            <w:r w:rsidR="00C86B4E">
              <w:rPr>
                <w:i/>
                <w:color w:val="000000"/>
                <w:sz w:val="28"/>
                <w:szCs w:val="28"/>
              </w:rPr>
              <w:t>ir</w:t>
            </w:r>
            <w:r w:rsidR="00F217AA">
              <w:rPr>
                <w:i/>
                <w:color w:val="000000"/>
                <w:sz w:val="28"/>
                <w:szCs w:val="28"/>
              </w:rPr>
              <w:t xml:space="preserve"> el tema de “Buenas Prácticas”</w:t>
            </w:r>
            <w:r w:rsidR="00C86B4E">
              <w:rPr>
                <w:i/>
                <w:color w:val="000000"/>
                <w:sz w:val="28"/>
                <w:szCs w:val="28"/>
              </w:rPr>
              <w:t xml:space="preserve"> que fue trasladado por decisión del Consejo Superior</w:t>
            </w:r>
            <w:r w:rsidR="00F217AA">
              <w:rPr>
                <w:i/>
                <w:color w:val="000000"/>
                <w:sz w:val="28"/>
                <w:szCs w:val="28"/>
              </w:rPr>
              <w:t>.</w:t>
            </w:r>
          </w:p>
          <w:p w:rsidR="00F55E3C" w:rsidRDefault="00F55E3C" w:rsidP="00930675">
            <w:pPr>
              <w:widowControl w:val="0"/>
              <w:jc w:val="both"/>
              <w:rPr>
                <w:i/>
                <w:color w:val="000000"/>
                <w:sz w:val="28"/>
                <w:szCs w:val="28"/>
              </w:rPr>
            </w:pPr>
          </w:p>
          <w:p w:rsidR="00930675" w:rsidRPr="006F20C7" w:rsidRDefault="006F20C7" w:rsidP="00930675">
            <w:pPr>
              <w:widowControl w:val="0"/>
              <w:jc w:val="both"/>
              <w:rPr>
                <w:i/>
                <w:color w:val="000000"/>
                <w:sz w:val="28"/>
                <w:szCs w:val="28"/>
              </w:rPr>
            </w:pPr>
            <w:r>
              <w:rPr>
                <w:b/>
                <w:i/>
                <w:color w:val="000000"/>
                <w:sz w:val="28"/>
                <w:szCs w:val="28"/>
              </w:rPr>
              <w:t>4.2</w:t>
            </w:r>
            <w:r w:rsidRPr="00316FB2">
              <w:rPr>
                <w:b/>
                <w:i/>
                <w:color w:val="000000"/>
                <w:sz w:val="28"/>
                <w:szCs w:val="28"/>
              </w:rPr>
              <w:t>.-</w:t>
            </w:r>
            <w:r>
              <w:rPr>
                <w:i/>
                <w:color w:val="000000"/>
                <w:sz w:val="28"/>
                <w:szCs w:val="28"/>
              </w:rPr>
              <w:t xml:space="preserve"> </w:t>
            </w:r>
            <w:r w:rsidR="00930675">
              <w:rPr>
                <w:i/>
                <w:color w:val="000000"/>
                <w:sz w:val="28"/>
                <w:szCs w:val="28"/>
              </w:rPr>
              <w:t>E</w:t>
            </w:r>
            <w:r w:rsidR="00930675" w:rsidRPr="006F63CB">
              <w:rPr>
                <w:i/>
                <w:sz w:val="28"/>
                <w:szCs w:val="28"/>
              </w:rPr>
              <w:t xml:space="preserve">l Consejo Superior en la sesión </w:t>
            </w:r>
            <w:r w:rsidR="00202494">
              <w:rPr>
                <w:i/>
                <w:sz w:val="28"/>
                <w:szCs w:val="28"/>
              </w:rPr>
              <w:t>4</w:t>
            </w:r>
            <w:r w:rsidR="00930675" w:rsidRPr="006F63CB">
              <w:rPr>
                <w:i/>
                <w:sz w:val="28"/>
                <w:szCs w:val="28"/>
              </w:rPr>
              <w:t>-1</w:t>
            </w:r>
            <w:r w:rsidR="00202494">
              <w:rPr>
                <w:i/>
                <w:sz w:val="28"/>
                <w:szCs w:val="28"/>
              </w:rPr>
              <w:t>8</w:t>
            </w:r>
            <w:r w:rsidR="00930675" w:rsidRPr="006F63CB">
              <w:rPr>
                <w:i/>
                <w:sz w:val="28"/>
                <w:szCs w:val="28"/>
              </w:rPr>
              <w:t xml:space="preserve"> del </w:t>
            </w:r>
            <w:r w:rsidR="00202494">
              <w:rPr>
                <w:i/>
                <w:sz w:val="28"/>
                <w:szCs w:val="28"/>
              </w:rPr>
              <w:t>18 de enero</w:t>
            </w:r>
            <w:r w:rsidR="00930675" w:rsidRPr="006F63CB">
              <w:rPr>
                <w:i/>
                <w:sz w:val="28"/>
                <w:szCs w:val="28"/>
              </w:rPr>
              <w:t xml:space="preserve"> del 201</w:t>
            </w:r>
            <w:r w:rsidR="00202494">
              <w:rPr>
                <w:i/>
                <w:sz w:val="28"/>
                <w:szCs w:val="28"/>
              </w:rPr>
              <w:t>8</w:t>
            </w:r>
            <w:r w:rsidR="00930675" w:rsidRPr="006F63CB">
              <w:rPr>
                <w:i/>
                <w:sz w:val="28"/>
                <w:szCs w:val="28"/>
              </w:rPr>
              <w:t xml:space="preserve">, artículo </w:t>
            </w:r>
            <w:r w:rsidR="00202494">
              <w:rPr>
                <w:i/>
                <w:sz w:val="28"/>
                <w:szCs w:val="28"/>
              </w:rPr>
              <w:t>LXX</w:t>
            </w:r>
            <w:r w:rsidR="00930675">
              <w:rPr>
                <w:i/>
                <w:sz w:val="28"/>
                <w:szCs w:val="28"/>
              </w:rPr>
              <w:t>II</w:t>
            </w:r>
            <w:r w:rsidR="00930675" w:rsidRPr="006F63CB">
              <w:rPr>
                <w:i/>
                <w:sz w:val="28"/>
                <w:szCs w:val="28"/>
              </w:rPr>
              <w:t>, dispuso solicitarle a</w:t>
            </w:r>
            <w:r w:rsidR="00202494">
              <w:rPr>
                <w:i/>
                <w:sz w:val="28"/>
                <w:szCs w:val="28"/>
              </w:rPr>
              <w:t xml:space="preserve"> la Dirección de Planificación, valorar si e</w:t>
            </w:r>
            <w:r w:rsidR="00C86B4E">
              <w:rPr>
                <w:i/>
                <w:sz w:val="28"/>
                <w:szCs w:val="28"/>
              </w:rPr>
              <w:t>ra</w:t>
            </w:r>
            <w:r w:rsidR="00202494">
              <w:rPr>
                <w:i/>
                <w:sz w:val="28"/>
                <w:szCs w:val="28"/>
              </w:rPr>
              <w:t xml:space="preserve"> necesario incluir en el presupuesto 2019, un puesto de Profesional en Control</w:t>
            </w:r>
            <w:r w:rsidR="00C86B4E">
              <w:rPr>
                <w:i/>
                <w:sz w:val="28"/>
                <w:szCs w:val="28"/>
              </w:rPr>
              <w:t xml:space="preserve"> Interno</w:t>
            </w:r>
            <w:r w:rsidR="00202494">
              <w:rPr>
                <w:i/>
                <w:sz w:val="28"/>
                <w:szCs w:val="28"/>
              </w:rPr>
              <w:t>, para que continuara a</w:t>
            </w:r>
            <w:r w:rsidR="00427954">
              <w:rPr>
                <w:i/>
                <w:sz w:val="28"/>
                <w:szCs w:val="28"/>
              </w:rPr>
              <w:t>yudando</w:t>
            </w:r>
            <w:r w:rsidR="00202494">
              <w:rPr>
                <w:i/>
                <w:sz w:val="28"/>
                <w:szCs w:val="28"/>
              </w:rPr>
              <w:t xml:space="preserve"> a la Comisión de Transparencia y Anticorrupción</w:t>
            </w:r>
            <w:r w:rsidR="009A66E9">
              <w:rPr>
                <w:i/>
                <w:sz w:val="28"/>
                <w:szCs w:val="28"/>
              </w:rPr>
              <w:t>, plaza que venía</w:t>
            </w:r>
            <w:r w:rsidR="00427954">
              <w:rPr>
                <w:i/>
                <w:sz w:val="28"/>
                <w:szCs w:val="28"/>
              </w:rPr>
              <w:t xml:space="preserve"> apoyando</w:t>
            </w:r>
            <w:r w:rsidR="009A66E9">
              <w:rPr>
                <w:i/>
                <w:sz w:val="28"/>
                <w:szCs w:val="28"/>
              </w:rPr>
              <w:t xml:space="preserve"> bajo la figura de </w:t>
            </w:r>
            <w:r w:rsidR="00235A7D">
              <w:rPr>
                <w:i/>
                <w:sz w:val="28"/>
                <w:szCs w:val="28"/>
              </w:rPr>
              <w:t>“</w:t>
            </w:r>
            <w:r w:rsidR="009A66E9">
              <w:rPr>
                <w:i/>
                <w:sz w:val="28"/>
                <w:szCs w:val="28"/>
              </w:rPr>
              <w:t>Permiso con goce de salario y sustitución</w:t>
            </w:r>
            <w:r w:rsidR="00235A7D">
              <w:rPr>
                <w:i/>
                <w:sz w:val="28"/>
                <w:szCs w:val="28"/>
              </w:rPr>
              <w:t>”</w:t>
            </w:r>
            <w:r w:rsidR="00427954">
              <w:rPr>
                <w:i/>
                <w:sz w:val="28"/>
                <w:szCs w:val="28"/>
              </w:rPr>
              <w:t>, cuya prórroga fue denegada</w:t>
            </w:r>
            <w:r w:rsidR="00DE4898">
              <w:rPr>
                <w:i/>
                <w:sz w:val="28"/>
                <w:szCs w:val="28"/>
              </w:rPr>
              <w:t xml:space="preserve"> por el Consejo Superior</w:t>
            </w:r>
            <w:r w:rsidR="00427954">
              <w:rPr>
                <w:i/>
                <w:sz w:val="28"/>
                <w:szCs w:val="28"/>
              </w:rPr>
              <w:t xml:space="preserve"> al </w:t>
            </w:r>
            <w:r w:rsidR="00C86B4E">
              <w:rPr>
                <w:i/>
                <w:sz w:val="28"/>
                <w:szCs w:val="28"/>
              </w:rPr>
              <w:t xml:space="preserve">determinarse que </w:t>
            </w:r>
            <w:r w:rsidR="00427954">
              <w:rPr>
                <w:i/>
                <w:sz w:val="28"/>
                <w:szCs w:val="28"/>
              </w:rPr>
              <w:t>ejecuta</w:t>
            </w:r>
            <w:r w:rsidR="00C86B4E">
              <w:rPr>
                <w:i/>
                <w:sz w:val="28"/>
                <w:szCs w:val="28"/>
              </w:rPr>
              <w:t>ba</w:t>
            </w:r>
            <w:r w:rsidR="00427954">
              <w:rPr>
                <w:i/>
                <w:sz w:val="28"/>
                <w:szCs w:val="28"/>
              </w:rPr>
              <w:t xml:space="preserve"> funciones permanentes y no temporales.</w:t>
            </w:r>
          </w:p>
          <w:p w:rsidR="00930675" w:rsidRDefault="00930675" w:rsidP="000A47F3">
            <w:pPr>
              <w:pStyle w:val="Prrafodelista"/>
              <w:spacing w:before="0" w:beforeAutospacing="0" w:after="0" w:afterAutospacing="0"/>
              <w:jc w:val="both"/>
              <w:rPr>
                <w:i/>
                <w:color w:val="000000"/>
                <w:sz w:val="28"/>
                <w:szCs w:val="28"/>
                <w:lang w:val="es-ES" w:eastAsia="es-ES"/>
              </w:rPr>
            </w:pPr>
          </w:p>
          <w:p w:rsidR="00B559B9" w:rsidRDefault="00370F6B" w:rsidP="003C578E">
            <w:pPr>
              <w:widowControl w:val="0"/>
              <w:jc w:val="both"/>
              <w:rPr>
                <w:i/>
                <w:color w:val="000000"/>
                <w:sz w:val="28"/>
                <w:szCs w:val="28"/>
              </w:rPr>
            </w:pPr>
            <w:r>
              <w:rPr>
                <w:b/>
                <w:i/>
                <w:color w:val="000000"/>
                <w:sz w:val="28"/>
                <w:szCs w:val="28"/>
              </w:rPr>
              <w:t>4.3</w:t>
            </w:r>
            <w:r w:rsidR="00374789" w:rsidRPr="00374789">
              <w:rPr>
                <w:b/>
                <w:i/>
                <w:color w:val="000000"/>
                <w:sz w:val="28"/>
                <w:szCs w:val="28"/>
              </w:rPr>
              <w:t>.-</w:t>
            </w:r>
            <w:r w:rsidR="00B559B9">
              <w:rPr>
                <w:b/>
                <w:i/>
                <w:color w:val="000000"/>
                <w:sz w:val="28"/>
                <w:szCs w:val="28"/>
              </w:rPr>
              <w:t xml:space="preserve"> </w:t>
            </w:r>
            <w:r w:rsidR="00B559B9" w:rsidRPr="00B559B9">
              <w:rPr>
                <w:i/>
                <w:color w:val="000000"/>
                <w:sz w:val="28"/>
                <w:szCs w:val="28"/>
              </w:rPr>
              <w:t>En el Informe</w:t>
            </w:r>
            <w:r w:rsidR="00B559B9">
              <w:rPr>
                <w:i/>
                <w:color w:val="000000"/>
                <w:sz w:val="28"/>
                <w:szCs w:val="28"/>
              </w:rPr>
              <w:t xml:space="preserve"> </w:t>
            </w:r>
            <w:r w:rsidR="004319F8">
              <w:rPr>
                <w:i/>
                <w:color w:val="000000"/>
                <w:sz w:val="28"/>
                <w:szCs w:val="28"/>
              </w:rPr>
              <w:t>125-OI-2017</w:t>
            </w:r>
            <w:r w:rsidR="00171B65">
              <w:rPr>
                <w:i/>
                <w:color w:val="000000"/>
                <w:sz w:val="28"/>
                <w:szCs w:val="28"/>
              </w:rPr>
              <w:t>,</w:t>
            </w:r>
            <w:r w:rsidR="004319F8">
              <w:rPr>
                <w:i/>
                <w:color w:val="000000"/>
                <w:sz w:val="28"/>
                <w:szCs w:val="28"/>
              </w:rPr>
              <w:t xml:space="preserve"> la Dirección de Planificación estimó que no e</w:t>
            </w:r>
            <w:r w:rsidR="00C86B4E">
              <w:rPr>
                <w:i/>
                <w:color w:val="000000"/>
                <w:sz w:val="28"/>
                <w:szCs w:val="28"/>
              </w:rPr>
              <w:t>ra</w:t>
            </w:r>
            <w:r w:rsidR="004319F8">
              <w:rPr>
                <w:i/>
                <w:color w:val="000000"/>
                <w:sz w:val="28"/>
                <w:szCs w:val="28"/>
              </w:rPr>
              <w:t xml:space="preserve"> necesario darle continuidad al permiso con goce de salario</w:t>
            </w:r>
            <w:r w:rsidR="00171B65">
              <w:rPr>
                <w:i/>
                <w:color w:val="000000"/>
                <w:sz w:val="28"/>
                <w:szCs w:val="28"/>
              </w:rPr>
              <w:t xml:space="preserve"> de un Profesional </w:t>
            </w:r>
            <w:r w:rsidR="00C86B4E">
              <w:rPr>
                <w:i/>
                <w:color w:val="000000"/>
                <w:sz w:val="28"/>
                <w:szCs w:val="28"/>
              </w:rPr>
              <w:t>en</w:t>
            </w:r>
            <w:r w:rsidR="00171B65">
              <w:rPr>
                <w:i/>
                <w:color w:val="000000"/>
                <w:sz w:val="28"/>
                <w:szCs w:val="28"/>
              </w:rPr>
              <w:t xml:space="preserve"> Control Interno </w:t>
            </w:r>
            <w:r w:rsidR="00D63733">
              <w:rPr>
                <w:i/>
                <w:color w:val="000000"/>
                <w:sz w:val="28"/>
                <w:szCs w:val="28"/>
              </w:rPr>
              <w:t>que venía apoyando a la Comisión de Transparencia y Anticorrupción, por cuanto quedó claramente definido en la sesión 34-17 del 5 de abril del 2017, artículo LXIX, que ese tema sería atendido con el personal profesional</w:t>
            </w:r>
            <w:r w:rsidR="00C069D6">
              <w:rPr>
                <w:i/>
                <w:color w:val="000000"/>
                <w:sz w:val="28"/>
                <w:szCs w:val="28"/>
              </w:rPr>
              <w:t xml:space="preserve"> ordinario</w:t>
            </w:r>
            <w:r w:rsidR="0068584F">
              <w:rPr>
                <w:i/>
                <w:color w:val="000000"/>
                <w:sz w:val="28"/>
                <w:szCs w:val="28"/>
              </w:rPr>
              <w:t xml:space="preserve"> </w:t>
            </w:r>
            <w:r w:rsidR="00D63733">
              <w:rPr>
                <w:i/>
                <w:color w:val="000000"/>
                <w:sz w:val="28"/>
                <w:szCs w:val="28"/>
              </w:rPr>
              <w:t>destacado en la Oficina de Control Interno, Transparencia y Anticorrupción (cinco profesionales).</w:t>
            </w:r>
            <w:r w:rsidR="000A7793">
              <w:rPr>
                <w:i/>
                <w:color w:val="000000"/>
                <w:sz w:val="28"/>
                <w:szCs w:val="28"/>
              </w:rPr>
              <w:t xml:space="preserve"> Asimismo, se confirmó que la nueva estructura de </w:t>
            </w:r>
            <w:r w:rsidR="00990CED">
              <w:rPr>
                <w:i/>
                <w:color w:val="000000"/>
                <w:sz w:val="28"/>
                <w:szCs w:val="28"/>
              </w:rPr>
              <w:t>esa</w:t>
            </w:r>
            <w:r w:rsidR="000A7793">
              <w:rPr>
                <w:i/>
                <w:color w:val="000000"/>
                <w:sz w:val="28"/>
                <w:szCs w:val="28"/>
              </w:rPr>
              <w:t xml:space="preserve"> </w:t>
            </w:r>
            <w:r w:rsidR="00990CED">
              <w:rPr>
                <w:i/>
                <w:color w:val="000000"/>
                <w:sz w:val="28"/>
                <w:szCs w:val="28"/>
              </w:rPr>
              <w:t>o</w:t>
            </w:r>
            <w:r w:rsidR="000A7793">
              <w:rPr>
                <w:i/>
                <w:color w:val="000000"/>
                <w:sz w:val="28"/>
                <w:szCs w:val="28"/>
              </w:rPr>
              <w:t>ficina entró en funcionamiento a partir del 2 de mayo del 2017, tal como lo dispuso el Consejo Superior</w:t>
            </w:r>
            <w:r w:rsidR="00C86B4E">
              <w:rPr>
                <w:i/>
                <w:color w:val="000000"/>
                <w:sz w:val="28"/>
                <w:szCs w:val="28"/>
              </w:rPr>
              <w:t>, con la dotación de profesionales antes indicada</w:t>
            </w:r>
            <w:r w:rsidR="000A7793">
              <w:rPr>
                <w:i/>
                <w:color w:val="000000"/>
                <w:sz w:val="28"/>
                <w:szCs w:val="28"/>
              </w:rPr>
              <w:t>.</w:t>
            </w:r>
          </w:p>
          <w:p w:rsidR="005026B6" w:rsidRDefault="005026B6" w:rsidP="003C578E">
            <w:pPr>
              <w:widowControl w:val="0"/>
              <w:jc w:val="both"/>
              <w:rPr>
                <w:i/>
                <w:color w:val="000000"/>
                <w:sz w:val="28"/>
                <w:szCs w:val="28"/>
              </w:rPr>
            </w:pPr>
          </w:p>
          <w:p w:rsidR="005026B6" w:rsidRPr="005026B6" w:rsidRDefault="005026B6" w:rsidP="003C578E">
            <w:pPr>
              <w:widowControl w:val="0"/>
              <w:jc w:val="both"/>
              <w:rPr>
                <w:i/>
                <w:color w:val="000000"/>
                <w:sz w:val="28"/>
                <w:szCs w:val="28"/>
              </w:rPr>
            </w:pPr>
            <w:r>
              <w:rPr>
                <w:b/>
                <w:i/>
                <w:color w:val="000000"/>
                <w:sz w:val="28"/>
                <w:szCs w:val="28"/>
              </w:rPr>
              <w:t>4.4</w:t>
            </w:r>
            <w:r w:rsidRPr="00374789">
              <w:rPr>
                <w:b/>
                <w:i/>
                <w:color w:val="000000"/>
                <w:sz w:val="28"/>
                <w:szCs w:val="28"/>
              </w:rPr>
              <w:t>.-</w:t>
            </w:r>
            <w:r>
              <w:rPr>
                <w:b/>
                <w:i/>
                <w:color w:val="000000"/>
                <w:sz w:val="28"/>
                <w:szCs w:val="28"/>
              </w:rPr>
              <w:t xml:space="preserve"> </w:t>
            </w:r>
            <w:r w:rsidR="00416A86">
              <w:rPr>
                <w:i/>
                <w:color w:val="000000"/>
                <w:sz w:val="28"/>
                <w:szCs w:val="28"/>
              </w:rPr>
              <w:t>Se evidenció el traslado del tema de “Buenas Prácticas” a esta Dirección sin el respectivo puesto de profesional que asumía las funciones en la Oficina de Control</w:t>
            </w:r>
            <w:r w:rsidR="0026635D">
              <w:rPr>
                <w:i/>
                <w:color w:val="000000"/>
                <w:sz w:val="28"/>
                <w:szCs w:val="28"/>
              </w:rPr>
              <w:t xml:space="preserve"> Interno</w:t>
            </w:r>
            <w:r w:rsidR="00416A86">
              <w:rPr>
                <w:i/>
                <w:color w:val="000000"/>
                <w:sz w:val="28"/>
                <w:szCs w:val="28"/>
              </w:rPr>
              <w:t>, Transparencia y Anticorrupción</w:t>
            </w:r>
            <w:r w:rsidR="0026635D">
              <w:rPr>
                <w:i/>
                <w:color w:val="000000"/>
                <w:sz w:val="28"/>
                <w:szCs w:val="28"/>
              </w:rPr>
              <w:t xml:space="preserve">, por lo que </w:t>
            </w:r>
            <w:r w:rsidR="00416A86">
              <w:rPr>
                <w:i/>
                <w:color w:val="000000"/>
                <w:sz w:val="28"/>
                <w:szCs w:val="28"/>
              </w:rPr>
              <w:t>se estimó pertinente retomar lo recomendado en el Informe 51-PI-2015-B, a efecto de que en el momento que exist</w:t>
            </w:r>
            <w:r w:rsidR="0026635D">
              <w:rPr>
                <w:i/>
                <w:color w:val="000000"/>
                <w:sz w:val="28"/>
                <w:szCs w:val="28"/>
              </w:rPr>
              <w:t>ier</w:t>
            </w:r>
            <w:r w:rsidR="00416A86">
              <w:rPr>
                <w:i/>
                <w:color w:val="000000"/>
                <w:sz w:val="28"/>
                <w:szCs w:val="28"/>
              </w:rPr>
              <w:t>an recursos institucionales</w:t>
            </w:r>
            <w:r w:rsidR="00624890">
              <w:rPr>
                <w:i/>
                <w:color w:val="000000"/>
                <w:sz w:val="28"/>
                <w:szCs w:val="28"/>
              </w:rPr>
              <w:t xml:space="preserve"> disponibles, se autori</w:t>
            </w:r>
            <w:r w:rsidR="0026635D">
              <w:rPr>
                <w:i/>
                <w:color w:val="000000"/>
                <w:sz w:val="28"/>
                <w:szCs w:val="28"/>
              </w:rPr>
              <w:t>zara</w:t>
            </w:r>
            <w:r w:rsidR="00624890">
              <w:rPr>
                <w:i/>
                <w:color w:val="000000"/>
                <w:sz w:val="28"/>
                <w:szCs w:val="28"/>
              </w:rPr>
              <w:t xml:space="preserve"> la incorporación de una plaza de Profesional 2</w:t>
            </w:r>
            <w:r w:rsidR="0026635D">
              <w:rPr>
                <w:i/>
                <w:color w:val="000000"/>
                <w:sz w:val="28"/>
                <w:szCs w:val="28"/>
              </w:rPr>
              <w:t xml:space="preserve"> al Subproceso de Planificación Estratégica</w:t>
            </w:r>
            <w:r w:rsidR="00624890">
              <w:rPr>
                <w:i/>
                <w:color w:val="000000"/>
                <w:sz w:val="28"/>
                <w:szCs w:val="28"/>
              </w:rPr>
              <w:t>, para la atención de esas labores.</w:t>
            </w:r>
          </w:p>
          <w:p w:rsidR="007A77B4" w:rsidRDefault="007A77B4" w:rsidP="000A47F3">
            <w:pPr>
              <w:pStyle w:val="Prrafodelista"/>
              <w:spacing w:before="0" w:beforeAutospacing="0" w:after="0" w:afterAutospacing="0"/>
              <w:jc w:val="both"/>
              <w:rPr>
                <w:i/>
                <w:color w:val="000000"/>
                <w:sz w:val="28"/>
                <w:szCs w:val="28"/>
                <w:lang w:val="es-ES" w:eastAsia="es-ES"/>
              </w:rPr>
            </w:pPr>
          </w:p>
          <w:p w:rsidR="00D961C3" w:rsidRDefault="00E53A1E" w:rsidP="000A47F3">
            <w:pPr>
              <w:pStyle w:val="Prrafodelista"/>
              <w:spacing w:before="0" w:beforeAutospacing="0" w:after="0" w:afterAutospacing="0"/>
              <w:jc w:val="both"/>
              <w:rPr>
                <w:i/>
                <w:sz w:val="28"/>
                <w:szCs w:val="28"/>
              </w:rPr>
            </w:pPr>
            <w:r>
              <w:rPr>
                <w:b/>
                <w:i/>
                <w:color w:val="000000"/>
                <w:sz w:val="28"/>
                <w:szCs w:val="28"/>
                <w:lang w:val="es-ES" w:eastAsia="es-ES"/>
              </w:rPr>
              <w:t>4.5</w:t>
            </w:r>
            <w:r w:rsidR="00256F43">
              <w:rPr>
                <w:b/>
                <w:i/>
                <w:color w:val="000000"/>
                <w:sz w:val="28"/>
                <w:szCs w:val="28"/>
                <w:lang w:val="es-ES" w:eastAsia="es-ES"/>
              </w:rPr>
              <w:t>.-</w:t>
            </w:r>
            <w:r w:rsidR="00256F43">
              <w:rPr>
                <w:i/>
                <w:color w:val="000000"/>
                <w:sz w:val="28"/>
                <w:szCs w:val="28"/>
                <w:lang w:val="es-ES" w:eastAsia="es-ES"/>
              </w:rPr>
              <w:t xml:space="preserve"> </w:t>
            </w:r>
            <w:r w:rsidR="0095552C">
              <w:rPr>
                <w:i/>
                <w:sz w:val="28"/>
                <w:szCs w:val="28"/>
              </w:rPr>
              <w:t>L</w:t>
            </w:r>
            <w:r w:rsidR="0095552C" w:rsidRPr="005B3F8F">
              <w:rPr>
                <w:i/>
                <w:sz w:val="28"/>
                <w:szCs w:val="28"/>
              </w:rPr>
              <w:t>a Corte Plena en la sesión 27-17 del 21 de agosto del 2017, artículo XVI, aprobó el</w:t>
            </w:r>
            <w:r w:rsidR="0095552C">
              <w:rPr>
                <w:i/>
                <w:sz w:val="28"/>
                <w:szCs w:val="28"/>
              </w:rPr>
              <w:t xml:space="preserve"> </w:t>
            </w:r>
            <w:r w:rsidR="0095552C" w:rsidRPr="005B3F8F">
              <w:rPr>
                <w:i/>
                <w:sz w:val="28"/>
                <w:szCs w:val="28"/>
              </w:rPr>
              <w:t>informe de las Medidas para la Contención del Gasto en el Poder Judicial</w:t>
            </w:r>
            <w:r w:rsidR="0095552C">
              <w:rPr>
                <w:i/>
                <w:sz w:val="28"/>
                <w:szCs w:val="28"/>
              </w:rPr>
              <w:t xml:space="preserve">, en </w:t>
            </w:r>
            <w:r w:rsidR="006022FD">
              <w:rPr>
                <w:i/>
                <w:sz w:val="28"/>
                <w:szCs w:val="28"/>
              </w:rPr>
              <w:t>su</w:t>
            </w:r>
            <w:r w:rsidR="0095552C" w:rsidRPr="005B3F8F">
              <w:rPr>
                <w:i/>
                <w:sz w:val="28"/>
                <w:szCs w:val="28"/>
              </w:rPr>
              <w:t xml:space="preserve"> punto primero</w:t>
            </w:r>
            <w:r w:rsidR="006022FD">
              <w:rPr>
                <w:i/>
                <w:sz w:val="28"/>
                <w:szCs w:val="28"/>
              </w:rPr>
              <w:t>,</w:t>
            </w:r>
            <w:r w:rsidR="0095552C" w:rsidRPr="005B3F8F">
              <w:rPr>
                <w:i/>
                <w:sz w:val="28"/>
                <w:szCs w:val="28"/>
              </w:rPr>
              <w:t xml:space="preserve"> de</w:t>
            </w:r>
            <w:r w:rsidR="0095552C">
              <w:rPr>
                <w:i/>
                <w:sz w:val="28"/>
                <w:szCs w:val="28"/>
              </w:rPr>
              <w:t>nominado</w:t>
            </w:r>
            <w:r w:rsidR="0095552C" w:rsidRPr="005B3F8F">
              <w:rPr>
                <w:i/>
                <w:sz w:val="28"/>
                <w:szCs w:val="28"/>
              </w:rPr>
              <w:t xml:space="preserve"> “</w:t>
            </w:r>
            <w:r w:rsidR="0095552C" w:rsidRPr="00A711C4">
              <w:rPr>
                <w:b/>
                <w:i/>
                <w:sz w:val="28"/>
                <w:szCs w:val="28"/>
              </w:rPr>
              <w:t>Medidas de Adopción Inmediata</w:t>
            </w:r>
            <w:r w:rsidR="0095552C" w:rsidRPr="005B3F8F">
              <w:rPr>
                <w:i/>
                <w:sz w:val="28"/>
                <w:szCs w:val="28"/>
              </w:rPr>
              <w:t>”</w:t>
            </w:r>
            <w:r w:rsidR="006022FD">
              <w:rPr>
                <w:i/>
                <w:sz w:val="28"/>
                <w:szCs w:val="28"/>
              </w:rPr>
              <w:t xml:space="preserve"> y que indica lo siguiente: </w:t>
            </w:r>
          </w:p>
          <w:p w:rsidR="006022FD" w:rsidRDefault="006022FD" w:rsidP="000A47F3">
            <w:pPr>
              <w:pStyle w:val="Prrafodelista"/>
              <w:spacing w:before="0" w:beforeAutospacing="0" w:after="0" w:afterAutospacing="0"/>
              <w:jc w:val="both"/>
              <w:rPr>
                <w:i/>
                <w:sz w:val="28"/>
                <w:szCs w:val="28"/>
              </w:rPr>
            </w:pPr>
          </w:p>
          <w:p w:rsidR="006022FD" w:rsidRPr="006022FD" w:rsidRDefault="006022FD" w:rsidP="006022FD">
            <w:pPr>
              <w:ind w:left="709" w:right="618"/>
              <w:jc w:val="both"/>
              <w:rPr>
                <w:i/>
                <w:sz w:val="28"/>
                <w:szCs w:val="28"/>
                <w:lang w:val="es-CR"/>
              </w:rPr>
            </w:pPr>
            <w:r w:rsidRPr="006022FD">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022FD" w:rsidRDefault="006022FD" w:rsidP="000A47F3">
            <w:pPr>
              <w:pStyle w:val="Prrafodelista"/>
              <w:spacing w:before="0" w:beforeAutospacing="0" w:after="0" w:afterAutospacing="0"/>
              <w:jc w:val="both"/>
              <w:rPr>
                <w:i/>
                <w:color w:val="000000"/>
                <w:sz w:val="28"/>
                <w:szCs w:val="28"/>
                <w:lang w:eastAsia="es-ES"/>
              </w:rPr>
            </w:pPr>
          </w:p>
          <w:p w:rsidR="00A4667A" w:rsidRDefault="002D145B" w:rsidP="005E79D1">
            <w:pPr>
              <w:jc w:val="both"/>
              <w:rPr>
                <w:i/>
                <w:sz w:val="28"/>
                <w:szCs w:val="28"/>
              </w:rPr>
            </w:pPr>
            <w:r>
              <w:rPr>
                <w:i/>
                <w:color w:val="000000"/>
                <w:sz w:val="28"/>
                <w:szCs w:val="28"/>
              </w:rPr>
              <w:t xml:space="preserve">Este tema fue incorporado dentro de las </w:t>
            </w:r>
            <w:r w:rsidRPr="00857403">
              <w:rPr>
                <w:i/>
                <w:sz w:val="28"/>
                <w:szCs w:val="28"/>
              </w:rPr>
              <w:t xml:space="preserve">“Directrices Técnicas para la Elaboración de la Programación Anual de Objetivos y Metas (PAOM) y el Anteproyecto de Presupuesto 2019” (oficio 1766-PLA-2017), aprobadas por el Consejo Superior en la sesión 109-17 del 5 </w:t>
            </w:r>
            <w:r w:rsidRPr="00857403">
              <w:rPr>
                <w:i/>
                <w:sz w:val="28"/>
                <w:szCs w:val="28"/>
              </w:rPr>
              <w:lastRenderedPageBreak/>
              <w:t>de diciembre del 2017, artículo LXVI.</w:t>
            </w:r>
          </w:p>
          <w:p w:rsidR="0026635D" w:rsidRPr="005E79D1" w:rsidRDefault="0026635D" w:rsidP="005E79D1">
            <w:pPr>
              <w:jc w:val="both"/>
              <w:rPr>
                <w:i/>
                <w:sz w:val="28"/>
                <w:szCs w:val="28"/>
              </w:rPr>
            </w:pPr>
          </w:p>
        </w:tc>
      </w:tr>
      <w:tr w:rsidR="00A4667A" w:rsidRPr="00723CF6" w:rsidTr="00663B34">
        <w:trPr>
          <w:trHeight w:val="1239"/>
        </w:trPr>
        <w:tc>
          <w:tcPr>
            <w:tcW w:w="2518" w:type="dxa"/>
            <w:shd w:val="clear" w:color="auto" w:fill="C0C0C0"/>
          </w:tcPr>
          <w:p w:rsidR="00A4667A" w:rsidRPr="00723CF6" w:rsidRDefault="00BD04A8" w:rsidP="00E03888">
            <w:pPr>
              <w:jc w:val="right"/>
              <w:rPr>
                <w:b/>
                <w:color w:val="5B9BD5"/>
                <w:sz w:val="28"/>
                <w:szCs w:val="28"/>
              </w:rPr>
            </w:pPr>
            <w:r w:rsidRPr="00675B1D">
              <w:rPr>
                <w:b/>
                <w:sz w:val="28"/>
                <w:szCs w:val="28"/>
              </w:rPr>
              <w:lastRenderedPageBreak/>
              <w:t xml:space="preserve">V. </w:t>
            </w:r>
            <w:r>
              <w:rPr>
                <w:b/>
                <w:sz w:val="28"/>
                <w:szCs w:val="28"/>
              </w:rPr>
              <w:t>Recomendaciones</w:t>
            </w:r>
          </w:p>
          <w:p w:rsidR="00A4667A" w:rsidRPr="00723CF6" w:rsidRDefault="00A4667A" w:rsidP="00E03888">
            <w:pPr>
              <w:jc w:val="right"/>
              <w:rPr>
                <w:b/>
                <w:color w:val="5B9BD5"/>
                <w:sz w:val="28"/>
                <w:szCs w:val="28"/>
              </w:rPr>
            </w:pPr>
          </w:p>
        </w:tc>
        <w:tc>
          <w:tcPr>
            <w:tcW w:w="8080" w:type="dxa"/>
          </w:tcPr>
          <w:p w:rsidR="00357F3B" w:rsidRPr="00815F98" w:rsidRDefault="00357F3B" w:rsidP="00357F3B">
            <w:pPr>
              <w:keepLines/>
              <w:tabs>
                <w:tab w:val="left" w:pos="1080"/>
              </w:tabs>
              <w:jc w:val="both"/>
              <w:rPr>
                <w:b/>
                <w:bCs/>
                <w:sz w:val="28"/>
                <w:szCs w:val="28"/>
              </w:rPr>
            </w:pPr>
            <w:r w:rsidRPr="0026635D">
              <w:rPr>
                <w:b/>
                <w:bCs/>
                <w:i/>
                <w:sz w:val="28"/>
                <w:szCs w:val="28"/>
              </w:rPr>
              <w:t>5.1.-</w:t>
            </w:r>
            <w:r w:rsidRPr="00815F98">
              <w:rPr>
                <w:b/>
                <w:bCs/>
                <w:sz w:val="28"/>
                <w:szCs w:val="28"/>
              </w:rPr>
              <w:t xml:space="preserve"> </w:t>
            </w:r>
            <w:r w:rsidRPr="00815F98">
              <w:rPr>
                <w:bCs/>
                <w:sz w:val="28"/>
                <w:szCs w:val="28"/>
              </w:rPr>
              <w:t>En cuanto a recursos se recomienda lo siguiente:</w:t>
            </w:r>
          </w:p>
          <w:p w:rsidR="00357F3B" w:rsidRDefault="00357F3B" w:rsidP="00357F3B">
            <w:pPr>
              <w:keepLines/>
              <w:tabs>
                <w:tab w:val="left" w:pos="1080"/>
              </w:tabs>
              <w:jc w:val="both"/>
              <w:rPr>
                <w:b/>
                <w:bCs/>
              </w:rPr>
            </w:pPr>
          </w:p>
          <w:p w:rsidR="00357F3B" w:rsidRPr="00D6104E" w:rsidRDefault="004079C2" w:rsidP="00D6104E">
            <w:pPr>
              <w:pStyle w:val="Prrafodelista"/>
              <w:keepLines/>
              <w:numPr>
                <w:ilvl w:val="0"/>
                <w:numId w:val="37"/>
              </w:numPr>
              <w:tabs>
                <w:tab w:val="left" w:pos="1080"/>
              </w:tabs>
              <w:jc w:val="both"/>
              <w:rPr>
                <w:i/>
                <w:color w:val="000000"/>
                <w:sz w:val="28"/>
                <w:szCs w:val="28"/>
              </w:rPr>
            </w:pPr>
            <w:r w:rsidRPr="00D6104E">
              <w:rPr>
                <w:i/>
                <w:color w:val="000000"/>
                <w:sz w:val="28"/>
                <w:szCs w:val="28"/>
              </w:rPr>
              <w:t>No se recomienda la creación de la plaza de profesional 2,  para suplir la necesidad del Programa de Buenas Prácticas</w:t>
            </w:r>
            <w:r w:rsidR="004B0A56" w:rsidRPr="00D6104E">
              <w:rPr>
                <w:i/>
                <w:color w:val="000000"/>
                <w:sz w:val="28"/>
                <w:szCs w:val="28"/>
              </w:rPr>
              <w:t xml:space="preserve"> que </w:t>
            </w:r>
            <w:r w:rsidRPr="00D6104E">
              <w:rPr>
                <w:i/>
                <w:color w:val="000000"/>
                <w:sz w:val="28"/>
                <w:szCs w:val="28"/>
              </w:rPr>
              <w:t xml:space="preserve">a la fecha </w:t>
            </w:r>
            <w:r w:rsidR="004B0A56" w:rsidRPr="00D6104E">
              <w:rPr>
                <w:i/>
                <w:color w:val="000000"/>
                <w:sz w:val="28"/>
                <w:szCs w:val="28"/>
              </w:rPr>
              <w:t>se</w:t>
            </w:r>
            <w:r w:rsidRPr="00D6104E">
              <w:rPr>
                <w:i/>
                <w:color w:val="000000"/>
                <w:sz w:val="28"/>
                <w:szCs w:val="28"/>
              </w:rPr>
              <w:t xml:space="preserve"> viene desarrollando como recargo en el Subproceso de Planeación Estratégica</w:t>
            </w:r>
            <w:r w:rsidR="004B0A56" w:rsidRPr="00D6104E">
              <w:rPr>
                <w:i/>
                <w:color w:val="000000"/>
                <w:sz w:val="28"/>
                <w:szCs w:val="28"/>
              </w:rPr>
              <w:t>.</w:t>
            </w:r>
            <w:r w:rsidRPr="00D6104E">
              <w:rPr>
                <w:i/>
                <w:color w:val="000000"/>
                <w:sz w:val="28"/>
                <w:szCs w:val="28"/>
              </w:rPr>
              <w:t xml:space="preserve"> </w:t>
            </w:r>
            <w:r w:rsidR="004B0A56" w:rsidRPr="00D6104E">
              <w:rPr>
                <w:i/>
                <w:color w:val="000000"/>
                <w:sz w:val="28"/>
                <w:szCs w:val="28"/>
              </w:rPr>
              <w:t xml:space="preserve">Lo anterior, debido a </w:t>
            </w:r>
            <w:r w:rsidRPr="00D6104E">
              <w:rPr>
                <w:i/>
                <w:color w:val="000000"/>
                <w:sz w:val="28"/>
                <w:szCs w:val="28"/>
              </w:rPr>
              <w:t>las limitaciones presupuestarias que imperan en este momento en el Poder Judicial</w:t>
            </w:r>
            <w:r w:rsidR="004B0A56" w:rsidRPr="00D6104E">
              <w:rPr>
                <w:i/>
                <w:color w:val="000000"/>
                <w:sz w:val="28"/>
                <w:szCs w:val="28"/>
              </w:rPr>
              <w:t>.</w:t>
            </w:r>
            <w:r w:rsidRPr="00D6104E">
              <w:rPr>
                <w:i/>
                <w:color w:val="000000"/>
                <w:sz w:val="28"/>
                <w:szCs w:val="28"/>
              </w:rPr>
              <w:t xml:space="preserve"> </w:t>
            </w:r>
            <w:r w:rsidR="00925D35" w:rsidRPr="00D6104E">
              <w:rPr>
                <w:i/>
                <w:color w:val="000000"/>
                <w:sz w:val="28"/>
                <w:szCs w:val="28"/>
              </w:rPr>
              <w:t xml:space="preserve"> </w:t>
            </w:r>
          </w:p>
          <w:p w:rsidR="00FE7846" w:rsidRPr="00D6104E" w:rsidRDefault="00FE7846" w:rsidP="00D6104E">
            <w:pPr>
              <w:pStyle w:val="Prrafodelista"/>
              <w:numPr>
                <w:ilvl w:val="0"/>
                <w:numId w:val="37"/>
              </w:numPr>
              <w:jc w:val="both"/>
              <w:rPr>
                <w:i/>
                <w:color w:val="000000"/>
                <w:sz w:val="28"/>
                <w:szCs w:val="28"/>
              </w:rPr>
            </w:pPr>
            <w:bookmarkStart w:id="0" w:name="_GoBack"/>
            <w:bookmarkEnd w:id="0"/>
            <w:r w:rsidRPr="00D6104E">
              <w:rPr>
                <w:i/>
                <w:color w:val="000000"/>
                <w:sz w:val="28"/>
                <w:szCs w:val="28"/>
              </w:rPr>
              <w:t>N</w:t>
            </w:r>
            <w:r w:rsidR="004B0A56" w:rsidRPr="00D6104E">
              <w:rPr>
                <w:i/>
                <w:color w:val="000000"/>
                <w:sz w:val="28"/>
                <w:szCs w:val="28"/>
              </w:rPr>
              <w:t>o</w:t>
            </w:r>
            <w:r w:rsidRPr="00D6104E">
              <w:rPr>
                <w:i/>
                <w:color w:val="000000"/>
                <w:sz w:val="28"/>
                <w:szCs w:val="28"/>
              </w:rPr>
              <w:t xml:space="preserve"> recomienda la </w:t>
            </w:r>
            <w:r w:rsidR="004B0A56" w:rsidRPr="00D6104E">
              <w:rPr>
                <w:i/>
                <w:color w:val="000000"/>
                <w:sz w:val="28"/>
                <w:szCs w:val="28"/>
              </w:rPr>
              <w:t xml:space="preserve">creación de la </w:t>
            </w:r>
            <w:r w:rsidRPr="00D6104E">
              <w:rPr>
                <w:i/>
                <w:color w:val="000000"/>
                <w:sz w:val="28"/>
                <w:szCs w:val="28"/>
              </w:rPr>
              <w:t>plaza de Profesional</w:t>
            </w:r>
            <w:r w:rsidR="00922828" w:rsidRPr="00D6104E">
              <w:rPr>
                <w:i/>
                <w:color w:val="000000"/>
                <w:sz w:val="28"/>
                <w:szCs w:val="28"/>
              </w:rPr>
              <w:t xml:space="preserve"> en Control Interno, ya que este requerimiento fue cubierto con el estudio de estructura de la actual Oficina de Control</w:t>
            </w:r>
            <w:r w:rsidR="0026635D" w:rsidRPr="00D6104E">
              <w:rPr>
                <w:i/>
                <w:color w:val="000000"/>
                <w:sz w:val="28"/>
                <w:szCs w:val="28"/>
              </w:rPr>
              <w:t xml:space="preserve"> Interno</w:t>
            </w:r>
            <w:r w:rsidR="00922828" w:rsidRPr="00D6104E">
              <w:rPr>
                <w:i/>
                <w:color w:val="000000"/>
                <w:sz w:val="28"/>
                <w:szCs w:val="28"/>
              </w:rPr>
              <w:t>, Transparencia y Anticorrupción.</w:t>
            </w:r>
            <w:r w:rsidR="00C069D6" w:rsidRPr="00D6104E">
              <w:rPr>
                <w:i/>
                <w:color w:val="000000"/>
                <w:sz w:val="28"/>
                <w:szCs w:val="28"/>
              </w:rPr>
              <w:t xml:space="preserve"> Lo anterior quedó reforzado con lo dispuesto por el Consejo Superior </w:t>
            </w:r>
            <w:r w:rsidR="00C069D6" w:rsidRPr="00D6104E">
              <w:rPr>
                <w:i/>
                <w:sz w:val="28"/>
                <w:szCs w:val="28"/>
              </w:rPr>
              <w:t>en la sesión 34-17, artículo LXIX, cuando se avaló el traslado de las funciones asociadas con el tema de “Buenas Prácticas” a la Dirección de Planificación, pero manteniendo en la referida oficina el puesto que asumía esas funciones.</w:t>
            </w:r>
          </w:p>
          <w:p w:rsidR="00922828" w:rsidRPr="00FE7846" w:rsidRDefault="00922828">
            <w:pPr>
              <w:jc w:val="both"/>
              <w:rPr>
                <w:i/>
                <w:color w:val="000000"/>
                <w:sz w:val="28"/>
                <w:szCs w:val="28"/>
              </w:rPr>
            </w:pPr>
          </w:p>
          <w:p w:rsidR="00357F3B" w:rsidRPr="00E03888" w:rsidRDefault="00357F3B" w:rsidP="00E03888">
            <w:pPr>
              <w:jc w:val="both"/>
              <w:rPr>
                <w:b/>
                <w:bCs/>
                <w:i/>
                <w:sz w:val="28"/>
                <w:szCs w:val="28"/>
              </w:rPr>
            </w:pPr>
            <w:r w:rsidRPr="00E03888">
              <w:rPr>
                <w:b/>
                <w:bCs/>
                <w:i/>
                <w:sz w:val="28"/>
                <w:szCs w:val="28"/>
              </w:rPr>
              <w:t>5.2.- Condici</w:t>
            </w:r>
            <w:r w:rsidR="00DC6A4B">
              <w:rPr>
                <w:b/>
                <w:bCs/>
                <w:i/>
                <w:sz w:val="28"/>
                <w:szCs w:val="28"/>
              </w:rPr>
              <w:t>onamiento por el cual se otorga</w:t>
            </w:r>
            <w:r w:rsidRPr="00E03888">
              <w:rPr>
                <w:b/>
                <w:bCs/>
                <w:i/>
                <w:sz w:val="28"/>
                <w:szCs w:val="28"/>
              </w:rPr>
              <w:t xml:space="preserve"> el recurso (Impacto esperado)</w:t>
            </w:r>
          </w:p>
          <w:p w:rsidR="00357F3B" w:rsidRDefault="00357F3B" w:rsidP="00E03888">
            <w:pPr>
              <w:jc w:val="both"/>
              <w:rPr>
                <w:b/>
                <w:bCs/>
                <w:sz w:val="28"/>
                <w:szCs w:val="28"/>
              </w:rPr>
            </w:pPr>
          </w:p>
          <w:p w:rsidR="00D8164E" w:rsidRPr="001906B5" w:rsidRDefault="00A07E20" w:rsidP="00357F3B">
            <w:pPr>
              <w:jc w:val="both"/>
              <w:rPr>
                <w:i/>
                <w:sz w:val="28"/>
                <w:szCs w:val="28"/>
                <w:highlight w:val="cyan"/>
              </w:rPr>
            </w:pPr>
            <w:r>
              <w:rPr>
                <w:i/>
                <w:sz w:val="28"/>
                <w:szCs w:val="28"/>
              </w:rPr>
              <w:t xml:space="preserve">No aplica. </w:t>
            </w:r>
          </w:p>
          <w:p w:rsidR="00D475FC" w:rsidRDefault="00D475FC" w:rsidP="00357F3B">
            <w:pPr>
              <w:jc w:val="both"/>
              <w:rPr>
                <w:sz w:val="28"/>
                <w:szCs w:val="28"/>
              </w:rPr>
            </w:pPr>
          </w:p>
          <w:p w:rsidR="00D475FC" w:rsidRPr="007F13A9" w:rsidRDefault="00D475FC" w:rsidP="00E03888">
            <w:pPr>
              <w:jc w:val="both"/>
              <w:rPr>
                <w:b/>
                <w:bCs/>
                <w:i/>
                <w:sz w:val="28"/>
                <w:szCs w:val="28"/>
              </w:rPr>
            </w:pPr>
            <w:r>
              <w:rPr>
                <w:b/>
                <w:bCs/>
                <w:i/>
                <w:sz w:val="28"/>
                <w:szCs w:val="28"/>
              </w:rPr>
              <w:t>5.3.-</w:t>
            </w:r>
            <w:r w:rsidRPr="007F13A9">
              <w:rPr>
                <w:b/>
                <w:bCs/>
                <w:i/>
                <w:sz w:val="28"/>
                <w:szCs w:val="28"/>
              </w:rPr>
              <w:t>Otros requerimientos (equipo, alquiler, espacio, vehículos, etc.)</w:t>
            </w:r>
          </w:p>
          <w:p w:rsidR="00D475FC" w:rsidRPr="00E03888" w:rsidRDefault="00D475FC" w:rsidP="00D475FC">
            <w:pPr>
              <w:jc w:val="both"/>
              <w:rPr>
                <w:sz w:val="28"/>
                <w:szCs w:val="28"/>
              </w:rPr>
            </w:pPr>
          </w:p>
          <w:p w:rsidR="001906B5" w:rsidRPr="00207937" w:rsidRDefault="006850F8" w:rsidP="001906B5">
            <w:pPr>
              <w:jc w:val="both"/>
              <w:rPr>
                <w:i/>
                <w:sz w:val="28"/>
                <w:szCs w:val="28"/>
              </w:rPr>
            </w:pPr>
            <w:r w:rsidRPr="00207937">
              <w:rPr>
                <w:i/>
                <w:sz w:val="28"/>
                <w:szCs w:val="28"/>
              </w:rPr>
              <w:t>Dado que e</w:t>
            </w:r>
            <w:r w:rsidR="00D475FC" w:rsidRPr="00207937">
              <w:rPr>
                <w:i/>
                <w:sz w:val="28"/>
                <w:szCs w:val="28"/>
              </w:rPr>
              <w:t>sta</w:t>
            </w:r>
            <w:r w:rsidR="005C48A6">
              <w:rPr>
                <w:i/>
                <w:sz w:val="28"/>
                <w:szCs w:val="28"/>
              </w:rPr>
              <w:t>s</w:t>
            </w:r>
            <w:r w:rsidR="00D475FC" w:rsidRPr="00207937">
              <w:rPr>
                <w:i/>
                <w:sz w:val="28"/>
                <w:szCs w:val="28"/>
              </w:rPr>
              <w:t xml:space="preserve"> plaza</w:t>
            </w:r>
            <w:r w:rsidR="005C48A6">
              <w:rPr>
                <w:i/>
                <w:sz w:val="28"/>
                <w:szCs w:val="28"/>
              </w:rPr>
              <w:t>s</w:t>
            </w:r>
            <w:r w:rsidRPr="00207937">
              <w:rPr>
                <w:i/>
                <w:sz w:val="28"/>
                <w:szCs w:val="28"/>
              </w:rPr>
              <w:t xml:space="preserve"> no</w:t>
            </w:r>
            <w:r w:rsidR="005C48A6">
              <w:rPr>
                <w:i/>
                <w:sz w:val="28"/>
                <w:szCs w:val="28"/>
              </w:rPr>
              <w:t xml:space="preserve"> se recomiendan</w:t>
            </w:r>
            <w:r w:rsidR="001906B5">
              <w:rPr>
                <w:i/>
                <w:sz w:val="28"/>
                <w:szCs w:val="28"/>
              </w:rPr>
              <w:t xml:space="preserve">, no hay otros requerimientos que atender. </w:t>
            </w:r>
          </w:p>
          <w:p w:rsidR="00F82567" w:rsidRPr="006F2DA1" w:rsidRDefault="00F82567" w:rsidP="001906B5">
            <w:pPr>
              <w:jc w:val="both"/>
              <w:rPr>
                <w:i/>
                <w:iCs/>
                <w:sz w:val="28"/>
                <w:szCs w:val="28"/>
              </w:rPr>
            </w:pPr>
          </w:p>
        </w:tc>
      </w:tr>
      <w:tr w:rsidR="00A4667A" w:rsidRPr="008856D3" w:rsidTr="00B20331">
        <w:trPr>
          <w:trHeight w:val="279"/>
        </w:trPr>
        <w:tc>
          <w:tcPr>
            <w:tcW w:w="2518" w:type="dxa"/>
            <w:shd w:val="clear" w:color="auto" w:fill="B3B3B3"/>
          </w:tcPr>
          <w:p w:rsidR="00A4667A" w:rsidRPr="00DE5FEF" w:rsidRDefault="00A4667A" w:rsidP="00F77F8B">
            <w:pPr>
              <w:jc w:val="right"/>
              <w:rPr>
                <w:b/>
              </w:rPr>
            </w:pPr>
            <w:r w:rsidRPr="00DE5FEF">
              <w:rPr>
                <w:b/>
              </w:rPr>
              <w:t>Realizado por:</w:t>
            </w:r>
          </w:p>
        </w:tc>
        <w:tc>
          <w:tcPr>
            <w:tcW w:w="8080" w:type="dxa"/>
          </w:tcPr>
          <w:p w:rsidR="00A4667A" w:rsidRPr="008856D3" w:rsidRDefault="001F03F4" w:rsidP="00F77F8B">
            <w:pPr>
              <w:pStyle w:val="Cuerpodetexto"/>
              <w:spacing w:after="0" w:line="240" w:lineRule="auto"/>
              <w:jc w:val="both"/>
              <w:rPr>
                <w:bCs/>
                <w:i/>
                <w:color w:val="5B9BD5"/>
                <w:sz w:val="26"/>
                <w:szCs w:val="26"/>
              </w:rPr>
            </w:pPr>
            <w:r w:rsidRPr="008856D3">
              <w:rPr>
                <w:bCs/>
                <w:i/>
                <w:sz w:val="26"/>
                <w:szCs w:val="26"/>
              </w:rPr>
              <w:t>Lic</w:t>
            </w:r>
            <w:r w:rsidR="006F2DA1">
              <w:rPr>
                <w:bCs/>
                <w:i/>
                <w:sz w:val="26"/>
                <w:szCs w:val="26"/>
              </w:rPr>
              <w:t>. Ronaldo Fernández Padilla</w:t>
            </w:r>
            <w:r w:rsidR="00A4667A" w:rsidRPr="008856D3">
              <w:rPr>
                <w:bCs/>
                <w:i/>
                <w:sz w:val="26"/>
                <w:szCs w:val="26"/>
              </w:rPr>
              <w:t xml:space="preserve">, </w:t>
            </w:r>
            <w:r w:rsidR="007F4D28">
              <w:rPr>
                <w:bCs/>
                <w:i/>
                <w:sz w:val="26"/>
                <w:szCs w:val="26"/>
              </w:rPr>
              <w:t>Profesional 2</w:t>
            </w:r>
            <w:r w:rsidR="00E67821">
              <w:rPr>
                <w:bCs/>
                <w:i/>
                <w:sz w:val="26"/>
                <w:szCs w:val="26"/>
              </w:rPr>
              <w:t xml:space="preserve"> de Planificación </w:t>
            </w:r>
          </w:p>
        </w:tc>
      </w:tr>
      <w:tr w:rsidR="00A4667A" w:rsidRPr="00723CF6" w:rsidTr="00B20331">
        <w:trPr>
          <w:trHeight w:val="279"/>
        </w:trPr>
        <w:tc>
          <w:tcPr>
            <w:tcW w:w="2518" w:type="dxa"/>
            <w:shd w:val="clear" w:color="auto" w:fill="B3B3B3"/>
          </w:tcPr>
          <w:p w:rsidR="00A4667A" w:rsidRPr="00DE5FEF" w:rsidRDefault="00A4667A" w:rsidP="00F77F8B">
            <w:pPr>
              <w:jc w:val="right"/>
              <w:rPr>
                <w:b/>
              </w:rPr>
            </w:pPr>
            <w:r w:rsidRPr="00DE5FEF">
              <w:rPr>
                <w:b/>
              </w:rPr>
              <w:t>Aprobado por:</w:t>
            </w:r>
          </w:p>
        </w:tc>
        <w:tc>
          <w:tcPr>
            <w:tcW w:w="8080" w:type="dxa"/>
          </w:tcPr>
          <w:p w:rsidR="00A4667A" w:rsidRPr="00B20331" w:rsidRDefault="007F4D28" w:rsidP="00B20331">
            <w:pPr>
              <w:pStyle w:val="Cuerpodetexto"/>
              <w:spacing w:after="0" w:line="240" w:lineRule="auto"/>
              <w:jc w:val="both"/>
              <w:rPr>
                <w:bCs/>
                <w:i/>
                <w:color w:val="5B9BD5"/>
                <w:sz w:val="26"/>
                <w:szCs w:val="26"/>
                <w:lang w:val="es-ES" w:bidi="ar-SA"/>
              </w:rPr>
            </w:pPr>
            <w:r w:rsidRPr="008856D3">
              <w:rPr>
                <w:bCs/>
                <w:i/>
                <w:sz w:val="26"/>
                <w:szCs w:val="26"/>
              </w:rPr>
              <w:t>Lic. Minor Anchía Vargas</w:t>
            </w:r>
            <w:r w:rsidR="00A4667A" w:rsidRPr="00B20331">
              <w:rPr>
                <w:bCs/>
                <w:i/>
                <w:sz w:val="26"/>
                <w:szCs w:val="26"/>
              </w:rPr>
              <w:t xml:space="preserve">, Jefe </w:t>
            </w:r>
            <w:r w:rsidR="00E90C76">
              <w:rPr>
                <w:bCs/>
                <w:i/>
                <w:sz w:val="26"/>
                <w:szCs w:val="26"/>
              </w:rPr>
              <w:t xml:space="preserve">a.i. </w:t>
            </w:r>
            <w:r w:rsidR="00A4667A" w:rsidRPr="00B20331">
              <w:rPr>
                <w:bCs/>
                <w:i/>
                <w:sz w:val="26"/>
                <w:szCs w:val="26"/>
              </w:rPr>
              <w:t>Subproceso Organización Institucional</w:t>
            </w:r>
          </w:p>
        </w:tc>
      </w:tr>
      <w:tr w:rsidR="00A4667A" w:rsidRPr="00723CF6" w:rsidTr="00B20331">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8080" w:type="dxa"/>
          </w:tcPr>
          <w:p w:rsidR="00A4667A" w:rsidRPr="00B20331" w:rsidRDefault="00A4667A" w:rsidP="00F77F8B">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E90C76">
              <w:rPr>
                <w:bCs/>
                <w:i/>
                <w:sz w:val="26"/>
                <w:szCs w:val="26"/>
              </w:rPr>
              <w:t xml:space="preserve">a.i. </w:t>
            </w:r>
            <w:r w:rsidRPr="00B20331">
              <w:rPr>
                <w:bCs/>
                <w:i/>
                <w:sz w:val="26"/>
                <w:szCs w:val="26"/>
              </w:rPr>
              <w:t>de Planificación</w:t>
            </w:r>
          </w:p>
        </w:tc>
      </w:tr>
    </w:tbl>
    <w:p w:rsidR="00B20331" w:rsidRDefault="00B20331" w:rsidP="00A4667A">
      <w:pPr>
        <w:rPr>
          <w:rFonts w:cs="Arial"/>
          <w:color w:val="5B9BD5"/>
          <w:lang w:val="es-ES_tradnl"/>
        </w:rPr>
      </w:pPr>
    </w:p>
    <w:p w:rsidR="00287F85" w:rsidRPr="00287F85" w:rsidRDefault="00287F85" w:rsidP="00316527">
      <w:pPr>
        <w:rPr>
          <w:bCs/>
          <w:sz w:val="28"/>
          <w:szCs w:val="28"/>
        </w:rPr>
      </w:pPr>
      <w:r w:rsidRPr="00287F85">
        <w:rPr>
          <w:bCs/>
          <w:sz w:val="28"/>
          <w:szCs w:val="28"/>
        </w:rPr>
        <w:t>pvv</w:t>
      </w:r>
    </w:p>
    <w:p w:rsidR="00287F85" w:rsidRDefault="00287F85" w:rsidP="00316527">
      <w:pPr>
        <w:rPr>
          <w:b/>
          <w:bCs/>
          <w:sz w:val="28"/>
          <w:szCs w:val="28"/>
        </w:rPr>
      </w:pPr>
    </w:p>
    <w:p w:rsidR="00A4667A" w:rsidRPr="00E03888" w:rsidRDefault="00D455C3" w:rsidP="00316527">
      <w:pPr>
        <w:rPr>
          <w:b/>
          <w:bCs/>
          <w:sz w:val="28"/>
          <w:szCs w:val="28"/>
        </w:rPr>
      </w:pPr>
      <w:r w:rsidRPr="00E03888">
        <w:rPr>
          <w:b/>
          <w:bCs/>
          <w:sz w:val="28"/>
          <w:szCs w:val="28"/>
        </w:rPr>
        <w:lastRenderedPageBreak/>
        <w:t xml:space="preserve">Referencia </w:t>
      </w:r>
      <w:r w:rsidR="003B1AE0">
        <w:rPr>
          <w:b/>
          <w:bCs/>
          <w:sz w:val="28"/>
          <w:szCs w:val="28"/>
        </w:rPr>
        <w:t>SICE: 248</w:t>
      </w:r>
      <w:r w:rsidRPr="00E03888">
        <w:rPr>
          <w:b/>
          <w:bCs/>
          <w:sz w:val="28"/>
          <w:szCs w:val="28"/>
        </w:rPr>
        <w:t>-18</w:t>
      </w:r>
    </w:p>
    <w:p w:rsidR="00501BB4" w:rsidRDefault="00501BB4" w:rsidP="00A4667A">
      <w:pPr>
        <w:widowControl w:val="0"/>
        <w:jc w:val="both"/>
        <w:rPr>
          <w:bCs/>
          <w:sz w:val="28"/>
          <w:szCs w:val="28"/>
        </w:rPr>
      </w:pPr>
    </w:p>
    <w:p w:rsidR="00501BB4" w:rsidRDefault="00501BB4" w:rsidP="00A4667A">
      <w:pPr>
        <w:widowControl w:val="0"/>
        <w:jc w:val="both"/>
        <w:rPr>
          <w:bCs/>
          <w:sz w:val="28"/>
          <w:szCs w:val="28"/>
        </w:rPr>
      </w:pPr>
    </w:p>
    <w:p w:rsidR="00501BB4" w:rsidRDefault="00501BB4" w:rsidP="00A4667A">
      <w:pPr>
        <w:widowControl w:val="0"/>
        <w:jc w:val="both"/>
        <w:rPr>
          <w:bCs/>
          <w:sz w:val="28"/>
          <w:szCs w:val="28"/>
        </w:rPr>
      </w:pPr>
    </w:p>
    <w:p w:rsidR="00501BB4" w:rsidRPr="00501BB4" w:rsidRDefault="00501BB4" w:rsidP="001906B5">
      <w:pPr>
        <w:ind w:left="851" w:right="851"/>
        <w:jc w:val="center"/>
        <w:rPr>
          <w:b/>
          <w:bCs/>
          <w:iCs/>
          <w:sz w:val="32"/>
          <w:szCs w:val="32"/>
        </w:rPr>
      </w:pPr>
      <w:r w:rsidRPr="00501BB4">
        <w:rPr>
          <w:b/>
          <w:bCs/>
          <w:iCs/>
          <w:sz w:val="32"/>
          <w:szCs w:val="32"/>
        </w:rPr>
        <w:t>Anexo N°1</w:t>
      </w:r>
    </w:p>
    <w:p w:rsidR="00501BB4" w:rsidRPr="00B0302A" w:rsidRDefault="00501BB4" w:rsidP="001906B5">
      <w:pPr>
        <w:ind w:left="851" w:right="851"/>
        <w:jc w:val="center"/>
        <w:rPr>
          <w:b/>
          <w:bCs/>
          <w:iCs/>
          <w:sz w:val="23"/>
          <w:szCs w:val="23"/>
        </w:rPr>
      </w:pPr>
      <w:r w:rsidRPr="00B0302A">
        <w:rPr>
          <w:b/>
          <w:sz w:val="23"/>
          <w:szCs w:val="23"/>
        </w:rPr>
        <w:t>Oficio N°4649-17 de la Secretaría General de la Corte</w:t>
      </w:r>
    </w:p>
    <w:p w:rsidR="00501BB4" w:rsidRPr="00B0302A" w:rsidRDefault="00501BB4" w:rsidP="001906B5">
      <w:pPr>
        <w:ind w:left="851" w:right="851"/>
        <w:jc w:val="both"/>
        <w:rPr>
          <w:sz w:val="23"/>
          <w:szCs w:val="23"/>
        </w:rPr>
      </w:pPr>
    </w:p>
    <w:bookmarkStart w:id="1" w:name="_MON_1584180989"/>
    <w:bookmarkEnd w:id="1"/>
    <w:p w:rsidR="00501BB4" w:rsidRDefault="00501BB4" w:rsidP="00D6104E">
      <w:pPr>
        <w:ind w:left="851" w:right="851"/>
        <w:jc w:val="center"/>
        <w:rPr>
          <w:bCs/>
          <w:sz w:val="28"/>
          <w:szCs w:val="28"/>
        </w:rPr>
      </w:pPr>
      <w:r w:rsidRPr="00B0302A">
        <w:rPr>
          <w:b/>
          <w:bCs/>
          <w:i/>
          <w:iCs/>
          <w:sz w:val="23"/>
          <w:szCs w:val="23"/>
        </w:rPr>
        <w:object w:dxaOrig="1501" w:dyaOrig="940">
          <v:shape id="_x0000_i1025" type="#_x0000_t75" style="width:75pt;height:46.8pt" o:ole="">
            <v:imagedata r:id="rId12" o:title=""/>
          </v:shape>
          <o:OLEObject Type="Embed" ProgID="Word.Document.8" ShapeID="_x0000_i1025" DrawAspect="Icon" ObjectID="_1585112107" r:id="rId13">
            <o:FieldCodes>\s</o:FieldCodes>
          </o:OLEObject>
        </w:object>
      </w:r>
    </w:p>
    <w:sectPr w:rsidR="00501BB4" w:rsidSect="00C538E8">
      <w:headerReference w:type="default" r:id="rId14"/>
      <w:footerReference w:type="default" r:id="rId15"/>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C1" w:rsidRDefault="004671C1" w:rsidP="00A4667A">
      <w:r>
        <w:separator/>
      </w:r>
    </w:p>
  </w:endnote>
  <w:endnote w:type="continuationSeparator" w:id="0">
    <w:p w:rsidR="004671C1" w:rsidRDefault="004671C1"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2C19D5" w:rsidRDefault="00A421A9">
        <w:pPr>
          <w:pStyle w:val="Piedepgina"/>
          <w:jc w:val="right"/>
        </w:pPr>
        <w:r>
          <w:fldChar w:fldCharType="begin"/>
        </w:r>
        <w:r w:rsidR="002C19D5">
          <w:instrText xml:space="preserve"> PAGE   \* MERGEFORMAT </w:instrText>
        </w:r>
        <w:r>
          <w:fldChar w:fldCharType="separate"/>
        </w:r>
        <w:r w:rsidR="00B7302D">
          <w:rPr>
            <w:noProof/>
          </w:rPr>
          <w:t>9</w:t>
        </w:r>
        <w:r>
          <w:rPr>
            <w:noProof/>
          </w:rPr>
          <w:fldChar w:fldCharType="end"/>
        </w:r>
      </w:p>
    </w:sdtContent>
  </w:sdt>
  <w:p w:rsidR="002C19D5" w:rsidRDefault="002C19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C1" w:rsidRDefault="004671C1" w:rsidP="00A4667A">
      <w:r>
        <w:separator/>
      </w:r>
    </w:p>
  </w:footnote>
  <w:footnote w:type="continuationSeparator" w:id="0">
    <w:p w:rsidR="004671C1" w:rsidRDefault="004671C1" w:rsidP="00A4667A">
      <w:r>
        <w:continuationSeparator/>
      </w:r>
    </w:p>
  </w:footnote>
  <w:footnote w:id="1">
    <w:p w:rsidR="002C19D5" w:rsidRPr="00805A07" w:rsidRDefault="002C19D5">
      <w:pPr>
        <w:pStyle w:val="Textonotapie"/>
      </w:pPr>
      <w:r>
        <w:rPr>
          <w:rStyle w:val="Refdenotaalpie"/>
        </w:rPr>
        <w:footnoteRef/>
      </w:r>
      <w:r>
        <w:t xml:space="preserve"> Acuerdo del Consejo Superior en sesión 82-15, celebrada el 16 de setiembre de 2015, artículo LVI.</w:t>
      </w:r>
    </w:p>
  </w:footnote>
  <w:footnote w:id="2">
    <w:p w:rsidR="002C19D5" w:rsidRPr="006644F3" w:rsidRDefault="002C19D5" w:rsidP="00DD58AF">
      <w:pPr>
        <w:pStyle w:val="Textonotapie"/>
        <w:jc w:val="both"/>
        <w:rPr>
          <w:sz w:val="16"/>
          <w:szCs w:val="16"/>
        </w:rPr>
      </w:pPr>
      <w:r w:rsidRPr="006644F3">
        <w:rPr>
          <w:rStyle w:val="Refdenotaalpie"/>
          <w:sz w:val="16"/>
          <w:szCs w:val="16"/>
        </w:rPr>
        <w:footnoteRef/>
      </w:r>
      <w:r w:rsidRPr="006644F3">
        <w:rPr>
          <w:sz w:val="16"/>
          <w:szCs w:val="16"/>
        </w:rPr>
        <w:t xml:space="preserve"> Se determinó que en la referida sesión se conocieron los oficios N° 2267-PLA-2016 del 1 de diciembre de 2016 (remitió el informe 51-PI-2015-B) y el N° 725-PLA-2017 del 17 de marzo del presente año (comunicó el informe 80-PI-2016-B), el primero sobre la estructura, labores, funcionamiento y ubicación orgánica de la </w:t>
      </w:r>
      <w:r w:rsidR="002F34A5">
        <w:rPr>
          <w:sz w:val="16"/>
          <w:szCs w:val="16"/>
        </w:rPr>
        <w:t>U</w:t>
      </w:r>
      <w:r w:rsidRPr="006644F3">
        <w:rPr>
          <w:sz w:val="16"/>
          <w:szCs w:val="16"/>
        </w:rPr>
        <w:t xml:space="preserve">nidad de </w:t>
      </w:r>
      <w:r w:rsidR="002F34A5">
        <w:rPr>
          <w:sz w:val="16"/>
          <w:szCs w:val="16"/>
        </w:rPr>
        <w:t>C</w:t>
      </w:r>
      <w:r w:rsidRPr="006644F3">
        <w:rPr>
          <w:sz w:val="16"/>
          <w:szCs w:val="16"/>
        </w:rPr>
        <w:t xml:space="preserve">ontrol </w:t>
      </w:r>
      <w:r w:rsidR="002F34A5">
        <w:rPr>
          <w:sz w:val="16"/>
          <w:szCs w:val="16"/>
        </w:rPr>
        <w:t>I</w:t>
      </w:r>
      <w:r w:rsidRPr="006644F3">
        <w:rPr>
          <w:sz w:val="16"/>
          <w:szCs w:val="16"/>
        </w:rPr>
        <w:t xml:space="preserve">nterno, en tanto el segundo abordó las </w:t>
      </w:r>
      <w:r w:rsidRPr="006644F3">
        <w:rPr>
          <w:snapToGrid w:val="0"/>
          <w:sz w:val="16"/>
          <w:szCs w:val="16"/>
        </w:rPr>
        <w:t>inquietudes presentadas por la integrante Milena Conejo Aguilar y el personal de la Unidad de Control Interno, sobre aspectos que se estimaron que no fueron analizados en el estudio anterior de la Dirección de Planificación</w:t>
      </w:r>
      <w:r w:rsidRPr="006644F3">
        <w:rPr>
          <w:sz w:val="16"/>
          <w:szCs w:val="16"/>
        </w:rPr>
        <w:t>.</w:t>
      </w:r>
    </w:p>
  </w:footnote>
  <w:footnote w:id="3">
    <w:p w:rsidR="002C19D5" w:rsidRPr="006644F3" w:rsidRDefault="002C19D5" w:rsidP="006066AD">
      <w:pPr>
        <w:pStyle w:val="Textonotapie"/>
        <w:jc w:val="both"/>
        <w:rPr>
          <w:sz w:val="16"/>
          <w:szCs w:val="16"/>
        </w:rPr>
      </w:pPr>
      <w:r w:rsidRPr="006644F3">
        <w:rPr>
          <w:rStyle w:val="Refdenotaalpie"/>
          <w:sz w:val="16"/>
          <w:szCs w:val="16"/>
        </w:rPr>
        <w:footnoteRef/>
      </w:r>
      <w:r w:rsidRPr="006644F3">
        <w:rPr>
          <w:sz w:val="16"/>
          <w:szCs w:val="16"/>
        </w:rPr>
        <w:t xml:space="preserve"> </w:t>
      </w:r>
      <w:r w:rsidRPr="006644F3">
        <w:rPr>
          <w:sz w:val="16"/>
          <w:szCs w:val="16"/>
          <w:lang w:val="es-CR"/>
        </w:rPr>
        <w:t xml:space="preserve">En el Anexo N° 1 se aporta el oficio N° 4649-17 del 28 de abril de 2017, donde la Secretaría General de la Corte comunicó a la Dirección de Planificación el acuerdo de Consejo Superior de la sesión N° 34-17 del 5 de abril del </w:t>
      </w:r>
      <w:r w:rsidR="00BB1055">
        <w:rPr>
          <w:sz w:val="16"/>
          <w:szCs w:val="16"/>
          <w:lang w:val="es-CR"/>
        </w:rPr>
        <w:t>2017</w:t>
      </w:r>
      <w:r w:rsidRPr="006644F3">
        <w:rPr>
          <w:sz w:val="16"/>
          <w:szCs w:val="16"/>
          <w:lang w:val="es-CR"/>
        </w:rPr>
        <w:t>, artículo LXIX.</w:t>
      </w:r>
    </w:p>
  </w:footnote>
  <w:footnote w:id="4">
    <w:p w:rsidR="002C19D5" w:rsidRPr="006644F3" w:rsidRDefault="002C19D5" w:rsidP="00285BBE">
      <w:pPr>
        <w:pStyle w:val="Textonotapie"/>
        <w:jc w:val="both"/>
        <w:rPr>
          <w:sz w:val="16"/>
          <w:szCs w:val="16"/>
        </w:rPr>
      </w:pPr>
      <w:r w:rsidRPr="006644F3">
        <w:rPr>
          <w:rStyle w:val="Refdenotaalpie"/>
          <w:sz w:val="16"/>
          <w:szCs w:val="16"/>
        </w:rPr>
        <w:footnoteRef/>
      </w:r>
      <w:r w:rsidRPr="006644F3">
        <w:rPr>
          <w:sz w:val="16"/>
          <w:szCs w:val="16"/>
        </w:rPr>
        <w:t xml:space="preserve"> </w:t>
      </w:r>
      <w:r w:rsidRPr="006644F3">
        <w:rPr>
          <w:sz w:val="16"/>
          <w:szCs w:val="16"/>
          <w:lang w:val="es-CR"/>
        </w:rPr>
        <w:t>En la recomendación 5.8 del oficio 1576-PLA-2016-B se consignó que “</w:t>
      </w:r>
      <w:r w:rsidRPr="006644F3">
        <w:rPr>
          <w:i/>
          <w:sz w:val="16"/>
          <w:szCs w:val="16"/>
          <w:lang w:val="es-CR"/>
        </w:rPr>
        <w:t>Los esfuerzos en el tema de control, seguimiento y recopilación de buenas prácticas debe ser resorte de [la Oficina de Control Interno]. Mientras que la Dirección de Planificación debe encargarse de tomar en cuenta las buenas prácticas dentro de su laboratorio de ideas y de la incorporación de los temas de control de riesgos en los proyectos que realiza</w:t>
      </w:r>
      <w:r w:rsidRPr="006644F3">
        <w:rPr>
          <w:sz w:val="16"/>
          <w:szCs w:val="16"/>
          <w:lang w:val="es-CR"/>
        </w:rPr>
        <w:t>”.</w:t>
      </w:r>
    </w:p>
  </w:footnote>
  <w:footnote w:id="5">
    <w:p w:rsidR="002C19D5" w:rsidRPr="006644F3" w:rsidRDefault="002C19D5" w:rsidP="00285BBE">
      <w:pPr>
        <w:pStyle w:val="Textonotapie"/>
        <w:jc w:val="both"/>
        <w:rPr>
          <w:sz w:val="16"/>
          <w:szCs w:val="16"/>
        </w:rPr>
      </w:pPr>
      <w:r w:rsidRPr="006644F3">
        <w:rPr>
          <w:rStyle w:val="Refdenotaalpie"/>
          <w:sz w:val="16"/>
          <w:szCs w:val="16"/>
        </w:rPr>
        <w:footnoteRef/>
      </w:r>
      <w:r w:rsidRPr="006644F3">
        <w:rPr>
          <w:sz w:val="16"/>
          <w:szCs w:val="16"/>
        </w:rPr>
        <w:t xml:space="preserve"> Esta condición fue avalada por el  Máster </w:t>
      </w:r>
      <w:r w:rsidRPr="006644F3">
        <w:rPr>
          <w:sz w:val="16"/>
          <w:szCs w:val="16"/>
          <w:lang w:val="es-CR"/>
        </w:rPr>
        <w:t>Allan Pow Hing Cordero, Jefe Subproceso de Planificación Estratégica, con la finalidad de confirmar la información.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D5" w:rsidRDefault="002C19D5">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A421A9" w:rsidRPr="00A421A9">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2C19D5" w:rsidRPr="00BC690B" w:rsidRDefault="002C19D5"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C19D5" w:rsidRPr="00BC690B" w:rsidRDefault="002C19D5"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C19D5" w:rsidRPr="00BC690B" w:rsidRDefault="002C19D5"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C19D5" w:rsidRPr="00BC690B" w:rsidRDefault="002C19D5" w:rsidP="00F77F8B"/>
            </w:txbxContent>
          </v:textbox>
        </v:shape>
      </w:pict>
    </w:r>
  </w:p>
  <w:p w:rsidR="002C19D5" w:rsidRDefault="002C19D5">
    <w:pPr>
      <w:pStyle w:val="Encabezado"/>
    </w:pPr>
  </w:p>
  <w:p w:rsidR="002C19D5" w:rsidRDefault="002C19D5">
    <w:pPr>
      <w:pStyle w:val="Encabezado"/>
    </w:pPr>
  </w:p>
  <w:p w:rsidR="002C19D5" w:rsidRDefault="002C19D5">
    <w:pPr>
      <w:pStyle w:val="Encabezado"/>
      <w:pBdr>
        <w:bottom w:val="single" w:sz="12" w:space="1" w:color="auto"/>
      </w:pBdr>
    </w:pPr>
  </w:p>
  <w:p w:rsidR="002C19D5" w:rsidRDefault="002C19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FB0BA6"/>
    <w:multiLevelType w:val="hybridMultilevel"/>
    <w:tmpl w:val="286C1F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EAB2081"/>
    <w:multiLevelType w:val="hybridMultilevel"/>
    <w:tmpl w:val="F840709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18">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9">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C860C93"/>
    <w:multiLevelType w:val="hybridMultilevel"/>
    <w:tmpl w:val="0C8EF3F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32">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4">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2"/>
  </w:num>
  <w:num w:numId="4">
    <w:abstractNumId w:val="7"/>
  </w:num>
  <w:num w:numId="5">
    <w:abstractNumId w:val="14"/>
  </w:num>
  <w:num w:numId="6">
    <w:abstractNumId w:val="22"/>
  </w:num>
  <w:num w:numId="7">
    <w:abstractNumId w:val="33"/>
  </w:num>
  <w:num w:numId="8">
    <w:abstractNumId w:val="6"/>
  </w:num>
  <w:num w:numId="9">
    <w:abstractNumId w:val="8"/>
  </w:num>
  <w:num w:numId="10">
    <w:abstractNumId w:val="9"/>
  </w:num>
  <w:num w:numId="11">
    <w:abstractNumId w:val="13"/>
  </w:num>
  <w:num w:numId="12">
    <w:abstractNumId w:val="5"/>
  </w:num>
  <w:num w:numId="13">
    <w:abstractNumId w:val="4"/>
  </w:num>
  <w:num w:numId="14">
    <w:abstractNumId w:val="27"/>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23"/>
  </w:num>
  <w:num w:numId="24">
    <w:abstractNumId w:val="26"/>
  </w:num>
  <w:num w:numId="25">
    <w:abstractNumId w:val="0"/>
  </w:num>
  <w:num w:numId="26">
    <w:abstractNumId w:val="12"/>
  </w:num>
  <w:num w:numId="27">
    <w:abstractNumId w:val="36"/>
  </w:num>
  <w:num w:numId="28">
    <w:abstractNumId w:val="16"/>
  </w:num>
  <w:num w:numId="29">
    <w:abstractNumId w:val="17"/>
  </w:num>
  <w:num w:numId="30">
    <w:abstractNumId w:val="21"/>
  </w:num>
  <w:num w:numId="31">
    <w:abstractNumId w:val="2"/>
  </w:num>
  <w:num w:numId="32">
    <w:abstractNumId w:val="29"/>
  </w:num>
  <w:num w:numId="33">
    <w:abstractNumId w:val="31"/>
  </w:num>
  <w:num w:numId="34">
    <w:abstractNumId w:val="28"/>
  </w:num>
  <w:num w:numId="35">
    <w:abstractNumId w:val="11"/>
  </w:num>
  <w:num w:numId="36">
    <w:abstractNumId w:val="3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1E08"/>
    <w:rsid w:val="00010E44"/>
    <w:rsid w:val="00016FD7"/>
    <w:rsid w:val="0002106D"/>
    <w:rsid w:val="0002320F"/>
    <w:rsid w:val="0002583D"/>
    <w:rsid w:val="00032628"/>
    <w:rsid w:val="00032BEE"/>
    <w:rsid w:val="00033742"/>
    <w:rsid w:val="000356B2"/>
    <w:rsid w:val="0004610D"/>
    <w:rsid w:val="00053D7E"/>
    <w:rsid w:val="00084F64"/>
    <w:rsid w:val="00086720"/>
    <w:rsid w:val="00091906"/>
    <w:rsid w:val="00097F73"/>
    <w:rsid w:val="000A007A"/>
    <w:rsid w:val="000A0C0B"/>
    <w:rsid w:val="000A10A2"/>
    <w:rsid w:val="000A1214"/>
    <w:rsid w:val="000A1CC3"/>
    <w:rsid w:val="000A47F3"/>
    <w:rsid w:val="000A4BC9"/>
    <w:rsid w:val="000A7793"/>
    <w:rsid w:val="000B69EB"/>
    <w:rsid w:val="000C5148"/>
    <w:rsid w:val="000C5297"/>
    <w:rsid w:val="000D770E"/>
    <w:rsid w:val="000E51AB"/>
    <w:rsid w:val="000F2F8C"/>
    <w:rsid w:val="000F3AB4"/>
    <w:rsid w:val="000F5AB1"/>
    <w:rsid w:val="00104846"/>
    <w:rsid w:val="001119F8"/>
    <w:rsid w:val="001216EE"/>
    <w:rsid w:val="0014227C"/>
    <w:rsid w:val="001425A0"/>
    <w:rsid w:val="00143204"/>
    <w:rsid w:val="00162E1F"/>
    <w:rsid w:val="001662C3"/>
    <w:rsid w:val="00171B65"/>
    <w:rsid w:val="001744ED"/>
    <w:rsid w:val="00174DF0"/>
    <w:rsid w:val="00180D5F"/>
    <w:rsid w:val="001838B6"/>
    <w:rsid w:val="001864A9"/>
    <w:rsid w:val="001906B5"/>
    <w:rsid w:val="00191393"/>
    <w:rsid w:val="00192F5E"/>
    <w:rsid w:val="001A2723"/>
    <w:rsid w:val="001A38B8"/>
    <w:rsid w:val="001A7E3E"/>
    <w:rsid w:val="001B1365"/>
    <w:rsid w:val="001B4047"/>
    <w:rsid w:val="001B4E44"/>
    <w:rsid w:val="001C2485"/>
    <w:rsid w:val="001C2DBD"/>
    <w:rsid w:val="001D1674"/>
    <w:rsid w:val="001D5F25"/>
    <w:rsid w:val="001E1742"/>
    <w:rsid w:val="001F03F4"/>
    <w:rsid w:val="001F4E7F"/>
    <w:rsid w:val="001F58DB"/>
    <w:rsid w:val="001F77D6"/>
    <w:rsid w:val="00200D00"/>
    <w:rsid w:val="002010BD"/>
    <w:rsid w:val="00201633"/>
    <w:rsid w:val="00202494"/>
    <w:rsid w:val="00207937"/>
    <w:rsid w:val="0022789F"/>
    <w:rsid w:val="00232C16"/>
    <w:rsid w:val="00235A7D"/>
    <w:rsid w:val="002471F3"/>
    <w:rsid w:val="00251992"/>
    <w:rsid w:val="002525B9"/>
    <w:rsid w:val="0025684D"/>
    <w:rsid w:val="00256F43"/>
    <w:rsid w:val="0026635D"/>
    <w:rsid w:val="002710AF"/>
    <w:rsid w:val="002723A6"/>
    <w:rsid w:val="002815B6"/>
    <w:rsid w:val="00284412"/>
    <w:rsid w:val="0028547B"/>
    <w:rsid w:val="00285BBE"/>
    <w:rsid w:val="00287959"/>
    <w:rsid w:val="00287F85"/>
    <w:rsid w:val="00291F7D"/>
    <w:rsid w:val="0029224B"/>
    <w:rsid w:val="00294575"/>
    <w:rsid w:val="00294A15"/>
    <w:rsid w:val="00296980"/>
    <w:rsid w:val="002A0578"/>
    <w:rsid w:val="002A0A5C"/>
    <w:rsid w:val="002A4881"/>
    <w:rsid w:val="002A4953"/>
    <w:rsid w:val="002B0482"/>
    <w:rsid w:val="002B504C"/>
    <w:rsid w:val="002B5224"/>
    <w:rsid w:val="002B6CAE"/>
    <w:rsid w:val="002C19D5"/>
    <w:rsid w:val="002D145B"/>
    <w:rsid w:val="002D1F41"/>
    <w:rsid w:val="002E1C7E"/>
    <w:rsid w:val="002F34A5"/>
    <w:rsid w:val="003009E2"/>
    <w:rsid w:val="00302BF7"/>
    <w:rsid w:val="00310B94"/>
    <w:rsid w:val="003143B1"/>
    <w:rsid w:val="00314593"/>
    <w:rsid w:val="00316527"/>
    <w:rsid w:val="00322BA5"/>
    <w:rsid w:val="00326796"/>
    <w:rsid w:val="003424CB"/>
    <w:rsid w:val="00345F18"/>
    <w:rsid w:val="003530AB"/>
    <w:rsid w:val="00357F3B"/>
    <w:rsid w:val="00361091"/>
    <w:rsid w:val="00370F6B"/>
    <w:rsid w:val="00374789"/>
    <w:rsid w:val="003770E6"/>
    <w:rsid w:val="0038232C"/>
    <w:rsid w:val="00384983"/>
    <w:rsid w:val="00384DC2"/>
    <w:rsid w:val="00386194"/>
    <w:rsid w:val="0038796E"/>
    <w:rsid w:val="00391E8D"/>
    <w:rsid w:val="00394F22"/>
    <w:rsid w:val="003A2B29"/>
    <w:rsid w:val="003B1AE0"/>
    <w:rsid w:val="003C06A6"/>
    <w:rsid w:val="003C28B9"/>
    <w:rsid w:val="003C578E"/>
    <w:rsid w:val="003D4B59"/>
    <w:rsid w:val="003D6A7D"/>
    <w:rsid w:val="003D75D8"/>
    <w:rsid w:val="003E51AE"/>
    <w:rsid w:val="003E68F3"/>
    <w:rsid w:val="004079C2"/>
    <w:rsid w:val="004108C9"/>
    <w:rsid w:val="00416A86"/>
    <w:rsid w:val="0041739F"/>
    <w:rsid w:val="0042374B"/>
    <w:rsid w:val="00424AF8"/>
    <w:rsid w:val="00427954"/>
    <w:rsid w:val="004319F8"/>
    <w:rsid w:val="0043230D"/>
    <w:rsid w:val="004411BC"/>
    <w:rsid w:val="00442056"/>
    <w:rsid w:val="004428E2"/>
    <w:rsid w:val="00443E84"/>
    <w:rsid w:val="004454F1"/>
    <w:rsid w:val="00447DC7"/>
    <w:rsid w:val="00457DFF"/>
    <w:rsid w:val="00461A1F"/>
    <w:rsid w:val="004649DE"/>
    <w:rsid w:val="004671C1"/>
    <w:rsid w:val="00481950"/>
    <w:rsid w:val="00485B8A"/>
    <w:rsid w:val="00490C42"/>
    <w:rsid w:val="004939C2"/>
    <w:rsid w:val="00493EDD"/>
    <w:rsid w:val="004B0A56"/>
    <w:rsid w:val="004B1E87"/>
    <w:rsid w:val="004B2AA9"/>
    <w:rsid w:val="004D1CF1"/>
    <w:rsid w:val="004D2A30"/>
    <w:rsid w:val="004E3507"/>
    <w:rsid w:val="00501BB4"/>
    <w:rsid w:val="005026B6"/>
    <w:rsid w:val="005070F9"/>
    <w:rsid w:val="00511A01"/>
    <w:rsid w:val="00511FC2"/>
    <w:rsid w:val="00517A5C"/>
    <w:rsid w:val="005238EE"/>
    <w:rsid w:val="00523F4A"/>
    <w:rsid w:val="00524353"/>
    <w:rsid w:val="00524608"/>
    <w:rsid w:val="005324D5"/>
    <w:rsid w:val="005438DB"/>
    <w:rsid w:val="0054733D"/>
    <w:rsid w:val="0055067B"/>
    <w:rsid w:val="005576E6"/>
    <w:rsid w:val="00573174"/>
    <w:rsid w:val="00573B3A"/>
    <w:rsid w:val="00573EB3"/>
    <w:rsid w:val="005811C5"/>
    <w:rsid w:val="00585B71"/>
    <w:rsid w:val="00587EAD"/>
    <w:rsid w:val="005923BC"/>
    <w:rsid w:val="00596C81"/>
    <w:rsid w:val="005A36C2"/>
    <w:rsid w:val="005A6AE2"/>
    <w:rsid w:val="005A7577"/>
    <w:rsid w:val="005B1131"/>
    <w:rsid w:val="005B3F8F"/>
    <w:rsid w:val="005B6F52"/>
    <w:rsid w:val="005C080E"/>
    <w:rsid w:val="005C4135"/>
    <w:rsid w:val="005C48A6"/>
    <w:rsid w:val="005C4925"/>
    <w:rsid w:val="005D1D76"/>
    <w:rsid w:val="005D2517"/>
    <w:rsid w:val="005E3B41"/>
    <w:rsid w:val="005E7468"/>
    <w:rsid w:val="005E79D1"/>
    <w:rsid w:val="005F0DD5"/>
    <w:rsid w:val="006022FD"/>
    <w:rsid w:val="006066AD"/>
    <w:rsid w:val="006119D4"/>
    <w:rsid w:val="00622AE3"/>
    <w:rsid w:val="00624890"/>
    <w:rsid w:val="00640F5B"/>
    <w:rsid w:val="00653CBB"/>
    <w:rsid w:val="00655B0D"/>
    <w:rsid w:val="006575D1"/>
    <w:rsid w:val="0066224D"/>
    <w:rsid w:val="00663B34"/>
    <w:rsid w:val="00671BC0"/>
    <w:rsid w:val="00672C71"/>
    <w:rsid w:val="006850F8"/>
    <w:rsid w:val="0068584F"/>
    <w:rsid w:val="00692F3F"/>
    <w:rsid w:val="006952EB"/>
    <w:rsid w:val="00697AF8"/>
    <w:rsid w:val="006A50B8"/>
    <w:rsid w:val="006A5CF1"/>
    <w:rsid w:val="006B3AA9"/>
    <w:rsid w:val="006D3EBF"/>
    <w:rsid w:val="006D5DF4"/>
    <w:rsid w:val="006E09C7"/>
    <w:rsid w:val="006E13BB"/>
    <w:rsid w:val="006E7FFA"/>
    <w:rsid w:val="006F01CC"/>
    <w:rsid w:val="006F03B5"/>
    <w:rsid w:val="006F20C7"/>
    <w:rsid w:val="006F2CF7"/>
    <w:rsid w:val="006F2DA1"/>
    <w:rsid w:val="006F4C47"/>
    <w:rsid w:val="006F63CB"/>
    <w:rsid w:val="00702806"/>
    <w:rsid w:val="00704ED4"/>
    <w:rsid w:val="007260E0"/>
    <w:rsid w:val="00742557"/>
    <w:rsid w:val="007455FE"/>
    <w:rsid w:val="007467D0"/>
    <w:rsid w:val="00750CD4"/>
    <w:rsid w:val="007529B0"/>
    <w:rsid w:val="00753B92"/>
    <w:rsid w:val="00755089"/>
    <w:rsid w:val="00757E5E"/>
    <w:rsid w:val="00773A60"/>
    <w:rsid w:val="00776457"/>
    <w:rsid w:val="007A77B4"/>
    <w:rsid w:val="007A7DA2"/>
    <w:rsid w:val="007B21EF"/>
    <w:rsid w:val="007B2252"/>
    <w:rsid w:val="007C17F0"/>
    <w:rsid w:val="007C36BC"/>
    <w:rsid w:val="007D2FE8"/>
    <w:rsid w:val="007D36ED"/>
    <w:rsid w:val="007D3985"/>
    <w:rsid w:val="007D69EA"/>
    <w:rsid w:val="007E3B89"/>
    <w:rsid w:val="007E4DE7"/>
    <w:rsid w:val="007F13A9"/>
    <w:rsid w:val="007F4D28"/>
    <w:rsid w:val="008002AF"/>
    <w:rsid w:val="008044CF"/>
    <w:rsid w:val="00805A07"/>
    <w:rsid w:val="00806BE8"/>
    <w:rsid w:val="00817936"/>
    <w:rsid w:val="0082765A"/>
    <w:rsid w:val="008322A4"/>
    <w:rsid w:val="008331F7"/>
    <w:rsid w:val="008401F3"/>
    <w:rsid w:val="00847885"/>
    <w:rsid w:val="008531CD"/>
    <w:rsid w:val="008531F1"/>
    <w:rsid w:val="008563AE"/>
    <w:rsid w:val="00857403"/>
    <w:rsid w:val="00857A9C"/>
    <w:rsid w:val="00861C9E"/>
    <w:rsid w:val="00862DC0"/>
    <w:rsid w:val="0087079B"/>
    <w:rsid w:val="008708D5"/>
    <w:rsid w:val="00873B20"/>
    <w:rsid w:val="00877A6F"/>
    <w:rsid w:val="00884007"/>
    <w:rsid w:val="008856D3"/>
    <w:rsid w:val="0088601B"/>
    <w:rsid w:val="00886FDE"/>
    <w:rsid w:val="00890002"/>
    <w:rsid w:val="00892001"/>
    <w:rsid w:val="00892181"/>
    <w:rsid w:val="008A7783"/>
    <w:rsid w:val="008A7888"/>
    <w:rsid w:val="008C0B1D"/>
    <w:rsid w:val="008C0E4F"/>
    <w:rsid w:val="008C419D"/>
    <w:rsid w:val="008C71F8"/>
    <w:rsid w:val="008E3A68"/>
    <w:rsid w:val="008E5462"/>
    <w:rsid w:val="008E7720"/>
    <w:rsid w:val="00917516"/>
    <w:rsid w:val="009218D7"/>
    <w:rsid w:val="00922828"/>
    <w:rsid w:val="00924709"/>
    <w:rsid w:val="00925D35"/>
    <w:rsid w:val="009263AD"/>
    <w:rsid w:val="00930675"/>
    <w:rsid w:val="00934448"/>
    <w:rsid w:val="00941A73"/>
    <w:rsid w:val="0094437F"/>
    <w:rsid w:val="00950276"/>
    <w:rsid w:val="0095477B"/>
    <w:rsid w:val="0095485A"/>
    <w:rsid w:val="0095552C"/>
    <w:rsid w:val="0095651E"/>
    <w:rsid w:val="00956BE7"/>
    <w:rsid w:val="00961F52"/>
    <w:rsid w:val="0097054E"/>
    <w:rsid w:val="00971DDE"/>
    <w:rsid w:val="00973E77"/>
    <w:rsid w:val="00984598"/>
    <w:rsid w:val="00985A2B"/>
    <w:rsid w:val="00990A5A"/>
    <w:rsid w:val="00990CED"/>
    <w:rsid w:val="00992ECD"/>
    <w:rsid w:val="00992FDC"/>
    <w:rsid w:val="009A1F55"/>
    <w:rsid w:val="009A572B"/>
    <w:rsid w:val="009A66E9"/>
    <w:rsid w:val="009A73E8"/>
    <w:rsid w:val="009C1D19"/>
    <w:rsid w:val="009D7349"/>
    <w:rsid w:val="009E3C17"/>
    <w:rsid w:val="009E57D9"/>
    <w:rsid w:val="009E587E"/>
    <w:rsid w:val="009F6F35"/>
    <w:rsid w:val="00A04679"/>
    <w:rsid w:val="00A04706"/>
    <w:rsid w:val="00A07E20"/>
    <w:rsid w:val="00A12FA7"/>
    <w:rsid w:val="00A256E3"/>
    <w:rsid w:val="00A260D1"/>
    <w:rsid w:val="00A307E5"/>
    <w:rsid w:val="00A30868"/>
    <w:rsid w:val="00A31C6A"/>
    <w:rsid w:val="00A35B71"/>
    <w:rsid w:val="00A360E7"/>
    <w:rsid w:val="00A421A9"/>
    <w:rsid w:val="00A436C4"/>
    <w:rsid w:val="00A4667A"/>
    <w:rsid w:val="00A559E2"/>
    <w:rsid w:val="00A578E0"/>
    <w:rsid w:val="00A67544"/>
    <w:rsid w:val="00A711C4"/>
    <w:rsid w:val="00A731B5"/>
    <w:rsid w:val="00A754F2"/>
    <w:rsid w:val="00A815AF"/>
    <w:rsid w:val="00A87BB3"/>
    <w:rsid w:val="00A87BC3"/>
    <w:rsid w:val="00A93BE5"/>
    <w:rsid w:val="00A96EA3"/>
    <w:rsid w:val="00AA23F9"/>
    <w:rsid w:val="00AA7882"/>
    <w:rsid w:val="00AB17B6"/>
    <w:rsid w:val="00AB643F"/>
    <w:rsid w:val="00AB6F6E"/>
    <w:rsid w:val="00AB76EA"/>
    <w:rsid w:val="00AC100A"/>
    <w:rsid w:val="00AC102D"/>
    <w:rsid w:val="00AC537C"/>
    <w:rsid w:val="00AC56B9"/>
    <w:rsid w:val="00AC5AB0"/>
    <w:rsid w:val="00AD169E"/>
    <w:rsid w:val="00AD56BA"/>
    <w:rsid w:val="00AD5778"/>
    <w:rsid w:val="00AE0C79"/>
    <w:rsid w:val="00AE2D6E"/>
    <w:rsid w:val="00AF4AAA"/>
    <w:rsid w:val="00AF6A07"/>
    <w:rsid w:val="00B01331"/>
    <w:rsid w:val="00B03F9B"/>
    <w:rsid w:val="00B0483C"/>
    <w:rsid w:val="00B0508A"/>
    <w:rsid w:val="00B10D30"/>
    <w:rsid w:val="00B15069"/>
    <w:rsid w:val="00B163F7"/>
    <w:rsid w:val="00B20331"/>
    <w:rsid w:val="00B22CA2"/>
    <w:rsid w:val="00B2469D"/>
    <w:rsid w:val="00B33624"/>
    <w:rsid w:val="00B3407D"/>
    <w:rsid w:val="00B4787B"/>
    <w:rsid w:val="00B5030E"/>
    <w:rsid w:val="00B531A5"/>
    <w:rsid w:val="00B559B9"/>
    <w:rsid w:val="00B7302D"/>
    <w:rsid w:val="00B73196"/>
    <w:rsid w:val="00B81A7A"/>
    <w:rsid w:val="00B868AA"/>
    <w:rsid w:val="00B87D80"/>
    <w:rsid w:val="00B916E5"/>
    <w:rsid w:val="00B91ECA"/>
    <w:rsid w:val="00B91F22"/>
    <w:rsid w:val="00BA10A9"/>
    <w:rsid w:val="00BA26B5"/>
    <w:rsid w:val="00BB0646"/>
    <w:rsid w:val="00BB1055"/>
    <w:rsid w:val="00BB26CC"/>
    <w:rsid w:val="00BB379C"/>
    <w:rsid w:val="00BB67C5"/>
    <w:rsid w:val="00BC2A51"/>
    <w:rsid w:val="00BC4CDF"/>
    <w:rsid w:val="00BD04A8"/>
    <w:rsid w:val="00BD0801"/>
    <w:rsid w:val="00BD408F"/>
    <w:rsid w:val="00BE6116"/>
    <w:rsid w:val="00BF2C1C"/>
    <w:rsid w:val="00C0039B"/>
    <w:rsid w:val="00C069D6"/>
    <w:rsid w:val="00C0718F"/>
    <w:rsid w:val="00C07388"/>
    <w:rsid w:val="00C2426E"/>
    <w:rsid w:val="00C26EFD"/>
    <w:rsid w:val="00C30500"/>
    <w:rsid w:val="00C32B1E"/>
    <w:rsid w:val="00C351A5"/>
    <w:rsid w:val="00C538E8"/>
    <w:rsid w:val="00C60975"/>
    <w:rsid w:val="00C70D10"/>
    <w:rsid w:val="00C70D84"/>
    <w:rsid w:val="00C73ED6"/>
    <w:rsid w:val="00C76C9F"/>
    <w:rsid w:val="00C86B4E"/>
    <w:rsid w:val="00C90817"/>
    <w:rsid w:val="00C91FD5"/>
    <w:rsid w:val="00CA4835"/>
    <w:rsid w:val="00CA4EAC"/>
    <w:rsid w:val="00CA5B3E"/>
    <w:rsid w:val="00CB0828"/>
    <w:rsid w:val="00CB0A0D"/>
    <w:rsid w:val="00CB2356"/>
    <w:rsid w:val="00CB36B1"/>
    <w:rsid w:val="00CB6911"/>
    <w:rsid w:val="00CC31EC"/>
    <w:rsid w:val="00CD2A40"/>
    <w:rsid w:val="00CD4216"/>
    <w:rsid w:val="00CE5333"/>
    <w:rsid w:val="00CE5C6A"/>
    <w:rsid w:val="00CF202F"/>
    <w:rsid w:val="00D02FCC"/>
    <w:rsid w:val="00D03E09"/>
    <w:rsid w:val="00D071C0"/>
    <w:rsid w:val="00D07361"/>
    <w:rsid w:val="00D10A5A"/>
    <w:rsid w:val="00D13D55"/>
    <w:rsid w:val="00D14700"/>
    <w:rsid w:val="00D311D7"/>
    <w:rsid w:val="00D31BFE"/>
    <w:rsid w:val="00D455C3"/>
    <w:rsid w:val="00D475FC"/>
    <w:rsid w:val="00D6104E"/>
    <w:rsid w:val="00D63733"/>
    <w:rsid w:val="00D710E7"/>
    <w:rsid w:val="00D7235E"/>
    <w:rsid w:val="00D759E9"/>
    <w:rsid w:val="00D8164E"/>
    <w:rsid w:val="00D81A84"/>
    <w:rsid w:val="00D901EE"/>
    <w:rsid w:val="00D91759"/>
    <w:rsid w:val="00D9537B"/>
    <w:rsid w:val="00D961C3"/>
    <w:rsid w:val="00DA3AE2"/>
    <w:rsid w:val="00DA7C39"/>
    <w:rsid w:val="00DB4149"/>
    <w:rsid w:val="00DC3805"/>
    <w:rsid w:val="00DC4083"/>
    <w:rsid w:val="00DC5D90"/>
    <w:rsid w:val="00DC6A4B"/>
    <w:rsid w:val="00DD1A0E"/>
    <w:rsid w:val="00DD58AF"/>
    <w:rsid w:val="00DE4898"/>
    <w:rsid w:val="00DF012F"/>
    <w:rsid w:val="00DF3986"/>
    <w:rsid w:val="00DF607A"/>
    <w:rsid w:val="00E03888"/>
    <w:rsid w:val="00E07793"/>
    <w:rsid w:val="00E14BB2"/>
    <w:rsid w:val="00E16A68"/>
    <w:rsid w:val="00E17754"/>
    <w:rsid w:val="00E31975"/>
    <w:rsid w:val="00E43878"/>
    <w:rsid w:val="00E47E62"/>
    <w:rsid w:val="00E525A9"/>
    <w:rsid w:val="00E529CF"/>
    <w:rsid w:val="00E53A1E"/>
    <w:rsid w:val="00E6121F"/>
    <w:rsid w:val="00E63CFA"/>
    <w:rsid w:val="00E6428E"/>
    <w:rsid w:val="00E67821"/>
    <w:rsid w:val="00E8341C"/>
    <w:rsid w:val="00E90C76"/>
    <w:rsid w:val="00E93BD2"/>
    <w:rsid w:val="00EC1A1D"/>
    <w:rsid w:val="00EC7847"/>
    <w:rsid w:val="00ED02CD"/>
    <w:rsid w:val="00ED0978"/>
    <w:rsid w:val="00ED2F17"/>
    <w:rsid w:val="00ED4528"/>
    <w:rsid w:val="00F01320"/>
    <w:rsid w:val="00F156BF"/>
    <w:rsid w:val="00F217AA"/>
    <w:rsid w:val="00F22A85"/>
    <w:rsid w:val="00F23A98"/>
    <w:rsid w:val="00F241F8"/>
    <w:rsid w:val="00F247C8"/>
    <w:rsid w:val="00F35CD4"/>
    <w:rsid w:val="00F36FF2"/>
    <w:rsid w:val="00F417F5"/>
    <w:rsid w:val="00F50C5D"/>
    <w:rsid w:val="00F55CA5"/>
    <w:rsid w:val="00F55E3C"/>
    <w:rsid w:val="00F62516"/>
    <w:rsid w:val="00F7003C"/>
    <w:rsid w:val="00F74047"/>
    <w:rsid w:val="00F765B2"/>
    <w:rsid w:val="00F77135"/>
    <w:rsid w:val="00F77F8B"/>
    <w:rsid w:val="00F801D6"/>
    <w:rsid w:val="00F82567"/>
    <w:rsid w:val="00FA5849"/>
    <w:rsid w:val="00FB3419"/>
    <w:rsid w:val="00FB5C25"/>
    <w:rsid w:val="00FC2AF4"/>
    <w:rsid w:val="00FC56DB"/>
    <w:rsid w:val="00FD1787"/>
    <w:rsid w:val="00FD2C3E"/>
    <w:rsid w:val="00FE02A8"/>
    <w:rsid w:val="00FE2CC0"/>
    <w:rsid w:val="00FE7846"/>
    <w:rsid w:val="00FF7961"/>
    <w:rsid w:val="00FF7B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qFormat/>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iPriority w:val="99"/>
    <w:rsid w:val="00A4667A"/>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uiPriority w:val="99"/>
    <w:rsid w:val="00A4667A"/>
    <w:rPr>
      <w:rFonts w:ascii="Times New Roman" w:eastAsia="Times New Roman" w:hAnsi="Times New Roman" w:cs="Times New Roman"/>
      <w:sz w:val="20"/>
      <w:szCs w:val="20"/>
      <w:lang w:val="es-ES" w:eastAsia="es-ES"/>
    </w:rPr>
  </w:style>
  <w:style w:type="character" w:styleId="Refdenotaalpie">
    <w:name w:val="footnote reference"/>
    <w:aliases w:val="ƒ89,^ƒ89,Footnotes refss,Texto de nota al pie,Appel note de bas de page,Referencia nota al pie"/>
    <w:uiPriority w:val="99"/>
    <w:qFormat/>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qFormat/>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character" w:styleId="Refdecomentario">
    <w:name w:val="annotation reference"/>
    <w:basedOn w:val="Fuentedeprrafopredeter"/>
    <w:uiPriority w:val="99"/>
    <w:semiHidden/>
    <w:unhideWhenUsed/>
    <w:rsid w:val="00C26EFD"/>
    <w:rPr>
      <w:sz w:val="16"/>
      <w:szCs w:val="16"/>
    </w:rPr>
  </w:style>
  <w:style w:type="paragraph" w:styleId="Textocomentario">
    <w:name w:val="annotation text"/>
    <w:basedOn w:val="Normal"/>
    <w:link w:val="TextocomentarioCar"/>
    <w:uiPriority w:val="99"/>
    <w:semiHidden/>
    <w:unhideWhenUsed/>
    <w:rsid w:val="00C26EFD"/>
    <w:rPr>
      <w:sz w:val="20"/>
      <w:szCs w:val="20"/>
    </w:rPr>
  </w:style>
  <w:style w:type="character" w:customStyle="1" w:styleId="TextocomentarioCar">
    <w:name w:val="Texto comentario Car"/>
    <w:basedOn w:val="Fuentedeprrafopredeter"/>
    <w:link w:val="Textocomentario"/>
    <w:uiPriority w:val="99"/>
    <w:semiHidden/>
    <w:rsid w:val="00C26E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26EFD"/>
    <w:rPr>
      <w:b/>
      <w:bCs/>
    </w:rPr>
  </w:style>
  <w:style w:type="character" w:customStyle="1" w:styleId="AsuntodelcomentarioCar">
    <w:name w:val="Asunto del comentario Car"/>
    <w:basedOn w:val="TextocomentarioCar"/>
    <w:link w:val="Asuntodelcomentario"/>
    <w:uiPriority w:val="99"/>
    <w:semiHidden/>
    <w:rsid w:val="00C26EFD"/>
    <w:rPr>
      <w:rFonts w:ascii="Times New Roman" w:eastAsia="Times New Roman" w:hAnsi="Times New Roman" w:cs="Times New Roman"/>
      <w:b/>
      <w:bCs/>
      <w:sz w:val="20"/>
      <w:szCs w:val="20"/>
      <w:lang w:val="es-ES" w:eastAsia="es-ES"/>
    </w:rPr>
  </w:style>
  <w:style w:type="paragraph" w:customStyle="1" w:styleId="ecxmsonormal">
    <w:name w:val="ecxmsonormal"/>
    <w:uiPriority w:val="99"/>
    <w:rsid w:val="005B1131"/>
    <w:pPr>
      <w:widowControl w:val="0"/>
      <w:autoSpaceDE w:val="0"/>
      <w:autoSpaceDN w:val="0"/>
      <w:adjustRightInd w:val="0"/>
      <w:spacing w:before="100" w:after="10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Documento_de_Microsoft_Office_Word_97-2003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0BF8-9690-4D66-9D32-3F08A0B3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11103</Characters>
  <Application>Microsoft Office Word</Application>
  <DocSecurity>4</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2018-04-13T14:09:00Z</dcterms:created>
  <dcterms:modified xsi:type="dcterms:W3CDTF">2018-04-13T14:09:00Z</dcterms:modified>
</cp:coreProperties>
</file>