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182676" w:rsidP="00A4667A">
      <w:r w:rsidRPr="00182676">
        <w:rPr>
          <w:noProof/>
        </w:rPr>
        <w:pict>
          <v:group id="Group 2" o:spid="_x0000_s1026" style="position:absolute;margin-left:-86.4pt;margin-top:-128.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1C1A01" w:rsidRPr="005830DD" w:rsidRDefault="001C1A01" w:rsidP="009A3693">
      <w:pPr>
        <w:jc w:val="center"/>
        <w:rPr>
          <w:rFonts w:ascii="Calibri" w:hAnsi="Calibri"/>
          <w:b/>
          <w:i/>
          <w:sz w:val="40"/>
          <w:szCs w:val="40"/>
        </w:rPr>
      </w:pPr>
      <w:r w:rsidRPr="005830DD">
        <w:rPr>
          <w:rFonts w:ascii="Calibri" w:hAnsi="Calibri"/>
          <w:b/>
          <w:i/>
          <w:sz w:val="40"/>
          <w:szCs w:val="40"/>
        </w:rPr>
        <w:t xml:space="preserve">Recursos otorgados al </w:t>
      </w:r>
      <w:r w:rsidR="009A3693" w:rsidRPr="005830DD">
        <w:rPr>
          <w:rFonts w:ascii="Calibri" w:hAnsi="Calibri"/>
          <w:b/>
          <w:i/>
          <w:sz w:val="40"/>
          <w:szCs w:val="40"/>
        </w:rPr>
        <w:t xml:space="preserve">Departamento </w:t>
      </w:r>
      <w:r w:rsidRPr="005830DD">
        <w:rPr>
          <w:rFonts w:ascii="Calibri" w:hAnsi="Calibri"/>
          <w:b/>
          <w:i/>
          <w:sz w:val="40"/>
          <w:szCs w:val="40"/>
        </w:rPr>
        <w:t>Laboratorio</w:t>
      </w:r>
    </w:p>
    <w:p w:rsidR="00A4667A" w:rsidRPr="005830DD" w:rsidRDefault="009A3693" w:rsidP="009A3693">
      <w:pPr>
        <w:jc w:val="center"/>
        <w:rPr>
          <w:rFonts w:ascii="Calibri" w:hAnsi="Calibri"/>
          <w:b/>
          <w:i/>
          <w:sz w:val="40"/>
          <w:szCs w:val="40"/>
        </w:rPr>
      </w:pPr>
      <w:proofErr w:type="gramStart"/>
      <w:r w:rsidRPr="005830DD">
        <w:rPr>
          <w:rFonts w:ascii="Calibri" w:hAnsi="Calibri"/>
          <w:b/>
          <w:i/>
          <w:sz w:val="40"/>
          <w:szCs w:val="40"/>
        </w:rPr>
        <w:t>de</w:t>
      </w:r>
      <w:proofErr w:type="gramEnd"/>
      <w:r w:rsidRPr="005830DD">
        <w:rPr>
          <w:rFonts w:ascii="Calibri" w:hAnsi="Calibri"/>
          <w:b/>
          <w:i/>
          <w:sz w:val="40"/>
          <w:szCs w:val="40"/>
        </w:rPr>
        <w:t xml:space="preserve"> Ciencias Forenses</w:t>
      </w:r>
      <w:r w:rsidR="001C1A01" w:rsidRPr="005830DD">
        <w:rPr>
          <w:rFonts w:ascii="Calibri" w:hAnsi="Calibri"/>
          <w:b/>
          <w:i/>
          <w:sz w:val="40"/>
          <w:szCs w:val="40"/>
        </w:rPr>
        <w:t xml:space="preserve"> del OIJ</w:t>
      </w:r>
    </w:p>
    <w:p w:rsidR="009A3693" w:rsidRDefault="009A3693" w:rsidP="00E86372">
      <w:pPr>
        <w:jc w:val="both"/>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704E16" w:rsidP="00A4667A">
      <w:pPr>
        <w:jc w:val="center"/>
        <w:rPr>
          <w:rFonts w:ascii="Calibri" w:hAnsi="Calibri"/>
          <w:sz w:val="40"/>
          <w:szCs w:val="40"/>
        </w:rPr>
      </w:pPr>
      <w:r>
        <w:rPr>
          <w:rFonts w:ascii="Calibri" w:hAnsi="Calibri"/>
          <w:sz w:val="40"/>
          <w:szCs w:val="40"/>
        </w:rPr>
        <w:t>12</w:t>
      </w:r>
      <w:r w:rsidR="00E42048">
        <w:rPr>
          <w:rFonts w:ascii="Calibri" w:hAnsi="Calibri"/>
          <w:sz w:val="40"/>
          <w:szCs w:val="40"/>
        </w:rPr>
        <w:t xml:space="preserve"> </w:t>
      </w:r>
      <w:r w:rsidR="00A4667A" w:rsidRPr="002640EC">
        <w:rPr>
          <w:rFonts w:ascii="Calibri" w:hAnsi="Calibri"/>
          <w:sz w:val="40"/>
          <w:szCs w:val="40"/>
        </w:rPr>
        <w:t xml:space="preserve">de </w:t>
      </w:r>
      <w:r w:rsidR="009A3693">
        <w:rPr>
          <w:rFonts w:ascii="Calibri" w:hAnsi="Calibri"/>
          <w:sz w:val="40"/>
          <w:szCs w:val="40"/>
        </w:rPr>
        <w:t xml:space="preserve">abril de </w:t>
      </w:r>
      <w:r w:rsidR="00A4667A" w:rsidRPr="002640EC">
        <w:rPr>
          <w:rFonts w:ascii="Calibri" w:hAnsi="Calibri"/>
          <w:sz w:val="40"/>
          <w:szCs w:val="40"/>
        </w:rPr>
        <w:t>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A4667A" w:rsidRPr="00EE5396" w:rsidTr="00F765B2">
        <w:trPr>
          <w:trHeight w:val="540"/>
        </w:trPr>
        <w:tc>
          <w:tcPr>
            <w:tcW w:w="6799" w:type="dxa"/>
            <w:gridSpan w:val="2"/>
            <w:tcBorders>
              <w:bottom w:val="single" w:sz="4" w:space="0" w:color="auto"/>
            </w:tcBorders>
            <w:shd w:val="clear" w:color="auto" w:fill="000000"/>
            <w:vAlign w:val="center"/>
          </w:tcPr>
          <w:p w:rsidR="00A4667A" w:rsidRPr="00EE5396" w:rsidRDefault="00316527" w:rsidP="009A1F55">
            <w:pPr>
              <w:jc w:val="center"/>
              <w:rPr>
                <w:b/>
                <w:sz w:val="28"/>
                <w:szCs w:val="28"/>
              </w:rPr>
            </w:pPr>
            <w:r>
              <w:rPr>
                <w:rFonts w:ascii="Calibri" w:hAnsi="Calibri"/>
                <w:sz w:val="40"/>
                <w:szCs w:val="40"/>
              </w:rPr>
              <w:lastRenderedPageBreak/>
              <w:br w:type="page"/>
            </w:r>
            <w:r w:rsidR="00A4667A" w:rsidRPr="00EE5396">
              <w:rPr>
                <w:b/>
                <w:sz w:val="28"/>
                <w:szCs w:val="28"/>
              </w:rPr>
              <w:t>Dirección de Planificación</w:t>
            </w:r>
          </w:p>
        </w:tc>
        <w:tc>
          <w:tcPr>
            <w:tcW w:w="1560" w:type="dxa"/>
            <w:shd w:val="clear" w:color="auto" w:fill="B3B3B3"/>
            <w:vAlign w:val="center"/>
          </w:tcPr>
          <w:p w:rsidR="00A4667A" w:rsidRPr="00EE5396" w:rsidRDefault="00A4667A" w:rsidP="009A1F55">
            <w:pPr>
              <w:jc w:val="right"/>
              <w:rPr>
                <w:b/>
                <w:sz w:val="28"/>
                <w:szCs w:val="28"/>
              </w:rPr>
            </w:pPr>
            <w:r w:rsidRPr="00EE5396">
              <w:rPr>
                <w:b/>
                <w:sz w:val="28"/>
                <w:szCs w:val="28"/>
              </w:rPr>
              <w:t>Fecha:</w:t>
            </w:r>
          </w:p>
        </w:tc>
        <w:tc>
          <w:tcPr>
            <w:tcW w:w="2239" w:type="dxa"/>
            <w:vAlign w:val="center"/>
          </w:tcPr>
          <w:p w:rsidR="00A4667A" w:rsidRPr="00EE5396" w:rsidRDefault="00704E16" w:rsidP="009A1F55">
            <w:pPr>
              <w:jc w:val="center"/>
              <w:rPr>
                <w:i/>
                <w:sz w:val="28"/>
                <w:szCs w:val="28"/>
              </w:rPr>
            </w:pPr>
            <w:r>
              <w:rPr>
                <w:i/>
                <w:sz w:val="28"/>
                <w:szCs w:val="28"/>
              </w:rPr>
              <w:t>12</w:t>
            </w:r>
            <w:r w:rsidR="00A4667A" w:rsidRPr="00EE5396">
              <w:rPr>
                <w:i/>
                <w:sz w:val="28"/>
                <w:szCs w:val="28"/>
              </w:rPr>
              <w:t>/</w:t>
            </w:r>
            <w:r w:rsidR="009A3693">
              <w:rPr>
                <w:i/>
                <w:sz w:val="28"/>
                <w:szCs w:val="28"/>
              </w:rPr>
              <w:t>4</w:t>
            </w:r>
            <w:r w:rsidR="00A4667A" w:rsidRPr="00EE5396">
              <w:rPr>
                <w:i/>
                <w:sz w:val="28"/>
                <w:szCs w:val="28"/>
              </w:rPr>
              <w:t>/201</w:t>
            </w:r>
            <w:r w:rsidR="00316527">
              <w:rPr>
                <w:i/>
                <w:sz w:val="28"/>
                <w:szCs w:val="28"/>
              </w:rPr>
              <w:t>8</w:t>
            </w:r>
          </w:p>
        </w:tc>
      </w:tr>
      <w:tr w:rsidR="00A4667A" w:rsidRPr="00EE5396" w:rsidTr="00F765B2">
        <w:trPr>
          <w:trHeight w:val="494"/>
        </w:trPr>
        <w:tc>
          <w:tcPr>
            <w:tcW w:w="6799" w:type="dxa"/>
            <w:gridSpan w:val="2"/>
            <w:shd w:val="clear" w:color="auto" w:fill="262626"/>
            <w:vAlign w:val="center"/>
          </w:tcPr>
          <w:p w:rsidR="00A4667A" w:rsidRPr="00EE5396" w:rsidRDefault="00A4667A" w:rsidP="009A1F55">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9A1F55">
            <w:pPr>
              <w:jc w:val="center"/>
              <w:rPr>
                <w:b/>
                <w:sz w:val="28"/>
                <w:szCs w:val="28"/>
              </w:rPr>
            </w:pPr>
            <w:r w:rsidRPr="00EE5396">
              <w:rPr>
                <w:b/>
                <w:sz w:val="28"/>
                <w:szCs w:val="28"/>
              </w:rPr>
              <w:t># Informe:</w:t>
            </w:r>
          </w:p>
        </w:tc>
        <w:tc>
          <w:tcPr>
            <w:tcW w:w="2239" w:type="dxa"/>
            <w:vAlign w:val="center"/>
          </w:tcPr>
          <w:p w:rsidR="00A4667A" w:rsidRPr="00EE5396" w:rsidRDefault="0022753D" w:rsidP="009A1F55">
            <w:pPr>
              <w:jc w:val="center"/>
              <w:rPr>
                <w:i/>
                <w:sz w:val="28"/>
                <w:szCs w:val="28"/>
              </w:rPr>
            </w:pPr>
            <w:r>
              <w:rPr>
                <w:i/>
                <w:sz w:val="28"/>
                <w:szCs w:val="28"/>
              </w:rPr>
              <w:t>26</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F765B2">
        <w:trPr>
          <w:trHeight w:val="494"/>
        </w:trPr>
        <w:tc>
          <w:tcPr>
            <w:tcW w:w="2689" w:type="dxa"/>
            <w:shd w:val="clear" w:color="auto" w:fill="B3B3B3"/>
            <w:vAlign w:val="center"/>
          </w:tcPr>
          <w:p w:rsidR="00A4667A" w:rsidRPr="00EE5396" w:rsidRDefault="00A4667A" w:rsidP="009A1F55">
            <w:pPr>
              <w:jc w:val="right"/>
              <w:rPr>
                <w:b/>
                <w:sz w:val="28"/>
                <w:szCs w:val="28"/>
              </w:rPr>
            </w:pPr>
            <w:r w:rsidRPr="00EE5396">
              <w:rPr>
                <w:b/>
                <w:sz w:val="28"/>
                <w:szCs w:val="28"/>
              </w:rPr>
              <w:t>Proyecto u oficinas analizadas:</w:t>
            </w:r>
          </w:p>
        </w:tc>
        <w:tc>
          <w:tcPr>
            <w:tcW w:w="7909" w:type="dxa"/>
            <w:gridSpan w:val="3"/>
            <w:vAlign w:val="center"/>
          </w:tcPr>
          <w:p w:rsidR="00A4667A" w:rsidRPr="00F765B2" w:rsidRDefault="001C1A01" w:rsidP="00E42048">
            <w:pPr>
              <w:jc w:val="both"/>
              <w:rPr>
                <w:bCs/>
                <w:i/>
                <w:sz w:val="28"/>
                <w:szCs w:val="28"/>
              </w:rPr>
            </w:pPr>
            <w:r w:rsidRPr="005830DD">
              <w:rPr>
                <w:bCs/>
                <w:i/>
                <w:sz w:val="28"/>
                <w:szCs w:val="28"/>
              </w:rPr>
              <w:t>Recursos otorgados al Departamento Laboratorio de Ciencias Forenses del OIJ</w:t>
            </w:r>
            <w:r>
              <w:rPr>
                <w:bCs/>
                <w:i/>
                <w:sz w:val="28"/>
                <w:szCs w:val="28"/>
              </w:rPr>
              <w:t>.</w:t>
            </w:r>
          </w:p>
        </w:tc>
      </w:tr>
    </w:tbl>
    <w:p w:rsidR="00A4667A" w:rsidRPr="00EE5396" w:rsidRDefault="00A4667A" w:rsidP="00F55CA5">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5F142C" w:rsidRPr="000A665A" w:rsidRDefault="005F142C" w:rsidP="005F142C">
            <w:pPr>
              <w:pStyle w:val="Textoindependiente"/>
              <w:spacing w:before="120"/>
              <w:ind w:right="10"/>
              <w:rPr>
                <w:rFonts w:ascii="Times New Roman" w:hAnsi="Times New Roman" w:cs="Times New Roman"/>
                <w:i/>
                <w:sz w:val="28"/>
                <w:szCs w:val="28"/>
                <w:shd w:val="clear" w:color="auto" w:fill="auto"/>
                <w:lang w:val="es-ES"/>
              </w:rPr>
            </w:pPr>
            <w:r w:rsidRPr="000A665A">
              <w:rPr>
                <w:rFonts w:ascii="Times New Roman" w:hAnsi="Times New Roman" w:cs="Times New Roman"/>
                <w:i/>
                <w:sz w:val="28"/>
                <w:szCs w:val="28"/>
                <w:shd w:val="clear" w:color="auto" w:fill="auto"/>
                <w:lang w:val="es-ES"/>
              </w:rPr>
              <w:t xml:space="preserve">Los recursos bajo análisis nacen bajo </w:t>
            </w:r>
            <w:r w:rsidR="00204604">
              <w:rPr>
                <w:rFonts w:ascii="Times New Roman" w:hAnsi="Times New Roman" w:cs="Times New Roman"/>
                <w:i/>
                <w:sz w:val="28"/>
                <w:szCs w:val="28"/>
                <w:shd w:val="clear" w:color="auto" w:fill="auto"/>
                <w:lang w:val="es-ES"/>
              </w:rPr>
              <w:t>tres</w:t>
            </w:r>
            <w:r w:rsidRPr="000A665A">
              <w:rPr>
                <w:rFonts w:ascii="Times New Roman" w:hAnsi="Times New Roman" w:cs="Times New Roman"/>
                <w:i/>
                <w:sz w:val="28"/>
                <w:szCs w:val="28"/>
                <w:shd w:val="clear" w:color="auto" w:fill="auto"/>
                <w:lang w:val="es-ES"/>
              </w:rPr>
              <w:t xml:space="preserve"> líneas de acción a saber: </w:t>
            </w:r>
          </w:p>
          <w:p w:rsidR="005F142C" w:rsidRPr="000A665A" w:rsidRDefault="005F142C" w:rsidP="005F142C">
            <w:pPr>
              <w:pStyle w:val="Textoindependiente"/>
              <w:spacing w:before="120"/>
              <w:ind w:right="10"/>
              <w:rPr>
                <w:rFonts w:ascii="Times New Roman" w:hAnsi="Times New Roman" w:cs="Times New Roman"/>
                <w:i/>
                <w:sz w:val="28"/>
                <w:szCs w:val="28"/>
                <w:shd w:val="clear" w:color="auto" w:fill="auto"/>
                <w:lang w:val="es-ES"/>
              </w:rPr>
            </w:pPr>
            <w:r w:rsidRPr="000A665A">
              <w:rPr>
                <w:rFonts w:ascii="Times New Roman" w:hAnsi="Times New Roman" w:cs="Times New Roman"/>
                <w:i/>
                <w:sz w:val="28"/>
                <w:szCs w:val="28"/>
                <w:shd w:val="clear" w:color="auto" w:fill="auto"/>
                <w:lang w:val="es-ES"/>
              </w:rPr>
              <w:t>-</w:t>
            </w:r>
            <w:r w:rsidR="00AC1F83">
              <w:rPr>
                <w:rFonts w:ascii="Times New Roman" w:hAnsi="Times New Roman" w:cs="Times New Roman"/>
                <w:i/>
                <w:sz w:val="28"/>
                <w:szCs w:val="28"/>
                <w:shd w:val="clear" w:color="auto" w:fill="auto"/>
                <w:lang w:val="es-ES"/>
              </w:rPr>
              <w:t xml:space="preserve">Para apoyar </w:t>
            </w:r>
            <w:r w:rsidRPr="000A665A">
              <w:rPr>
                <w:rFonts w:ascii="Times New Roman" w:hAnsi="Times New Roman" w:cs="Times New Roman"/>
                <w:i/>
                <w:sz w:val="28"/>
                <w:szCs w:val="28"/>
                <w:shd w:val="clear" w:color="auto" w:fill="auto"/>
                <w:lang w:val="es-ES"/>
              </w:rPr>
              <w:t xml:space="preserve">el proceso de acreditación del </w:t>
            </w:r>
            <w:r w:rsidR="001C1A01">
              <w:rPr>
                <w:rFonts w:ascii="Times New Roman" w:hAnsi="Times New Roman" w:cs="Times New Roman"/>
                <w:i/>
                <w:sz w:val="28"/>
                <w:szCs w:val="28"/>
                <w:shd w:val="clear" w:color="auto" w:fill="auto"/>
                <w:lang w:val="es-ES"/>
              </w:rPr>
              <w:t xml:space="preserve">Departamento </w:t>
            </w:r>
            <w:r w:rsidRPr="000A665A">
              <w:rPr>
                <w:rFonts w:ascii="Times New Roman" w:hAnsi="Times New Roman" w:cs="Times New Roman"/>
                <w:i/>
                <w:sz w:val="28"/>
                <w:szCs w:val="28"/>
                <w:shd w:val="clear" w:color="auto" w:fill="auto"/>
                <w:lang w:val="es-ES"/>
              </w:rPr>
              <w:t>Laboratorio de Ciencias Forenses en las normas internacional</w:t>
            </w:r>
            <w:r w:rsidR="001C1A01">
              <w:rPr>
                <w:rFonts w:ascii="Times New Roman" w:hAnsi="Times New Roman" w:cs="Times New Roman"/>
                <w:i/>
                <w:sz w:val="28"/>
                <w:szCs w:val="28"/>
                <w:shd w:val="clear" w:color="auto" w:fill="auto"/>
                <w:lang w:val="es-ES"/>
              </w:rPr>
              <w:t>es</w:t>
            </w:r>
            <w:r w:rsidRPr="000A665A">
              <w:rPr>
                <w:rFonts w:ascii="Times New Roman" w:hAnsi="Times New Roman" w:cs="Times New Roman"/>
                <w:i/>
                <w:sz w:val="28"/>
                <w:szCs w:val="28"/>
                <w:shd w:val="clear" w:color="auto" w:fill="auto"/>
                <w:lang w:val="es-ES"/>
              </w:rPr>
              <w:t xml:space="preserve"> de calidad </w:t>
            </w:r>
            <w:r w:rsidR="00AC1F83">
              <w:rPr>
                <w:rFonts w:ascii="Times New Roman" w:hAnsi="Times New Roman" w:cs="Times New Roman"/>
                <w:i/>
                <w:sz w:val="28"/>
                <w:szCs w:val="28"/>
                <w:shd w:val="clear" w:color="auto" w:fill="auto"/>
                <w:lang w:val="es-ES"/>
              </w:rPr>
              <w:t>(</w:t>
            </w:r>
            <w:r w:rsidRPr="000A665A">
              <w:rPr>
                <w:rFonts w:ascii="Times New Roman" w:hAnsi="Times New Roman" w:cs="Times New Roman"/>
                <w:i/>
                <w:sz w:val="28"/>
                <w:szCs w:val="28"/>
                <w:shd w:val="clear" w:color="auto" w:fill="auto"/>
                <w:lang w:val="es-ES"/>
              </w:rPr>
              <w:t xml:space="preserve">normas ISO 17025:2005 </w:t>
            </w:r>
            <w:r w:rsidR="00AC1F83">
              <w:rPr>
                <w:rFonts w:ascii="Times New Roman" w:hAnsi="Times New Roman" w:cs="Times New Roman"/>
                <w:i/>
                <w:sz w:val="28"/>
                <w:szCs w:val="28"/>
                <w:shd w:val="clear" w:color="auto" w:fill="auto"/>
                <w:lang w:val="es-ES"/>
              </w:rPr>
              <w:t>e</w:t>
            </w:r>
            <w:r w:rsidR="00AC1F83" w:rsidRPr="000A665A">
              <w:rPr>
                <w:rFonts w:ascii="Times New Roman" w:hAnsi="Times New Roman" w:cs="Times New Roman"/>
                <w:i/>
                <w:sz w:val="28"/>
                <w:szCs w:val="28"/>
                <w:shd w:val="clear" w:color="auto" w:fill="auto"/>
                <w:lang w:val="es-ES"/>
              </w:rPr>
              <w:t xml:space="preserve"> </w:t>
            </w:r>
            <w:r w:rsidRPr="000A665A">
              <w:rPr>
                <w:rFonts w:ascii="Times New Roman" w:hAnsi="Times New Roman" w:cs="Times New Roman"/>
                <w:i/>
                <w:sz w:val="28"/>
                <w:szCs w:val="28"/>
                <w:shd w:val="clear" w:color="auto" w:fill="auto"/>
                <w:lang w:val="es-ES"/>
              </w:rPr>
              <w:t>ISO 17020</w:t>
            </w:r>
            <w:r w:rsidR="00AC1F83">
              <w:rPr>
                <w:rFonts w:ascii="Times New Roman" w:hAnsi="Times New Roman" w:cs="Times New Roman"/>
                <w:i/>
                <w:sz w:val="28"/>
                <w:szCs w:val="28"/>
                <w:shd w:val="clear" w:color="auto" w:fill="auto"/>
                <w:lang w:val="es-ES"/>
              </w:rPr>
              <w:t>)</w:t>
            </w:r>
            <w:r w:rsidRPr="000A665A">
              <w:rPr>
                <w:rFonts w:ascii="Times New Roman" w:hAnsi="Times New Roman" w:cs="Times New Roman"/>
                <w:i/>
                <w:sz w:val="28"/>
                <w:szCs w:val="28"/>
                <w:shd w:val="clear" w:color="auto" w:fill="auto"/>
                <w:lang w:val="es-ES"/>
              </w:rPr>
              <w:t>, otorgadas por el ente acreditador estadounidense ANAB (</w:t>
            </w:r>
            <w:r w:rsidR="00AC1F83" w:rsidRPr="005830DD">
              <w:rPr>
                <w:rFonts w:ascii="Times New Roman" w:hAnsi="Times New Roman" w:cs="Times New Roman"/>
                <w:i/>
                <w:sz w:val="28"/>
                <w:szCs w:val="28"/>
                <w:shd w:val="clear" w:color="auto" w:fill="auto"/>
                <w:lang w:val="es-ES"/>
              </w:rPr>
              <w:t>ANSI-ASQ</w:t>
            </w:r>
            <w:r w:rsidR="00AC1F83">
              <w:rPr>
                <w:rFonts w:ascii="Times New Roman" w:hAnsi="Times New Roman" w:cs="Times New Roman"/>
                <w:i/>
                <w:sz w:val="28"/>
                <w:szCs w:val="28"/>
                <w:shd w:val="clear" w:color="auto" w:fill="auto"/>
                <w:lang w:val="es-ES"/>
              </w:rPr>
              <w:t xml:space="preserve"> </w:t>
            </w:r>
            <w:proofErr w:type="spellStart"/>
            <w:r w:rsidRPr="000A665A">
              <w:rPr>
                <w:rFonts w:ascii="Times New Roman" w:hAnsi="Times New Roman" w:cs="Times New Roman"/>
                <w:i/>
                <w:sz w:val="28"/>
                <w:szCs w:val="28"/>
                <w:shd w:val="clear" w:color="auto" w:fill="auto"/>
                <w:lang w:val="es-ES"/>
              </w:rPr>
              <w:t>National</w:t>
            </w:r>
            <w:proofErr w:type="spellEnd"/>
            <w:r w:rsidR="00AC1F83">
              <w:rPr>
                <w:rFonts w:ascii="Times New Roman" w:hAnsi="Times New Roman" w:cs="Times New Roman"/>
                <w:i/>
                <w:sz w:val="28"/>
                <w:szCs w:val="28"/>
                <w:shd w:val="clear" w:color="auto" w:fill="auto"/>
                <w:lang w:val="es-ES"/>
              </w:rPr>
              <w:t xml:space="preserve"> </w:t>
            </w:r>
            <w:r w:rsidRPr="000A665A">
              <w:rPr>
                <w:rFonts w:ascii="Times New Roman" w:hAnsi="Times New Roman" w:cs="Times New Roman"/>
                <w:i/>
                <w:sz w:val="28"/>
                <w:szCs w:val="28"/>
                <w:shd w:val="clear" w:color="auto" w:fill="auto"/>
                <w:lang w:val="es-ES"/>
              </w:rPr>
              <w:t>Accreditation</w:t>
            </w:r>
            <w:r w:rsidR="00AC1F83">
              <w:rPr>
                <w:rFonts w:ascii="Times New Roman" w:hAnsi="Times New Roman" w:cs="Times New Roman"/>
                <w:i/>
                <w:sz w:val="28"/>
                <w:szCs w:val="28"/>
                <w:shd w:val="clear" w:color="auto" w:fill="auto"/>
                <w:lang w:val="es-ES"/>
              </w:rPr>
              <w:t xml:space="preserve"> </w:t>
            </w:r>
            <w:r w:rsidRPr="000A665A">
              <w:rPr>
                <w:rFonts w:ascii="Times New Roman" w:hAnsi="Times New Roman" w:cs="Times New Roman"/>
                <w:i/>
                <w:sz w:val="28"/>
                <w:szCs w:val="28"/>
                <w:shd w:val="clear" w:color="auto" w:fill="auto"/>
                <w:lang w:val="es-ES"/>
              </w:rPr>
              <w:t>Board).</w:t>
            </w:r>
          </w:p>
          <w:p w:rsidR="00204604" w:rsidRDefault="005F142C" w:rsidP="000A665A">
            <w:pPr>
              <w:pStyle w:val="Textoindependiente"/>
              <w:spacing w:before="120"/>
              <w:ind w:right="10"/>
              <w:rPr>
                <w:rFonts w:ascii="Times New Roman" w:hAnsi="Times New Roman" w:cs="Times New Roman"/>
                <w:i/>
                <w:sz w:val="28"/>
                <w:szCs w:val="28"/>
                <w:shd w:val="clear" w:color="auto" w:fill="auto"/>
                <w:lang w:val="es-ES"/>
              </w:rPr>
            </w:pPr>
            <w:r w:rsidRPr="000A665A">
              <w:rPr>
                <w:rFonts w:ascii="Times New Roman" w:hAnsi="Times New Roman" w:cs="Times New Roman"/>
                <w:i/>
                <w:sz w:val="28"/>
                <w:szCs w:val="28"/>
                <w:shd w:val="clear" w:color="auto" w:fill="auto"/>
                <w:lang w:val="es-ES"/>
              </w:rPr>
              <w:t xml:space="preserve">-Para dar atención a los casos pendientes, fundamentado en la crisis provocada por el incremento en la cantidad y complejidad de los peritajes requeridos, así como </w:t>
            </w:r>
            <w:r w:rsidR="00AC1F83">
              <w:rPr>
                <w:rFonts w:ascii="Times New Roman" w:hAnsi="Times New Roman" w:cs="Times New Roman"/>
                <w:i/>
                <w:sz w:val="28"/>
                <w:szCs w:val="28"/>
                <w:shd w:val="clear" w:color="auto" w:fill="auto"/>
                <w:lang w:val="es-ES"/>
              </w:rPr>
              <w:t>por</w:t>
            </w:r>
            <w:r w:rsidRPr="000A665A">
              <w:rPr>
                <w:rFonts w:ascii="Times New Roman" w:hAnsi="Times New Roman" w:cs="Times New Roman"/>
                <w:i/>
                <w:sz w:val="28"/>
                <w:szCs w:val="28"/>
                <w:shd w:val="clear" w:color="auto" w:fill="auto"/>
                <w:lang w:val="es-ES"/>
              </w:rPr>
              <w:t xml:space="preserve"> la necesidad de asumir nuevas tareas como por ejemplo flagrancias, protocolo de atención de delitos sexuales, ley de bienestar animal, crimen organizado</w:t>
            </w:r>
            <w:r w:rsidR="00AC1F83">
              <w:rPr>
                <w:rFonts w:ascii="Times New Roman" w:hAnsi="Times New Roman" w:cs="Times New Roman"/>
                <w:i/>
                <w:sz w:val="28"/>
                <w:szCs w:val="28"/>
                <w:shd w:val="clear" w:color="auto" w:fill="auto"/>
                <w:lang w:val="es-ES"/>
              </w:rPr>
              <w:t>,</w:t>
            </w:r>
            <w:r w:rsidRPr="000A665A">
              <w:rPr>
                <w:rFonts w:ascii="Times New Roman" w:hAnsi="Times New Roman" w:cs="Times New Roman"/>
                <w:i/>
                <w:sz w:val="28"/>
                <w:szCs w:val="28"/>
                <w:shd w:val="clear" w:color="auto" w:fill="auto"/>
                <w:lang w:val="es-ES"/>
              </w:rPr>
              <w:t xml:space="preserve"> entre otros. </w:t>
            </w:r>
          </w:p>
          <w:p w:rsidR="00204604" w:rsidRDefault="00204604" w:rsidP="000A665A">
            <w:pPr>
              <w:pStyle w:val="Textoindependiente"/>
              <w:spacing w:before="120"/>
              <w:ind w:right="10"/>
              <w:rPr>
                <w:rFonts w:ascii="Times New Roman" w:hAnsi="Times New Roman" w:cs="Times New Roman"/>
                <w:i/>
                <w:sz w:val="28"/>
                <w:szCs w:val="28"/>
                <w:shd w:val="clear" w:color="auto" w:fill="auto"/>
                <w:lang w:val="es-ES"/>
              </w:rPr>
            </w:pPr>
            <w:r>
              <w:rPr>
                <w:rFonts w:ascii="Times New Roman" w:hAnsi="Times New Roman" w:cs="Times New Roman"/>
                <w:i/>
                <w:sz w:val="28"/>
                <w:szCs w:val="28"/>
                <w:shd w:val="clear" w:color="auto" w:fill="auto"/>
                <w:lang w:val="es-ES"/>
              </w:rPr>
              <w:t>-</w:t>
            </w:r>
            <w:r w:rsidR="00AC1F83">
              <w:rPr>
                <w:rFonts w:ascii="Times New Roman" w:hAnsi="Times New Roman" w:cs="Times New Roman"/>
                <w:i/>
                <w:sz w:val="28"/>
                <w:szCs w:val="28"/>
                <w:shd w:val="clear" w:color="auto" w:fill="auto"/>
                <w:lang w:val="es-ES"/>
              </w:rPr>
              <w:t xml:space="preserve">Para atender el </w:t>
            </w:r>
            <w:r>
              <w:rPr>
                <w:rFonts w:ascii="Times New Roman" w:hAnsi="Times New Roman" w:cs="Times New Roman"/>
                <w:i/>
                <w:sz w:val="28"/>
                <w:szCs w:val="28"/>
                <w:shd w:val="clear" w:color="auto" w:fill="auto"/>
                <w:lang w:val="es-ES"/>
              </w:rPr>
              <w:t xml:space="preserve">Proyecto de </w:t>
            </w:r>
            <w:r w:rsidRPr="00204604">
              <w:rPr>
                <w:rFonts w:ascii="Times New Roman" w:hAnsi="Times New Roman" w:cs="Times New Roman"/>
                <w:i/>
                <w:sz w:val="28"/>
                <w:szCs w:val="28"/>
                <w:shd w:val="clear" w:color="auto" w:fill="auto"/>
                <w:lang w:val="es-ES"/>
              </w:rPr>
              <w:t>Producción Audiovisual Institucional</w:t>
            </w:r>
            <w:r>
              <w:rPr>
                <w:rFonts w:ascii="Times New Roman" w:hAnsi="Times New Roman" w:cs="Times New Roman"/>
                <w:i/>
                <w:sz w:val="28"/>
                <w:szCs w:val="28"/>
                <w:shd w:val="clear" w:color="auto" w:fill="auto"/>
                <w:lang w:val="es-ES"/>
              </w:rPr>
              <w:t>.</w:t>
            </w:r>
          </w:p>
          <w:p w:rsidR="00204604" w:rsidRDefault="00204604" w:rsidP="000A665A">
            <w:pPr>
              <w:pStyle w:val="Textoindependiente"/>
              <w:spacing w:before="120"/>
              <w:ind w:right="10"/>
              <w:rPr>
                <w:rFonts w:ascii="Times New Roman" w:hAnsi="Times New Roman" w:cs="Times New Roman"/>
                <w:i/>
                <w:sz w:val="28"/>
                <w:szCs w:val="28"/>
                <w:shd w:val="clear" w:color="auto" w:fill="auto"/>
                <w:lang w:val="es-ES"/>
              </w:rPr>
            </w:pPr>
          </w:p>
          <w:p w:rsidR="000A665A" w:rsidRDefault="005F142C" w:rsidP="000A665A">
            <w:pPr>
              <w:pStyle w:val="Textoindependiente"/>
              <w:spacing w:before="120"/>
              <w:ind w:right="10"/>
              <w:rPr>
                <w:rFonts w:ascii="Times New Roman" w:hAnsi="Times New Roman" w:cs="Times New Roman"/>
                <w:i/>
                <w:sz w:val="28"/>
                <w:szCs w:val="28"/>
                <w:shd w:val="clear" w:color="auto" w:fill="auto"/>
                <w:lang w:val="es-ES"/>
              </w:rPr>
            </w:pPr>
            <w:r w:rsidRPr="000A665A">
              <w:rPr>
                <w:rFonts w:ascii="Times New Roman" w:hAnsi="Times New Roman" w:cs="Times New Roman"/>
                <w:i/>
                <w:sz w:val="28"/>
                <w:szCs w:val="28"/>
                <w:shd w:val="clear" w:color="auto" w:fill="auto"/>
                <w:lang w:val="es-ES"/>
              </w:rPr>
              <w:t xml:space="preserve"> </w:t>
            </w:r>
            <w:r w:rsidR="000A665A">
              <w:rPr>
                <w:rFonts w:ascii="Times New Roman" w:hAnsi="Times New Roman" w:cs="Times New Roman"/>
                <w:i/>
                <w:sz w:val="28"/>
                <w:szCs w:val="28"/>
                <w:shd w:val="clear" w:color="auto" w:fill="auto"/>
                <w:lang w:val="es-ES"/>
              </w:rPr>
              <w:t xml:space="preserve">En la siguiente tabla se </w:t>
            </w:r>
            <w:r w:rsidR="00C04B4C">
              <w:rPr>
                <w:rFonts w:ascii="Times New Roman" w:hAnsi="Times New Roman" w:cs="Times New Roman"/>
                <w:i/>
                <w:sz w:val="28"/>
                <w:szCs w:val="28"/>
                <w:shd w:val="clear" w:color="auto" w:fill="auto"/>
                <w:lang w:val="es-ES"/>
              </w:rPr>
              <w:t xml:space="preserve">detallan </w:t>
            </w:r>
            <w:r w:rsidR="000A665A">
              <w:rPr>
                <w:rFonts w:ascii="Times New Roman" w:hAnsi="Times New Roman" w:cs="Times New Roman"/>
                <w:i/>
                <w:sz w:val="28"/>
                <w:szCs w:val="28"/>
                <w:shd w:val="clear" w:color="auto" w:fill="auto"/>
                <w:lang w:val="es-ES"/>
              </w:rPr>
              <w:t>las plazas:</w:t>
            </w:r>
          </w:p>
          <w:p w:rsidR="000A665A" w:rsidRPr="00C04B4C" w:rsidRDefault="000A665A" w:rsidP="000A665A">
            <w:pPr>
              <w:pStyle w:val="Textoindependiente"/>
              <w:spacing w:before="120"/>
              <w:ind w:right="10"/>
              <w:rPr>
                <w:bCs/>
                <w:i/>
                <w:sz w:val="10"/>
                <w:szCs w:val="10"/>
                <w:lang w:val="es-ES"/>
              </w:rPr>
            </w:pPr>
          </w:p>
          <w:p w:rsidR="005F142C" w:rsidRDefault="005F142C" w:rsidP="00757E5E">
            <w:pPr>
              <w:jc w:val="both"/>
              <w:rPr>
                <w:bCs/>
                <w:i/>
                <w:sz w:val="10"/>
                <w:szCs w:val="10"/>
              </w:rPr>
            </w:pPr>
          </w:p>
          <w:p w:rsidR="005F142C" w:rsidRPr="00F55CA5" w:rsidRDefault="005F142C" w:rsidP="00757E5E">
            <w:pPr>
              <w:jc w:val="both"/>
              <w:rPr>
                <w:bCs/>
                <w:i/>
                <w:sz w:val="10"/>
                <w:szCs w:val="10"/>
              </w:rPr>
            </w:pPr>
          </w:p>
          <w:tbl>
            <w:tblPr>
              <w:tblW w:w="7488" w:type="dxa"/>
              <w:jc w:val="center"/>
              <w:tblLayout w:type="fixed"/>
              <w:tblCellMar>
                <w:left w:w="0" w:type="dxa"/>
                <w:right w:w="0" w:type="dxa"/>
              </w:tblCellMar>
              <w:tblLook w:val="0000"/>
            </w:tblPr>
            <w:tblGrid>
              <w:gridCol w:w="2527"/>
              <w:gridCol w:w="649"/>
              <w:gridCol w:w="2936"/>
              <w:gridCol w:w="1376"/>
            </w:tblGrid>
            <w:tr w:rsidR="00773A60" w:rsidRPr="00D901EE" w:rsidTr="005830DD">
              <w:trPr>
                <w:trHeight w:val="51"/>
                <w:tblHeader/>
                <w:jc w:val="center"/>
              </w:trPr>
              <w:tc>
                <w:tcPr>
                  <w:tcW w:w="1687"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Despacho</w:t>
                  </w:r>
                </w:p>
              </w:tc>
              <w:tc>
                <w:tcPr>
                  <w:tcW w:w="43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Cant</w:t>
                  </w:r>
                </w:p>
              </w:tc>
              <w:tc>
                <w:tcPr>
                  <w:tcW w:w="196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Default="00773A60" w:rsidP="0022789F">
                  <w:pPr>
                    <w:jc w:val="center"/>
                    <w:rPr>
                      <w:b/>
                      <w:bCs/>
                      <w:sz w:val="18"/>
                      <w:szCs w:val="18"/>
                    </w:rPr>
                  </w:pPr>
                  <w:r w:rsidRPr="00D901EE">
                    <w:rPr>
                      <w:b/>
                      <w:bCs/>
                      <w:sz w:val="18"/>
                      <w:szCs w:val="18"/>
                    </w:rPr>
                    <w:t>Tipo de</w:t>
                  </w:r>
                </w:p>
                <w:p w:rsidR="00773A60" w:rsidRPr="00D901EE" w:rsidRDefault="00773A60" w:rsidP="0022789F">
                  <w:pPr>
                    <w:jc w:val="center"/>
                    <w:rPr>
                      <w:b/>
                      <w:bCs/>
                      <w:sz w:val="18"/>
                      <w:szCs w:val="18"/>
                    </w:rPr>
                  </w:pPr>
                  <w:r>
                    <w:rPr>
                      <w:b/>
                      <w:bCs/>
                      <w:sz w:val="18"/>
                      <w:szCs w:val="18"/>
                    </w:rPr>
                    <w:t>P</w:t>
                  </w:r>
                  <w:r w:rsidRPr="00D901EE">
                    <w:rPr>
                      <w:b/>
                      <w:bCs/>
                      <w:sz w:val="18"/>
                      <w:szCs w:val="18"/>
                    </w:rPr>
                    <w:t>laza</w:t>
                  </w:r>
                </w:p>
              </w:tc>
              <w:tc>
                <w:tcPr>
                  <w:tcW w:w="91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Condición</w:t>
                  </w:r>
                  <w:r w:rsidR="00862DC0">
                    <w:rPr>
                      <w:b/>
                      <w:bCs/>
                      <w:sz w:val="18"/>
                      <w:szCs w:val="18"/>
                    </w:rPr>
                    <w:t xml:space="preserve"> </w:t>
                  </w:r>
                  <w:r w:rsidRPr="00D901EE">
                    <w:rPr>
                      <w:b/>
                      <w:bCs/>
                      <w:sz w:val="18"/>
                      <w:szCs w:val="18"/>
                    </w:rPr>
                    <w:t>actual</w:t>
                  </w:r>
                </w:p>
              </w:tc>
            </w:tr>
            <w:tr w:rsidR="009A3693" w:rsidRPr="00D901EE" w:rsidTr="005830DD">
              <w:trPr>
                <w:trHeight w:val="713"/>
                <w:jc w:val="center"/>
              </w:trPr>
              <w:tc>
                <w:tcPr>
                  <w:tcW w:w="1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both"/>
                    <w:rPr>
                      <w:sz w:val="18"/>
                      <w:szCs w:val="18"/>
                      <w:lang w:val="es-ES_tradnl"/>
                    </w:rPr>
                  </w:pPr>
                  <w:r w:rsidRPr="009A3693">
                    <w:rPr>
                      <w:sz w:val="18"/>
                      <w:szCs w:val="18"/>
                    </w:rPr>
                    <w:t>Sección de Bioquímica</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center"/>
                    <w:rPr>
                      <w:sz w:val="18"/>
                      <w:szCs w:val="18"/>
                      <w:lang w:val="es-ES_tradnl"/>
                    </w:rPr>
                  </w:pPr>
                  <w:r w:rsidRPr="009A3693">
                    <w:rPr>
                      <w:sz w:val="18"/>
                      <w:szCs w:val="18"/>
                    </w:rPr>
                    <w:t>2</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Default="009A3693" w:rsidP="009A3693">
                  <w:pPr>
                    <w:jc w:val="both"/>
                    <w:rPr>
                      <w:sz w:val="18"/>
                      <w:szCs w:val="18"/>
                    </w:rPr>
                  </w:pPr>
                  <w:r w:rsidRPr="009A3693">
                    <w:rPr>
                      <w:sz w:val="18"/>
                      <w:szCs w:val="18"/>
                    </w:rPr>
                    <w:t xml:space="preserve">1 </w:t>
                  </w:r>
                  <w:r w:rsidR="00AC1F83">
                    <w:rPr>
                      <w:b/>
                      <w:sz w:val="18"/>
                      <w:szCs w:val="18"/>
                    </w:rPr>
                    <w:t>Perita o P</w:t>
                  </w:r>
                  <w:r w:rsidRPr="009A3693">
                    <w:rPr>
                      <w:b/>
                      <w:sz w:val="18"/>
                      <w:szCs w:val="18"/>
                    </w:rPr>
                    <w:t xml:space="preserve">erito </w:t>
                  </w:r>
                  <w:r w:rsidR="00AC1F83">
                    <w:rPr>
                      <w:b/>
                      <w:sz w:val="18"/>
                      <w:szCs w:val="18"/>
                    </w:rPr>
                    <w:t>J</w:t>
                  </w:r>
                  <w:r w:rsidRPr="009A3693">
                    <w:rPr>
                      <w:b/>
                      <w:sz w:val="18"/>
                      <w:szCs w:val="18"/>
                    </w:rPr>
                    <w:t>udicial 2B</w:t>
                  </w:r>
                  <w:r w:rsidRPr="009A3693">
                    <w:rPr>
                      <w:sz w:val="18"/>
                      <w:szCs w:val="18"/>
                    </w:rPr>
                    <w:t>, para la atención de delitos sexuales</w:t>
                  </w:r>
                  <w:r w:rsidR="00AC1F83">
                    <w:rPr>
                      <w:sz w:val="18"/>
                      <w:szCs w:val="18"/>
                    </w:rPr>
                    <w:t>.</w:t>
                  </w:r>
                </w:p>
                <w:p w:rsidR="009A3693" w:rsidRPr="009A3693" w:rsidRDefault="009A3693" w:rsidP="009A3693">
                  <w:pPr>
                    <w:jc w:val="both"/>
                    <w:rPr>
                      <w:sz w:val="18"/>
                      <w:szCs w:val="18"/>
                    </w:rPr>
                  </w:pPr>
                </w:p>
                <w:p w:rsidR="009A3693" w:rsidRPr="009A3693" w:rsidRDefault="009A3693" w:rsidP="009A3693">
                  <w:pPr>
                    <w:jc w:val="both"/>
                    <w:rPr>
                      <w:sz w:val="18"/>
                      <w:szCs w:val="18"/>
                      <w:lang w:val="es-ES_tradnl"/>
                    </w:rPr>
                  </w:pPr>
                  <w:r w:rsidRPr="009A3693">
                    <w:rPr>
                      <w:sz w:val="18"/>
                      <w:szCs w:val="18"/>
                    </w:rPr>
                    <w:t xml:space="preserve">1 </w:t>
                  </w:r>
                  <w:r w:rsidR="00AC1F83" w:rsidRPr="005830DD">
                    <w:rPr>
                      <w:b/>
                      <w:sz w:val="18"/>
                      <w:szCs w:val="18"/>
                    </w:rPr>
                    <w:t>Perita o P</w:t>
                  </w:r>
                  <w:r w:rsidRPr="005830DD">
                    <w:rPr>
                      <w:b/>
                      <w:sz w:val="18"/>
                      <w:szCs w:val="18"/>
                    </w:rPr>
                    <w:t xml:space="preserve">erito </w:t>
                  </w:r>
                  <w:r w:rsidR="00AC1F83" w:rsidRPr="005830DD">
                    <w:rPr>
                      <w:b/>
                      <w:sz w:val="18"/>
                      <w:szCs w:val="18"/>
                    </w:rPr>
                    <w:t>J</w:t>
                  </w:r>
                  <w:r w:rsidRPr="005830DD">
                    <w:rPr>
                      <w:b/>
                      <w:sz w:val="18"/>
                      <w:szCs w:val="18"/>
                    </w:rPr>
                    <w:t>udicial 2B</w:t>
                  </w:r>
                  <w:r w:rsidRPr="009A3693">
                    <w:rPr>
                      <w:sz w:val="18"/>
                      <w:szCs w:val="18"/>
                    </w:rPr>
                    <w:t xml:space="preserve"> </w:t>
                  </w:r>
                  <w:r w:rsidR="00AC1F83">
                    <w:rPr>
                      <w:sz w:val="18"/>
                      <w:szCs w:val="18"/>
                    </w:rPr>
                    <w:t>(</w:t>
                  </w:r>
                  <w:r w:rsidRPr="009A3693">
                    <w:rPr>
                      <w:sz w:val="18"/>
                      <w:szCs w:val="18"/>
                    </w:rPr>
                    <w:t xml:space="preserve">encargado de </w:t>
                  </w:r>
                  <w:r w:rsidR="00AC1F83">
                    <w:rPr>
                      <w:sz w:val="18"/>
                      <w:szCs w:val="18"/>
                    </w:rPr>
                    <w:t>c</w:t>
                  </w:r>
                  <w:r w:rsidRPr="009A3693">
                    <w:rPr>
                      <w:sz w:val="18"/>
                      <w:szCs w:val="18"/>
                    </w:rPr>
                    <w:t>alidad de la Sección</w:t>
                  </w:r>
                  <w:r w:rsidR="00AC1F83">
                    <w:rPr>
                      <w:sz w:val="18"/>
                      <w:szCs w:val="18"/>
                    </w:rPr>
                    <w:t>)</w:t>
                  </w:r>
                  <w:r w:rsidRPr="009A3693">
                    <w:rPr>
                      <w:sz w:val="18"/>
                      <w:szCs w:val="18"/>
                    </w:rPr>
                    <w:t xml:space="preserve"> </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D901EE" w:rsidRDefault="00FE4BC3" w:rsidP="0019005D">
                  <w:pPr>
                    <w:jc w:val="both"/>
                    <w:rPr>
                      <w:sz w:val="18"/>
                      <w:szCs w:val="18"/>
                    </w:rPr>
                  </w:pPr>
                  <w:r>
                    <w:rPr>
                      <w:sz w:val="18"/>
                      <w:szCs w:val="18"/>
                    </w:rPr>
                    <w:t>Permiso</w:t>
                  </w:r>
                  <w:r w:rsidR="00AC1F83">
                    <w:rPr>
                      <w:sz w:val="18"/>
                      <w:szCs w:val="18"/>
                    </w:rPr>
                    <w:t>s</w:t>
                  </w:r>
                  <w:r>
                    <w:rPr>
                      <w:sz w:val="18"/>
                      <w:szCs w:val="18"/>
                    </w:rPr>
                    <w:t xml:space="preserve"> con goce de salario vía Art. 44 LOPJ</w:t>
                  </w:r>
                </w:p>
              </w:tc>
            </w:tr>
            <w:tr w:rsidR="009A3693" w:rsidRPr="00D901EE" w:rsidTr="005830DD">
              <w:trPr>
                <w:trHeight w:val="713"/>
                <w:jc w:val="center"/>
              </w:trPr>
              <w:tc>
                <w:tcPr>
                  <w:tcW w:w="1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both"/>
                    <w:rPr>
                      <w:sz w:val="18"/>
                      <w:szCs w:val="18"/>
                      <w:lang w:val="es-ES_tradnl"/>
                    </w:rPr>
                  </w:pPr>
                  <w:r w:rsidRPr="009A3693">
                    <w:rPr>
                      <w:sz w:val="18"/>
                      <w:szCs w:val="18"/>
                    </w:rPr>
                    <w:t>Sección de Pericias Físicas</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center"/>
                    <w:rPr>
                      <w:sz w:val="18"/>
                      <w:szCs w:val="18"/>
                      <w:lang w:val="es-ES_tradnl"/>
                    </w:rPr>
                  </w:pPr>
                  <w:r w:rsidRPr="009A3693">
                    <w:rPr>
                      <w:sz w:val="18"/>
                      <w:szCs w:val="18"/>
                    </w:rPr>
                    <w:t>4</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both"/>
                    <w:rPr>
                      <w:sz w:val="18"/>
                      <w:szCs w:val="18"/>
                    </w:rPr>
                  </w:pPr>
                  <w:r w:rsidRPr="009A3693">
                    <w:rPr>
                      <w:sz w:val="18"/>
                      <w:szCs w:val="18"/>
                    </w:rPr>
                    <w:t xml:space="preserve">3 </w:t>
                  </w:r>
                  <w:r w:rsidR="00AC1F83">
                    <w:rPr>
                      <w:b/>
                      <w:sz w:val="18"/>
                      <w:szCs w:val="18"/>
                    </w:rPr>
                    <w:t>Peritas o P</w:t>
                  </w:r>
                  <w:r w:rsidRPr="009A3693">
                    <w:rPr>
                      <w:b/>
                      <w:sz w:val="18"/>
                      <w:szCs w:val="18"/>
                    </w:rPr>
                    <w:t xml:space="preserve">eritos </w:t>
                  </w:r>
                  <w:r w:rsidR="00AC1F83">
                    <w:rPr>
                      <w:b/>
                      <w:sz w:val="18"/>
                      <w:szCs w:val="18"/>
                    </w:rPr>
                    <w:t>J</w:t>
                  </w:r>
                  <w:r w:rsidRPr="009A3693">
                    <w:rPr>
                      <w:b/>
                      <w:sz w:val="18"/>
                      <w:szCs w:val="18"/>
                    </w:rPr>
                    <w:t>udiciales 1</w:t>
                  </w:r>
                  <w:r w:rsidR="00FE4BC3">
                    <w:rPr>
                      <w:b/>
                      <w:sz w:val="18"/>
                      <w:szCs w:val="18"/>
                    </w:rPr>
                    <w:t>,</w:t>
                  </w:r>
                  <w:r w:rsidRPr="009A3693">
                    <w:rPr>
                      <w:sz w:val="18"/>
                      <w:szCs w:val="18"/>
                    </w:rPr>
                    <w:t xml:space="preserve"> para la realización de peritajes balísticos</w:t>
                  </w:r>
                </w:p>
                <w:p w:rsidR="009A3693" w:rsidRPr="009A3693" w:rsidRDefault="009A3693" w:rsidP="009A3693">
                  <w:pPr>
                    <w:jc w:val="both"/>
                    <w:rPr>
                      <w:sz w:val="18"/>
                      <w:szCs w:val="18"/>
                    </w:rPr>
                  </w:pPr>
                </w:p>
                <w:p w:rsidR="009A3693" w:rsidRPr="009A3693" w:rsidRDefault="009A3693" w:rsidP="009A3693">
                  <w:pPr>
                    <w:jc w:val="both"/>
                    <w:rPr>
                      <w:sz w:val="18"/>
                      <w:szCs w:val="18"/>
                      <w:lang w:val="es-ES_tradnl"/>
                    </w:rPr>
                  </w:pPr>
                  <w:r w:rsidRPr="009A3693">
                    <w:rPr>
                      <w:sz w:val="18"/>
                      <w:szCs w:val="18"/>
                    </w:rPr>
                    <w:t xml:space="preserve">1 </w:t>
                  </w:r>
                  <w:r w:rsidR="00AC1F83">
                    <w:rPr>
                      <w:b/>
                      <w:sz w:val="18"/>
                      <w:szCs w:val="18"/>
                    </w:rPr>
                    <w:t>Perita o P</w:t>
                  </w:r>
                  <w:r w:rsidRPr="00FE4BC3">
                    <w:rPr>
                      <w:b/>
                      <w:sz w:val="18"/>
                      <w:szCs w:val="18"/>
                    </w:rPr>
                    <w:t xml:space="preserve">erito </w:t>
                  </w:r>
                  <w:r w:rsidR="00AC1F83">
                    <w:rPr>
                      <w:b/>
                      <w:sz w:val="18"/>
                      <w:szCs w:val="18"/>
                    </w:rPr>
                    <w:t>J</w:t>
                  </w:r>
                  <w:r w:rsidRPr="00FE4BC3">
                    <w:rPr>
                      <w:b/>
                      <w:sz w:val="18"/>
                      <w:szCs w:val="18"/>
                    </w:rPr>
                    <w:t>udicial 1</w:t>
                  </w:r>
                  <w:r w:rsidR="00AC1F83">
                    <w:rPr>
                      <w:b/>
                      <w:sz w:val="18"/>
                      <w:szCs w:val="18"/>
                    </w:rPr>
                    <w:t xml:space="preserve"> (</w:t>
                  </w:r>
                  <w:r w:rsidRPr="009A3693">
                    <w:rPr>
                      <w:sz w:val="18"/>
                      <w:szCs w:val="18"/>
                    </w:rPr>
                    <w:t>encargado de calidad de la Sección</w:t>
                  </w:r>
                  <w:r w:rsidR="00AC1F83">
                    <w:rPr>
                      <w:sz w:val="18"/>
                      <w:szCs w:val="18"/>
                    </w:rPr>
                    <w:t>)</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Default="0019005D" w:rsidP="0019005D">
                  <w:pPr>
                    <w:jc w:val="both"/>
                    <w:rPr>
                      <w:sz w:val="18"/>
                      <w:szCs w:val="18"/>
                    </w:rPr>
                  </w:pPr>
                  <w:r>
                    <w:rPr>
                      <w:sz w:val="18"/>
                      <w:szCs w:val="18"/>
                    </w:rPr>
                    <w:t>Permiso</w:t>
                  </w:r>
                  <w:r w:rsidR="00AC1F83">
                    <w:rPr>
                      <w:sz w:val="18"/>
                      <w:szCs w:val="18"/>
                    </w:rPr>
                    <w:t>s</w:t>
                  </w:r>
                  <w:r>
                    <w:rPr>
                      <w:sz w:val="18"/>
                      <w:szCs w:val="18"/>
                    </w:rPr>
                    <w:t xml:space="preserve"> con goce de salario vía Art. 44 LOPJ</w:t>
                  </w:r>
                </w:p>
              </w:tc>
            </w:tr>
            <w:tr w:rsidR="009A3693" w:rsidRPr="00D901EE" w:rsidTr="005830DD">
              <w:trPr>
                <w:trHeight w:val="713"/>
                <w:jc w:val="center"/>
              </w:trPr>
              <w:tc>
                <w:tcPr>
                  <w:tcW w:w="1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both"/>
                    <w:rPr>
                      <w:sz w:val="18"/>
                      <w:szCs w:val="18"/>
                      <w:lang w:val="es-ES_tradnl"/>
                    </w:rPr>
                  </w:pPr>
                  <w:r w:rsidRPr="009A3693">
                    <w:rPr>
                      <w:sz w:val="18"/>
                      <w:szCs w:val="18"/>
                    </w:rPr>
                    <w:t xml:space="preserve">Sección de Química Analítica </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center"/>
                    <w:rPr>
                      <w:sz w:val="18"/>
                      <w:szCs w:val="18"/>
                      <w:lang w:val="es-ES_tradnl"/>
                    </w:rPr>
                  </w:pPr>
                  <w:r w:rsidRPr="009A3693">
                    <w:rPr>
                      <w:sz w:val="18"/>
                      <w:szCs w:val="18"/>
                    </w:rPr>
                    <w:t>5</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FE4BC3" w:rsidP="009A3693">
                  <w:pPr>
                    <w:jc w:val="both"/>
                    <w:rPr>
                      <w:sz w:val="18"/>
                      <w:szCs w:val="18"/>
                    </w:rPr>
                  </w:pPr>
                  <w:r w:rsidRPr="009A3693">
                    <w:rPr>
                      <w:sz w:val="18"/>
                      <w:szCs w:val="18"/>
                    </w:rPr>
                    <w:t xml:space="preserve">1 </w:t>
                  </w:r>
                  <w:r w:rsidR="00AC1F83" w:rsidRPr="005830DD">
                    <w:rPr>
                      <w:b/>
                      <w:sz w:val="18"/>
                      <w:szCs w:val="18"/>
                    </w:rPr>
                    <w:t>Perita o P</w:t>
                  </w:r>
                  <w:r w:rsidRPr="005830DD">
                    <w:rPr>
                      <w:b/>
                      <w:sz w:val="18"/>
                      <w:szCs w:val="18"/>
                    </w:rPr>
                    <w:t>erito</w:t>
                  </w:r>
                  <w:r w:rsidR="009A3693" w:rsidRPr="00FE4BC3">
                    <w:rPr>
                      <w:b/>
                      <w:sz w:val="18"/>
                      <w:szCs w:val="18"/>
                    </w:rPr>
                    <w:t xml:space="preserve"> </w:t>
                  </w:r>
                  <w:r w:rsidR="00AC1F83">
                    <w:rPr>
                      <w:b/>
                      <w:sz w:val="18"/>
                      <w:szCs w:val="18"/>
                    </w:rPr>
                    <w:t>J</w:t>
                  </w:r>
                  <w:r w:rsidR="009A3693" w:rsidRPr="00FE4BC3">
                    <w:rPr>
                      <w:b/>
                      <w:sz w:val="18"/>
                      <w:szCs w:val="18"/>
                    </w:rPr>
                    <w:t>udicial 2</w:t>
                  </w:r>
                </w:p>
                <w:p w:rsidR="009A3693" w:rsidRPr="009A3693" w:rsidRDefault="009A3693" w:rsidP="009A3693">
                  <w:pPr>
                    <w:jc w:val="both"/>
                    <w:rPr>
                      <w:sz w:val="18"/>
                      <w:szCs w:val="18"/>
                    </w:rPr>
                  </w:pPr>
                </w:p>
                <w:p w:rsidR="009A3693" w:rsidRPr="009A3693" w:rsidRDefault="00FE4BC3" w:rsidP="009A3693">
                  <w:pPr>
                    <w:jc w:val="both"/>
                    <w:rPr>
                      <w:sz w:val="18"/>
                      <w:szCs w:val="18"/>
                    </w:rPr>
                  </w:pPr>
                  <w:r w:rsidRPr="009A3693">
                    <w:rPr>
                      <w:sz w:val="18"/>
                      <w:szCs w:val="18"/>
                    </w:rPr>
                    <w:t xml:space="preserve">2 </w:t>
                  </w:r>
                  <w:r w:rsidR="00AC1F83" w:rsidRPr="005830DD">
                    <w:rPr>
                      <w:b/>
                      <w:sz w:val="18"/>
                      <w:szCs w:val="18"/>
                    </w:rPr>
                    <w:t>Técnicas o T</w:t>
                  </w:r>
                  <w:r w:rsidRPr="005830DD">
                    <w:rPr>
                      <w:b/>
                      <w:sz w:val="18"/>
                      <w:szCs w:val="18"/>
                    </w:rPr>
                    <w:t>écnicos</w:t>
                  </w:r>
                  <w:r w:rsidR="009A3693" w:rsidRPr="00FE4BC3">
                    <w:rPr>
                      <w:b/>
                      <w:sz w:val="18"/>
                      <w:szCs w:val="18"/>
                    </w:rPr>
                    <w:t xml:space="preserve"> </w:t>
                  </w:r>
                  <w:r w:rsidR="00AC1F83">
                    <w:rPr>
                      <w:b/>
                      <w:sz w:val="18"/>
                      <w:szCs w:val="18"/>
                    </w:rPr>
                    <w:t xml:space="preserve"> E</w:t>
                  </w:r>
                  <w:r w:rsidR="009A3693" w:rsidRPr="00FE4BC3">
                    <w:rPr>
                      <w:b/>
                      <w:sz w:val="18"/>
                      <w:szCs w:val="18"/>
                    </w:rPr>
                    <w:t>specializados 6</w:t>
                  </w:r>
                </w:p>
                <w:p w:rsidR="009A3693" w:rsidRPr="009A3693" w:rsidRDefault="009A3693" w:rsidP="009A3693">
                  <w:pPr>
                    <w:jc w:val="both"/>
                    <w:rPr>
                      <w:sz w:val="18"/>
                      <w:szCs w:val="18"/>
                    </w:rPr>
                  </w:pPr>
                </w:p>
                <w:p w:rsidR="009A3693" w:rsidRPr="009A3693" w:rsidRDefault="009A3693" w:rsidP="009A3693">
                  <w:pPr>
                    <w:jc w:val="both"/>
                    <w:rPr>
                      <w:sz w:val="18"/>
                      <w:szCs w:val="18"/>
                    </w:rPr>
                  </w:pPr>
                  <w:r w:rsidRPr="00FE4BC3">
                    <w:rPr>
                      <w:b/>
                      <w:sz w:val="18"/>
                      <w:szCs w:val="18"/>
                    </w:rPr>
                    <w:t>1</w:t>
                  </w:r>
                  <w:r w:rsidR="00FE4BC3" w:rsidRPr="00FE4BC3">
                    <w:rPr>
                      <w:b/>
                      <w:sz w:val="18"/>
                      <w:szCs w:val="18"/>
                    </w:rPr>
                    <w:t xml:space="preserve"> </w:t>
                  </w:r>
                  <w:r w:rsidR="00AC1F83">
                    <w:rPr>
                      <w:b/>
                      <w:sz w:val="18"/>
                      <w:szCs w:val="18"/>
                    </w:rPr>
                    <w:t>A</w:t>
                  </w:r>
                  <w:r w:rsidRPr="00FE4BC3">
                    <w:rPr>
                      <w:b/>
                      <w:sz w:val="18"/>
                      <w:szCs w:val="18"/>
                    </w:rPr>
                    <w:t xml:space="preserve">uxiliar de </w:t>
                  </w:r>
                  <w:r w:rsidR="00AC1F83">
                    <w:rPr>
                      <w:b/>
                      <w:sz w:val="18"/>
                      <w:szCs w:val="18"/>
                    </w:rPr>
                    <w:t>B</w:t>
                  </w:r>
                  <w:r w:rsidRPr="00FE4BC3">
                    <w:rPr>
                      <w:b/>
                      <w:sz w:val="18"/>
                      <w:szCs w:val="18"/>
                    </w:rPr>
                    <w:t>odega</w:t>
                  </w:r>
                  <w:r w:rsidR="00FE4BC3">
                    <w:rPr>
                      <w:sz w:val="18"/>
                      <w:szCs w:val="18"/>
                    </w:rPr>
                    <w:t>,</w:t>
                  </w:r>
                  <w:r w:rsidRPr="009A3693">
                    <w:rPr>
                      <w:sz w:val="18"/>
                      <w:szCs w:val="18"/>
                    </w:rPr>
                    <w:t xml:space="preserve"> para el laboratorio de análisis de drogas</w:t>
                  </w:r>
                </w:p>
                <w:p w:rsidR="009A3693" w:rsidRPr="009A3693" w:rsidRDefault="009A3693" w:rsidP="009A3693">
                  <w:pPr>
                    <w:jc w:val="both"/>
                    <w:rPr>
                      <w:sz w:val="18"/>
                      <w:szCs w:val="18"/>
                    </w:rPr>
                  </w:pPr>
                </w:p>
                <w:p w:rsidR="009A3693" w:rsidRPr="009A3693" w:rsidRDefault="009A3693" w:rsidP="009A3693">
                  <w:pPr>
                    <w:jc w:val="both"/>
                    <w:rPr>
                      <w:sz w:val="18"/>
                      <w:szCs w:val="18"/>
                      <w:lang w:val="es-ES_tradnl"/>
                    </w:rPr>
                  </w:pPr>
                  <w:r w:rsidRPr="009A3693">
                    <w:rPr>
                      <w:sz w:val="18"/>
                      <w:szCs w:val="18"/>
                    </w:rPr>
                    <w:t xml:space="preserve">1 </w:t>
                  </w:r>
                  <w:r w:rsidR="00AC1F83">
                    <w:rPr>
                      <w:b/>
                      <w:sz w:val="18"/>
                      <w:szCs w:val="18"/>
                    </w:rPr>
                    <w:t>Perita o P</w:t>
                  </w:r>
                  <w:r w:rsidRPr="00FE4BC3">
                    <w:rPr>
                      <w:b/>
                      <w:sz w:val="18"/>
                      <w:szCs w:val="18"/>
                    </w:rPr>
                    <w:t xml:space="preserve">erito </w:t>
                  </w:r>
                  <w:r w:rsidR="00AC1F83">
                    <w:rPr>
                      <w:b/>
                      <w:sz w:val="18"/>
                      <w:szCs w:val="18"/>
                    </w:rPr>
                    <w:t>J</w:t>
                  </w:r>
                  <w:r w:rsidRPr="00FE4BC3">
                    <w:rPr>
                      <w:b/>
                      <w:sz w:val="18"/>
                      <w:szCs w:val="18"/>
                    </w:rPr>
                    <w:t>udicial 2</w:t>
                  </w:r>
                  <w:r w:rsidR="00AC1F83">
                    <w:rPr>
                      <w:b/>
                      <w:sz w:val="18"/>
                      <w:szCs w:val="18"/>
                    </w:rPr>
                    <w:t xml:space="preserve"> (</w:t>
                  </w:r>
                  <w:r w:rsidRPr="009A3693">
                    <w:rPr>
                      <w:sz w:val="18"/>
                      <w:szCs w:val="18"/>
                    </w:rPr>
                    <w:t>encargado de calidad de la Sección</w:t>
                  </w:r>
                  <w:r w:rsidR="00AC1F83">
                    <w:rPr>
                      <w:sz w:val="18"/>
                      <w:szCs w:val="18"/>
                    </w:rPr>
                    <w:t>)</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Default="0019005D" w:rsidP="0019005D">
                  <w:pPr>
                    <w:jc w:val="both"/>
                    <w:rPr>
                      <w:sz w:val="18"/>
                      <w:szCs w:val="18"/>
                    </w:rPr>
                  </w:pPr>
                  <w:r>
                    <w:rPr>
                      <w:sz w:val="18"/>
                      <w:szCs w:val="18"/>
                    </w:rPr>
                    <w:lastRenderedPageBreak/>
                    <w:t>Permiso</w:t>
                  </w:r>
                  <w:r w:rsidR="00AC1F83">
                    <w:rPr>
                      <w:sz w:val="18"/>
                      <w:szCs w:val="18"/>
                    </w:rPr>
                    <w:t>s</w:t>
                  </w:r>
                  <w:r>
                    <w:rPr>
                      <w:sz w:val="18"/>
                      <w:szCs w:val="18"/>
                    </w:rPr>
                    <w:t xml:space="preserve"> con goce de salario vía Art. 44 LOPJ</w:t>
                  </w:r>
                </w:p>
              </w:tc>
            </w:tr>
            <w:tr w:rsidR="009A3693" w:rsidRPr="00D901EE" w:rsidTr="005830DD">
              <w:trPr>
                <w:trHeight w:val="713"/>
                <w:jc w:val="center"/>
              </w:trPr>
              <w:tc>
                <w:tcPr>
                  <w:tcW w:w="1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both"/>
                    <w:rPr>
                      <w:sz w:val="18"/>
                      <w:szCs w:val="18"/>
                      <w:lang w:val="es-ES_tradnl"/>
                    </w:rPr>
                  </w:pPr>
                  <w:r w:rsidRPr="009A3693">
                    <w:rPr>
                      <w:sz w:val="18"/>
                      <w:szCs w:val="18"/>
                    </w:rPr>
                    <w:lastRenderedPageBreak/>
                    <w:t xml:space="preserve">Sección de Toxicología </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9A3693" w:rsidP="009A3693">
                  <w:pPr>
                    <w:jc w:val="center"/>
                    <w:rPr>
                      <w:sz w:val="18"/>
                      <w:szCs w:val="18"/>
                      <w:lang w:val="es-ES_tradnl"/>
                    </w:rPr>
                  </w:pPr>
                  <w:r w:rsidRPr="009A3693">
                    <w:rPr>
                      <w:sz w:val="18"/>
                      <w:szCs w:val="18"/>
                    </w:rPr>
                    <w:t>3</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9A3693" w:rsidRDefault="00FE4BC3" w:rsidP="009A3693">
                  <w:pPr>
                    <w:jc w:val="both"/>
                    <w:rPr>
                      <w:sz w:val="18"/>
                      <w:szCs w:val="18"/>
                    </w:rPr>
                  </w:pPr>
                  <w:r w:rsidRPr="009A3693">
                    <w:rPr>
                      <w:sz w:val="18"/>
                      <w:szCs w:val="18"/>
                    </w:rPr>
                    <w:t xml:space="preserve">2 </w:t>
                  </w:r>
                  <w:r w:rsidR="00AC1F83" w:rsidRPr="005830DD">
                    <w:rPr>
                      <w:b/>
                      <w:sz w:val="18"/>
                      <w:szCs w:val="18"/>
                    </w:rPr>
                    <w:t>Técnicas o T</w:t>
                  </w:r>
                  <w:r w:rsidRPr="005830DD">
                    <w:rPr>
                      <w:b/>
                      <w:sz w:val="18"/>
                      <w:szCs w:val="18"/>
                    </w:rPr>
                    <w:t>écnicos</w:t>
                  </w:r>
                  <w:r w:rsidR="009A3693" w:rsidRPr="00FE4BC3">
                    <w:rPr>
                      <w:b/>
                      <w:sz w:val="18"/>
                      <w:szCs w:val="18"/>
                    </w:rPr>
                    <w:t xml:space="preserve"> </w:t>
                  </w:r>
                  <w:r w:rsidR="00AC1F83">
                    <w:rPr>
                      <w:b/>
                      <w:sz w:val="18"/>
                      <w:szCs w:val="18"/>
                    </w:rPr>
                    <w:t>E</w:t>
                  </w:r>
                  <w:r w:rsidR="009A3693" w:rsidRPr="00FE4BC3">
                    <w:rPr>
                      <w:b/>
                      <w:sz w:val="18"/>
                      <w:szCs w:val="18"/>
                    </w:rPr>
                    <w:t>specializados 6</w:t>
                  </w:r>
                </w:p>
                <w:p w:rsidR="009A3693" w:rsidRPr="009A3693" w:rsidRDefault="009A3693" w:rsidP="009A3693">
                  <w:pPr>
                    <w:jc w:val="both"/>
                    <w:rPr>
                      <w:sz w:val="18"/>
                      <w:szCs w:val="18"/>
                    </w:rPr>
                  </w:pPr>
                </w:p>
                <w:p w:rsidR="009A3693" w:rsidRPr="009A3693" w:rsidRDefault="009A3693" w:rsidP="009A3693">
                  <w:pPr>
                    <w:jc w:val="both"/>
                    <w:rPr>
                      <w:sz w:val="18"/>
                      <w:szCs w:val="18"/>
                      <w:lang w:val="es-ES_tradnl"/>
                    </w:rPr>
                  </w:pPr>
                  <w:r w:rsidRPr="009A3693">
                    <w:rPr>
                      <w:sz w:val="18"/>
                      <w:szCs w:val="18"/>
                    </w:rPr>
                    <w:t xml:space="preserve">1 </w:t>
                  </w:r>
                  <w:r w:rsidR="00AC1F83">
                    <w:rPr>
                      <w:b/>
                      <w:sz w:val="18"/>
                      <w:szCs w:val="18"/>
                    </w:rPr>
                    <w:t>Perita o P</w:t>
                  </w:r>
                  <w:r w:rsidRPr="00FE4BC3">
                    <w:rPr>
                      <w:b/>
                      <w:sz w:val="18"/>
                      <w:szCs w:val="18"/>
                    </w:rPr>
                    <w:t xml:space="preserve">erito </w:t>
                  </w:r>
                  <w:r w:rsidR="00AC1F83">
                    <w:rPr>
                      <w:b/>
                      <w:sz w:val="18"/>
                      <w:szCs w:val="18"/>
                    </w:rPr>
                    <w:t>J</w:t>
                  </w:r>
                  <w:r w:rsidRPr="00FE4BC3">
                    <w:rPr>
                      <w:b/>
                      <w:sz w:val="18"/>
                      <w:szCs w:val="18"/>
                    </w:rPr>
                    <w:t>udicial 2B</w:t>
                  </w:r>
                  <w:r w:rsidRPr="009A3693">
                    <w:rPr>
                      <w:sz w:val="18"/>
                      <w:szCs w:val="18"/>
                    </w:rPr>
                    <w:t xml:space="preserve"> </w:t>
                  </w:r>
                  <w:r w:rsidR="00AC1F83">
                    <w:rPr>
                      <w:sz w:val="18"/>
                      <w:szCs w:val="18"/>
                    </w:rPr>
                    <w:t>(</w:t>
                  </w:r>
                  <w:r w:rsidRPr="009A3693">
                    <w:rPr>
                      <w:sz w:val="18"/>
                      <w:szCs w:val="18"/>
                    </w:rPr>
                    <w:t>encargado de calidad de la Sección</w:t>
                  </w:r>
                  <w:r w:rsidR="00AC1F83">
                    <w:rPr>
                      <w:sz w:val="18"/>
                      <w:szCs w:val="18"/>
                    </w:rPr>
                    <w:t>)</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Default="0019005D" w:rsidP="0019005D">
                  <w:pPr>
                    <w:jc w:val="both"/>
                    <w:rPr>
                      <w:sz w:val="18"/>
                      <w:szCs w:val="18"/>
                    </w:rPr>
                  </w:pPr>
                  <w:r>
                    <w:rPr>
                      <w:sz w:val="18"/>
                      <w:szCs w:val="18"/>
                    </w:rPr>
                    <w:t>Permiso</w:t>
                  </w:r>
                  <w:r w:rsidR="00AC1F83">
                    <w:rPr>
                      <w:sz w:val="18"/>
                      <w:szCs w:val="18"/>
                    </w:rPr>
                    <w:t>s</w:t>
                  </w:r>
                  <w:r>
                    <w:rPr>
                      <w:sz w:val="18"/>
                      <w:szCs w:val="18"/>
                    </w:rPr>
                    <w:t xml:space="preserve"> con goce de salario vía Art. 44 LOPJ</w:t>
                  </w:r>
                </w:p>
              </w:tc>
            </w:tr>
            <w:tr w:rsidR="001A3EA4" w:rsidRPr="00D901EE" w:rsidTr="005830DD">
              <w:trPr>
                <w:trHeight w:val="713"/>
                <w:jc w:val="center"/>
              </w:trPr>
              <w:tc>
                <w:tcPr>
                  <w:tcW w:w="1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3EA4" w:rsidRPr="00130F0E" w:rsidRDefault="001A3EA4" w:rsidP="001A3EA4">
                  <w:pPr>
                    <w:jc w:val="both"/>
                    <w:rPr>
                      <w:lang w:val="es-ES_tradnl"/>
                    </w:rPr>
                  </w:pPr>
                  <w:r w:rsidRPr="001A3EA4">
                    <w:rPr>
                      <w:sz w:val="18"/>
                      <w:szCs w:val="18"/>
                    </w:rPr>
                    <w:t>Sección de Imagen y Sonido Forense</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3EA4" w:rsidRPr="001A3EA4" w:rsidRDefault="001A3EA4" w:rsidP="001A3EA4">
                  <w:pPr>
                    <w:jc w:val="center"/>
                    <w:rPr>
                      <w:sz w:val="18"/>
                      <w:szCs w:val="18"/>
                    </w:rPr>
                  </w:pPr>
                  <w:r w:rsidRPr="001A3EA4">
                    <w:rPr>
                      <w:sz w:val="18"/>
                      <w:szCs w:val="18"/>
                    </w:rPr>
                    <w:t>2</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3EA4" w:rsidRDefault="001A3EA4" w:rsidP="001A3EA4">
                  <w:pPr>
                    <w:jc w:val="both"/>
                    <w:rPr>
                      <w:sz w:val="18"/>
                      <w:szCs w:val="18"/>
                    </w:rPr>
                  </w:pPr>
                  <w:r w:rsidRPr="001A3EA4">
                    <w:rPr>
                      <w:sz w:val="18"/>
                      <w:szCs w:val="18"/>
                    </w:rPr>
                    <w:t xml:space="preserve">1 </w:t>
                  </w:r>
                  <w:r w:rsidR="00AC1F83">
                    <w:rPr>
                      <w:b/>
                      <w:sz w:val="18"/>
                      <w:szCs w:val="18"/>
                    </w:rPr>
                    <w:t>Técnica o T</w:t>
                  </w:r>
                  <w:r w:rsidRPr="001A3EA4">
                    <w:rPr>
                      <w:b/>
                      <w:sz w:val="18"/>
                      <w:szCs w:val="18"/>
                    </w:rPr>
                    <w:t xml:space="preserve">écnico </w:t>
                  </w:r>
                  <w:r w:rsidR="00AC1F83">
                    <w:rPr>
                      <w:b/>
                      <w:sz w:val="18"/>
                      <w:szCs w:val="18"/>
                    </w:rPr>
                    <w:t>E</w:t>
                  </w:r>
                  <w:r w:rsidRPr="001A3EA4">
                    <w:rPr>
                      <w:b/>
                      <w:sz w:val="18"/>
                      <w:szCs w:val="18"/>
                    </w:rPr>
                    <w:t>specializado 5</w:t>
                  </w:r>
                  <w:r w:rsidRPr="001A3EA4">
                    <w:rPr>
                      <w:sz w:val="18"/>
                      <w:szCs w:val="18"/>
                    </w:rPr>
                    <w:t xml:space="preserve"> </w:t>
                  </w:r>
                  <w:r w:rsidR="00AC1F83">
                    <w:rPr>
                      <w:sz w:val="18"/>
                      <w:szCs w:val="18"/>
                    </w:rPr>
                    <w:t>(</w:t>
                  </w:r>
                  <w:r w:rsidRPr="001A3EA4">
                    <w:rPr>
                      <w:sz w:val="18"/>
                      <w:szCs w:val="18"/>
                    </w:rPr>
                    <w:t>técnico de fotografía forense</w:t>
                  </w:r>
                  <w:r w:rsidR="00AC1F83">
                    <w:rPr>
                      <w:sz w:val="18"/>
                      <w:szCs w:val="18"/>
                    </w:rPr>
                    <w:t>)</w:t>
                  </w:r>
                  <w:r w:rsidRPr="001A3EA4">
                    <w:rPr>
                      <w:sz w:val="18"/>
                      <w:szCs w:val="18"/>
                    </w:rPr>
                    <w:t xml:space="preserve"> </w:t>
                  </w:r>
                </w:p>
                <w:p w:rsidR="001A3EA4" w:rsidRDefault="001A3EA4" w:rsidP="001A3EA4">
                  <w:pPr>
                    <w:jc w:val="both"/>
                    <w:rPr>
                      <w:sz w:val="18"/>
                      <w:szCs w:val="18"/>
                    </w:rPr>
                  </w:pPr>
                </w:p>
                <w:p w:rsidR="001A3EA4" w:rsidRPr="00130F0E" w:rsidRDefault="001A3EA4" w:rsidP="001A3EA4">
                  <w:pPr>
                    <w:jc w:val="both"/>
                    <w:rPr>
                      <w:lang w:val="es-ES_tradnl"/>
                    </w:rPr>
                  </w:pPr>
                  <w:r>
                    <w:rPr>
                      <w:sz w:val="18"/>
                      <w:szCs w:val="18"/>
                    </w:rPr>
                    <w:t>1</w:t>
                  </w:r>
                  <w:r w:rsidRPr="001A3EA4">
                    <w:rPr>
                      <w:sz w:val="18"/>
                      <w:szCs w:val="18"/>
                    </w:rPr>
                    <w:t xml:space="preserve"> </w:t>
                  </w:r>
                  <w:r w:rsidR="00AC1F83" w:rsidRPr="005830DD">
                    <w:rPr>
                      <w:b/>
                      <w:sz w:val="18"/>
                      <w:szCs w:val="18"/>
                    </w:rPr>
                    <w:t>Técnica o T</w:t>
                  </w:r>
                  <w:r w:rsidRPr="00E42048">
                    <w:rPr>
                      <w:b/>
                      <w:sz w:val="18"/>
                      <w:szCs w:val="18"/>
                    </w:rPr>
                    <w:t>écnico</w:t>
                  </w:r>
                  <w:r w:rsidRPr="001A3EA4">
                    <w:rPr>
                      <w:b/>
                      <w:sz w:val="18"/>
                      <w:szCs w:val="18"/>
                    </w:rPr>
                    <w:t xml:space="preserve"> </w:t>
                  </w:r>
                  <w:r w:rsidR="00AC1F83">
                    <w:rPr>
                      <w:b/>
                      <w:sz w:val="18"/>
                      <w:szCs w:val="18"/>
                    </w:rPr>
                    <w:t>E</w:t>
                  </w:r>
                  <w:r w:rsidRPr="001A3EA4">
                    <w:rPr>
                      <w:b/>
                      <w:sz w:val="18"/>
                      <w:szCs w:val="18"/>
                    </w:rPr>
                    <w:t>specializado 6</w:t>
                  </w:r>
                  <w:r w:rsidRPr="001A3EA4">
                    <w:rPr>
                      <w:sz w:val="18"/>
                      <w:szCs w:val="18"/>
                    </w:rPr>
                    <w:t xml:space="preserve"> </w:t>
                  </w:r>
                  <w:r w:rsidR="00AC1F83">
                    <w:rPr>
                      <w:sz w:val="18"/>
                      <w:szCs w:val="18"/>
                    </w:rPr>
                    <w:t>(</w:t>
                  </w:r>
                  <w:r w:rsidRPr="001A3EA4">
                    <w:rPr>
                      <w:sz w:val="18"/>
                      <w:szCs w:val="18"/>
                    </w:rPr>
                    <w:t>técnico de video forense</w:t>
                  </w:r>
                  <w:r w:rsidR="00AC1F83">
                    <w:rPr>
                      <w:sz w:val="18"/>
                      <w:szCs w:val="18"/>
                    </w:rPr>
                    <w:t>)</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3EA4" w:rsidRDefault="00FE01D3" w:rsidP="00FE01D3">
                  <w:pPr>
                    <w:jc w:val="both"/>
                    <w:rPr>
                      <w:sz w:val="18"/>
                      <w:szCs w:val="18"/>
                    </w:rPr>
                  </w:pPr>
                  <w:r>
                    <w:rPr>
                      <w:sz w:val="18"/>
                      <w:szCs w:val="18"/>
                    </w:rPr>
                    <w:t>Permiso</w:t>
                  </w:r>
                  <w:r w:rsidR="00AC1F83">
                    <w:rPr>
                      <w:sz w:val="18"/>
                      <w:szCs w:val="18"/>
                    </w:rPr>
                    <w:t>s</w:t>
                  </w:r>
                  <w:r>
                    <w:rPr>
                      <w:sz w:val="18"/>
                      <w:szCs w:val="18"/>
                    </w:rPr>
                    <w:t xml:space="preserve"> con goce de salario vía Art. 44 LOPJ</w:t>
                  </w:r>
                </w:p>
              </w:tc>
            </w:tr>
            <w:tr w:rsidR="009A3693" w:rsidRPr="00D901EE" w:rsidTr="005830DD">
              <w:trPr>
                <w:trHeight w:val="411"/>
                <w:jc w:val="center"/>
              </w:trPr>
              <w:tc>
                <w:tcPr>
                  <w:tcW w:w="1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FE01D3" w:rsidRDefault="00FE01D3" w:rsidP="005830DD">
                  <w:pPr>
                    <w:jc w:val="right"/>
                    <w:rPr>
                      <w:b/>
                      <w:szCs w:val="18"/>
                    </w:rPr>
                  </w:pPr>
                  <w:r w:rsidRPr="00FE01D3">
                    <w:rPr>
                      <w:b/>
                      <w:sz w:val="22"/>
                      <w:szCs w:val="18"/>
                    </w:rPr>
                    <w:t xml:space="preserve">TOTAL </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Pr="00FE01D3" w:rsidRDefault="00FE01D3" w:rsidP="0022789F">
                  <w:pPr>
                    <w:jc w:val="center"/>
                    <w:rPr>
                      <w:b/>
                      <w:szCs w:val="18"/>
                    </w:rPr>
                  </w:pPr>
                  <w:r w:rsidRPr="00FE01D3">
                    <w:rPr>
                      <w:b/>
                      <w:sz w:val="22"/>
                      <w:szCs w:val="18"/>
                    </w:rPr>
                    <w:t>16</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Default="009A3693" w:rsidP="00273879">
                  <w:pPr>
                    <w:jc w:val="center"/>
                    <w:rPr>
                      <w:sz w:val="18"/>
                      <w:szCs w:val="18"/>
                    </w:rPr>
                  </w:pP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693" w:rsidRDefault="009A3693" w:rsidP="00D901EE">
                  <w:pPr>
                    <w:jc w:val="center"/>
                    <w:rPr>
                      <w:sz w:val="18"/>
                      <w:szCs w:val="18"/>
                    </w:rPr>
                  </w:pPr>
                </w:p>
              </w:tc>
            </w:tr>
          </w:tbl>
          <w:p w:rsidR="00A754F2" w:rsidRPr="00627F9B" w:rsidRDefault="00A754F2" w:rsidP="00757E5E">
            <w:pPr>
              <w:jc w:val="both"/>
              <w:rPr>
                <w:bCs/>
                <w:i/>
                <w:sz w:val="28"/>
                <w:szCs w:val="28"/>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lastRenderedPageBreak/>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5F142C" w:rsidRDefault="005F142C" w:rsidP="005F142C">
            <w:pPr>
              <w:jc w:val="both"/>
              <w:rPr>
                <w:i/>
                <w:iCs/>
                <w:sz w:val="28"/>
                <w:szCs w:val="28"/>
                <w:lang w:val="es-CR" w:eastAsia="en-US"/>
              </w:rPr>
            </w:pPr>
            <w:r>
              <w:rPr>
                <w:i/>
                <w:iCs/>
                <w:sz w:val="28"/>
                <w:szCs w:val="28"/>
              </w:rPr>
              <w:t>En la sesión 112-17 celebrada el 14 de diciembre del 2017, artículo LXXXIII, el Consejo Superior conoció el oficio 1449-DG-2017/Ref.1738 de la Dirección General del OIJ, donde solicitó aprobar la prórroga (para el 2018) de varias plazas solicitadas en el 2017 por diferentes oficinas de esa dependencia, para darle continuidad a varios proyectos dirigidos a la mejora continua del servicio brindado a la persona usuaria (en aspectos de calidad, eficiencia y eficacia de los recursos humanos y materiales)</w:t>
            </w:r>
            <w:r>
              <w:rPr>
                <w:rStyle w:val="Refdenotaalpie"/>
                <w:b/>
                <w:bCs/>
                <w:i/>
                <w:iCs/>
                <w:sz w:val="28"/>
              </w:rPr>
              <w:footnoteReference w:customMarkFollows="1" w:id="1"/>
              <w:t>[1]</w:t>
            </w:r>
            <w:r>
              <w:rPr>
                <w:i/>
                <w:iCs/>
                <w:sz w:val="28"/>
                <w:szCs w:val="28"/>
              </w:rPr>
              <w:t xml:space="preserve">. </w:t>
            </w:r>
            <w:r>
              <w:rPr>
                <w:b/>
                <w:bCs/>
                <w:i/>
                <w:iCs/>
                <w:sz w:val="28"/>
                <w:szCs w:val="28"/>
              </w:rPr>
              <w:t>En total, la Dirección General solicita la continuidad de 78 plazas para fortalecer la gestión de siete dependencias del OIJ</w:t>
            </w:r>
            <w:r>
              <w:rPr>
                <w:rStyle w:val="Refdenotaalpie"/>
                <w:b/>
                <w:bCs/>
                <w:i/>
                <w:iCs/>
                <w:sz w:val="28"/>
              </w:rPr>
              <w:footnoteReference w:customMarkFollows="1" w:id="2"/>
              <w:t>[2]</w:t>
            </w:r>
            <w:r>
              <w:rPr>
                <w:b/>
                <w:bCs/>
                <w:i/>
                <w:iCs/>
                <w:sz w:val="28"/>
                <w:szCs w:val="28"/>
              </w:rPr>
              <w:t xml:space="preserve">. </w:t>
            </w:r>
            <w:r>
              <w:rPr>
                <w:i/>
                <w:iCs/>
                <w:sz w:val="28"/>
                <w:szCs w:val="28"/>
              </w:rPr>
              <w:t xml:space="preserve">Al respecto, el Consejo Superior acordó convocar a los Directores de Planificación y de Gestión Humana, a fin de que informaran sobre la situación de las plazas referidas. </w:t>
            </w:r>
          </w:p>
          <w:p w:rsidR="005F142C" w:rsidRDefault="005F142C" w:rsidP="005F142C">
            <w:pPr>
              <w:rPr>
                <w:i/>
                <w:iCs/>
                <w:sz w:val="28"/>
                <w:szCs w:val="28"/>
              </w:rPr>
            </w:pPr>
          </w:p>
          <w:p w:rsidR="005F142C" w:rsidRDefault="005F142C" w:rsidP="005F142C">
            <w:pPr>
              <w:jc w:val="both"/>
              <w:rPr>
                <w:i/>
                <w:iCs/>
                <w:sz w:val="28"/>
                <w:szCs w:val="28"/>
              </w:rPr>
            </w:pPr>
            <w:r>
              <w:rPr>
                <w:i/>
                <w:iCs/>
                <w:sz w:val="28"/>
                <w:szCs w:val="28"/>
              </w:rPr>
              <w:t xml:space="preserve">No obstante, en la sesión 113-17 del 19 de diciembre de 2017, artículo XCVI, el Consejo Superior acordó prorrogar los permisos con goce de salario y sustitución, a partir del 8 de enero de 2018 y hasta por un mes, a las plazas del Organismo de Investigación </w:t>
            </w:r>
            <w:r>
              <w:rPr>
                <w:i/>
                <w:iCs/>
                <w:sz w:val="28"/>
                <w:szCs w:val="28"/>
              </w:rPr>
              <w:lastRenderedPageBreak/>
              <w:t>Judicial, que ahí se indicaron.</w:t>
            </w:r>
          </w:p>
          <w:p w:rsidR="005F142C" w:rsidRDefault="005F142C" w:rsidP="005F142C">
            <w:pPr>
              <w:jc w:val="both"/>
              <w:rPr>
                <w:i/>
                <w:iCs/>
                <w:sz w:val="28"/>
                <w:szCs w:val="28"/>
              </w:rPr>
            </w:pPr>
          </w:p>
          <w:p w:rsidR="005F142C" w:rsidRDefault="005F142C" w:rsidP="005F142C">
            <w:pPr>
              <w:jc w:val="both"/>
              <w:rPr>
                <w:i/>
                <w:iCs/>
                <w:sz w:val="28"/>
                <w:szCs w:val="28"/>
              </w:rPr>
            </w:pPr>
            <w:r>
              <w:rPr>
                <w:i/>
                <w:iCs/>
                <w:sz w:val="28"/>
                <w:szCs w:val="28"/>
              </w:rPr>
              <w:t xml:space="preserve">Posteriormente, en la sesión 11-18 del 8 de febrero del 2018, artículo XLIX, el Consejo Superior dispuso prorrogar los referidos permisos con goce de salario por tres meses más (a partir del 9 de febrero del 2018), por lo que los 78 recursos indicados se mantendrían vigentes hasta el próximo 9 de mayo del 2018. </w:t>
            </w:r>
          </w:p>
          <w:p w:rsidR="005F142C" w:rsidRDefault="005F142C" w:rsidP="005F142C">
            <w:pPr>
              <w:jc w:val="both"/>
              <w:rPr>
                <w:i/>
                <w:iCs/>
                <w:sz w:val="28"/>
                <w:szCs w:val="28"/>
              </w:rPr>
            </w:pPr>
          </w:p>
          <w:p w:rsidR="005F142C" w:rsidRDefault="005F142C" w:rsidP="005F142C">
            <w:pPr>
              <w:jc w:val="both"/>
              <w:rPr>
                <w:b/>
                <w:bCs/>
                <w:i/>
                <w:iCs/>
                <w:sz w:val="28"/>
                <w:szCs w:val="28"/>
              </w:rPr>
            </w:pPr>
            <w:r>
              <w:rPr>
                <w:b/>
                <w:bCs/>
                <w:i/>
                <w:iCs/>
                <w:sz w:val="28"/>
                <w:szCs w:val="28"/>
              </w:rPr>
              <w:t xml:space="preserve">Como parte de esos recursos, se tiene la solicitud de </w:t>
            </w:r>
            <w:r w:rsidR="00DB6B47">
              <w:rPr>
                <w:b/>
                <w:bCs/>
                <w:i/>
                <w:iCs/>
                <w:sz w:val="28"/>
                <w:szCs w:val="28"/>
              </w:rPr>
              <w:t>16 plazas para las secciones de Bioquímica, Pericias Físicas, Química Analítica, Toxicología, así como Imagen y Sonido Forense, todas adscritas al Departamento Laboratorio de Ciencias Forenses.</w:t>
            </w:r>
          </w:p>
          <w:p w:rsidR="005F142C" w:rsidRDefault="005F142C" w:rsidP="005F142C">
            <w:pPr>
              <w:jc w:val="both"/>
              <w:rPr>
                <w:i/>
                <w:iCs/>
                <w:sz w:val="28"/>
                <w:szCs w:val="28"/>
              </w:rPr>
            </w:pPr>
            <w:r>
              <w:rPr>
                <w:i/>
                <w:iCs/>
                <w:sz w:val="28"/>
                <w:szCs w:val="28"/>
              </w:rPr>
              <w:t xml:space="preserve"> </w:t>
            </w:r>
          </w:p>
          <w:p w:rsidR="005F142C" w:rsidRDefault="005F142C" w:rsidP="005F142C">
            <w:pPr>
              <w:jc w:val="both"/>
              <w:rPr>
                <w:i/>
                <w:iCs/>
                <w:sz w:val="28"/>
                <w:szCs w:val="28"/>
              </w:rPr>
            </w:pPr>
            <w:r>
              <w:rPr>
                <w:i/>
                <w:iCs/>
                <w:sz w:val="28"/>
                <w:szCs w:val="28"/>
              </w:rPr>
              <w:t>En razón de la permanencia y continuidad de los permisos con goce de salario avalados por el Consejo Superior, la Dirección de Planificación procede a analizar las solicitudes a través de los informes de requerimiento humano para el 2019. Cabe señalar que algunas de estas plazas han sido atendidas en diferentes estudios de estructura elaborados por la Dirección de Planificación, situación que será considerada dentro de las valoraciones por realizar, a fin de atender las necesidades referidas por la Dirección del Organismo de Investigación Judicial.</w:t>
            </w:r>
          </w:p>
          <w:p w:rsidR="004535B5" w:rsidRPr="00806D93" w:rsidRDefault="004535B5" w:rsidP="005F142C">
            <w:pPr>
              <w:pStyle w:val="Textoindependiente"/>
              <w:spacing w:before="120"/>
              <w:ind w:right="10"/>
              <w:rPr>
                <w:rFonts w:ascii="Times New Roman" w:hAnsi="Times New Roman" w:cs="Times New Roman"/>
                <w:sz w:val="28"/>
                <w:szCs w:val="28"/>
                <w:shd w:val="clear" w:color="auto" w:fill="auto"/>
                <w:lang w:val="es-ES"/>
              </w:rPr>
            </w:pP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8080" w:type="dxa"/>
          </w:tcPr>
          <w:p w:rsidR="002D570E" w:rsidRPr="008C1D2D" w:rsidRDefault="00A4667A" w:rsidP="007664C4">
            <w:pPr>
              <w:jc w:val="both"/>
              <w:rPr>
                <w:i/>
                <w:sz w:val="28"/>
                <w:szCs w:val="28"/>
              </w:rPr>
            </w:pPr>
            <w:r w:rsidRPr="008C1D2D">
              <w:rPr>
                <w:b/>
                <w:bCs/>
                <w:i/>
                <w:sz w:val="28"/>
                <w:szCs w:val="28"/>
              </w:rPr>
              <w:t>3.1</w:t>
            </w:r>
            <w:r w:rsidRPr="008C1D2D">
              <w:rPr>
                <w:i/>
                <w:sz w:val="28"/>
                <w:szCs w:val="28"/>
              </w:rPr>
              <w:t>.</w:t>
            </w:r>
            <w:r w:rsidR="00316527" w:rsidRPr="008C1D2D">
              <w:rPr>
                <w:i/>
                <w:sz w:val="28"/>
                <w:szCs w:val="28"/>
              </w:rPr>
              <w:t xml:space="preserve"> </w:t>
            </w:r>
            <w:r w:rsidR="007664C4" w:rsidRPr="008C1D2D">
              <w:rPr>
                <w:i/>
                <w:sz w:val="28"/>
                <w:szCs w:val="28"/>
              </w:rPr>
              <w:t xml:space="preserve">En </w:t>
            </w:r>
            <w:r w:rsidR="00CD5CC6">
              <w:rPr>
                <w:i/>
                <w:sz w:val="28"/>
                <w:szCs w:val="28"/>
              </w:rPr>
              <w:t>s</w:t>
            </w:r>
            <w:r w:rsidR="00CD5CC6" w:rsidRPr="008C1D2D">
              <w:rPr>
                <w:i/>
                <w:sz w:val="28"/>
                <w:szCs w:val="28"/>
              </w:rPr>
              <w:t xml:space="preserve">esión </w:t>
            </w:r>
            <w:r w:rsidR="007664C4" w:rsidRPr="008C1D2D">
              <w:rPr>
                <w:i/>
                <w:sz w:val="28"/>
                <w:szCs w:val="28"/>
              </w:rPr>
              <w:t>de Corte Plena 15-2</w:t>
            </w:r>
            <w:r w:rsidR="002D570E" w:rsidRPr="008C1D2D">
              <w:rPr>
                <w:i/>
                <w:sz w:val="28"/>
                <w:szCs w:val="28"/>
              </w:rPr>
              <w:t>0</w:t>
            </w:r>
            <w:r w:rsidR="007664C4" w:rsidRPr="008C1D2D">
              <w:rPr>
                <w:i/>
                <w:sz w:val="28"/>
                <w:szCs w:val="28"/>
              </w:rPr>
              <w:t xml:space="preserve">16, celebrada el 29 de junio de 2016, artículo I, la Comisión de </w:t>
            </w:r>
            <w:r w:rsidR="00CD5CC6">
              <w:rPr>
                <w:i/>
                <w:sz w:val="28"/>
                <w:szCs w:val="28"/>
              </w:rPr>
              <w:t>E</w:t>
            </w:r>
            <w:r w:rsidR="007664C4" w:rsidRPr="008C1D2D">
              <w:rPr>
                <w:i/>
                <w:sz w:val="28"/>
                <w:szCs w:val="28"/>
              </w:rPr>
              <w:t xml:space="preserve">nlace CORTE-OIJ concedió audiencia a la Jefatura del Departamento de Laboratorio de Ciencias Forenses y al Asegurador de la Calidad, donde se expusieron los avances del proceso de certificación de los laboratorios de ese departamento, y se presentó el oficio 445-DCF-2016 </w:t>
            </w:r>
            <w:r w:rsidR="00CD5CC6">
              <w:rPr>
                <w:i/>
                <w:sz w:val="28"/>
                <w:szCs w:val="28"/>
              </w:rPr>
              <w:t>en el cual</w:t>
            </w:r>
            <w:r w:rsidR="00CD5CC6" w:rsidRPr="008C1D2D">
              <w:rPr>
                <w:i/>
                <w:sz w:val="28"/>
                <w:szCs w:val="28"/>
              </w:rPr>
              <w:t xml:space="preserve"> </w:t>
            </w:r>
            <w:r w:rsidR="007664C4" w:rsidRPr="008C1D2D">
              <w:rPr>
                <w:i/>
                <w:sz w:val="28"/>
                <w:szCs w:val="28"/>
              </w:rPr>
              <w:t>solicitaron permisos con goce de salario y sustitución para cuatro plazas de perita o perito judicial</w:t>
            </w:r>
            <w:r w:rsidR="002D570E" w:rsidRPr="008C1D2D">
              <w:rPr>
                <w:i/>
                <w:sz w:val="28"/>
                <w:szCs w:val="28"/>
              </w:rPr>
              <w:t xml:space="preserve">.  Los recursos serían destinados para apoyar las secciones de </w:t>
            </w:r>
            <w:r w:rsidR="007664C4" w:rsidRPr="008C1D2D">
              <w:rPr>
                <w:i/>
                <w:sz w:val="28"/>
                <w:szCs w:val="28"/>
              </w:rPr>
              <w:t>Química Analítica, Toxicología, Bioquímica y Pericias Físicas.</w:t>
            </w:r>
          </w:p>
          <w:p w:rsidR="002D570E" w:rsidRPr="008C1D2D" w:rsidRDefault="002D570E" w:rsidP="007664C4">
            <w:pPr>
              <w:jc w:val="both"/>
              <w:rPr>
                <w:i/>
                <w:sz w:val="28"/>
                <w:szCs w:val="28"/>
              </w:rPr>
            </w:pPr>
          </w:p>
          <w:p w:rsidR="007664C4" w:rsidRPr="008C1D2D" w:rsidRDefault="002D570E" w:rsidP="007664C4">
            <w:pPr>
              <w:jc w:val="both"/>
              <w:rPr>
                <w:i/>
                <w:sz w:val="28"/>
                <w:szCs w:val="28"/>
              </w:rPr>
            </w:pPr>
            <w:r w:rsidRPr="008C1D2D">
              <w:rPr>
                <w:i/>
                <w:sz w:val="28"/>
                <w:szCs w:val="28"/>
              </w:rPr>
              <w:t>De esta forma</w:t>
            </w:r>
            <w:r w:rsidR="00CD5CC6">
              <w:rPr>
                <w:i/>
                <w:sz w:val="28"/>
                <w:szCs w:val="28"/>
              </w:rPr>
              <w:t>,</w:t>
            </w:r>
            <w:r w:rsidRPr="008C1D2D">
              <w:rPr>
                <w:i/>
                <w:sz w:val="28"/>
                <w:szCs w:val="28"/>
              </w:rPr>
              <w:t xml:space="preserve"> el Departamento</w:t>
            </w:r>
            <w:r w:rsidR="007664C4" w:rsidRPr="008C1D2D">
              <w:rPr>
                <w:i/>
                <w:sz w:val="28"/>
                <w:szCs w:val="28"/>
              </w:rPr>
              <w:t xml:space="preserve"> Laboratorio de Ciencias Forenses, con</w:t>
            </w:r>
            <w:r w:rsidRPr="008C1D2D">
              <w:rPr>
                <w:i/>
                <w:sz w:val="28"/>
                <w:szCs w:val="28"/>
              </w:rPr>
              <w:t xml:space="preserve">tando con el visto bueno de la </w:t>
            </w:r>
            <w:r w:rsidR="007664C4" w:rsidRPr="008C1D2D">
              <w:rPr>
                <w:i/>
                <w:sz w:val="28"/>
                <w:szCs w:val="28"/>
              </w:rPr>
              <w:t xml:space="preserve">Comisión de </w:t>
            </w:r>
            <w:r w:rsidR="00CD5CC6">
              <w:rPr>
                <w:i/>
                <w:sz w:val="28"/>
                <w:szCs w:val="28"/>
              </w:rPr>
              <w:t>E</w:t>
            </w:r>
            <w:r w:rsidR="007664C4" w:rsidRPr="008C1D2D">
              <w:rPr>
                <w:i/>
                <w:sz w:val="28"/>
                <w:szCs w:val="28"/>
              </w:rPr>
              <w:t xml:space="preserve">nlace CORTE-OIJ, </w:t>
            </w:r>
            <w:r w:rsidRPr="008C1D2D">
              <w:rPr>
                <w:i/>
                <w:sz w:val="28"/>
                <w:szCs w:val="28"/>
              </w:rPr>
              <w:t>realiz</w:t>
            </w:r>
            <w:r w:rsidR="00CD5CC6">
              <w:rPr>
                <w:i/>
                <w:sz w:val="28"/>
                <w:szCs w:val="28"/>
              </w:rPr>
              <w:t>ó</w:t>
            </w:r>
            <w:r w:rsidRPr="008C1D2D">
              <w:rPr>
                <w:i/>
                <w:sz w:val="28"/>
                <w:szCs w:val="28"/>
              </w:rPr>
              <w:t xml:space="preserve"> la solicitud al </w:t>
            </w:r>
            <w:r w:rsidR="007664C4" w:rsidRPr="008C1D2D">
              <w:rPr>
                <w:i/>
                <w:sz w:val="28"/>
                <w:szCs w:val="28"/>
              </w:rPr>
              <w:t xml:space="preserve">Consejo Superior de recurso humano. En la sesión 3-17 del 17 de enero </w:t>
            </w:r>
            <w:r w:rsidR="00CD5CC6">
              <w:rPr>
                <w:i/>
                <w:sz w:val="28"/>
                <w:szCs w:val="28"/>
              </w:rPr>
              <w:t>del 2017</w:t>
            </w:r>
            <w:r w:rsidR="007664C4" w:rsidRPr="008C1D2D">
              <w:rPr>
                <w:i/>
                <w:sz w:val="28"/>
                <w:szCs w:val="28"/>
              </w:rPr>
              <w:t xml:space="preserve">, artículo LIV, el Consejo </w:t>
            </w:r>
            <w:r w:rsidR="007664C4" w:rsidRPr="008C1D2D">
              <w:rPr>
                <w:i/>
                <w:sz w:val="28"/>
                <w:szCs w:val="28"/>
              </w:rPr>
              <w:lastRenderedPageBreak/>
              <w:t xml:space="preserve">Superior </w:t>
            </w:r>
            <w:r w:rsidR="00AA62F2" w:rsidRPr="008C1D2D">
              <w:rPr>
                <w:i/>
                <w:sz w:val="28"/>
                <w:szCs w:val="28"/>
              </w:rPr>
              <w:t>ac</w:t>
            </w:r>
            <w:r w:rsidR="00CD5CC6">
              <w:rPr>
                <w:i/>
                <w:sz w:val="28"/>
                <w:szCs w:val="28"/>
              </w:rPr>
              <w:t xml:space="preserve">ordó </w:t>
            </w:r>
            <w:r w:rsidR="00AA62F2" w:rsidRPr="008C1D2D">
              <w:rPr>
                <w:i/>
                <w:sz w:val="28"/>
                <w:szCs w:val="28"/>
              </w:rPr>
              <w:t>solicitar</w:t>
            </w:r>
            <w:r w:rsidR="007664C4" w:rsidRPr="008C1D2D">
              <w:rPr>
                <w:i/>
                <w:sz w:val="28"/>
                <w:szCs w:val="28"/>
              </w:rPr>
              <w:t xml:space="preserve"> a la Dirección de Planificación un informe en relación con la </w:t>
            </w:r>
            <w:r w:rsidR="00CB213D" w:rsidRPr="008C1D2D">
              <w:rPr>
                <w:i/>
                <w:sz w:val="28"/>
                <w:szCs w:val="28"/>
              </w:rPr>
              <w:t xml:space="preserve">petición </w:t>
            </w:r>
            <w:r w:rsidR="007664C4" w:rsidRPr="008C1D2D">
              <w:rPr>
                <w:i/>
                <w:sz w:val="28"/>
                <w:szCs w:val="28"/>
              </w:rPr>
              <w:t>planteada por el máster Mauricio Chacón Hernández, Jefe del Departamento de Laboratorio de Ciencias Forenses</w:t>
            </w:r>
            <w:r w:rsidRPr="008C1D2D">
              <w:rPr>
                <w:i/>
                <w:sz w:val="28"/>
                <w:szCs w:val="28"/>
              </w:rPr>
              <w:t>.</w:t>
            </w:r>
          </w:p>
          <w:p w:rsidR="005922DC" w:rsidRDefault="005922DC" w:rsidP="007664C4">
            <w:pPr>
              <w:jc w:val="both"/>
              <w:rPr>
                <w:sz w:val="28"/>
                <w:szCs w:val="28"/>
              </w:rPr>
            </w:pPr>
          </w:p>
          <w:p w:rsidR="005922DC" w:rsidRDefault="005922DC" w:rsidP="007664C4">
            <w:pPr>
              <w:jc w:val="both"/>
              <w:rPr>
                <w:i/>
                <w:sz w:val="28"/>
                <w:szCs w:val="28"/>
              </w:rPr>
            </w:pPr>
            <w:r w:rsidRPr="008C1D2D">
              <w:rPr>
                <w:i/>
                <w:sz w:val="28"/>
                <w:szCs w:val="28"/>
              </w:rPr>
              <w:t>Esta Dirección en acatamiento de lo indicado por el Consejo Superior en la sesión 3-17, artículo LIV, present</w:t>
            </w:r>
            <w:r w:rsidR="00CD5CC6">
              <w:rPr>
                <w:i/>
                <w:sz w:val="28"/>
                <w:szCs w:val="28"/>
              </w:rPr>
              <w:t>ó</w:t>
            </w:r>
            <w:r w:rsidRPr="008C1D2D">
              <w:rPr>
                <w:i/>
                <w:sz w:val="28"/>
                <w:szCs w:val="28"/>
              </w:rPr>
              <w:t xml:space="preserve"> el estudio </w:t>
            </w:r>
            <w:r w:rsidR="008C1D2D" w:rsidRPr="008C1D2D">
              <w:rPr>
                <w:i/>
                <w:sz w:val="28"/>
                <w:szCs w:val="28"/>
              </w:rPr>
              <w:t>20-OI-2017</w:t>
            </w:r>
            <w:r w:rsidR="008C1D2D">
              <w:rPr>
                <w:i/>
                <w:sz w:val="28"/>
                <w:szCs w:val="28"/>
              </w:rPr>
              <w:t>-B</w:t>
            </w:r>
            <w:r w:rsidR="008C1D2D" w:rsidRPr="008C1D2D">
              <w:rPr>
                <w:i/>
                <w:sz w:val="28"/>
                <w:szCs w:val="28"/>
              </w:rPr>
              <w:t xml:space="preserve">, remitido mediante oficio 924-PLA-2017 </w:t>
            </w:r>
            <w:r w:rsidR="005250A6">
              <w:rPr>
                <w:i/>
                <w:sz w:val="28"/>
                <w:szCs w:val="28"/>
              </w:rPr>
              <w:t xml:space="preserve">que </w:t>
            </w:r>
            <w:r w:rsidR="00CD5CC6">
              <w:rPr>
                <w:i/>
                <w:sz w:val="28"/>
                <w:szCs w:val="28"/>
              </w:rPr>
              <w:t>fue</w:t>
            </w:r>
            <w:r w:rsidR="00CD5CC6" w:rsidRPr="008C1D2D">
              <w:rPr>
                <w:i/>
                <w:sz w:val="28"/>
                <w:szCs w:val="28"/>
              </w:rPr>
              <w:t xml:space="preserve"> </w:t>
            </w:r>
            <w:r w:rsidR="008C1D2D" w:rsidRPr="008C1D2D">
              <w:rPr>
                <w:i/>
                <w:sz w:val="28"/>
                <w:szCs w:val="28"/>
              </w:rPr>
              <w:t xml:space="preserve">conocido </w:t>
            </w:r>
            <w:r w:rsidR="008C1D2D">
              <w:rPr>
                <w:i/>
                <w:sz w:val="28"/>
                <w:szCs w:val="28"/>
              </w:rPr>
              <w:t xml:space="preserve">por el Consejo Superior </w:t>
            </w:r>
            <w:r w:rsidR="008C1D2D" w:rsidRPr="008C1D2D">
              <w:rPr>
                <w:i/>
                <w:sz w:val="28"/>
                <w:szCs w:val="28"/>
              </w:rPr>
              <w:t>en sesión 67-17</w:t>
            </w:r>
            <w:r w:rsidR="008C1D2D">
              <w:rPr>
                <w:i/>
                <w:sz w:val="28"/>
                <w:szCs w:val="28"/>
              </w:rPr>
              <w:t xml:space="preserve">, </w:t>
            </w:r>
            <w:r w:rsidR="008C1D2D" w:rsidRPr="008C1D2D">
              <w:rPr>
                <w:i/>
                <w:sz w:val="28"/>
                <w:szCs w:val="28"/>
              </w:rPr>
              <w:t>artículo XXIII. </w:t>
            </w:r>
          </w:p>
          <w:p w:rsidR="008C1D2D" w:rsidRDefault="008C1D2D" w:rsidP="007664C4">
            <w:pPr>
              <w:jc w:val="both"/>
              <w:rPr>
                <w:i/>
                <w:sz w:val="28"/>
                <w:szCs w:val="28"/>
              </w:rPr>
            </w:pPr>
          </w:p>
          <w:p w:rsidR="00CB5494" w:rsidRDefault="00CB5494" w:rsidP="007664C4">
            <w:pPr>
              <w:jc w:val="both"/>
              <w:rPr>
                <w:i/>
                <w:sz w:val="28"/>
                <w:szCs w:val="28"/>
              </w:rPr>
            </w:pPr>
            <w:r>
              <w:rPr>
                <w:i/>
                <w:sz w:val="28"/>
                <w:szCs w:val="28"/>
              </w:rPr>
              <w:t xml:space="preserve">Luego del análisis realizado y sobre el tema </w:t>
            </w:r>
            <w:r w:rsidR="00E41280">
              <w:rPr>
                <w:i/>
                <w:sz w:val="28"/>
                <w:szCs w:val="28"/>
              </w:rPr>
              <w:t>de dotación de recursos</w:t>
            </w:r>
            <w:r w:rsidR="00CD5CC6">
              <w:rPr>
                <w:i/>
                <w:sz w:val="28"/>
                <w:szCs w:val="28"/>
              </w:rPr>
              <w:t>,</w:t>
            </w:r>
            <w:r w:rsidR="00E41280">
              <w:rPr>
                <w:i/>
                <w:sz w:val="28"/>
                <w:szCs w:val="28"/>
              </w:rPr>
              <w:t xml:space="preserve"> </w:t>
            </w:r>
            <w:r w:rsidR="00CD5CC6">
              <w:rPr>
                <w:i/>
                <w:sz w:val="28"/>
                <w:szCs w:val="28"/>
              </w:rPr>
              <w:t>la</w:t>
            </w:r>
            <w:r>
              <w:rPr>
                <w:i/>
                <w:sz w:val="28"/>
                <w:szCs w:val="28"/>
              </w:rPr>
              <w:t xml:space="preserve"> Dirección</w:t>
            </w:r>
            <w:r w:rsidR="00CD5CC6">
              <w:rPr>
                <w:i/>
                <w:sz w:val="28"/>
                <w:szCs w:val="28"/>
              </w:rPr>
              <w:t xml:space="preserve"> de Planificación</w:t>
            </w:r>
            <w:r>
              <w:rPr>
                <w:i/>
                <w:sz w:val="28"/>
                <w:szCs w:val="28"/>
              </w:rPr>
              <w:t xml:space="preserve"> recomendó lo siguiente:</w:t>
            </w:r>
          </w:p>
          <w:p w:rsidR="00AA42EC" w:rsidRDefault="00AA42EC" w:rsidP="007664C4">
            <w:pPr>
              <w:jc w:val="both"/>
              <w:rPr>
                <w:i/>
                <w:sz w:val="28"/>
                <w:szCs w:val="28"/>
              </w:rPr>
            </w:pPr>
          </w:p>
          <w:p w:rsidR="00AA42EC" w:rsidRPr="00AA42EC" w:rsidRDefault="00CD5CC6" w:rsidP="00AA42EC">
            <w:pPr>
              <w:ind w:left="772" w:right="1002"/>
              <w:jc w:val="both"/>
              <w:rPr>
                <w:rFonts w:ascii="Book Antiqua" w:hAnsi="Book Antiqua"/>
                <w:b/>
                <w:i/>
              </w:rPr>
            </w:pPr>
            <w:r>
              <w:rPr>
                <w:rFonts w:ascii="Book Antiqua" w:hAnsi="Book Antiqua"/>
                <w:b/>
                <w:i/>
              </w:rPr>
              <w:t>“</w:t>
            </w:r>
            <w:r w:rsidR="00AA42EC" w:rsidRPr="00AA42EC">
              <w:rPr>
                <w:rFonts w:ascii="Book Antiqua" w:hAnsi="Book Antiqua"/>
                <w:b/>
                <w:i/>
              </w:rPr>
              <w:t>Al Consejo Superior</w:t>
            </w:r>
          </w:p>
          <w:p w:rsidR="00AA42EC" w:rsidRPr="00AA42EC" w:rsidRDefault="00AA42EC" w:rsidP="00AA42EC">
            <w:pPr>
              <w:ind w:left="772" w:right="1002"/>
              <w:jc w:val="both"/>
              <w:rPr>
                <w:rFonts w:ascii="Book Antiqua" w:hAnsi="Book Antiqua"/>
                <w:i/>
              </w:rPr>
            </w:pPr>
          </w:p>
          <w:p w:rsidR="00AA42EC" w:rsidRPr="00AA42EC" w:rsidRDefault="00AA42EC" w:rsidP="00AA42EC">
            <w:pPr>
              <w:ind w:left="772" w:right="1002"/>
              <w:jc w:val="both"/>
              <w:rPr>
                <w:rFonts w:ascii="Book Antiqua" w:hAnsi="Book Antiqua"/>
                <w:i/>
              </w:rPr>
            </w:pPr>
            <w:r w:rsidRPr="00AA42EC">
              <w:rPr>
                <w:rFonts w:ascii="Book Antiqua" w:hAnsi="Book Antiqua"/>
                <w:b/>
                <w:i/>
              </w:rPr>
              <w:t xml:space="preserve">5.1.- </w:t>
            </w:r>
            <w:r w:rsidRPr="00AA42EC">
              <w:rPr>
                <w:rFonts w:ascii="Book Antiqua" w:hAnsi="Book Antiqua"/>
                <w:i/>
              </w:rPr>
              <w:t xml:space="preserve">Conceder cuatro permisos con goce de salario y sustitución de puestos de Perita o </w:t>
            </w:r>
            <w:r w:rsidR="003D7258" w:rsidRPr="00AA42EC">
              <w:rPr>
                <w:rFonts w:ascii="Book Antiqua" w:hAnsi="Book Antiqua"/>
                <w:i/>
              </w:rPr>
              <w:t>Perito para</w:t>
            </w:r>
            <w:r w:rsidRPr="00AA42EC">
              <w:rPr>
                <w:rFonts w:ascii="Book Antiqua" w:hAnsi="Book Antiqua"/>
                <w:i/>
              </w:rPr>
              <w:t xml:space="preserve"> el Departamento de Laboratorio de Ciencias Forenses, por lo que resta del 2017, para que sean ubicados en las siguientes secciones:</w:t>
            </w:r>
          </w:p>
          <w:p w:rsidR="00AA42EC" w:rsidRPr="00AA42EC" w:rsidRDefault="00AA42EC" w:rsidP="00AA42EC">
            <w:pPr>
              <w:ind w:left="772" w:right="1002"/>
              <w:jc w:val="both"/>
              <w:rPr>
                <w:rFonts w:ascii="Book Antiqua" w:hAnsi="Book Antiqua"/>
                <w:i/>
              </w:rPr>
            </w:pPr>
          </w:p>
          <w:p w:rsidR="00AA42EC" w:rsidRPr="00AA42EC" w:rsidRDefault="00AA42EC" w:rsidP="005830DD">
            <w:pPr>
              <w:pStyle w:val="Prrafodelista"/>
              <w:numPr>
                <w:ilvl w:val="0"/>
                <w:numId w:val="35"/>
              </w:numPr>
              <w:spacing w:before="0" w:beforeAutospacing="0" w:after="0" w:afterAutospacing="0"/>
              <w:ind w:left="1198" w:right="1002"/>
              <w:contextualSpacing/>
              <w:jc w:val="both"/>
              <w:rPr>
                <w:rFonts w:ascii="Book Antiqua" w:hAnsi="Book Antiqua"/>
                <w:i/>
              </w:rPr>
            </w:pPr>
            <w:r w:rsidRPr="00AA42EC">
              <w:rPr>
                <w:rFonts w:ascii="Book Antiqua" w:hAnsi="Book Antiqua"/>
                <w:i/>
              </w:rPr>
              <w:t>Sección de Toxicología (Perita o Perito 2B),</w:t>
            </w:r>
          </w:p>
          <w:p w:rsidR="00AA42EC" w:rsidRPr="00AA42EC" w:rsidRDefault="00AA42EC" w:rsidP="005830DD">
            <w:pPr>
              <w:pStyle w:val="Prrafodelista"/>
              <w:numPr>
                <w:ilvl w:val="0"/>
                <w:numId w:val="35"/>
              </w:numPr>
              <w:spacing w:before="0" w:beforeAutospacing="0" w:after="0" w:afterAutospacing="0"/>
              <w:ind w:left="1198" w:right="1002"/>
              <w:contextualSpacing/>
              <w:jc w:val="both"/>
              <w:rPr>
                <w:rFonts w:ascii="Book Antiqua" w:hAnsi="Book Antiqua"/>
                <w:i/>
              </w:rPr>
            </w:pPr>
            <w:r w:rsidRPr="00AA42EC">
              <w:rPr>
                <w:rFonts w:ascii="Book Antiqua" w:hAnsi="Book Antiqua"/>
                <w:i/>
              </w:rPr>
              <w:t>Sección de Bioquímica (Perita o Perito 2B),</w:t>
            </w:r>
          </w:p>
          <w:p w:rsidR="00AA42EC" w:rsidRPr="00AA42EC" w:rsidRDefault="00AA42EC" w:rsidP="005830DD">
            <w:pPr>
              <w:pStyle w:val="Prrafodelista"/>
              <w:numPr>
                <w:ilvl w:val="0"/>
                <w:numId w:val="35"/>
              </w:numPr>
              <w:spacing w:before="0" w:beforeAutospacing="0" w:after="0" w:afterAutospacing="0"/>
              <w:ind w:left="1198" w:right="1002"/>
              <w:contextualSpacing/>
              <w:jc w:val="both"/>
              <w:rPr>
                <w:rFonts w:ascii="Book Antiqua" w:hAnsi="Book Antiqua"/>
                <w:i/>
              </w:rPr>
            </w:pPr>
            <w:r w:rsidRPr="00AA42EC">
              <w:rPr>
                <w:rFonts w:ascii="Book Antiqua" w:hAnsi="Book Antiqua"/>
                <w:i/>
              </w:rPr>
              <w:t>Sección de Química Analítica (Perita o Perito 2),</w:t>
            </w:r>
          </w:p>
          <w:p w:rsidR="00AA42EC" w:rsidRPr="00AA42EC" w:rsidRDefault="00AA42EC" w:rsidP="005830DD">
            <w:pPr>
              <w:pStyle w:val="Prrafodelista"/>
              <w:numPr>
                <w:ilvl w:val="0"/>
                <w:numId w:val="35"/>
              </w:numPr>
              <w:spacing w:before="0" w:beforeAutospacing="0" w:after="0" w:afterAutospacing="0"/>
              <w:ind w:left="1198" w:right="1002"/>
              <w:contextualSpacing/>
              <w:jc w:val="both"/>
              <w:rPr>
                <w:rFonts w:ascii="Book Antiqua" w:hAnsi="Book Antiqua"/>
                <w:i/>
              </w:rPr>
            </w:pPr>
            <w:r w:rsidRPr="00AA42EC">
              <w:rPr>
                <w:rFonts w:ascii="Book Antiqua" w:hAnsi="Book Antiqua"/>
                <w:i/>
              </w:rPr>
              <w:t>Sección de Pericias Físicas (Perita o Perito 1).</w:t>
            </w:r>
          </w:p>
          <w:p w:rsidR="00AA42EC" w:rsidRPr="00AA42EC" w:rsidRDefault="00AA42EC" w:rsidP="00AA42EC">
            <w:pPr>
              <w:pStyle w:val="Prrafodelista"/>
              <w:ind w:left="772" w:right="1002"/>
              <w:jc w:val="both"/>
              <w:rPr>
                <w:rFonts w:ascii="Book Antiqua" w:hAnsi="Book Antiqua"/>
                <w:i/>
              </w:rPr>
            </w:pPr>
            <w:r w:rsidRPr="00AA42EC">
              <w:rPr>
                <w:rFonts w:ascii="Book Antiqua" w:hAnsi="Book Antiqua"/>
                <w:i/>
              </w:rPr>
              <w:t>Los cuatro permisos se dedicarán a suplir a la persona que actualmente funge en calidad de Encargada o Encargado de Calidad de cada Sección. Estarán bajo la dirección funcional de la Jefatura del Departamento de Laboratorio de Ciencias Forenses y del Asegurador de la Calidad. En el Anexo N°2 de este informe se incluye la certificación de contenido presupuestario para ejecutar la presente recomendación.</w:t>
            </w:r>
          </w:p>
          <w:p w:rsidR="00AA42EC" w:rsidRPr="00AA42EC" w:rsidRDefault="00AA42EC" w:rsidP="00AA42EC">
            <w:pPr>
              <w:ind w:left="772" w:right="1002"/>
              <w:jc w:val="both"/>
              <w:rPr>
                <w:rFonts w:ascii="Book Antiqua" w:hAnsi="Book Antiqua"/>
                <w:i/>
              </w:rPr>
            </w:pPr>
          </w:p>
          <w:p w:rsidR="00AA42EC" w:rsidRPr="00AA42EC" w:rsidRDefault="00AA42EC" w:rsidP="00AA42EC">
            <w:pPr>
              <w:ind w:left="772" w:right="1002"/>
              <w:jc w:val="both"/>
              <w:rPr>
                <w:rFonts w:ascii="Book Antiqua" w:hAnsi="Book Antiqua"/>
                <w:i/>
              </w:rPr>
            </w:pPr>
            <w:r w:rsidRPr="00AA42EC">
              <w:rPr>
                <w:rFonts w:ascii="Book Antiqua" w:hAnsi="Book Antiqua"/>
                <w:i/>
              </w:rPr>
              <w:t xml:space="preserve">Esta medida permitirá continuar avanzando en el proceso de mejoramiento continuo al que se está sometiendo el Departamento. De igual forma, también permitirá mitigar el desmejoramiento a que se han visto sometidas algunas variables relacionadas con el servicio que brindan, debido al crecimiento natural de los asuntos entrados, y por asumir nuevas funciones relacionadas con el Sistema de Gestión de </w:t>
            </w:r>
            <w:r w:rsidRPr="00AA42EC">
              <w:rPr>
                <w:rFonts w:ascii="Book Antiqua" w:hAnsi="Book Antiqua"/>
                <w:i/>
              </w:rPr>
              <w:lastRenderedPageBreak/>
              <w:t>Calidad. Las variables que se pretende mejorar son principalmente las del aumento del circulante de pendientes y los tiempos de espera para contestar las solicitudes.</w:t>
            </w:r>
            <w:r w:rsidR="00CD5CC6">
              <w:rPr>
                <w:rFonts w:ascii="Book Antiqua" w:hAnsi="Book Antiqua"/>
                <w:i/>
              </w:rPr>
              <w:t>”</w:t>
            </w:r>
          </w:p>
          <w:p w:rsidR="00AA42EC" w:rsidRDefault="00AA42EC" w:rsidP="007664C4">
            <w:pPr>
              <w:jc w:val="both"/>
              <w:rPr>
                <w:i/>
                <w:sz w:val="28"/>
                <w:szCs w:val="28"/>
              </w:rPr>
            </w:pPr>
          </w:p>
          <w:p w:rsidR="00307BC4" w:rsidRPr="00660151" w:rsidRDefault="00DD6E2C" w:rsidP="00660151">
            <w:pPr>
              <w:jc w:val="both"/>
              <w:rPr>
                <w:i/>
                <w:sz w:val="28"/>
                <w:szCs w:val="28"/>
              </w:rPr>
            </w:pPr>
            <w:r w:rsidRPr="00DD6E2C">
              <w:rPr>
                <w:b/>
                <w:bCs/>
                <w:i/>
                <w:sz w:val="28"/>
                <w:szCs w:val="28"/>
              </w:rPr>
              <w:t>3.2.</w:t>
            </w:r>
            <w:r>
              <w:rPr>
                <w:bCs/>
                <w:sz w:val="28"/>
                <w:szCs w:val="28"/>
              </w:rPr>
              <w:t xml:space="preserve">  </w:t>
            </w:r>
            <w:r w:rsidR="00307BC4" w:rsidRPr="00660151">
              <w:rPr>
                <w:i/>
                <w:sz w:val="28"/>
                <w:szCs w:val="28"/>
              </w:rPr>
              <w:t xml:space="preserve">En la misma sesión del Consejo Superior 67-17, artículo III, se </w:t>
            </w:r>
            <w:r w:rsidR="00660151" w:rsidRPr="00660151">
              <w:rPr>
                <w:i/>
                <w:sz w:val="28"/>
                <w:szCs w:val="28"/>
              </w:rPr>
              <w:t>esboz</w:t>
            </w:r>
            <w:r w:rsidR="00CD5CC6">
              <w:rPr>
                <w:i/>
                <w:sz w:val="28"/>
                <w:szCs w:val="28"/>
              </w:rPr>
              <w:t>ó</w:t>
            </w:r>
            <w:r w:rsidR="00660151" w:rsidRPr="00660151">
              <w:rPr>
                <w:i/>
                <w:sz w:val="28"/>
                <w:szCs w:val="28"/>
              </w:rPr>
              <w:t xml:space="preserve"> la situación que enfrenta</w:t>
            </w:r>
            <w:r w:rsidR="00CD5CC6">
              <w:rPr>
                <w:i/>
                <w:sz w:val="28"/>
                <w:szCs w:val="28"/>
              </w:rPr>
              <w:t>ba</w:t>
            </w:r>
            <w:r w:rsidR="00660151" w:rsidRPr="00660151">
              <w:rPr>
                <w:i/>
                <w:sz w:val="28"/>
                <w:szCs w:val="28"/>
              </w:rPr>
              <w:t xml:space="preserve"> el Departamento</w:t>
            </w:r>
            <w:r w:rsidR="00CD5CC6">
              <w:rPr>
                <w:i/>
                <w:sz w:val="28"/>
                <w:szCs w:val="28"/>
              </w:rPr>
              <w:t xml:space="preserve"> Laboratorio</w:t>
            </w:r>
            <w:r w:rsidR="00660151" w:rsidRPr="00660151">
              <w:rPr>
                <w:i/>
                <w:sz w:val="28"/>
                <w:szCs w:val="28"/>
              </w:rPr>
              <w:t xml:space="preserve"> de Ciencias Forenses en cuanto a la atención de casos pendientes (circulante acumulado en las diferentes </w:t>
            </w:r>
            <w:r w:rsidR="00CD5CC6">
              <w:rPr>
                <w:i/>
                <w:sz w:val="28"/>
                <w:szCs w:val="28"/>
              </w:rPr>
              <w:t>s</w:t>
            </w:r>
            <w:r w:rsidR="00660151" w:rsidRPr="00660151">
              <w:rPr>
                <w:i/>
                <w:sz w:val="28"/>
                <w:szCs w:val="28"/>
              </w:rPr>
              <w:t xml:space="preserve">ecciones del Departamento), dado el </w:t>
            </w:r>
            <w:r w:rsidR="00307BC4" w:rsidRPr="00660151">
              <w:rPr>
                <w:i/>
                <w:sz w:val="28"/>
                <w:szCs w:val="28"/>
              </w:rPr>
              <w:t xml:space="preserve">incremento en la cantidad y complejidad de los peritajes requeridos, así como </w:t>
            </w:r>
            <w:r w:rsidR="00CD5CC6">
              <w:rPr>
                <w:i/>
                <w:sz w:val="28"/>
                <w:szCs w:val="28"/>
              </w:rPr>
              <w:t>por</w:t>
            </w:r>
            <w:r w:rsidR="00307BC4" w:rsidRPr="00660151">
              <w:rPr>
                <w:i/>
                <w:sz w:val="28"/>
                <w:szCs w:val="28"/>
              </w:rPr>
              <w:t xml:space="preserve"> la necesidad de asumir nuevas tareas (flagrancias, protocolo de atención de delitos sexuales, ley de bienestar animal, crimen organizado,</w:t>
            </w:r>
            <w:r w:rsidR="00660151" w:rsidRPr="00660151">
              <w:rPr>
                <w:i/>
                <w:sz w:val="28"/>
                <w:szCs w:val="28"/>
              </w:rPr>
              <w:t xml:space="preserve"> entre otras</w:t>
            </w:r>
            <w:r w:rsidR="00307BC4" w:rsidRPr="00660151">
              <w:rPr>
                <w:i/>
                <w:sz w:val="28"/>
                <w:szCs w:val="28"/>
              </w:rPr>
              <w:t>).</w:t>
            </w:r>
          </w:p>
          <w:p w:rsidR="00307BC4" w:rsidRDefault="00307BC4" w:rsidP="00660151">
            <w:pPr>
              <w:jc w:val="both"/>
              <w:rPr>
                <w:i/>
                <w:sz w:val="28"/>
                <w:szCs w:val="28"/>
              </w:rPr>
            </w:pPr>
          </w:p>
          <w:p w:rsidR="0019292D" w:rsidRDefault="00660151" w:rsidP="00660151">
            <w:pPr>
              <w:jc w:val="both"/>
              <w:rPr>
                <w:i/>
                <w:sz w:val="28"/>
                <w:szCs w:val="28"/>
              </w:rPr>
            </w:pPr>
            <w:r>
              <w:rPr>
                <w:i/>
                <w:sz w:val="28"/>
                <w:szCs w:val="28"/>
              </w:rPr>
              <w:t>Se solicita</w:t>
            </w:r>
            <w:r w:rsidR="00CD5CC6">
              <w:rPr>
                <w:i/>
                <w:sz w:val="28"/>
                <w:szCs w:val="28"/>
              </w:rPr>
              <w:t>ro</w:t>
            </w:r>
            <w:r>
              <w:rPr>
                <w:i/>
                <w:sz w:val="28"/>
                <w:szCs w:val="28"/>
              </w:rPr>
              <w:t xml:space="preserve">n 14 recursos, para dar atención a los circulantes de casos pendientes de las mismas secciones, efecto que se </w:t>
            </w:r>
            <w:r w:rsidR="0019292D">
              <w:rPr>
                <w:i/>
                <w:sz w:val="28"/>
                <w:szCs w:val="28"/>
              </w:rPr>
              <w:t>deriva o tiene su génesis, dado el cambio en la forma o manera de realizar</w:t>
            </w:r>
            <w:r w:rsidR="00E80C94">
              <w:rPr>
                <w:i/>
                <w:sz w:val="28"/>
                <w:szCs w:val="28"/>
              </w:rPr>
              <w:t xml:space="preserve"> </w:t>
            </w:r>
            <w:r w:rsidR="0019292D">
              <w:rPr>
                <w:i/>
                <w:sz w:val="28"/>
                <w:szCs w:val="28"/>
              </w:rPr>
              <w:t>los peritajes, según se desprende de la conclusión 4.5 del estudio de cita, elaborado por est</w:t>
            </w:r>
            <w:r w:rsidR="00E80C94">
              <w:rPr>
                <w:i/>
                <w:sz w:val="28"/>
                <w:szCs w:val="28"/>
              </w:rPr>
              <w:t>a</w:t>
            </w:r>
            <w:r w:rsidR="0019292D">
              <w:rPr>
                <w:i/>
                <w:sz w:val="28"/>
                <w:szCs w:val="28"/>
              </w:rPr>
              <w:t xml:space="preserve"> Dirección, la cual indica:</w:t>
            </w:r>
          </w:p>
          <w:p w:rsidR="0019292D" w:rsidRDefault="0019292D" w:rsidP="00660151">
            <w:pPr>
              <w:jc w:val="both"/>
              <w:rPr>
                <w:i/>
                <w:sz w:val="28"/>
                <w:szCs w:val="28"/>
              </w:rPr>
            </w:pPr>
          </w:p>
          <w:p w:rsidR="00D70B5F" w:rsidRPr="00D70B5F" w:rsidRDefault="00E80C94" w:rsidP="00D70B5F">
            <w:pPr>
              <w:ind w:left="914" w:right="1002"/>
              <w:jc w:val="both"/>
              <w:rPr>
                <w:rFonts w:ascii="Book Antiqua" w:hAnsi="Book Antiqua"/>
                <w:i/>
                <w:lang w:val="es-ES_tradnl"/>
              </w:rPr>
            </w:pPr>
            <w:r>
              <w:rPr>
                <w:rFonts w:ascii="Book Antiqua" w:hAnsi="Book Antiqua"/>
                <w:b/>
                <w:i/>
                <w:lang w:val="es-ES_tradnl"/>
              </w:rPr>
              <w:t>“</w:t>
            </w:r>
            <w:r w:rsidR="00D70B5F" w:rsidRPr="00D70B5F">
              <w:rPr>
                <w:rFonts w:ascii="Book Antiqua" w:hAnsi="Book Antiqua"/>
                <w:b/>
                <w:i/>
                <w:lang w:val="es-ES_tradnl"/>
              </w:rPr>
              <w:t>4.5.-</w:t>
            </w:r>
            <w:r w:rsidR="00D70B5F" w:rsidRPr="00D70B5F">
              <w:rPr>
                <w:rFonts w:ascii="Book Antiqua" w:hAnsi="Book Antiqua"/>
                <w:i/>
                <w:lang w:val="es-ES_tradnl"/>
              </w:rPr>
              <w:t xml:space="preserve"> La implementación del Sistema de Gestión de Calidad y los requerimientos del ente acreditador, han generado nuevas funciones a las peritas y peritos, tales como revisión por pares, figuras de verificación in situ, monitoreo de testimonio en corte, procesos de establecimiento de requisitos de competencia técnica del personal, simplificación y adecuación de todos los procedimientos de operación normados, restablecimiento de la Comisión de Calidad, validación de metodologías interpretativas y cualitativas, diseño y aplicación de encuestas de satisfacción de servicios, procesos de socialización de la documentación, incorporación en el sistema documental de requisitos de calidad, entre otros. Estas nuevas funciones se han tenido que asumir con la misma cantidad de recurso humano (5 Peritas o Peritos 2 y 21 Peritas o Peritos 1). Esta situación ha incidido en la producción de dictámenes </w:t>
            </w:r>
            <w:r w:rsidR="002D7E5E" w:rsidRPr="00D70B5F">
              <w:rPr>
                <w:rFonts w:ascii="Book Antiqua" w:hAnsi="Book Antiqua"/>
                <w:i/>
                <w:lang w:val="es-ES_tradnl"/>
              </w:rPr>
              <w:t>criminalísticas</w:t>
            </w:r>
            <w:r w:rsidR="00D70B5F" w:rsidRPr="00D70B5F">
              <w:rPr>
                <w:rFonts w:ascii="Book Antiqua" w:hAnsi="Book Antiqua"/>
                <w:i/>
                <w:lang w:val="es-ES_tradnl"/>
              </w:rPr>
              <w:t>.</w:t>
            </w:r>
            <w:r>
              <w:rPr>
                <w:rFonts w:ascii="Book Antiqua" w:hAnsi="Book Antiqua"/>
                <w:i/>
                <w:lang w:val="es-ES_tradnl"/>
              </w:rPr>
              <w:t>”</w:t>
            </w:r>
          </w:p>
          <w:p w:rsidR="00B62B32" w:rsidRDefault="00B62B32" w:rsidP="00660151">
            <w:pPr>
              <w:jc w:val="both"/>
              <w:rPr>
                <w:i/>
                <w:sz w:val="28"/>
                <w:szCs w:val="28"/>
                <w:lang w:val="es-ES_tradnl"/>
              </w:rPr>
            </w:pPr>
          </w:p>
          <w:p w:rsidR="00B62B32" w:rsidRPr="002D7E5E" w:rsidRDefault="00B62B32" w:rsidP="00660151">
            <w:pPr>
              <w:jc w:val="both"/>
              <w:rPr>
                <w:i/>
                <w:sz w:val="28"/>
                <w:szCs w:val="28"/>
                <w:lang w:val="es-ES_tradnl"/>
              </w:rPr>
            </w:pPr>
            <w:r w:rsidRPr="002D7E5E">
              <w:rPr>
                <w:i/>
                <w:sz w:val="28"/>
                <w:szCs w:val="28"/>
                <w:lang w:val="es-ES_tradnl"/>
              </w:rPr>
              <w:t xml:space="preserve">Esta Dirección es </w:t>
            </w:r>
            <w:r w:rsidR="002D7E5E" w:rsidRPr="002D7E5E">
              <w:rPr>
                <w:i/>
                <w:sz w:val="28"/>
                <w:szCs w:val="28"/>
                <w:lang w:val="es-ES_tradnl"/>
              </w:rPr>
              <w:t>consciente</w:t>
            </w:r>
            <w:r w:rsidRPr="002D7E5E">
              <w:rPr>
                <w:i/>
                <w:sz w:val="28"/>
                <w:szCs w:val="28"/>
                <w:lang w:val="es-ES_tradnl"/>
              </w:rPr>
              <w:t xml:space="preserve">, de que cuando se modifican o se cambian las metodologías de trabajo, o bien se incorpora un rediseño en un departamento, </w:t>
            </w:r>
            <w:r w:rsidR="00C53182" w:rsidRPr="002D7E5E">
              <w:rPr>
                <w:i/>
                <w:sz w:val="28"/>
                <w:szCs w:val="28"/>
                <w:lang w:val="es-ES_tradnl"/>
              </w:rPr>
              <w:t xml:space="preserve">es inevitable sufrir un proceso de ajuste el cual repercute directamente sobre los resultados que antes </w:t>
            </w:r>
            <w:r w:rsidR="00C53182" w:rsidRPr="002D7E5E">
              <w:rPr>
                <w:i/>
                <w:sz w:val="28"/>
                <w:szCs w:val="28"/>
                <w:lang w:val="es-ES_tradnl"/>
              </w:rPr>
              <w:lastRenderedPageBreak/>
              <w:t>se obtenían versus lo que resultan de la</w:t>
            </w:r>
            <w:r w:rsidR="00730345" w:rsidRPr="002D7E5E">
              <w:rPr>
                <w:i/>
                <w:sz w:val="28"/>
                <w:szCs w:val="28"/>
                <w:lang w:val="es-ES_tradnl"/>
              </w:rPr>
              <w:t xml:space="preserve"> aplicación de las </w:t>
            </w:r>
            <w:r w:rsidR="00C53182" w:rsidRPr="002D7E5E">
              <w:rPr>
                <w:i/>
                <w:sz w:val="28"/>
                <w:szCs w:val="28"/>
                <w:lang w:val="es-ES_tradnl"/>
              </w:rPr>
              <w:t>nuevas metodologías</w:t>
            </w:r>
            <w:r w:rsidR="00730345" w:rsidRPr="002D7E5E">
              <w:rPr>
                <w:i/>
                <w:sz w:val="28"/>
                <w:szCs w:val="28"/>
                <w:lang w:val="es-ES_tradnl"/>
              </w:rPr>
              <w:t xml:space="preserve"> de trabajo, </w:t>
            </w:r>
            <w:r w:rsidR="006F4454" w:rsidRPr="002D7E5E">
              <w:rPr>
                <w:i/>
                <w:sz w:val="28"/>
                <w:szCs w:val="28"/>
                <w:lang w:val="es-ES_tradnl"/>
              </w:rPr>
              <w:t>máxime</w:t>
            </w:r>
            <w:r w:rsidR="00730345" w:rsidRPr="002D7E5E">
              <w:rPr>
                <w:i/>
                <w:sz w:val="28"/>
                <w:szCs w:val="28"/>
                <w:lang w:val="es-ES_tradnl"/>
              </w:rPr>
              <w:t xml:space="preserve"> cuando </w:t>
            </w:r>
            <w:r w:rsidR="006F4454" w:rsidRPr="002D7E5E">
              <w:rPr>
                <w:i/>
                <w:sz w:val="28"/>
                <w:szCs w:val="28"/>
                <w:lang w:val="es-ES_tradnl"/>
              </w:rPr>
              <w:t>son</w:t>
            </w:r>
            <w:r w:rsidR="00730345" w:rsidRPr="002D7E5E">
              <w:rPr>
                <w:i/>
                <w:sz w:val="28"/>
                <w:szCs w:val="28"/>
                <w:lang w:val="es-ES_tradnl"/>
              </w:rPr>
              <w:t xml:space="preserve"> procesos </w:t>
            </w:r>
            <w:r w:rsidR="00E80C94" w:rsidRPr="002D7E5E">
              <w:rPr>
                <w:i/>
                <w:sz w:val="28"/>
                <w:szCs w:val="28"/>
                <w:lang w:val="es-ES_tradnl"/>
              </w:rPr>
              <w:t xml:space="preserve">amparados </w:t>
            </w:r>
            <w:r w:rsidR="00730345" w:rsidRPr="002D7E5E">
              <w:rPr>
                <w:i/>
                <w:sz w:val="28"/>
                <w:szCs w:val="28"/>
                <w:lang w:val="es-ES_tradnl"/>
              </w:rPr>
              <w:t xml:space="preserve">bajo normas internacionales de certificación de </w:t>
            </w:r>
            <w:r w:rsidR="006F4454" w:rsidRPr="002D7E5E">
              <w:rPr>
                <w:i/>
                <w:sz w:val="28"/>
                <w:szCs w:val="28"/>
                <w:lang w:val="es-ES_tradnl"/>
              </w:rPr>
              <w:t>calidad.</w:t>
            </w:r>
            <w:r w:rsidR="00C53182" w:rsidRPr="002D7E5E">
              <w:rPr>
                <w:i/>
                <w:sz w:val="28"/>
                <w:szCs w:val="28"/>
                <w:lang w:val="es-ES_tradnl"/>
              </w:rPr>
              <w:t xml:space="preserve"> </w:t>
            </w:r>
          </w:p>
          <w:p w:rsidR="00B62B32" w:rsidRDefault="00B62B32" w:rsidP="00660151">
            <w:pPr>
              <w:jc w:val="both"/>
              <w:rPr>
                <w:i/>
                <w:sz w:val="28"/>
                <w:szCs w:val="28"/>
                <w:lang w:val="es-ES_tradnl"/>
              </w:rPr>
            </w:pPr>
          </w:p>
          <w:p w:rsidR="008746BE" w:rsidRPr="00130F0E" w:rsidRDefault="008746BE" w:rsidP="00B62B32">
            <w:pPr>
              <w:ind w:right="10"/>
              <w:jc w:val="both"/>
            </w:pPr>
            <w:r w:rsidRPr="00F07ED6">
              <w:rPr>
                <w:b/>
                <w:bCs/>
                <w:i/>
                <w:sz w:val="28"/>
                <w:szCs w:val="28"/>
              </w:rPr>
              <w:t>3.3.</w:t>
            </w:r>
            <w:r>
              <w:rPr>
                <w:i/>
                <w:sz w:val="28"/>
                <w:szCs w:val="28"/>
              </w:rPr>
              <w:t xml:space="preserve"> </w:t>
            </w:r>
            <w:r w:rsidRPr="00F07ED6">
              <w:rPr>
                <w:i/>
                <w:sz w:val="28"/>
                <w:szCs w:val="28"/>
              </w:rPr>
              <w:t xml:space="preserve">Por otra parte, con base en el acuerdo de Consejo Superior de </w:t>
            </w:r>
            <w:r w:rsidR="00E80C94">
              <w:rPr>
                <w:i/>
                <w:sz w:val="28"/>
                <w:szCs w:val="28"/>
              </w:rPr>
              <w:t xml:space="preserve">la </w:t>
            </w:r>
            <w:r w:rsidRPr="00F07ED6">
              <w:rPr>
                <w:i/>
                <w:sz w:val="28"/>
                <w:szCs w:val="28"/>
              </w:rPr>
              <w:t xml:space="preserve">sesión 63-17 celebrada el 4 de julio del </w:t>
            </w:r>
            <w:r w:rsidR="00E80C94">
              <w:rPr>
                <w:i/>
                <w:sz w:val="28"/>
                <w:szCs w:val="28"/>
              </w:rPr>
              <w:t>2017</w:t>
            </w:r>
            <w:r w:rsidRPr="00F07ED6">
              <w:rPr>
                <w:i/>
                <w:sz w:val="28"/>
                <w:szCs w:val="28"/>
              </w:rPr>
              <w:t xml:space="preserve">, </w:t>
            </w:r>
            <w:r w:rsidR="00E80C94">
              <w:rPr>
                <w:i/>
                <w:sz w:val="28"/>
                <w:szCs w:val="28"/>
              </w:rPr>
              <w:t>a</w:t>
            </w:r>
            <w:r w:rsidR="00BA576D">
              <w:rPr>
                <w:i/>
                <w:sz w:val="28"/>
                <w:szCs w:val="28"/>
              </w:rPr>
              <w:t>rtículo</w:t>
            </w:r>
            <w:r w:rsidRPr="00F07ED6">
              <w:rPr>
                <w:i/>
                <w:sz w:val="28"/>
                <w:szCs w:val="28"/>
              </w:rPr>
              <w:t xml:space="preserve"> LXX</w:t>
            </w:r>
            <w:r w:rsidR="00E80C94">
              <w:rPr>
                <w:i/>
                <w:sz w:val="28"/>
                <w:szCs w:val="28"/>
              </w:rPr>
              <w:t>,</w:t>
            </w:r>
            <w:r w:rsidRPr="00F07ED6">
              <w:rPr>
                <w:i/>
                <w:sz w:val="28"/>
                <w:szCs w:val="28"/>
              </w:rPr>
              <w:t xml:space="preserve"> e</w:t>
            </w:r>
            <w:r w:rsidR="005B1C42">
              <w:rPr>
                <w:i/>
                <w:sz w:val="28"/>
                <w:szCs w:val="28"/>
              </w:rPr>
              <w:t>l</w:t>
            </w:r>
            <w:r w:rsidRPr="00F07ED6">
              <w:rPr>
                <w:i/>
                <w:sz w:val="28"/>
                <w:szCs w:val="28"/>
              </w:rPr>
              <w:t xml:space="preserve"> Consejo</w:t>
            </w:r>
            <w:r w:rsidR="00E80C94">
              <w:rPr>
                <w:i/>
                <w:sz w:val="28"/>
                <w:szCs w:val="28"/>
              </w:rPr>
              <w:t xml:space="preserve"> Superior</w:t>
            </w:r>
            <w:r w:rsidRPr="00F07ED6">
              <w:rPr>
                <w:i/>
                <w:sz w:val="28"/>
                <w:szCs w:val="28"/>
              </w:rPr>
              <w:t xml:space="preserve"> acog</w:t>
            </w:r>
            <w:r w:rsidR="00E80C94">
              <w:rPr>
                <w:i/>
                <w:sz w:val="28"/>
                <w:szCs w:val="28"/>
              </w:rPr>
              <w:t>ió</w:t>
            </w:r>
            <w:r w:rsidRPr="00F07ED6">
              <w:rPr>
                <w:i/>
                <w:sz w:val="28"/>
                <w:szCs w:val="28"/>
              </w:rPr>
              <w:t xml:space="preserve"> la solicitud de otorgar dos permisos con goce de salario y sustitución para la Sección de Imagen y Sonido Forense en la ejecución del proyecto de Producción Audiovisual Institucional,  según el siguiente detalle:  1 plaza de técnico especializado 5 –técnico de fotografía forense- y 1 plaza de técnico especializado 6 –técnico de video forense.</w:t>
            </w:r>
            <w:r w:rsidRPr="00130F0E">
              <w:t xml:space="preserve">  </w:t>
            </w:r>
          </w:p>
          <w:p w:rsidR="00660151" w:rsidRDefault="00660151" w:rsidP="00660151">
            <w:pPr>
              <w:jc w:val="both"/>
              <w:rPr>
                <w:i/>
                <w:sz w:val="28"/>
                <w:szCs w:val="28"/>
              </w:rPr>
            </w:pPr>
          </w:p>
          <w:p w:rsidR="00DE27A7" w:rsidRDefault="00DE27A7" w:rsidP="00DE27A7">
            <w:pPr>
              <w:jc w:val="both"/>
              <w:rPr>
                <w:b/>
                <w:bCs/>
                <w:i/>
                <w:iCs/>
                <w:sz w:val="28"/>
                <w:szCs w:val="28"/>
                <w:lang w:val="es-CR" w:eastAsia="es-CR"/>
              </w:rPr>
            </w:pPr>
            <w:r>
              <w:rPr>
                <w:b/>
                <w:bCs/>
                <w:i/>
                <w:iCs/>
                <w:sz w:val="28"/>
                <w:szCs w:val="28"/>
                <w:lang w:eastAsia="es-CR"/>
              </w:rPr>
              <w:t>3.4. Criterio de la Dirección de Planificación</w:t>
            </w:r>
          </w:p>
          <w:p w:rsidR="00F07ED6" w:rsidRPr="005830DD" w:rsidRDefault="00F07ED6" w:rsidP="00660151">
            <w:pPr>
              <w:jc w:val="both"/>
              <w:rPr>
                <w:i/>
                <w:sz w:val="28"/>
                <w:szCs w:val="28"/>
                <w:lang w:val="es-CR"/>
              </w:rPr>
            </w:pPr>
          </w:p>
          <w:p w:rsidR="0082610A" w:rsidRDefault="006D4205" w:rsidP="00660151">
            <w:pPr>
              <w:jc w:val="both"/>
              <w:rPr>
                <w:i/>
                <w:sz w:val="28"/>
                <w:szCs w:val="28"/>
              </w:rPr>
            </w:pPr>
            <w:r>
              <w:rPr>
                <w:i/>
                <w:sz w:val="28"/>
                <w:szCs w:val="28"/>
              </w:rPr>
              <w:t>E</w:t>
            </w:r>
            <w:r w:rsidR="00DE27A7">
              <w:rPr>
                <w:i/>
                <w:sz w:val="28"/>
                <w:szCs w:val="28"/>
              </w:rPr>
              <w:t xml:space="preserve">n atención a los requerimientos formulados por la Dirección General del OIJ, se estima pertinente </w:t>
            </w:r>
            <w:r>
              <w:rPr>
                <w:i/>
                <w:sz w:val="28"/>
                <w:szCs w:val="28"/>
              </w:rPr>
              <w:t>reafirmar lo indicado en la Circular 13-18, la cual indica</w:t>
            </w:r>
            <w:r w:rsidR="00DE27A7">
              <w:rPr>
                <w:i/>
                <w:sz w:val="28"/>
                <w:szCs w:val="28"/>
              </w:rPr>
              <w:t xml:space="preserve"> lo siguiente</w:t>
            </w:r>
            <w:r>
              <w:rPr>
                <w:i/>
                <w:sz w:val="28"/>
                <w:szCs w:val="28"/>
              </w:rPr>
              <w:t>:</w:t>
            </w:r>
          </w:p>
          <w:p w:rsidR="006D4205" w:rsidRDefault="006D4205" w:rsidP="00660151">
            <w:pPr>
              <w:jc w:val="both"/>
              <w:rPr>
                <w:i/>
                <w:sz w:val="28"/>
                <w:szCs w:val="28"/>
              </w:rPr>
            </w:pPr>
          </w:p>
          <w:p w:rsidR="006D4205" w:rsidRPr="006D4205" w:rsidRDefault="00DE27A7" w:rsidP="005830DD">
            <w:pPr>
              <w:pStyle w:val="xmsonormal"/>
              <w:autoSpaceDE w:val="0"/>
              <w:autoSpaceDN w:val="0"/>
              <w:ind w:left="629" w:right="578" w:firstLine="567"/>
              <w:jc w:val="both"/>
              <w:rPr>
                <w:i/>
                <w:color w:val="000000"/>
                <w:sz w:val="24"/>
                <w:szCs w:val="24"/>
              </w:rPr>
            </w:pPr>
            <w:r>
              <w:rPr>
                <w:i/>
                <w:color w:val="000000"/>
                <w:sz w:val="24"/>
                <w:szCs w:val="24"/>
                <w:lang w:val="es-ES_tradnl"/>
              </w:rPr>
              <w:t>“</w:t>
            </w:r>
            <w:r w:rsidR="006D4205" w:rsidRPr="006D4205">
              <w:rPr>
                <w:i/>
                <w:color w:val="000000"/>
                <w:sz w:val="24"/>
                <w:szCs w:val="24"/>
                <w:lang w:val="es-ES_tradnl"/>
              </w:rPr>
              <w:t>El Consejo Superior del Poder Judicial en sesión No. 7-18 celebrada el 25 de enero de 2018, artículo LX, ordenó  a la Dirección de Gestión Humana que no extenderá ninguna certificación de contenido presupuestario, hasta tanto la dependencia judicial que la solicite se ajuste al procedimiento de informes técnicos o bien complete en su totalidad las consideraciones contenidas en el protocolo de “Formulario de solicitud de estudio a la Dirección de Planificación para aprobar por el Consejo Superior”. (De conformidad con lo dispuesto por este órgano mediante circular N° 9-18 del 30 de enero de 2018).</w:t>
            </w:r>
          </w:p>
          <w:p w:rsidR="006D4205" w:rsidRPr="006D4205" w:rsidRDefault="006D4205" w:rsidP="005830DD">
            <w:pPr>
              <w:pStyle w:val="xmsonormal"/>
              <w:autoSpaceDE w:val="0"/>
              <w:autoSpaceDN w:val="0"/>
              <w:ind w:left="629" w:right="578" w:firstLine="567"/>
              <w:jc w:val="both"/>
              <w:rPr>
                <w:i/>
                <w:color w:val="000000"/>
                <w:sz w:val="24"/>
                <w:szCs w:val="24"/>
              </w:rPr>
            </w:pPr>
            <w:r w:rsidRPr="006D4205">
              <w:rPr>
                <w:i/>
                <w:color w:val="000000"/>
                <w:sz w:val="24"/>
                <w:szCs w:val="24"/>
                <w:lang w:val="es-ES_tradnl"/>
              </w:rPr>
              <w:t>Lo anterior, en procura de adoptar una excelencia en la metodología de administración de proyectos, dadas las constantes solicitudes que realizan los despachos judiciales ante el Consejo Superior y con el fin de atender la necesidad de reforzar las labores de tramitación, así como las cargas de trabajo en cada uno de ellos a través de la dotación de recurso humano,  además de que por control interno este órgano está obligado al buen uso de los recursos públicos.</w:t>
            </w:r>
            <w:r w:rsidR="00DE27A7">
              <w:rPr>
                <w:i/>
                <w:color w:val="000000"/>
                <w:sz w:val="24"/>
                <w:szCs w:val="24"/>
                <w:lang w:val="es-ES_tradnl"/>
              </w:rPr>
              <w:t>”</w:t>
            </w:r>
          </w:p>
          <w:p w:rsidR="0082610A" w:rsidRDefault="0082610A" w:rsidP="00660151">
            <w:pPr>
              <w:jc w:val="both"/>
              <w:rPr>
                <w:i/>
                <w:sz w:val="28"/>
                <w:szCs w:val="28"/>
                <w:lang w:val="es-CR"/>
              </w:rPr>
            </w:pPr>
          </w:p>
          <w:p w:rsidR="006D4205" w:rsidRDefault="00DE27A7" w:rsidP="00660151">
            <w:pPr>
              <w:jc w:val="both"/>
              <w:rPr>
                <w:i/>
                <w:sz w:val="28"/>
                <w:szCs w:val="28"/>
              </w:rPr>
            </w:pPr>
            <w:r>
              <w:rPr>
                <w:i/>
                <w:sz w:val="28"/>
                <w:szCs w:val="28"/>
                <w:lang w:val="es-CR"/>
              </w:rPr>
              <w:t>Lo anterior, por cuanto d</w:t>
            </w:r>
            <w:r w:rsidR="006D4205">
              <w:rPr>
                <w:i/>
                <w:sz w:val="28"/>
                <w:szCs w:val="28"/>
                <w:lang w:val="es-CR"/>
              </w:rPr>
              <w:t xml:space="preserve">e los 16 recursos solicitados y </w:t>
            </w:r>
            <w:r>
              <w:rPr>
                <w:i/>
                <w:sz w:val="28"/>
                <w:szCs w:val="28"/>
                <w:lang w:val="es-CR"/>
              </w:rPr>
              <w:t>que</w:t>
            </w:r>
            <w:r w:rsidR="006D4205">
              <w:rPr>
                <w:i/>
                <w:sz w:val="28"/>
                <w:szCs w:val="28"/>
                <w:lang w:val="es-CR"/>
              </w:rPr>
              <w:t xml:space="preserve"> han </w:t>
            </w:r>
            <w:r>
              <w:rPr>
                <w:i/>
                <w:sz w:val="28"/>
                <w:szCs w:val="28"/>
                <w:lang w:val="es-CR"/>
              </w:rPr>
              <w:t xml:space="preserve">venido </w:t>
            </w:r>
            <w:r w:rsidR="006D4205">
              <w:rPr>
                <w:i/>
                <w:sz w:val="28"/>
                <w:szCs w:val="28"/>
                <w:lang w:val="es-CR"/>
              </w:rPr>
              <w:t>otorg</w:t>
            </w:r>
            <w:r>
              <w:rPr>
                <w:i/>
                <w:sz w:val="28"/>
                <w:szCs w:val="28"/>
                <w:lang w:val="es-CR"/>
              </w:rPr>
              <w:t>ándose</w:t>
            </w:r>
            <w:r w:rsidR="006D4205">
              <w:rPr>
                <w:i/>
                <w:sz w:val="28"/>
                <w:szCs w:val="28"/>
                <w:lang w:val="es-CR"/>
              </w:rPr>
              <w:t xml:space="preserve"> por medio de permiso</w:t>
            </w:r>
            <w:r>
              <w:rPr>
                <w:i/>
                <w:sz w:val="28"/>
                <w:szCs w:val="28"/>
                <w:lang w:val="es-CR"/>
              </w:rPr>
              <w:t>s</w:t>
            </w:r>
            <w:r w:rsidR="006D4205">
              <w:rPr>
                <w:i/>
                <w:sz w:val="28"/>
                <w:szCs w:val="28"/>
                <w:lang w:val="es-CR"/>
              </w:rPr>
              <w:t xml:space="preserve"> con goce de salario vía </w:t>
            </w:r>
            <w:r w:rsidR="006D4205">
              <w:rPr>
                <w:i/>
                <w:sz w:val="28"/>
                <w:szCs w:val="28"/>
                <w:lang w:val="es-CR"/>
              </w:rPr>
              <w:lastRenderedPageBreak/>
              <w:t>artículo 44 de la LOPJ vigente, solo cuatro de ellos cuentan con estudio técnico</w:t>
            </w:r>
            <w:r w:rsidR="00954E89">
              <w:rPr>
                <w:i/>
                <w:sz w:val="28"/>
                <w:szCs w:val="28"/>
                <w:lang w:val="es-CR"/>
              </w:rPr>
              <w:t xml:space="preserve"> (924-PLA-2017)</w:t>
            </w:r>
            <w:r>
              <w:rPr>
                <w:i/>
                <w:sz w:val="28"/>
                <w:szCs w:val="28"/>
                <w:lang w:val="es-CR"/>
              </w:rPr>
              <w:t>, no así en e</w:t>
            </w:r>
            <w:r w:rsidR="006D4205">
              <w:rPr>
                <w:i/>
                <w:sz w:val="28"/>
                <w:szCs w:val="28"/>
                <w:lang w:val="es-CR"/>
              </w:rPr>
              <w:t xml:space="preserve">l resto de </w:t>
            </w:r>
            <w:r>
              <w:rPr>
                <w:i/>
                <w:sz w:val="28"/>
                <w:szCs w:val="28"/>
                <w:lang w:val="es-CR"/>
              </w:rPr>
              <w:t xml:space="preserve">plazas </w:t>
            </w:r>
            <w:r w:rsidR="00290603">
              <w:rPr>
                <w:i/>
                <w:sz w:val="28"/>
                <w:szCs w:val="28"/>
                <w:lang w:val="es-CR"/>
              </w:rPr>
              <w:t xml:space="preserve">que </w:t>
            </w:r>
            <w:r w:rsidR="006D4205">
              <w:rPr>
                <w:i/>
                <w:sz w:val="28"/>
                <w:szCs w:val="28"/>
                <w:lang w:val="es-CR"/>
              </w:rPr>
              <w:t>han sido solicitad</w:t>
            </w:r>
            <w:r>
              <w:rPr>
                <w:i/>
                <w:sz w:val="28"/>
                <w:szCs w:val="28"/>
                <w:lang w:val="es-CR"/>
              </w:rPr>
              <w:t>a</w:t>
            </w:r>
            <w:r w:rsidR="006D4205">
              <w:rPr>
                <w:i/>
                <w:sz w:val="28"/>
                <w:szCs w:val="28"/>
                <w:lang w:val="es-CR"/>
              </w:rPr>
              <w:t xml:space="preserve">s para dar atención a situaciones coyunturales, de </w:t>
            </w:r>
            <w:r w:rsidR="00290603">
              <w:rPr>
                <w:i/>
                <w:sz w:val="28"/>
                <w:szCs w:val="28"/>
                <w:lang w:val="es-CR"/>
              </w:rPr>
              <w:t xml:space="preserve">pericias </w:t>
            </w:r>
            <w:r w:rsidR="006D4205">
              <w:rPr>
                <w:i/>
                <w:sz w:val="28"/>
                <w:szCs w:val="28"/>
                <w:lang w:val="es-CR"/>
              </w:rPr>
              <w:t xml:space="preserve">pendientes (circulante) o en el caso de </w:t>
            </w:r>
            <w:r w:rsidR="006D4205" w:rsidRPr="00F07ED6">
              <w:rPr>
                <w:i/>
                <w:sz w:val="28"/>
                <w:szCs w:val="28"/>
              </w:rPr>
              <w:t>la Sección de Imagen y Sonido Forense en la ejecución del proyecto de Producción Audiovisual Institucional</w:t>
            </w:r>
            <w:r w:rsidR="006D4205">
              <w:rPr>
                <w:i/>
                <w:sz w:val="28"/>
                <w:szCs w:val="28"/>
              </w:rPr>
              <w:t>.</w:t>
            </w:r>
          </w:p>
          <w:p w:rsidR="006D4205" w:rsidRDefault="006D4205" w:rsidP="00660151">
            <w:pPr>
              <w:jc w:val="both"/>
              <w:rPr>
                <w:i/>
                <w:sz w:val="28"/>
                <w:szCs w:val="28"/>
              </w:rPr>
            </w:pPr>
          </w:p>
          <w:p w:rsidR="006D4205" w:rsidRDefault="006D4205" w:rsidP="00660151">
            <w:pPr>
              <w:jc w:val="both"/>
              <w:rPr>
                <w:i/>
                <w:sz w:val="28"/>
                <w:szCs w:val="28"/>
              </w:rPr>
            </w:pPr>
            <w:r w:rsidRPr="00D85F3C">
              <w:rPr>
                <w:b/>
                <w:i/>
                <w:sz w:val="28"/>
                <w:szCs w:val="28"/>
              </w:rPr>
              <w:t xml:space="preserve">Por </w:t>
            </w:r>
            <w:r w:rsidR="00290603">
              <w:rPr>
                <w:b/>
                <w:i/>
                <w:sz w:val="28"/>
                <w:szCs w:val="28"/>
              </w:rPr>
              <w:t>tanto</w:t>
            </w:r>
            <w:r w:rsidRPr="00D85F3C">
              <w:rPr>
                <w:b/>
                <w:i/>
                <w:sz w:val="28"/>
                <w:szCs w:val="28"/>
              </w:rPr>
              <w:t>,</w:t>
            </w:r>
            <w:r w:rsidR="00290603">
              <w:rPr>
                <w:b/>
                <w:i/>
                <w:sz w:val="28"/>
                <w:szCs w:val="28"/>
              </w:rPr>
              <w:t xml:space="preserve"> se estima que</w:t>
            </w:r>
            <w:r w:rsidRPr="00D85F3C">
              <w:rPr>
                <w:b/>
                <w:i/>
                <w:sz w:val="28"/>
                <w:szCs w:val="28"/>
              </w:rPr>
              <w:t xml:space="preserve"> los recursos solicita</w:t>
            </w:r>
            <w:r w:rsidR="00290603">
              <w:rPr>
                <w:b/>
                <w:i/>
                <w:sz w:val="28"/>
                <w:szCs w:val="28"/>
              </w:rPr>
              <w:t>dos</w:t>
            </w:r>
            <w:r w:rsidRPr="00D85F3C">
              <w:rPr>
                <w:b/>
                <w:i/>
                <w:sz w:val="28"/>
                <w:szCs w:val="28"/>
              </w:rPr>
              <w:t xml:space="preserve"> deben </w:t>
            </w:r>
            <w:r w:rsidR="00290603">
              <w:rPr>
                <w:b/>
                <w:i/>
                <w:sz w:val="28"/>
                <w:szCs w:val="28"/>
              </w:rPr>
              <w:t xml:space="preserve">justificarse mediante </w:t>
            </w:r>
            <w:r w:rsidRPr="00D85F3C">
              <w:rPr>
                <w:b/>
                <w:i/>
                <w:sz w:val="28"/>
                <w:szCs w:val="28"/>
              </w:rPr>
              <w:t xml:space="preserve">la metodología de Administración de Proyectos, con el fin de establecer claramente </w:t>
            </w:r>
            <w:r w:rsidR="00290603">
              <w:rPr>
                <w:b/>
                <w:i/>
                <w:sz w:val="28"/>
                <w:szCs w:val="28"/>
              </w:rPr>
              <w:t xml:space="preserve">las fechas de inicio y de finalización de cada </w:t>
            </w:r>
            <w:r w:rsidRPr="00D85F3C">
              <w:rPr>
                <w:b/>
                <w:i/>
                <w:sz w:val="28"/>
                <w:szCs w:val="28"/>
              </w:rPr>
              <w:t xml:space="preserve">proyecto, de igual forma debe existir una programación de tareas y una lista de entregables que </w:t>
            </w:r>
            <w:r w:rsidR="00290603">
              <w:rPr>
                <w:b/>
                <w:i/>
                <w:sz w:val="28"/>
                <w:szCs w:val="28"/>
              </w:rPr>
              <w:t>permitan brindar</w:t>
            </w:r>
            <w:r w:rsidRPr="00D85F3C">
              <w:rPr>
                <w:b/>
                <w:i/>
                <w:sz w:val="28"/>
                <w:szCs w:val="28"/>
              </w:rPr>
              <w:t xml:space="preserve"> un seguimiento oportuno </w:t>
            </w:r>
            <w:r w:rsidR="00195C46">
              <w:rPr>
                <w:b/>
                <w:i/>
                <w:sz w:val="28"/>
                <w:szCs w:val="28"/>
              </w:rPr>
              <w:t xml:space="preserve">a </w:t>
            </w:r>
            <w:r w:rsidRPr="00D85F3C">
              <w:rPr>
                <w:b/>
                <w:i/>
                <w:sz w:val="28"/>
                <w:szCs w:val="28"/>
              </w:rPr>
              <w:t>l</w:t>
            </w:r>
            <w:r w:rsidR="00290603">
              <w:rPr>
                <w:b/>
                <w:i/>
                <w:sz w:val="28"/>
                <w:szCs w:val="28"/>
              </w:rPr>
              <w:t>os</w:t>
            </w:r>
            <w:r w:rsidRPr="00D85F3C">
              <w:rPr>
                <w:b/>
                <w:i/>
                <w:sz w:val="28"/>
                <w:szCs w:val="28"/>
              </w:rPr>
              <w:t xml:space="preserve"> proyecto</w:t>
            </w:r>
            <w:r w:rsidR="00290603">
              <w:rPr>
                <w:b/>
                <w:i/>
                <w:sz w:val="28"/>
                <w:szCs w:val="28"/>
              </w:rPr>
              <w:t>s identificados.</w:t>
            </w:r>
          </w:p>
          <w:p w:rsidR="006D4205" w:rsidRPr="003110C6" w:rsidRDefault="006D4205" w:rsidP="00660151">
            <w:pPr>
              <w:jc w:val="both"/>
              <w:rPr>
                <w:i/>
                <w:sz w:val="28"/>
                <w:szCs w:val="28"/>
              </w:rPr>
            </w:pPr>
          </w:p>
          <w:p w:rsidR="00D85F3C" w:rsidRDefault="00D85F3C" w:rsidP="00D85F3C">
            <w:pPr>
              <w:jc w:val="both"/>
              <w:rPr>
                <w:b/>
                <w:bCs/>
                <w:i/>
                <w:iCs/>
                <w:sz w:val="28"/>
                <w:szCs w:val="28"/>
                <w:lang w:val="es-CR" w:eastAsia="es-CR"/>
              </w:rPr>
            </w:pPr>
            <w:r>
              <w:rPr>
                <w:b/>
                <w:bCs/>
                <w:i/>
                <w:iCs/>
                <w:sz w:val="28"/>
                <w:szCs w:val="28"/>
                <w:lang w:eastAsia="es-CR"/>
              </w:rPr>
              <w:t>3.</w:t>
            </w:r>
            <w:r w:rsidR="00290603">
              <w:rPr>
                <w:b/>
                <w:bCs/>
                <w:i/>
                <w:iCs/>
                <w:sz w:val="28"/>
                <w:szCs w:val="28"/>
                <w:lang w:eastAsia="es-CR"/>
              </w:rPr>
              <w:t>5</w:t>
            </w:r>
            <w:r>
              <w:rPr>
                <w:b/>
                <w:bCs/>
                <w:i/>
                <w:iCs/>
                <w:sz w:val="28"/>
                <w:szCs w:val="28"/>
                <w:lang w:eastAsia="es-CR"/>
              </w:rPr>
              <w:t>. Medidas para la Contención del Gasto en el Poder Judicial</w:t>
            </w:r>
          </w:p>
          <w:p w:rsidR="00D85F3C" w:rsidRPr="00D85F3C" w:rsidRDefault="00D85F3C" w:rsidP="00D85F3C">
            <w:pPr>
              <w:jc w:val="both"/>
              <w:rPr>
                <w:i/>
                <w:iCs/>
                <w:sz w:val="28"/>
                <w:szCs w:val="28"/>
                <w:lang w:val="es-CR" w:eastAsia="es-CR"/>
              </w:rPr>
            </w:pPr>
          </w:p>
          <w:p w:rsidR="00D85F3C" w:rsidRDefault="00D85F3C" w:rsidP="00D85F3C">
            <w:pPr>
              <w:jc w:val="both"/>
              <w:rPr>
                <w:i/>
                <w:iCs/>
                <w:sz w:val="28"/>
                <w:szCs w:val="28"/>
                <w:lang w:eastAsia="es-CR"/>
              </w:rPr>
            </w:pPr>
            <w:r>
              <w:rPr>
                <w:i/>
                <w:iCs/>
                <w:sz w:val="28"/>
                <w:szCs w:val="28"/>
                <w:lang w:eastAsia="es-CR"/>
              </w:rPr>
              <w:t>La Corte Plena en la sesión 27-17 del 21 de agosto del 2017, artículo XVI, aprobó el punto primero de las “</w:t>
            </w:r>
            <w:r>
              <w:rPr>
                <w:b/>
                <w:bCs/>
                <w:i/>
                <w:iCs/>
                <w:sz w:val="28"/>
                <w:szCs w:val="28"/>
                <w:lang w:eastAsia="es-CR"/>
              </w:rPr>
              <w:t>Medidas de Adopción Inmediata</w:t>
            </w:r>
            <w:r>
              <w:rPr>
                <w:i/>
                <w:iCs/>
                <w:sz w:val="28"/>
                <w:szCs w:val="28"/>
                <w:lang w:eastAsia="es-CR"/>
              </w:rPr>
              <w:t>” contenido en el informe de las Medidas para la Contención del Gasto en el Poder Judicial, en los siguientes términos:</w:t>
            </w:r>
          </w:p>
          <w:p w:rsidR="00D85F3C" w:rsidRDefault="00D85F3C" w:rsidP="00D85F3C">
            <w:pPr>
              <w:rPr>
                <w:rFonts w:ascii="Book Antiqua" w:hAnsi="Book Antiqua"/>
              </w:rPr>
            </w:pPr>
          </w:p>
          <w:p w:rsidR="00D85F3C" w:rsidRDefault="00D85F3C" w:rsidP="00D85F3C">
            <w:pPr>
              <w:ind w:left="709" w:right="618"/>
              <w:jc w:val="both"/>
              <w:rPr>
                <w:i/>
                <w:iCs/>
                <w:sz w:val="28"/>
                <w:szCs w:val="28"/>
                <w:lang w:eastAsia="en-US"/>
              </w:rPr>
            </w:pPr>
            <w:r>
              <w:rPr>
                <w:i/>
                <w:iCs/>
                <w:sz w:val="28"/>
                <w:szCs w:val="28"/>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D85F3C" w:rsidRDefault="00D85F3C" w:rsidP="00D85F3C">
            <w:pPr>
              <w:ind w:left="709" w:right="618"/>
              <w:jc w:val="both"/>
              <w:rPr>
                <w:rFonts w:ascii="Calibri" w:hAnsi="Calibri" w:cs="Calibri"/>
                <w:i/>
                <w:iCs/>
                <w:sz w:val="28"/>
                <w:szCs w:val="28"/>
              </w:rPr>
            </w:pPr>
          </w:p>
          <w:p w:rsidR="00D85F3C" w:rsidRDefault="00D85F3C" w:rsidP="00D85F3C">
            <w:pPr>
              <w:pStyle w:val="Prrafodelista"/>
              <w:spacing w:before="0" w:beforeAutospacing="0" w:after="0" w:afterAutospacing="0"/>
              <w:jc w:val="both"/>
              <w:rPr>
                <w:i/>
                <w:iCs/>
                <w:sz w:val="28"/>
                <w:szCs w:val="28"/>
              </w:rPr>
            </w:pPr>
            <w:r>
              <w:rPr>
                <w:i/>
                <w:iCs/>
                <w:color w:val="000000"/>
                <w:sz w:val="28"/>
                <w:szCs w:val="28"/>
                <w:lang w:eastAsia="es-ES"/>
              </w:rPr>
              <w:t xml:space="preserve">Este tema fue incorporado dentro de las </w:t>
            </w:r>
            <w:r>
              <w:rPr>
                <w:i/>
                <w:iCs/>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D85F3C" w:rsidRDefault="00D85F3C" w:rsidP="00D85F3C">
            <w:pPr>
              <w:pStyle w:val="Prrafodelista"/>
              <w:spacing w:before="0" w:beforeAutospacing="0" w:after="0" w:afterAutospacing="0"/>
              <w:jc w:val="both"/>
              <w:rPr>
                <w:i/>
                <w:iCs/>
                <w:sz w:val="28"/>
                <w:szCs w:val="28"/>
              </w:rPr>
            </w:pPr>
          </w:p>
          <w:p w:rsidR="00D85F3C" w:rsidRDefault="00D85F3C" w:rsidP="00D85F3C">
            <w:pPr>
              <w:jc w:val="both"/>
              <w:rPr>
                <w:b/>
                <w:bCs/>
                <w:i/>
                <w:iCs/>
                <w:sz w:val="28"/>
                <w:szCs w:val="28"/>
                <w:lang w:eastAsia="es-CR"/>
              </w:rPr>
            </w:pPr>
            <w:r>
              <w:rPr>
                <w:b/>
                <w:bCs/>
                <w:i/>
                <w:iCs/>
                <w:sz w:val="28"/>
                <w:szCs w:val="28"/>
                <w:lang w:eastAsia="es-CR"/>
              </w:rPr>
              <w:t>3.</w:t>
            </w:r>
            <w:r w:rsidR="00290603">
              <w:rPr>
                <w:b/>
                <w:bCs/>
                <w:i/>
                <w:iCs/>
                <w:sz w:val="28"/>
                <w:szCs w:val="28"/>
                <w:lang w:eastAsia="es-CR"/>
              </w:rPr>
              <w:t>6</w:t>
            </w:r>
            <w:r>
              <w:rPr>
                <w:b/>
                <w:bCs/>
                <w:i/>
                <w:iCs/>
                <w:sz w:val="28"/>
                <w:szCs w:val="28"/>
                <w:lang w:eastAsia="es-CR"/>
              </w:rPr>
              <w:t>. Otras consideraciones</w:t>
            </w:r>
          </w:p>
          <w:p w:rsidR="00D85F3C" w:rsidRDefault="00D85F3C" w:rsidP="00D85F3C">
            <w:pPr>
              <w:jc w:val="both"/>
              <w:rPr>
                <w:i/>
                <w:iCs/>
                <w:sz w:val="28"/>
                <w:szCs w:val="28"/>
                <w:lang w:eastAsia="es-CR"/>
              </w:rPr>
            </w:pPr>
          </w:p>
          <w:p w:rsidR="00D85F3C" w:rsidRDefault="00D85F3C" w:rsidP="00D85F3C">
            <w:pPr>
              <w:jc w:val="both"/>
              <w:rPr>
                <w:i/>
                <w:iCs/>
                <w:sz w:val="28"/>
                <w:szCs w:val="28"/>
                <w:lang w:eastAsia="es-CR"/>
              </w:rPr>
            </w:pPr>
            <w:r>
              <w:rPr>
                <w:i/>
                <w:iCs/>
                <w:sz w:val="28"/>
                <w:szCs w:val="28"/>
                <w:lang w:eastAsia="es-CR"/>
              </w:rPr>
              <w:t xml:space="preserve">Cabe señalar que las plazas analizadas en el presente estudio, son parte de las prioridades establecidas por la Dirección General del </w:t>
            </w:r>
            <w:r>
              <w:rPr>
                <w:i/>
                <w:iCs/>
                <w:sz w:val="28"/>
                <w:szCs w:val="28"/>
                <w:lang w:eastAsia="es-CR"/>
              </w:rPr>
              <w:lastRenderedPageBreak/>
              <w:t xml:space="preserve">OIJ para asumir los proyectos o necesidades existentes que se vienen atendiendo bajo la modalidad de permisos con goce de salario; motivo por el cual el Consejo Superior en la sesión 112-17 del 14 de diciembre del 2017, artículo LXXXIII, acordó convocar a los Directores de Planificación y de Gestión Humana, con el fin de que informaran al Consejo Superior sobre la situación de las plazas referidas por el Lic. Walter Espinoza </w:t>
            </w:r>
            <w:proofErr w:type="spellStart"/>
            <w:r>
              <w:rPr>
                <w:i/>
                <w:iCs/>
                <w:sz w:val="28"/>
                <w:szCs w:val="28"/>
                <w:lang w:eastAsia="es-CR"/>
              </w:rPr>
              <w:t>Espinoza</w:t>
            </w:r>
            <w:proofErr w:type="spellEnd"/>
            <w:r>
              <w:rPr>
                <w:i/>
                <w:iCs/>
                <w:sz w:val="28"/>
                <w:szCs w:val="28"/>
                <w:lang w:eastAsia="es-CR"/>
              </w:rPr>
              <w:t>, Director General.</w:t>
            </w:r>
          </w:p>
          <w:p w:rsidR="00D85F3C" w:rsidRDefault="00D85F3C" w:rsidP="00D85F3C">
            <w:pPr>
              <w:jc w:val="both"/>
              <w:rPr>
                <w:i/>
                <w:iCs/>
                <w:sz w:val="28"/>
                <w:szCs w:val="28"/>
                <w:lang w:eastAsia="es-CR"/>
              </w:rPr>
            </w:pPr>
          </w:p>
          <w:p w:rsidR="00D85F3C" w:rsidRDefault="00D85F3C" w:rsidP="00D85F3C">
            <w:pPr>
              <w:jc w:val="both"/>
              <w:rPr>
                <w:i/>
                <w:iCs/>
                <w:sz w:val="28"/>
                <w:szCs w:val="28"/>
                <w:lang w:eastAsia="es-CR"/>
              </w:rPr>
            </w:pPr>
            <w:r>
              <w:rPr>
                <w:i/>
                <w:iCs/>
                <w:sz w:val="28"/>
                <w:szCs w:val="28"/>
                <w:lang w:eastAsia="es-CR"/>
              </w:rPr>
              <w:t>Esa convocatoria se llevó a cabo en febrero anterior, donde la Dirección de Planificación presentó el oficio 145-PLA-2018 del 7 de febrero del 2018, y se está a la espera de la comunicación del acuerdo emitido por el órgano superior. Sin embargo, se estima pertinente abordar estos requerimientos dentro del Anteproyecto de Presupuesto 2019, con el fin de tomar las previsiones del caso y no afectar la continuidad de las labores del OIJ, cuando así resulte oportuno para el buen servicio público.</w:t>
            </w:r>
          </w:p>
          <w:p w:rsidR="00A013C7" w:rsidRPr="008C419D" w:rsidRDefault="00A013C7" w:rsidP="00660151">
            <w:pPr>
              <w:jc w:val="both"/>
              <w:rPr>
                <w:i/>
                <w:sz w:val="28"/>
                <w:szCs w:val="28"/>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2D145B" w:rsidRPr="00FD4999" w:rsidRDefault="00A013C7" w:rsidP="002D145B">
            <w:pPr>
              <w:jc w:val="both"/>
              <w:rPr>
                <w:i/>
                <w:sz w:val="28"/>
                <w:szCs w:val="28"/>
              </w:rPr>
            </w:pPr>
            <w:r w:rsidRPr="00FD4999">
              <w:rPr>
                <w:b/>
                <w:i/>
                <w:sz w:val="28"/>
                <w:szCs w:val="28"/>
              </w:rPr>
              <w:t>4.1.-</w:t>
            </w:r>
            <w:r w:rsidRPr="00FD4999">
              <w:rPr>
                <w:i/>
                <w:sz w:val="28"/>
                <w:szCs w:val="28"/>
              </w:rPr>
              <w:t xml:space="preserve">  </w:t>
            </w:r>
            <w:r w:rsidR="00CD456D" w:rsidRPr="00FD4999">
              <w:rPr>
                <w:i/>
                <w:sz w:val="28"/>
                <w:szCs w:val="28"/>
              </w:rPr>
              <w:t xml:space="preserve">Actualmente el Departamento </w:t>
            </w:r>
            <w:r w:rsidR="00290603">
              <w:rPr>
                <w:i/>
                <w:sz w:val="28"/>
                <w:szCs w:val="28"/>
              </w:rPr>
              <w:t xml:space="preserve">Laboratorio </w:t>
            </w:r>
            <w:r w:rsidR="00CD456D" w:rsidRPr="00FD4999">
              <w:rPr>
                <w:i/>
                <w:sz w:val="28"/>
                <w:szCs w:val="28"/>
              </w:rPr>
              <w:t xml:space="preserve">de Ciencias Forenses, cuenta con 16 permisos con goce de salario, los cuales </w:t>
            </w:r>
            <w:r w:rsidR="006E5FCF" w:rsidRPr="00FD4999">
              <w:rPr>
                <w:i/>
                <w:sz w:val="28"/>
                <w:szCs w:val="28"/>
              </w:rPr>
              <w:t xml:space="preserve">se han definido para atender </w:t>
            </w:r>
            <w:r w:rsidR="00290603">
              <w:rPr>
                <w:i/>
                <w:sz w:val="28"/>
                <w:szCs w:val="28"/>
              </w:rPr>
              <w:t xml:space="preserve">tres temas: </w:t>
            </w:r>
            <w:r w:rsidR="006E5FCF" w:rsidRPr="00FD4999">
              <w:rPr>
                <w:i/>
                <w:sz w:val="28"/>
                <w:szCs w:val="28"/>
              </w:rPr>
              <w:t>el proceso de acreditación internacional de calidad, atención de pendientes o circulantes y el proyecto de producción audiovisual institucional.</w:t>
            </w:r>
          </w:p>
          <w:p w:rsidR="007939A8" w:rsidRPr="00FD4999" w:rsidRDefault="007939A8" w:rsidP="002D145B">
            <w:pPr>
              <w:jc w:val="both"/>
              <w:rPr>
                <w:i/>
                <w:sz w:val="28"/>
                <w:szCs w:val="28"/>
              </w:rPr>
            </w:pPr>
          </w:p>
          <w:p w:rsidR="00371881" w:rsidRPr="00FD4999" w:rsidRDefault="007939A8" w:rsidP="002D145B">
            <w:pPr>
              <w:jc w:val="both"/>
              <w:rPr>
                <w:i/>
                <w:sz w:val="28"/>
                <w:szCs w:val="28"/>
              </w:rPr>
            </w:pPr>
            <w:r w:rsidRPr="00FD4999">
              <w:rPr>
                <w:b/>
                <w:i/>
                <w:sz w:val="28"/>
                <w:szCs w:val="28"/>
              </w:rPr>
              <w:t>4.2.-</w:t>
            </w:r>
            <w:r w:rsidRPr="00FD4999">
              <w:rPr>
                <w:i/>
                <w:sz w:val="28"/>
                <w:szCs w:val="28"/>
              </w:rPr>
              <w:t xml:space="preserve">  </w:t>
            </w:r>
            <w:r w:rsidR="00FD4999" w:rsidRPr="00FD4999">
              <w:rPr>
                <w:i/>
                <w:sz w:val="28"/>
                <w:szCs w:val="28"/>
              </w:rPr>
              <w:t xml:space="preserve">Producto del </w:t>
            </w:r>
            <w:r w:rsidR="00132CDC">
              <w:rPr>
                <w:i/>
                <w:sz w:val="28"/>
                <w:szCs w:val="28"/>
              </w:rPr>
              <w:t xml:space="preserve">proceso de acreditación internacional de calidad,  se generó un </w:t>
            </w:r>
            <w:r w:rsidR="00FD4999" w:rsidRPr="00FD4999">
              <w:rPr>
                <w:i/>
                <w:sz w:val="28"/>
                <w:szCs w:val="28"/>
              </w:rPr>
              <w:t xml:space="preserve">cambio </w:t>
            </w:r>
            <w:r w:rsidR="00132CDC">
              <w:rPr>
                <w:i/>
                <w:sz w:val="28"/>
                <w:szCs w:val="28"/>
              </w:rPr>
              <w:t xml:space="preserve">en los </w:t>
            </w:r>
            <w:r w:rsidR="00FD4999" w:rsidRPr="00FD4999">
              <w:rPr>
                <w:i/>
                <w:sz w:val="28"/>
                <w:szCs w:val="28"/>
              </w:rPr>
              <w:t>métodos de trabajo de las Secciones de Química Analítica, Toxicología, Bioquímica y Pericias Físicas</w:t>
            </w:r>
            <w:r w:rsidR="00132CDC">
              <w:rPr>
                <w:i/>
                <w:sz w:val="28"/>
                <w:szCs w:val="28"/>
              </w:rPr>
              <w:t xml:space="preserve">, </w:t>
            </w:r>
            <w:r w:rsidR="00290603">
              <w:rPr>
                <w:i/>
                <w:sz w:val="28"/>
                <w:szCs w:val="28"/>
              </w:rPr>
              <w:t xml:space="preserve">por lo que </w:t>
            </w:r>
            <w:r w:rsidR="00132CDC">
              <w:rPr>
                <w:i/>
                <w:sz w:val="28"/>
                <w:szCs w:val="28"/>
              </w:rPr>
              <w:t>esta Dirección realizó un estudio técnico (20-OI-2017-B remitido mediante el 924-PLA-2017), donde analizó entre otros aspectos la necesidad de recurso humano</w:t>
            </w:r>
            <w:r w:rsidR="00290603">
              <w:rPr>
                <w:i/>
                <w:sz w:val="28"/>
                <w:szCs w:val="28"/>
              </w:rPr>
              <w:t xml:space="preserve"> en esas dependencias</w:t>
            </w:r>
            <w:r w:rsidR="00132CDC">
              <w:rPr>
                <w:i/>
                <w:sz w:val="28"/>
                <w:szCs w:val="28"/>
              </w:rPr>
              <w:t>.</w:t>
            </w:r>
          </w:p>
          <w:p w:rsidR="004F34BE" w:rsidRPr="00FD4999" w:rsidRDefault="004F34BE" w:rsidP="002D145B">
            <w:pPr>
              <w:jc w:val="both"/>
              <w:rPr>
                <w:i/>
                <w:sz w:val="28"/>
                <w:szCs w:val="28"/>
              </w:rPr>
            </w:pPr>
          </w:p>
          <w:p w:rsidR="00465EC8" w:rsidRDefault="00371881" w:rsidP="002D145B">
            <w:pPr>
              <w:jc w:val="both"/>
              <w:rPr>
                <w:i/>
                <w:sz w:val="28"/>
                <w:szCs w:val="28"/>
              </w:rPr>
            </w:pPr>
            <w:r w:rsidRPr="00FD4999">
              <w:rPr>
                <w:b/>
                <w:i/>
                <w:sz w:val="28"/>
                <w:szCs w:val="28"/>
              </w:rPr>
              <w:t>4.3.-</w:t>
            </w:r>
            <w:r w:rsidRPr="00FD4999">
              <w:rPr>
                <w:i/>
                <w:sz w:val="28"/>
                <w:szCs w:val="28"/>
              </w:rPr>
              <w:t xml:space="preserve"> </w:t>
            </w:r>
            <w:r w:rsidR="00CB06D9">
              <w:rPr>
                <w:i/>
                <w:sz w:val="28"/>
                <w:szCs w:val="28"/>
              </w:rPr>
              <w:t xml:space="preserve">El Departamento </w:t>
            </w:r>
            <w:r w:rsidR="00290603">
              <w:rPr>
                <w:i/>
                <w:sz w:val="28"/>
                <w:szCs w:val="28"/>
              </w:rPr>
              <w:t xml:space="preserve">Laboratorio </w:t>
            </w:r>
            <w:r w:rsidR="00CB06D9">
              <w:rPr>
                <w:i/>
                <w:sz w:val="28"/>
                <w:szCs w:val="28"/>
              </w:rPr>
              <w:t>de Ciencias Forenses en sesión 67-17, artículo III, solicit</w:t>
            </w:r>
            <w:r w:rsidR="00BF3A83">
              <w:rPr>
                <w:i/>
                <w:sz w:val="28"/>
                <w:szCs w:val="28"/>
              </w:rPr>
              <w:t xml:space="preserve">ó recursos humanos para dar atención </w:t>
            </w:r>
            <w:r w:rsidR="0056266A">
              <w:rPr>
                <w:i/>
                <w:sz w:val="28"/>
                <w:szCs w:val="28"/>
              </w:rPr>
              <w:t xml:space="preserve">a </w:t>
            </w:r>
            <w:r w:rsidR="00BF3A83">
              <w:rPr>
                <w:i/>
                <w:sz w:val="28"/>
                <w:szCs w:val="28"/>
              </w:rPr>
              <w:t xml:space="preserve">los casos pendientes de las secciones de </w:t>
            </w:r>
            <w:r w:rsidR="00BF3A83" w:rsidRPr="008C1D2D">
              <w:rPr>
                <w:i/>
                <w:sz w:val="28"/>
                <w:szCs w:val="28"/>
              </w:rPr>
              <w:t>Química Analítica, Toxicología, Bioquímica y Pericias Físicas</w:t>
            </w:r>
            <w:r w:rsidR="00BF3A83">
              <w:rPr>
                <w:i/>
                <w:sz w:val="28"/>
                <w:szCs w:val="28"/>
              </w:rPr>
              <w:t>.</w:t>
            </w:r>
          </w:p>
          <w:p w:rsidR="004F34BE" w:rsidRDefault="004F34BE" w:rsidP="002D145B">
            <w:pPr>
              <w:jc w:val="both"/>
              <w:rPr>
                <w:sz w:val="28"/>
                <w:szCs w:val="28"/>
              </w:rPr>
            </w:pPr>
          </w:p>
          <w:p w:rsidR="00465EC8" w:rsidRPr="00465BFF" w:rsidRDefault="00656870" w:rsidP="002D145B">
            <w:pPr>
              <w:jc w:val="both"/>
              <w:rPr>
                <w:i/>
                <w:sz w:val="28"/>
                <w:szCs w:val="28"/>
              </w:rPr>
            </w:pPr>
            <w:r w:rsidRPr="00465BFF">
              <w:rPr>
                <w:b/>
                <w:i/>
                <w:sz w:val="28"/>
                <w:szCs w:val="28"/>
              </w:rPr>
              <w:t>4.4.-</w:t>
            </w:r>
            <w:r w:rsidRPr="00465BFF">
              <w:rPr>
                <w:i/>
                <w:sz w:val="28"/>
                <w:szCs w:val="28"/>
              </w:rPr>
              <w:t xml:space="preserve">  </w:t>
            </w:r>
            <w:r w:rsidR="00465BFF" w:rsidRPr="00465BFF">
              <w:rPr>
                <w:i/>
                <w:sz w:val="28"/>
                <w:szCs w:val="28"/>
              </w:rPr>
              <w:t xml:space="preserve">Esta Dirección es </w:t>
            </w:r>
            <w:r w:rsidR="00875FC2" w:rsidRPr="00465BFF">
              <w:rPr>
                <w:i/>
                <w:sz w:val="28"/>
                <w:szCs w:val="28"/>
              </w:rPr>
              <w:t>consciente</w:t>
            </w:r>
            <w:r w:rsidR="00465BFF" w:rsidRPr="00465BFF">
              <w:rPr>
                <w:i/>
                <w:sz w:val="28"/>
                <w:szCs w:val="28"/>
              </w:rPr>
              <w:t xml:space="preserve">, de que cuando se modifican o se cambian las metodologías de trabajo, o bien se incorpora un rediseño en un departamento, es inevitable sufrir un proceso de </w:t>
            </w:r>
            <w:r w:rsidR="00465BFF" w:rsidRPr="00465BFF">
              <w:rPr>
                <w:i/>
                <w:sz w:val="28"/>
                <w:szCs w:val="28"/>
              </w:rPr>
              <w:lastRenderedPageBreak/>
              <w:t xml:space="preserve">ajuste el cual repercute directamente sobre los resultados que antes se obtenían versus los nuevos rendimientos que resultan de la aplicación de las nuevas metodologías de trabajo, máxime cuando son procesos </w:t>
            </w:r>
            <w:r w:rsidR="0056266A">
              <w:rPr>
                <w:i/>
                <w:sz w:val="28"/>
                <w:szCs w:val="28"/>
              </w:rPr>
              <w:t>ampar</w:t>
            </w:r>
            <w:r w:rsidR="0056266A" w:rsidRPr="00465BFF">
              <w:rPr>
                <w:i/>
                <w:sz w:val="28"/>
                <w:szCs w:val="28"/>
              </w:rPr>
              <w:t xml:space="preserve">ados </w:t>
            </w:r>
            <w:r w:rsidR="00465BFF" w:rsidRPr="00465BFF">
              <w:rPr>
                <w:i/>
                <w:sz w:val="28"/>
                <w:szCs w:val="28"/>
              </w:rPr>
              <w:t>bajo normas internacionales de certificación de calidad.</w:t>
            </w:r>
          </w:p>
          <w:p w:rsidR="00A4667A" w:rsidRDefault="00A4667A" w:rsidP="000A47F3">
            <w:pPr>
              <w:pStyle w:val="Prrafodelista"/>
              <w:spacing w:before="0" w:beforeAutospacing="0" w:after="0" w:afterAutospacing="0"/>
              <w:jc w:val="both"/>
              <w:rPr>
                <w:i/>
                <w:sz w:val="28"/>
                <w:szCs w:val="28"/>
                <w:lang w:val="es-ES" w:eastAsia="es-ES"/>
              </w:rPr>
            </w:pPr>
          </w:p>
          <w:p w:rsidR="00AD7069" w:rsidRDefault="00465BFF" w:rsidP="00AD7069">
            <w:pPr>
              <w:jc w:val="both"/>
              <w:rPr>
                <w:i/>
                <w:sz w:val="28"/>
                <w:szCs w:val="28"/>
                <w:lang w:val="es-CR"/>
              </w:rPr>
            </w:pPr>
            <w:r w:rsidRPr="000D3D7D">
              <w:rPr>
                <w:b/>
                <w:i/>
                <w:sz w:val="28"/>
                <w:szCs w:val="28"/>
              </w:rPr>
              <w:t>4.5.-</w:t>
            </w:r>
            <w:r w:rsidR="00AD7069">
              <w:rPr>
                <w:i/>
                <w:sz w:val="28"/>
                <w:szCs w:val="28"/>
              </w:rPr>
              <w:t xml:space="preserve"> </w:t>
            </w:r>
            <w:r w:rsidR="00AD7069">
              <w:rPr>
                <w:i/>
                <w:sz w:val="28"/>
                <w:szCs w:val="28"/>
                <w:lang w:val="es-CR"/>
              </w:rPr>
              <w:t>De los 16 recursos solicitados y los cuales se han otorgado por medio de permiso con goce de salario vía artículo 44 de la LOPJ vigente, solo cuatro de ellos cuentan con estudio técnico (924-PLA-2017).</w:t>
            </w:r>
          </w:p>
          <w:p w:rsidR="00FC3824" w:rsidRDefault="00FC3824" w:rsidP="00AD7069">
            <w:pPr>
              <w:jc w:val="both"/>
              <w:rPr>
                <w:i/>
                <w:sz w:val="28"/>
                <w:szCs w:val="28"/>
                <w:lang w:val="es-CR"/>
              </w:rPr>
            </w:pPr>
          </w:p>
          <w:p w:rsidR="00FC3824" w:rsidRPr="00FC3824" w:rsidRDefault="00FC3824" w:rsidP="00AD7069">
            <w:pPr>
              <w:jc w:val="both"/>
              <w:rPr>
                <w:i/>
                <w:sz w:val="28"/>
                <w:szCs w:val="28"/>
              </w:rPr>
            </w:pPr>
            <w:r w:rsidRPr="00C83610">
              <w:rPr>
                <w:b/>
                <w:i/>
                <w:sz w:val="28"/>
                <w:szCs w:val="28"/>
              </w:rPr>
              <w:t>4.6.-</w:t>
            </w:r>
            <w:r w:rsidRPr="00FC3824">
              <w:rPr>
                <w:i/>
                <w:sz w:val="28"/>
                <w:szCs w:val="28"/>
              </w:rPr>
              <w:t xml:space="preserve"> </w:t>
            </w:r>
            <w:r w:rsidR="00195C46">
              <w:rPr>
                <w:i/>
                <w:sz w:val="28"/>
                <w:szCs w:val="28"/>
              </w:rPr>
              <w:t>El resto de plazas</w:t>
            </w:r>
            <w:r w:rsidRPr="00FC3824">
              <w:rPr>
                <w:i/>
                <w:sz w:val="28"/>
                <w:szCs w:val="28"/>
              </w:rPr>
              <w:t xml:space="preserve"> </w:t>
            </w:r>
            <w:r w:rsidR="00195C46">
              <w:rPr>
                <w:i/>
                <w:sz w:val="28"/>
                <w:szCs w:val="28"/>
              </w:rPr>
              <w:t>fueron solicitadas</w:t>
            </w:r>
            <w:r>
              <w:rPr>
                <w:i/>
                <w:sz w:val="28"/>
                <w:szCs w:val="28"/>
              </w:rPr>
              <w:t xml:space="preserve"> para </w:t>
            </w:r>
            <w:r w:rsidR="00195C46">
              <w:rPr>
                <w:i/>
                <w:sz w:val="28"/>
                <w:szCs w:val="28"/>
              </w:rPr>
              <w:t>dar atención a situaciones coyunturales (pericias pendientes y el proyecto de Producción Audiovisual Institucional), por lo que en acatamiento a lo dispuesto por el Consejo Superior, deben justifi</w:t>
            </w:r>
            <w:r w:rsidRPr="00FC3824">
              <w:rPr>
                <w:i/>
                <w:sz w:val="28"/>
                <w:szCs w:val="28"/>
              </w:rPr>
              <w:t xml:space="preserve">carse </w:t>
            </w:r>
            <w:r w:rsidR="00195C46">
              <w:rPr>
                <w:i/>
                <w:sz w:val="28"/>
                <w:szCs w:val="28"/>
              </w:rPr>
              <w:t>mediante</w:t>
            </w:r>
            <w:r w:rsidRPr="00FC3824">
              <w:rPr>
                <w:i/>
                <w:sz w:val="28"/>
                <w:szCs w:val="28"/>
              </w:rPr>
              <w:t xml:space="preserve"> la metodología de Administración de Proyectos, con el fin de establecer claramente </w:t>
            </w:r>
            <w:r w:rsidR="00195C46">
              <w:rPr>
                <w:i/>
                <w:sz w:val="28"/>
                <w:szCs w:val="28"/>
              </w:rPr>
              <w:t xml:space="preserve">las fechas de inicio y de finalización de cada proyecto, </w:t>
            </w:r>
            <w:r w:rsidRPr="00FC3824">
              <w:rPr>
                <w:i/>
                <w:sz w:val="28"/>
                <w:szCs w:val="28"/>
              </w:rPr>
              <w:t xml:space="preserve">de igual forma debe existir una programación de tareas y una lista de entregables que </w:t>
            </w:r>
            <w:r w:rsidR="00195C46">
              <w:rPr>
                <w:i/>
                <w:sz w:val="28"/>
                <w:szCs w:val="28"/>
              </w:rPr>
              <w:t>permitan brin</w:t>
            </w:r>
            <w:r w:rsidRPr="00FC3824">
              <w:rPr>
                <w:i/>
                <w:sz w:val="28"/>
                <w:szCs w:val="28"/>
              </w:rPr>
              <w:t xml:space="preserve">dar un seguimiento oportuno </w:t>
            </w:r>
            <w:r w:rsidR="00195C46">
              <w:rPr>
                <w:i/>
                <w:sz w:val="28"/>
                <w:szCs w:val="28"/>
              </w:rPr>
              <w:t xml:space="preserve">a los </w:t>
            </w:r>
            <w:r w:rsidRPr="00FC3824">
              <w:rPr>
                <w:i/>
                <w:sz w:val="28"/>
                <w:szCs w:val="28"/>
              </w:rPr>
              <w:t>proyecto</w:t>
            </w:r>
            <w:r w:rsidR="00195C46">
              <w:rPr>
                <w:i/>
                <w:sz w:val="28"/>
                <w:szCs w:val="28"/>
              </w:rPr>
              <w:t>s identificados.</w:t>
            </w:r>
          </w:p>
          <w:p w:rsidR="00465BFF" w:rsidRPr="006022FD" w:rsidRDefault="00465BFF" w:rsidP="000A47F3">
            <w:pPr>
              <w:pStyle w:val="Prrafodelista"/>
              <w:spacing w:before="0" w:beforeAutospacing="0" w:after="0" w:afterAutospacing="0"/>
              <w:jc w:val="both"/>
              <w:rPr>
                <w:i/>
                <w:color w:val="5B9BD5"/>
                <w:sz w:val="28"/>
                <w:szCs w:val="28"/>
                <w:lang w:val="es-ES"/>
              </w:rPr>
            </w:pPr>
          </w:p>
        </w:tc>
      </w:tr>
      <w:tr w:rsidR="00A4667A" w:rsidRPr="00723CF6" w:rsidTr="00663B34">
        <w:trPr>
          <w:trHeight w:val="1239"/>
        </w:trPr>
        <w:tc>
          <w:tcPr>
            <w:tcW w:w="2518" w:type="dxa"/>
            <w:shd w:val="clear" w:color="auto" w:fill="C0C0C0"/>
          </w:tcPr>
          <w:p w:rsidR="00A4667A" w:rsidRPr="00723CF6" w:rsidRDefault="00BD04A8" w:rsidP="00E86372">
            <w:pPr>
              <w:jc w:val="right"/>
              <w:rPr>
                <w:b/>
                <w:color w:val="5B9BD5"/>
                <w:sz w:val="28"/>
                <w:szCs w:val="28"/>
              </w:rPr>
            </w:pPr>
            <w:r w:rsidRPr="00675B1D">
              <w:rPr>
                <w:b/>
                <w:sz w:val="28"/>
                <w:szCs w:val="28"/>
              </w:rPr>
              <w:lastRenderedPageBreak/>
              <w:t xml:space="preserve">V. </w:t>
            </w:r>
            <w:r>
              <w:rPr>
                <w:b/>
                <w:sz w:val="28"/>
                <w:szCs w:val="28"/>
              </w:rPr>
              <w:t>Recomendaciones</w:t>
            </w:r>
          </w:p>
          <w:p w:rsidR="00A4667A" w:rsidRPr="00723CF6" w:rsidRDefault="00A4667A" w:rsidP="00E86372">
            <w:pPr>
              <w:jc w:val="right"/>
              <w:rPr>
                <w:b/>
                <w:color w:val="5B9BD5"/>
                <w:sz w:val="28"/>
                <w:szCs w:val="28"/>
              </w:rPr>
            </w:pPr>
          </w:p>
        </w:tc>
        <w:tc>
          <w:tcPr>
            <w:tcW w:w="8080" w:type="dxa"/>
          </w:tcPr>
          <w:p w:rsidR="000D4ABB" w:rsidRDefault="00357F3B" w:rsidP="00357F3B">
            <w:pPr>
              <w:keepLines/>
              <w:tabs>
                <w:tab w:val="left" w:pos="1080"/>
              </w:tabs>
              <w:jc w:val="both"/>
              <w:rPr>
                <w:bCs/>
                <w:sz w:val="28"/>
                <w:szCs w:val="28"/>
              </w:rPr>
            </w:pPr>
            <w:r w:rsidRPr="00815F98">
              <w:rPr>
                <w:b/>
                <w:bCs/>
                <w:sz w:val="28"/>
                <w:szCs w:val="28"/>
              </w:rPr>
              <w:t xml:space="preserve">5.1.- </w:t>
            </w:r>
            <w:r w:rsidR="00EF335E" w:rsidRPr="001C52DD">
              <w:rPr>
                <w:bCs/>
                <w:i/>
                <w:sz w:val="28"/>
                <w:szCs w:val="28"/>
              </w:rPr>
              <w:t xml:space="preserve">Esta Dirección </w:t>
            </w:r>
            <w:r w:rsidR="000D4ABB" w:rsidRPr="001C52DD">
              <w:rPr>
                <w:bCs/>
                <w:i/>
                <w:sz w:val="28"/>
                <w:szCs w:val="28"/>
              </w:rPr>
              <w:t xml:space="preserve">recomienda </w:t>
            </w:r>
            <w:r w:rsidR="00195C46">
              <w:rPr>
                <w:bCs/>
                <w:i/>
                <w:sz w:val="28"/>
                <w:szCs w:val="28"/>
              </w:rPr>
              <w:t xml:space="preserve">acoger parcialmente la solicitud de la Dirección General del OIJ, mediante </w:t>
            </w:r>
            <w:r w:rsidR="000D4ABB" w:rsidRPr="001C52DD">
              <w:rPr>
                <w:bCs/>
                <w:i/>
                <w:sz w:val="28"/>
                <w:szCs w:val="28"/>
              </w:rPr>
              <w:t xml:space="preserve">la creación </w:t>
            </w:r>
            <w:r w:rsidR="00195C46">
              <w:rPr>
                <w:bCs/>
                <w:i/>
                <w:sz w:val="28"/>
                <w:szCs w:val="28"/>
              </w:rPr>
              <w:t xml:space="preserve">de las siguientes plazas en las dependencias del </w:t>
            </w:r>
            <w:r w:rsidR="001C52DD">
              <w:rPr>
                <w:bCs/>
                <w:i/>
                <w:sz w:val="28"/>
                <w:szCs w:val="28"/>
              </w:rPr>
              <w:t>Departamento</w:t>
            </w:r>
            <w:r w:rsidR="00195C46">
              <w:rPr>
                <w:bCs/>
                <w:i/>
                <w:sz w:val="28"/>
                <w:szCs w:val="28"/>
              </w:rPr>
              <w:t xml:space="preserve"> Laboratorio</w:t>
            </w:r>
            <w:r w:rsidR="001C52DD">
              <w:rPr>
                <w:bCs/>
                <w:i/>
                <w:sz w:val="28"/>
                <w:szCs w:val="28"/>
              </w:rPr>
              <w:t xml:space="preserve"> de Ciencias Forenses</w:t>
            </w:r>
            <w:r w:rsidR="000D4ABB" w:rsidRPr="001C52DD">
              <w:rPr>
                <w:bCs/>
                <w:i/>
                <w:sz w:val="28"/>
                <w:szCs w:val="28"/>
              </w:rPr>
              <w:t>:</w:t>
            </w:r>
          </w:p>
          <w:p w:rsidR="00357F3B" w:rsidRPr="00815F98" w:rsidRDefault="00357F3B" w:rsidP="00357F3B">
            <w:pPr>
              <w:keepLines/>
              <w:tabs>
                <w:tab w:val="left" w:pos="1080"/>
              </w:tabs>
              <w:jc w:val="both"/>
              <w:rPr>
                <w:b/>
                <w:bCs/>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673"/>
              <w:gridCol w:w="1010"/>
              <w:gridCol w:w="1310"/>
              <w:gridCol w:w="914"/>
              <w:gridCol w:w="801"/>
              <w:gridCol w:w="1182"/>
              <w:gridCol w:w="927"/>
            </w:tblGrid>
            <w:tr w:rsidR="00357F3B" w:rsidRPr="001D2B09" w:rsidTr="005830DD">
              <w:trPr>
                <w:trHeight w:val="359"/>
                <w:tblHeader/>
                <w:jc w:val="center"/>
              </w:trPr>
              <w:tc>
                <w:tcPr>
                  <w:tcW w:w="1107" w:type="dxa"/>
                  <w:tcBorders>
                    <w:top w:val="single" w:sz="4" w:space="0" w:color="auto"/>
                    <w:left w:val="single" w:sz="4" w:space="0" w:color="auto"/>
                    <w:bottom w:val="single" w:sz="4" w:space="0" w:color="auto"/>
                    <w:right w:val="single" w:sz="4" w:space="0" w:color="auto"/>
                  </w:tcBorders>
                  <w:vAlign w:val="center"/>
                </w:tcPr>
                <w:p w:rsidR="00357F3B" w:rsidRPr="001D2B09" w:rsidRDefault="000D4ABB" w:rsidP="00357F3B">
                  <w:pPr>
                    <w:snapToGrid w:val="0"/>
                    <w:jc w:val="center"/>
                    <w:rPr>
                      <w:b/>
                      <w:bCs/>
                      <w:sz w:val="16"/>
                      <w:szCs w:val="14"/>
                    </w:rPr>
                  </w:pPr>
                  <w:r>
                    <w:rPr>
                      <w:b/>
                      <w:bCs/>
                      <w:sz w:val="16"/>
                      <w:szCs w:val="14"/>
                    </w:rPr>
                    <w:t>Sección</w:t>
                  </w:r>
                </w:p>
              </w:tc>
              <w:tc>
                <w:tcPr>
                  <w:tcW w:w="673" w:type="dxa"/>
                  <w:tcBorders>
                    <w:top w:val="single" w:sz="4" w:space="0" w:color="auto"/>
                    <w:left w:val="single" w:sz="4" w:space="0" w:color="auto"/>
                    <w:bottom w:val="single" w:sz="4" w:space="0" w:color="auto"/>
                    <w:right w:val="single" w:sz="4" w:space="0" w:color="auto"/>
                  </w:tcBorders>
                  <w:vAlign w:val="center"/>
                </w:tcPr>
                <w:p w:rsidR="00357F3B" w:rsidRPr="001D2B09" w:rsidRDefault="00357F3B" w:rsidP="00357F3B">
                  <w:pPr>
                    <w:snapToGrid w:val="0"/>
                    <w:jc w:val="center"/>
                    <w:rPr>
                      <w:b/>
                      <w:bCs/>
                      <w:sz w:val="16"/>
                      <w:szCs w:val="14"/>
                    </w:rPr>
                  </w:pPr>
                  <w:r w:rsidRPr="001D2B09">
                    <w:rPr>
                      <w:b/>
                      <w:bCs/>
                      <w:sz w:val="16"/>
                      <w:szCs w:val="14"/>
                    </w:rPr>
                    <w:t>Cant.</w:t>
                  </w:r>
                </w:p>
              </w:tc>
              <w:tc>
                <w:tcPr>
                  <w:tcW w:w="1010" w:type="dxa"/>
                  <w:tcBorders>
                    <w:top w:val="single" w:sz="4" w:space="0" w:color="auto"/>
                    <w:left w:val="single" w:sz="4" w:space="0" w:color="auto"/>
                    <w:bottom w:val="single" w:sz="4" w:space="0" w:color="auto"/>
                    <w:right w:val="single" w:sz="4" w:space="0" w:color="auto"/>
                  </w:tcBorders>
                  <w:vAlign w:val="center"/>
                </w:tcPr>
                <w:p w:rsidR="00357F3B" w:rsidRPr="001D2B09" w:rsidRDefault="00357F3B" w:rsidP="00357F3B">
                  <w:pPr>
                    <w:snapToGrid w:val="0"/>
                    <w:jc w:val="center"/>
                    <w:rPr>
                      <w:b/>
                      <w:bCs/>
                      <w:sz w:val="16"/>
                      <w:szCs w:val="14"/>
                    </w:rPr>
                  </w:pPr>
                  <w:r w:rsidRPr="001D2B09">
                    <w:rPr>
                      <w:b/>
                      <w:bCs/>
                      <w:sz w:val="16"/>
                      <w:szCs w:val="14"/>
                    </w:rPr>
                    <w:t>Tipo de plaza</w:t>
                  </w:r>
                </w:p>
              </w:tc>
              <w:tc>
                <w:tcPr>
                  <w:tcW w:w="1310" w:type="dxa"/>
                  <w:tcBorders>
                    <w:top w:val="single" w:sz="4" w:space="0" w:color="auto"/>
                    <w:left w:val="single" w:sz="4" w:space="0" w:color="auto"/>
                    <w:bottom w:val="single" w:sz="4" w:space="0" w:color="auto"/>
                    <w:right w:val="single" w:sz="4" w:space="0" w:color="auto"/>
                  </w:tcBorders>
                  <w:vAlign w:val="center"/>
                </w:tcPr>
                <w:p w:rsidR="00357F3B" w:rsidRPr="001D2B09" w:rsidRDefault="00357F3B" w:rsidP="00357F3B">
                  <w:pPr>
                    <w:snapToGrid w:val="0"/>
                    <w:jc w:val="center"/>
                    <w:rPr>
                      <w:b/>
                      <w:bCs/>
                      <w:sz w:val="16"/>
                      <w:szCs w:val="14"/>
                    </w:rPr>
                  </w:pPr>
                  <w:r w:rsidRPr="001D2B09">
                    <w:rPr>
                      <w:b/>
                      <w:bCs/>
                      <w:sz w:val="16"/>
                      <w:szCs w:val="14"/>
                    </w:rPr>
                    <w:t>Condición actual</w:t>
                  </w:r>
                </w:p>
              </w:tc>
              <w:tc>
                <w:tcPr>
                  <w:tcW w:w="914" w:type="dxa"/>
                  <w:tcBorders>
                    <w:top w:val="single" w:sz="4" w:space="0" w:color="auto"/>
                    <w:left w:val="single" w:sz="4" w:space="0" w:color="auto"/>
                    <w:bottom w:val="single" w:sz="4" w:space="0" w:color="auto"/>
                    <w:right w:val="single" w:sz="4" w:space="0" w:color="auto"/>
                  </w:tcBorders>
                  <w:vAlign w:val="center"/>
                </w:tcPr>
                <w:p w:rsidR="00357F3B" w:rsidRPr="001D2B09" w:rsidRDefault="00357F3B" w:rsidP="00357F3B">
                  <w:pPr>
                    <w:snapToGrid w:val="0"/>
                    <w:jc w:val="center"/>
                    <w:rPr>
                      <w:b/>
                      <w:bCs/>
                      <w:sz w:val="16"/>
                      <w:szCs w:val="14"/>
                    </w:rPr>
                  </w:pPr>
                  <w:r w:rsidRPr="001D2B09">
                    <w:rPr>
                      <w:b/>
                      <w:bCs/>
                      <w:sz w:val="16"/>
                      <w:szCs w:val="14"/>
                    </w:rPr>
                    <w:t>Recomen-dación</w:t>
                  </w:r>
                </w:p>
              </w:tc>
              <w:tc>
                <w:tcPr>
                  <w:tcW w:w="801" w:type="dxa"/>
                  <w:tcBorders>
                    <w:top w:val="single" w:sz="4" w:space="0" w:color="auto"/>
                    <w:left w:val="single" w:sz="4" w:space="0" w:color="auto"/>
                    <w:bottom w:val="single" w:sz="4" w:space="0" w:color="auto"/>
                    <w:right w:val="single" w:sz="4" w:space="0" w:color="auto"/>
                  </w:tcBorders>
                  <w:vAlign w:val="center"/>
                </w:tcPr>
                <w:p w:rsidR="00357F3B" w:rsidRPr="001D2B09" w:rsidRDefault="00357F3B" w:rsidP="00357F3B">
                  <w:pPr>
                    <w:jc w:val="center"/>
                    <w:rPr>
                      <w:b/>
                      <w:bCs/>
                      <w:sz w:val="16"/>
                      <w:szCs w:val="14"/>
                    </w:rPr>
                  </w:pPr>
                  <w:r w:rsidRPr="001D2B09">
                    <w:rPr>
                      <w:b/>
                      <w:bCs/>
                      <w:sz w:val="16"/>
                      <w:szCs w:val="14"/>
                    </w:rPr>
                    <w:t>Período</w:t>
                  </w:r>
                </w:p>
              </w:tc>
              <w:tc>
                <w:tcPr>
                  <w:tcW w:w="1182" w:type="dxa"/>
                  <w:tcBorders>
                    <w:top w:val="single" w:sz="4" w:space="0" w:color="auto"/>
                    <w:left w:val="single" w:sz="4" w:space="0" w:color="auto"/>
                    <w:bottom w:val="single" w:sz="4" w:space="0" w:color="auto"/>
                    <w:right w:val="single" w:sz="4" w:space="0" w:color="auto"/>
                  </w:tcBorders>
                  <w:vAlign w:val="center"/>
                </w:tcPr>
                <w:p w:rsidR="00357F3B" w:rsidRPr="001D2B09" w:rsidRDefault="00357F3B" w:rsidP="00357F3B">
                  <w:pPr>
                    <w:snapToGrid w:val="0"/>
                    <w:jc w:val="center"/>
                    <w:rPr>
                      <w:b/>
                      <w:bCs/>
                      <w:sz w:val="16"/>
                      <w:szCs w:val="14"/>
                    </w:rPr>
                  </w:pPr>
                  <w:r w:rsidRPr="001D2B09">
                    <w:rPr>
                      <w:b/>
                      <w:bCs/>
                      <w:sz w:val="16"/>
                      <w:szCs w:val="14"/>
                    </w:rPr>
                    <w:t>Costo Estimado</w:t>
                  </w:r>
                </w:p>
              </w:tc>
              <w:tc>
                <w:tcPr>
                  <w:tcW w:w="927" w:type="dxa"/>
                  <w:tcBorders>
                    <w:top w:val="single" w:sz="4" w:space="0" w:color="auto"/>
                    <w:left w:val="single" w:sz="4" w:space="0" w:color="auto"/>
                    <w:bottom w:val="single" w:sz="4" w:space="0" w:color="auto"/>
                    <w:right w:val="single" w:sz="4" w:space="0" w:color="auto"/>
                  </w:tcBorders>
                  <w:vAlign w:val="center"/>
                </w:tcPr>
                <w:p w:rsidR="00357F3B" w:rsidRPr="001D2B09" w:rsidRDefault="00357F3B" w:rsidP="00357F3B">
                  <w:pPr>
                    <w:snapToGrid w:val="0"/>
                    <w:jc w:val="center"/>
                    <w:rPr>
                      <w:b/>
                      <w:bCs/>
                      <w:sz w:val="16"/>
                      <w:szCs w:val="14"/>
                      <w:highlight w:val="yellow"/>
                    </w:rPr>
                  </w:pPr>
                  <w:r w:rsidRPr="001D2B09">
                    <w:rPr>
                      <w:b/>
                      <w:bCs/>
                      <w:sz w:val="16"/>
                      <w:szCs w:val="14"/>
                    </w:rPr>
                    <w:t>Prioridad</w:t>
                  </w:r>
                </w:p>
              </w:tc>
            </w:tr>
            <w:tr w:rsidR="00357F3B" w:rsidRPr="001D2B09" w:rsidTr="005830DD">
              <w:trPr>
                <w:trHeight w:val="370"/>
                <w:jc w:val="center"/>
              </w:trPr>
              <w:tc>
                <w:tcPr>
                  <w:tcW w:w="1107" w:type="dxa"/>
                  <w:tcBorders>
                    <w:top w:val="single" w:sz="4" w:space="0" w:color="auto"/>
                    <w:left w:val="single" w:sz="4" w:space="0" w:color="auto"/>
                    <w:bottom w:val="single" w:sz="4" w:space="0" w:color="auto"/>
                    <w:right w:val="single" w:sz="4" w:space="0" w:color="auto"/>
                  </w:tcBorders>
                  <w:vAlign w:val="center"/>
                </w:tcPr>
                <w:p w:rsidR="00357F3B" w:rsidRPr="001D2B09" w:rsidRDefault="000D4ABB" w:rsidP="00357F3B">
                  <w:pPr>
                    <w:snapToGrid w:val="0"/>
                    <w:jc w:val="center"/>
                    <w:rPr>
                      <w:b/>
                      <w:sz w:val="16"/>
                      <w:szCs w:val="14"/>
                    </w:rPr>
                  </w:pPr>
                  <w:r>
                    <w:rPr>
                      <w:b/>
                      <w:sz w:val="16"/>
                      <w:szCs w:val="14"/>
                    </w:rPr>
                    <w:t>Toxicología</w:t>
                  </w:r>
                </w:p>
              </w:tc>
              <w:tc>
                <w:tcPr>
                  <w:tcW w:w="673" w:type="dxa"/>
                  <w:tcBorders>
                    <w:top w:val="single" w:sz="4" w:space="0" w:color="auto"/>
                    <w:left w:val="single" w:sz="4" w:space="0" w:color="auto"/>
                    <w:bottom w:val="single" w:sz="4" w:space="0" w:color="auto"/>
                    <w:right w:val="single" w:sz="4" w:space="0" w:color="auto"/>
                  </w:tcBorders>
                  <w:vAlign w:val="center"/>
                </w:tcPr>
                <w:p w:rsidR="00357F3B" w:rsidRPr="001D2B09" w:rsidRDefault="000D4ABB" w:rsidP="00357F3B">
                  <w:pPr>
                    <w:snapToGrid w:val="0"/>
                    <w:jc w:val="center"/>
                    <w:rPr>
                      <w:sz w:val="16"/>
                      <w:szCs w:val="14"/>
                    </w:rPr>
                  </w:pPr>
                  <w:r>
                    <w:rPr>
                      <w:sz w:val="16"/>
                      <w:szCs w:val="14"/>
                    </w:rPr>
                    <w:t>1</w:t>
                  </w:r>
                </w:p>
              </w:tc>
              <w:tc>
                <w:tcPr>
                  <w:tcW w:w="1010" w:type="dxa"/>
                  <w:tcBorders>
                    <w:top w:val="single" w:sz="4" w:space="0" w:color="auto"/>
                    <w:left w:val="single" w:sz="4" w:space="0" w:color="auto"/>
                    <w:bottom w:val="single" w:sz="4" w:space="0" w:color="auto"/>
                    <w:right w:val="single" w:sz="4" w:space="0" w:color="auto"/>
                  </w:tcBorders>
                  <w:vAlign w:val="center"/>
                </w:tcPr>
                <w:p w:rsidR="00357F3B" w:rsidRPr="001D2B09" w:rsidRDefault="000D4ABB" w:rsidP="00357F3B">
                  <w:pPr>
                    <w:snapToGrid w:val="0"/>
                    <w:jc w:val="center"/>
                    <w:rPr>
                      <w:sz w:val="16"/>
                      <w:szCs w:val="14"/>
                    </w:rPr>
                  </w:pPr>
                  <w:r>
                    <w:rPr>
                      <w:sz w:val="16"/>
                      <w:szCs w:val="14"/>
                    </w:rPr>
                    <w:t>Perito Judicial 2B</w:t>
                  </w:r>
                </w:p>
              </w:tc>
              <w:tc>
                <w:tcPr>
                  <w:tcW w:w="1310"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Permiso</w:t>
                  </w:r>
                </w:p>
              </w:tc>
              <w:tc>
                <w:tcPr>
                  <w:tcW w:w="914" w:type="dxa"/>
                  <w:tcBorders>
                    <w:top w:val="single" w:sz="4" w:space="0" w:color="auto"/>
                    <w:left w:val="single" w:sz="4" w:space="0" w:color="auto"/>
                    <w:bottom w:val="single" w:sz="4" w:space="0" w:color="auto"/>
                    <w:right w:val="single" w:sz="4" w:space="0" w:color="auto"/>
                  </w:tcBorders>
                  <w:vAlign w:val="center"/>
                </w:tcPr>
                <w:p w:rsidR="00357F3B" w:rsidRPr="001D2B09" w:rsidRDefault="000D4ABB" w:rsidP="005830DD">
                  <w:pPr>
                    <w:snapToGrid w:val="0"/>
                    <w:rPr>
                      <w:sz w:val="16"/>
                      <w:szCs w:val="14"/>
                    </w:rPr>
                  </w:pPr>
                  <w:r>
                    <w:rPr>
                      <w:sz w:val="16"/>
                      <w:szCs w:val="14"/>
                    </w:rPr>
                    <w:t>Ordinaria</w:t>
                  </w:r>
                </w:p>
              </w:tc>
              <w:tc>
                <w:tcPr>
                  <w:tcW w:w="801" w:type="dxa"/>
                  <w:tcBorders>
                    <w:top w:val="single" w:sz="4" w:space="0" w:color="auto"/>
                    <w:left w:val="single" w:sz="4" w:space="0" w:color="auto"/>
                    <w:bottom w:val="single" w:sz="4" w:space="0" w:color="auto"/>
                    <w:right w:val="single" w:sz="4" w:space="0" w:color="auto"/>
                  </w:tcBorders>
                  <w:vAlign w:val="center"/>
                </w:tcPr>
                <w:p w:rsidR="00357F3B" w:rsidRPr="001D2B09" w:rsidRDefault="000D4ABB" w:rsidP="00357F3B">
                  <w:pPr>
                    <w:snapToGrid w:val="0"/>
                    <w:jc w:val="center"/>
                    <w:rPr>
                      <w:sz w:val="16"/>
                      <w:szCs w:val="14"/>
                    </w:rPr>
                  </w:pPr>
                  <w:r>
                    <w:rPr>
                      <w:sz w:val="16"/>
                      <w:szCs w:val="14"/>
                    </w:rPr>
                    <w:t>2019</w:t>
                  </w:r>
                </w:p>
              </w:tc>
              <w:tc>
                <w:tcPr>
                  <w:tcW w:w="1182" w:type="dxa"/>
                  <w:tcBorders>
                    <w:top w:val="single" w:sz="4" w:space="0" w:color="auto"/>
                    <w:left w:val="single" w:sz="4" w:space="0" w:color="auto"/>
                    <w:bottom w:val="single" w:sz="4" w:space="0" w:color="auto"/>
                    <w:right w:val="single" w:sz="4" w:space="0" w:color="auto"/>
                  </w:tcBorders>
                  <w:vAlign w:val="center"/>
                </w:tcPr>
                <w:p w:rsidR="00357F3B" w:rsidRPr="001D2B09" w:rsidRDefault="00DF0C79" w:rsidP="00357F3B">
                  <w:pPr>
                    <w:rPr>
                      <w:b/>
                      <w:bCs/>
                      <w:color w:val="000000"/>
                      <w:sz w:val="16"/>
                      <w:szCs w:val="14"/>
                    </w:rPr>
                  </w:pPr>
                  <w:r>
                    <w:rPr>
                      <w:b/>
                      <w:bCs/>
                      <w:color w:val="000000"/>
                      <w:sz w:val="16"/>
                      <w:szCs w:val="14"/>
                    </w:rPr>
                    <w:t>¢46.185.000</w:t>
                  </w:r>
                </w:p>
              </w:tc>
              <w:tc>
                <w:tcPr>
                  <w:tcW w:w="927" w:type="dxa"/>
                  <w:tcBorders>
                    <w:top w:val="single" w:sz="4" w:space="0" w:color="auto"/>
                    <w:left w:val="single" w:sz="4" w:space="0" w:color="auto"/>
                    <w:bottom w:val="single" w:sz="4" w:space="0" w:color="auto"/>
                    <w:right w:val="single" w:sz="4" w:space="0" w:color="auto"/>
                  </w:tcBorders>
                  <w:vAlign w:val="center"/>
                </w:tcPr>
                <w:p w:rsidR="00357F3B" w:rsidRPr="001D2B09" w:rsidRDefault="000D4ABB" w:rsidP="00357F3B">
                  <w:pPr>
                    <w:snapToGrid w:val="0"/>
                    <w:jc w:val="center"/>
                    <w:rPr>
                      <w:sz w:val="16"/>
                      <w:szCs w:val="14"/>
                    </w:rPr>
                  </w:pPr>
                  <w:r>
                    <w:rPr>
                      <w:sz w:val="16"/>
                      <w:szCs w:val="14"/>
                    </w:rPr>
                    <w:t>1</w:t>
                  </w:r>
                </w:p>
              </w:tc>
            </w:tr>
            <w:tr w:rsidR="000D4ABB" w:rsidRPr="001D2B09" w:rsidTr="005830DD">
              <w:trPr>
                <w:trHeight w:val="370"/>
                <w:jc w:val="center"/>
              </w:trPr>
              <w:tc>
                <w:tcPr>
                  <w:tcW w:w="1107"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b/>
                      <w:sz w:val="16"/>
                      <w:szCs w:val="14"/>
                    </w:rPr>
                  </w:pPr>
                  <w:r>
                    <w:rPr>
                      <w:b/>
                      <w:sz w:val="16"/>
                      <w:szCs w:val="14"/>
                    </w:rPr>
                    <w:t>Bioquímica</w:t>
                  </w:r>
                </w:p>
              </w:tc>
              <w:tc>
                <w:tcPr>
                  <w:tcW w:w="673"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1</w:t>
                  </w:r>
                </w:p>
              </w:tc>
              <w:tc>
                <w:tcPr>
                  <w:tcW w:w="1010"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Perito Judicial 2B</w:t>
                  </w:r>
                </w:p>
              </w:tc>
              <w:tc>
                <w:tcPr>
                  <w:tcW w:w="1310"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Permiso</w:t>
                  </w:r>
                </w:p>
              </w:tc>
              <w:tc>
                <w:tcPr>
                  <w:tcW w:w="914" w:type="dxa"/>
                  <w:tcBorders>
                    <w:top w:val="single" w:sz="4" w:space="0" w:color="auto"/>
                    <w:left w:val="single" w:sz="4" w:space="0" w:color="auto"/>
                    <w:bottom w:val="single" w:sz="4" w:space="0" w:color="auto"/>
                    <w:right w:val="single" w:sz="4" w:space="0" w:color="auto"/>
                  </w:tcBorders>
                  <w:vAlign w:val="center"/>
                </w:tcPr>
                <w:p w:rsidR="000D4ABB" w:rsidRDefault="000D4ABB" w:rsidP="000D4ABB">
                  <w:r w:rsidRPr="002E027D">
                    <w:rPr>
                      <w:sz w:val="16"/>
                      <w:szCs w:val="14"/>
                    </w:rPr>
                    <w:t>Ordinaria</w:t>
                  </w:r>
                </w:p>
              </w:tc>
              <w:tc>
                <w:tcPr>
                  <w:tcW w:w="801"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2019</w:t>
                  </w:r>
                </w:p>
              </w:tc>
              <w:tc>
                <w:tcPr>
                  <w:tcW w:w="1182" w:type="dxa"/>
                  <w:tcBorders>
                    <w:top w:val="single" w:sz="4" w:space="0" w:color="auto"/>
                    <w:left w:val="single" w:sz="4" w:space="0" w:color="auto"/>
                    <w:bottom w:val="single" w:sz="4" w:space="0" w:color="auto"/>
                    <w:right w:val="single" w:sz="4" w:space="0" w:color="auto"/>
                  </w:tcBorders>
                  <w:vAlign w:val="center"/>
                </w:tcPr>
                <w:p w:rsidR="000D4ABB" w:rsidRPr="001D2B09" w:rsidRDefault="00DF0C79" w:rsidP="000D4ABB">
                  <w:pPr>
                    <w:rPr>
                      <w:b/>
                      <w:bCs/>
                      <w:color w:val="000000"/>
                      <w:sz w:val="16"/>
                      <w:szCs w:val="14"/>
                    </w:rPr>
                  </w:pPr>
                  <w:r>
                    <w:rPr>
                      <w:b/>
                      <w:bCs/>
                      <w:color w:val="000000"/>
                      <w:sz w:val="16"/>
                      <w:szCs w:val="14"/>
                    </w:rPr>
                    <w:t>¢46.185.000</w:t>
                  </w:r>
                </w:p>
              </w:tc>
              <w:tc>
                <w:tcPr>
                  <w:tcW w:w="927"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1</w:t>
                  </w:r>
                </w:p>
              </w:tc>
            </w:tr>
            <w:tr w:rsidR="000D4ABB" w:rsidRPr="001D2B09" w:rsidTr="005830DD">
              <w:trPr>
                <w:trHeight w:val="370"/>
                <w:jc w:val="center"/>
              </w:trPr>
              <w:tc>
                <w:tcPr>
                  <w:tcW w:w="1107"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b/>
                      <w:sz w:val="16"/>
                      <w:szCs w:val="14"/>
                    </w:rPr>
                  </w:pPr>
                  <w:r>
                    <w:rPr>
                      <w:b/>
                      <w:sz w:val="16"/>
                      <w:szCs w:val="14"/>
                    </w:rPr>
                    <w:t>Química Analítica</w:t>
                  </w:r>
                </w:p>
              </w:tc>
              <w:tc>
                <w:tcPr>
                  <w:tcW w:w="673"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1</w:t>
                  </w:r>
                </w:p>
              </w:tc>
              <w:tc>
                <w:tcPr>
                  <w:tcW w:w="1010"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Perito Judicial 2</w:t>
                  </w:r>
                </w:p>
              </w:tc>
              <w:tc>
                <w:tcPr>
                  <w:tcW w:w="1310"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Permiso</w:t>
                  </w:r>
                </w:p>
              </w:tc>
              <w:tc>
                <w:tcPr>
                  <w:tcW w:w="914" w:type="dxa"/>
                  <w:tcBorders>
                    <w:top w:val="single" w:sz="4" w:space="0" w:color="auto"/>
                    <w:left w:val="single" w:sz="4" w:space="0" w:color="auto"/>
                    <w:bottom w:val="single" w:sz="4" w:space="0" w:color="auto"/>
                    <w:right w:val="single" w:sz="4" w:space="0" w:color="auto"/>
                  </w:tcBorders>
                  <w:vAlign w:val="center"/>
                </w:tcPr>
                <w:p w:rsidR="000D4ABB" w:rsidRDefault="000D4ABB" w:rsidP="000D4ABB">
                  <w:r w:rsidRPr="002E027D">
                    <w:rPr>
                      <w:sz w:val="16"/>
                      <w:szCs w:val="14"/>
                    </w:rPr>
                    <w:t>Ordinaria</w:t>
                  </w:r>
                </w:p>
              </w:tc>
              <w:tc>
                <w:tcPr>
                  <w:tcW w:w="801"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2019</w:t>
                  </w:r>
                </w:p>
              </w:tc>
              <w:tc>
                <w:tcPr>
                  <w:tcW w:w="1182" w:type="dxa"/>
                  <w:tcBorders>
                    <w:top w:val="single" w:sz="4" w:space="0" w:color="auto"/>
                    <w:left w:val="single" w:sz="4" w:space="0" w:color="auto"/>
                    <w:bottom w:val="single" w:sz="4" w:space="0" w:color="auto"/>
                    <w:right w:val="single" w:sz="4" w:space="0" w:color="auto"/>
                  </w:tcBorders>
                  <w:vAlign w:val="center"/>
                </w:tcPr>
                <w:p w:rsidR="000D4ABB" w:rsidRPr="001D2B09" w:rsidRDefault="00DF0C79" w:rsidP="000D4ABB">
                  <w:pPr>
                    <w:rPr>
                      <w:b/>
                      <w:bCs/>
                      <w:color w:val="000000"/>
                      <w:sz w:val="16"/>
                      <w:szCs w:val="14"/>
                    </w:rPr>
                  </w:pPr>
                  <w:r>
                    <w:rPr>
                      <w:b/>
                      <w:bCs/>
                      <w:color w:val="000000"/>
                      <w:sz w:val="16"/>
                      <w:szCs w:val="14"/>
                    </w:rPr>
                    <w:t>¢39.651.000</w:t>
                  </w:r>
                </w:p>
              </w:tc>
              <w:tc>
                <w:tcPr>
                  <w:tcW w:w="927"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1</w:t>
                  </w:r>
                </w:p>
              </w:tc>
            </w:tr>
            <w:tr w:rsidR="000D4ABB" w:rsidRPr="001D2B09" w:rsidTr="005830DD">
              <w:trPr>
                <w:trHeight w:val="370"/>
                <w:jc w:val="center"/>
              </w:trPr>
              <w:tc>
                <w:tcPr>
                  <w:tcW w:w="1107"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b/>
                      <w:sz w:val="16"/>
                      <w:szCs w:val="14"/>
                    </w:rPr>
                  </w:pPr>
                  <w:r>
                    <w:rPr>
                      <w:b/>
                      <w:sz w:val="16"/>
                      <w:szCs w:val="14"/>
                    </w:rPr>
                    <w:t>Pericias Físicas</w:t>
                  </w:r>
                </w:p>
              </w:tc>
              <w:tc>
                <w:tcPr>
                  <w:tcW w:w="673"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1</w:t>
                  </w:r>
                </w:p>
              </w:tc>
              <w:tc>
                <w:tcPr>
                  <w:tcW w:w="1010"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Perito Judicial 1</w:t>
                  </w:r>
                </w:p>
              </w:tc>
              <w:tc>
                <w:tcPr>
                  <w:tcW w:w="1310"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Permiso</w:t>
                  </w:r>
                </w:p>
              </w:tc>
              <w:tc>
                <w:tcPr>
                  <w:tcW w:w="914" w:type="dxa"/>
                  <w:tcBorders>
                    <w:top w:val="single" w:sz="4" w:space="0" w:color="auto"/>
                    <w:left w:val="single" w:sz="4" w:space="0" w:color="auto"/>
                    <w:bottom w:val="single" w:sz="4" w:space="0" w:color="auto"/>
                    <w:right w:val="single" w:sz="4" w:space="0" w:color="auto"/>
                  </w:tcBorders>
                  <w:vAlign w:val="center"/>
                </w:tcPr>
                <w:p w:rsidR="000D4ABB" w:rsidRDefault="000D4ABB" w:rsidP="000D4ABB">
                  <w:r w:rsidRPr="002E027D">
                    <w:rPr>
                      <w:sz w:val="16"/>
                      <w:szCs w:val="14"/>
                    </w:rPr>
                    <w:t>Ordinaria</w:t>
                  </w:r>
                </w:p>
              </w:tc>
              <w:tc>
                <w:tcPr>
                  <w:tcW w:w="801"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2019</w:t>
                  </w:r>
                </w:p>
              </w:tc>
              <w:tc>
                <w:tcPr>
                  <w:tcW w:w="1182" w:type="dxa"/>
                  <w:tcBorders>
                    <w:top w:val="single" w:sz="4" w:space="0" w:color="auto"/>
                    <w:left w:val="single" w:sz="4" w:space="0" w:color="auto"/>
                    <w:bottom w:val="single" w:sz="4" w:space="0" w:color="auto"/>
                    <w:right w:val="single" w:sz="4" w:space="0" w:color="auto"/>
                  </w:tcBorders>
                  <w:vAlign w:val="center"/>
                </w:tcPr>
                <w:p w:rsidR="000D4ABB" w:rsidRPr="001D2B09" w:rsidRDefault="00DF0C79" w:rsidP="000D4ABB">
                  <w:pPr>
                    <w:rPr>
                      <w:b/>
                      <w:bCs/>
                      <w:color w:val="000000"/>
                      <w:sz w:val="16"/>
                      <w:szCs w:val="14"/>
                    </w:rPr>
                  </w:pPr>
                  <w:r>
                    <w:rPr>
                      <w:b/>
                      <w:bCs/>
                      <w:color w:val="000000"/>
                      <w:sz w:val="16"/>
                      <w:szCs w:val="14"/>
                    </w:rPr>
                    <w:t>¢28.022.00</w:t>
                  </w:r>
                  <w:r w:rsidR="00195C46">
                    <w:rPr>
                      <w:b/>
                      <w:bCs/>
                      <w:color w:val="000000"/>
                      <w:sz w:val="16"/>
                      <w:szCs w:val="14"/>
                    </w:rPr>
                    <w:t>0</w:t>
                  </w:r>
                </w:p>
              </w:tc>
              <w:tc>
                <w:tcPr>
                  <w:tcW w:w="927" w:type="dxa"/>
                  <w:tcBorders>
                    <w:top w:val="single" w:sz="4" w:space="0" w:color="auto"/>
                    <w:left w:val="single" w:sz="4" w:space="0" w:color="auto"/>
                    <w:bottom w:val="single" w:sz="4" w:space="0" w:color="auto"/>
                    <w:right w:val="single" w:sz="4" w:space="0" w:color="auto"/>
                  </w:tcBorders>
                  <w:vAlign w:val="center"/>
                </w:tcPr>
                <w:p w:rsidR="000D4ABB" w:rsidRPr="001D2B09" w:rsidRDefault="000D4ABB" w:rsidP="000D4ABB">
                  <w:pPr>
                    <w:snapToGrid w:val="0"/>
                    <w:jc w:val="center"/>
                    <w:rPr>
                      <w:sz w:val="16"/>
                      <w:szCs w:val="14"/>
                    </w:rPr>
                  </w:pPr>
                  <w:r>
                    <w:rPr>
                      <w:sz w:val="16"/>
                      <w:szCs w:val="14"/>
                    </w:rPr>
                    <w:t>1</w:t>
                  </w:r>
                </w:p>
              </w:tc>
            </w:tr>
            <w:tr w:rsidR="00195C46" w:rsidRPr="001D2B09" w:rsidTr="00D040C4">
              <w:trPr>
                <w:trHeight w:val="370"/>
                <w:jc w:val="center"/>
              </w:trPr>
              <w:tc>
                <w:tcPr>
                  <w:tcW w:w="1107" w:type="dxa"/>
                  <w:tcBorders>
                    <w:top w:val="single" w:sz="4" w:space="0" w:color="auto"/>
                    <w:left w:val="single" w:sz="4" w:space="0" w:color="auto"/>
                    <w:bottom w:val="single" w:sz="4" w:space="0" w:color="auto"/>
                    <w:right w:val="single" w:sz="4" w:space="0" w:color="auto"/>
                  </w:tcBorders>
                  <w:vAlign w:val="center"/>
                </w:tcPr>
                <w:p w:rsidR="00195C46" w:rsidRDefault="00195C46" w:rsidP="00195C46">
                  <w:pPr>
                    <w:snapToGrid w:val="0"/>
                    <w:jc w:val="center"/>
                    <w:rPr>
                      <w:b/>
                      <w:sz w:val="16"/>
                      <w:szCs w:val="14"/>
                    </w:rPr>
                  </w:pPr>
                  <w:r>
                    <w:rPr>
                      <w:b/>
                      <w:sz w:val="16"/>
                      <w:szCs w:val="14"/>
                    </w:rPr>
                    <w:t>TOTAL</w:t>
                  </w:r>
                </w:p>
              </w:tc>
              <w:tc>
                <w:tcPr>
                  <w:tcW w:w="673" w:type="dxa"/>
                  <w:tcBorders>
                    <w:top w:val="single" w:sz="4" w:space="0" w:color="auto"/>
                    <w:left w:val="single" w:sz="4" w:space="0" w:color="auto"/>
                    <w:bottom w:val="single" w:sz="4" w:space="0" w:color="auto"/>
                    <w:right w:val="single" w:sz="4" w:space="0" w:color="auto"/>
                  </w:tcBorders>
                  <w:vAlign w:val="center"/>
                </w:tcPr>
                <w:p w:rsidR="00195C46" w:rsidRPr="005830DD" w:rsidRDefault="00195C46" w:rsidP="00195C46">
                  <w:pPr>
                    <w:snapToGrid w:val="0"/>
                    <w:jc w:val="center"/>
                    <w:rPr>
                      <w:b/>
                      <w:sz w:val="16"/>
                      <w:szCs w:val="14"/>
                    </w:rPr>
                  </w:pPr>
                  <w:r w:rsidRPr="005830DD">
                    <w:rPr>
                      <w:b/>
                      <w:sz w:val="16"/>
                      <w:szCs w:val="14"/>
                    </w:rPr>
                    <w:t>4</w:t>
                  </w: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195C46" w:rsidRDefault="00195C46" w:rsidP="00195C46">
                  <w:pPr>
                    <w:snapToGrid w:val="0"/>
                    <w:jc w:val="center"/>
                    <w:rPr>
                      <w:sz w:val="16"/>
                      <w:szCs w:val="14"/>
                    </w:rPr>
                  </w:pPr>
                </w:p>
              </w:tc>
              <w:tc>
                <w:tcPr>
                  <w:tcW w:w="1182" w:type="dxa"/>
                  <w:tcBorders>
                    <w:top w:val="single" w:sz="4" w:space="0" w:color="auto"/>
                    <w:left w:val="single" w:sz="4" w:space="0" w:color="auto"/>
                    <w:bottom w:val="single" w:sz="4" w:space="0" w:color="auto"/>
                    <w:right w:val="single" w:sz="4" w:space="0" w:color="auto"/>
                  </w:tcBorders>
                  <w:vAlign w:val="center"/>
                </w:tcPr>
                <w:p w:rsidR="00195C46" w:rsidRDefault="00195C46" w:rsidP="00195C46">
                  <w:pPr>
                    <w:rPr>
                      <w:b/>
                      <w:bCs/>
                      <w:color w:val="000000"/>
                      <w:sz w:val="16"/>
                      <w:szCs w:val="14"/>
                    </w:rPr>
                  </w:pPr>
                  <w:r>
                    <w:rPr>
                      <w:b/>
                      <w:bCs/>
                      <w:color w:val="000000"/>
                      <w:sz w:val="16"/>
                      <w:szCs w:val="14"/>
                    </w:rPr>
                    <w:t>¢160.043.000</w:t>
                  </w:r>
                </w:p>
              </w:tc>
              <w:tc>
                <w:tcPr>
                  <w:tcW w:w="927" w:type="dxa"/>
                  <w:tcBorders>
                    <w:top w:val="single" w:sz="4" w:space="0" w:color="auto"/>
                    <w:left w:val="single" w:sz="4" w:space="0" w:color="auto"/>
                    <w:bottom w:val="single" w:sz="4" w:space="0" w:color="auto"/>
                    <w:right w:val="single" w:sz="4" w:space="0" w:color="auto"/>
                  </w:tcBorders>
                  <w:vAlign w:val="center"/>
                </w:tcPr>
                <w:p w:rsidR="00195C46" w:rsidRDefault="00195C46" w:rsidP="00195C46">
                  <w:pPr>
                    <w:snapToGrid w:val="0"/>
                    <w:jc w:val="center"/>
                    <w:rPr>
                      <w:sz w:val="16"/>
                      <w:szCs w:val="14"/>
                    </w:rPr>
                  </w:pPr>
                </w:p>
              </w:tc>
            </w:tr>
          </w:tbl>
          <w:p w:rsidR="00357F3B" w:rsidRDefault="00357F3B" w:rsidP="00357F3B">
            <w:pPr>
              <w:jc w:val="both"/>
              <w:rPr>
                <w:b/>
                <w:i/>
                <w:sz w:val="28"/>
                <w:szCs w:val="28"/>
              </w:rPr>
            </w:pPr>
          </w:p>
          <w:p w:rsidR="00357F3B" w:rsidRPr="00E86372" w:rsidRDefault="00357F3B" w:rsidP="00E86372">
            <w:pPr>
              <w:jc w:val="both"/>
              <w:rPr>
                <w:b/>
                <w:bCs/>
                <w:i/>
                <w:sz w:val="28"/>
                <w:szCs w:val="28"/>
              </w:rPr>
            </w:pPr>
            <w:r w:rsidRPr="00E86372">
              <w:rPr>
                <w:b/>
                <w:bCs/>
                <w:i/>
                <w:sz w:val="28"/>
                <w:szCs w:val="28"/>
              </w:rPr>
              <w:t>5.2.- Condicionamiento por el cual se otorgan el recurso (Impacto esperado)</w:t>
            </w:r>
          </w:p>
          <w:p w:rsidR="00357F3B" w:rsidRDefault="00357F3B" w:rsidP="00E86372">
            <w:pPr>
              <w:jc w:val="both"/>
              <w:rPr>
                <w:b/>
                <w:bCs/>
                <w:sz w:val="28"/>
                <w:szCs w:val="28"/>
              </w:rPr>
            </w:pPr>
          </w:p>
          <w:p w:rsidR="002478AC" w:rsidRPr="005830DD" w:rsidRDefault="001C4152" w:rsidP="00357F3B">
            <w:pPr>
              <w:jc w:val="both"/>
              <w:rPr>
                <w:i/>
                <w:sz w:val="28"/>
                <w:szCs w:val="28"/>
              </w:rPr>
            </w:pPr>
            <w:r w:rsidRPr="005830DD">
              <w:rPr>
                <w:i/>
                <w:sz w:val="28"/>
                <w:szCs w:val="28"/>
              </w:rPr>
              <w:t>Los recursos recomendado</w:t>
            </w:r>
            <w:r w:rsidR="00C05D28" w:rsidRPr="005830DD">
              <w:rPr>
                <w:i/>
                <w:sz w:val="28"/>
                <w:szCs w:val="28"/>
              </w:rPr>
              <w:t>s</w:t>
            </w:r>
            <w:r w:rsidRPr="005830DD">
              <w:rPr>
                <w:i/>
                <w:sz w:val="28"/>
                <w:szCs w:val="28"/>
              </w:rPr>
              <w:t xml:space="preserve"> se dedi</w:t>
            </w:r>
            <w:r w:rsidR="00357917" w:rsidRPr="005830DD">
              <w:rPr>
                <w:i/>
                <w:sz w:val="28"/>
                <w:szCs w:val="28"/>
              </w:rPr>
              <w:t>carán en</w:t>
            </w:r>
            <w:r w:rsidRPr="005830DD">
              <w:rPr>
                <w:i/>
                <w:sz w:val="28"/>
                <w:szCs w:val="28"/>
              </w:rPr>
              <w:t xml:space="preserve"> forma exclusiva a las </w:t>
            </w:r>
            <w:r w:rsidRPr="005830DD">
              <w:rPr>
                <w:i/>
                <w:sz w:val="28"/>
                <w:szCs w:val="28"/>
              </w:rPr>
              <w:lastRenderedPageBreak/>
              <w:t xml:space="preserve">labores de </w:t>
            </w:r>
            <w:r w:rsidR="00C05D28" w:rsidRPr="005830DD">
              <w:rPr>
                <w:i/>
                <w:sz w:val="28"/>
                <w:szCs w:val="28"/>
              </w:rPr>
              <w:t>aseguramiento de la calidad</w:t>
            </w:r>
            <w:r w:rsidR="00357917" w:rsidRPr="005830DD">
              <w:rPr>
                <w:i/>
                <w:sz w:val="28"/>
                <w:szCs w:val="28"/>
              </w:rPr>
              <w:t xml:space="preserve"> en cada una de las mencionadas secciones del Departamento Laboratorio de Ciencias Forenses. El detalle de</w:t>
            </w:r>
            <w:r w:rsidR="00C05D28" w:rsidRPr="005830DD">
              <w:rPr>
                <w:i/>
                <w:sz w:val="28"/>
                <w:szCs w:val="28"/>
              </w:rPr>
              <w:t xml:space="preserve"> sus funciones </w:t>
            </w:r>
            <w:r w:rsidR="00357917" w:rsidRPr="005830DD">
              <w:rPr>
                <w:i/>
                <w:sz w:val="28"/>
                <w:szCs w:val="28"/>
              </w:rPr>
              <w:t xml:space="preserve">fue </w:t>
            </w:r>
            <w:r w:rsidR="00C05D28" w:rsidRPr="005830DD">
              <w:rPr>
                <w:i/>
                <w:sz w:val="28"/>
                <w:szCs w:val="28"/>
              </w:rPr>
              <w:t>definid</w:t>
            </w:r>
            <w:r w:rsidR="00357917" w:rsidRPr="005830DD">
              <w:rPr>
                <w:i/>
                <w:sz w:val="28"/>
                <w:szCs w:val="28"/>
              </w:rPr>
              <w:t xml:space="preserve">o </w:t>
            </w:r>
            <w:r w:rsidR="00C05D28" w:rsidRPr="005830DD">
              <w:rPr>
                <w:i/>
                <w:sz w:val="28"/>
                <w:szCs w:val="28"/>
              </w:rPr>
              <w:t xml:space="preserve">en el </w:t>
            </w:r>
            <w:r w:rsidR="00357917" w:rsidRPr="005830DD">
              <w:rPr>
                <w:i/>
                <w:sz w:val="28"/>
                <w:szCs w:val="28"/>
              </w:rPr>
              <w:t xml:space="preserve">informe </w:t>
            </w:r>
            <w:r w:rsidR="00C05D28" w:rsidRPr="005830DD">
              <w:rPr>
                <w:i/>
                <w:sz w:val="28"/>
                <w:szCs w:val="28"/>
              </w:rPr>
              <w:t xml:space="preserve">20-OI-2017-B, realizado por </w:t>
            </w:r>
            <w:r w:rsidR="00357917" w:rsidRPr="005830DD">
              <w:rPr>
                <w:i/>
                <w:sz w:val="28"/>
                <w:szCs w:val="28"/>
              </w:rPr>
              <w:t>el Subproceso de Organización Institucional de la</w:t>
            </w:r>
            <w:r w:rsidR="00C05D28" w:rsidRPr="005830DD">
              <w:rPr>
                <w:i/>
                <w:sz w:val="28"/>
                <w:szCs w:val="28"/>
              </w:rPr>
              <w:t xml:space="preserve"> Dirección</w:t>
            </w:r>
            <w:r w:rsidR="00357917" w:rsidRPr="005830DD">
              <w:rPr>
                <w:i/>
                <w:sz w:val="28"/>
                <w:szCs w:val="28"/>
              </w:rPr>
              <w:t xml:space="preserve"> de Planificación</w:t>
            </w:r>
            <w:r w:rsidR="00C05D28" w:rsidRPr="005830DD">
              <w:rPr>
                <w:i/>
                <w:sz w:val="28"/>
                <w:szCs w:val="28"/>
              </w:rPr>
              <w:t>.</w:t>
            </w:r>
          </w:p>
          <w:p w:rsidR="00D475FC" w:rsidRDefault="002478AC" w:rsidP="00357F3B">
            <w:pPr>
              <w:jc w:val="both"/>
              <w:rPr>
                <w:sz w:val="28"/>
                <w:szCs w:val="28"/>
              </w:rPr>
            </w:pPr>
            <w:r>
              <w:rPr>
                <w:sz w:val="28"/>
                <w:szCs w:val="28"/>
              </w:rPr>
              <w:t xml:space="preserve"> </w:t>
            </w:r>
          </w:p>
          <w:p w:rsidR="00D475FC" w:rsidRPr="007F13A9" w:rsidRDefault="00D475FC" w:rsidP="00E86372">
            <w:pPr>
              <w:jc w:val="both"/>
              <w:rPr>
                <w:b/>
                <w:bCs/>
                <w:i/>
                <w:sz w:val="28"/>
                <w:szCs w:val="28"/>
              </w:rPr>
            </w:pPr>
            <w:r>
              <w:rPr>
                <w:b/>
                <w:bCs/>
                <w:i/>
                <w:sz w:val="28"/>
                <w:szCs w:val="28"/>
              </w:rPr>
              <w:t>5.3.-</w:t>
            </w:r>
            <w:r w:rsidR="00357917">
              <w:rPr>
                <w:b/>
                <w:bCs/>
                <w:i/>
                <w:sz w:val="28"/>
                <w:szCs w:val="28"/>
              </w:rPr>
              <w:t xml:space="preserve"> </w:t>
            </w:r>
            <w:r w:rsidRPr="007F13A9">
              <w:rPr>
                <w:b/>
                <w:bCs/>
                <w:i/>
                <w:sz w:val="28"/>
                <w:szCs w:val="28"/>
              </w:rPr>
              <w:t>Otros requerimientos (equipo, alquiler, espacio, vehículos, etc.)</w:t>
            </w:r>
          </w:p>
          <w:p w:rsidR="00D475FC" w:rsidRPr="00E86372" w:rsidRDefault="00D475FC" w:rsidP="00D475FC">
            <w:pPr>
              <w:jc w:val="both"/>
              <w:rPr>
                <w:sz w:val="28"/>
                <w:szCs w:val="28"/>
              </w:rPr>
            </w:pPr>
          </w:p>
          <w:p w:rsidR="006C543E" w:rsidRDefault="00357917" w:rsidP="006C543E">
            <w:pPr>
              <w:jc w:val="both"/>
              <w:rPr>
                <w:i/>
                <w:sz w:val="28"/>
                <w:szCs w:val="28"/>
              </w:rPr>
            </w:pPr>
            <w:r>
              <w:rPr>
                <w:i/>
                <w:sz w:val="28"/>
                <w:szCs w:val="28"/>
              </w:rPr>
              <w:t>Dado que</w:t>
            </w:r>
            <w:r w:rsidRPr="00055C31">
              <w:rPr>
                <w:i/>
                <w:sz w:val="28"/>
                <w:szCs w:val="28"/>
              </w:rPr>
              <w:t xml:space="preserve"> </w:t>
            </w:r>
            <w:r w:rsidR="00202013">
              <w:rPr>
                <w:i/>
                <w:sz w:val="28"/>
                <w:szCs w:val="28"/>
              </w:rPr>
              <w:t xml:space="preserve">los </w:t>
            </w:r>
            <w:r>
              <w:rPr>
                <w:i/>
                <w:sz w:val="28"/>
                <w:szCs w:val="28"/>
              </w:rPr>
              <w:t xml:space="preserve">cuatro puestos recomendados </w:t>
            </w:r>
            <w:proofErr w:type="gramStart"/>
            <w:r w:rsidR="00A10F57">
              <w:rPr>
                <w:i/>
                <w:sz w:val="28"/>
                <w:szCs w:val="28"/>
              </w:rPr>
              <w:t>viene</w:t>
            </w:r>
            <w:proofErr w:type="gramEnd"/>
            <w:r w:rsidR="00A10F57">
              <w:rPr>
                <w:i/>
                <w:sz w:val="28"/>
                <w:szCs w:val="28"/>
              </w:rPr>
              <w:t xml:space="preserve"> laborando </w:t>
            </w:r>
            <w:r w:rsidR="005830DD">
              <w:rPr>
                <w:i/>
                <w:sz w:val="28"/>
                <w:szCs w:val="28"/>
              </w:rPr>
              <w:t>no requieren de</w:t>
            </w:r>
            <w:r>
              <w:rPr>
                <w:i/>
                <w:sz w:val="28"/>
                <w:szCs w:val="28"/>
              </w:rPr>
              <w:t xml:space="preserve"> mobiliario y equipo de oficina</w:t>
            </w:r>
            <w:r w:rsidR="005830DD">
              <w:rPr>
                <w:i/>
                <w:sz w:val="28"/>
                <w:szCs w:val="28"/>
              </w:rPr>
              <w:t>.</w:t>
            </w:r>
          </w:p>
          <w:p w:rsidR="00357917" w:rsidRDefault="00357917" w:rsidP="006C543E">
            <w:pPr>
              <w:jc w:val="both"/>
              <w:rPr>
                <w:i/>
                <w:sz w:val="28"/>
                <w:szCs w:val="28"/>
              </w:rPr>
            </w:pPr>
          </w:p>
          <w:p w:rsidR="00357917" w:rsidRPr="005830DD" w:rsidRDefault="00357917" w:rsidP="006C543E">
            <w:pPr>
              <w:jc w:val="both"/>
              <w:rPr>
                <w:b/>
                <w:i/>
                <w:sz w:val="28"/>
                <w:szCs w:val="28"/>
              </w:rPr>
            </w:pPr>
            <w:r w:rsidRPr="005830DD">
              <w:rPr>
                <w:b/>
                <w:i/>
                <w:sz w:val="28"/>
                <w:szCs w:val="28"/>
              </w:rPr>
              <w:t>Por tanto, los costos totales ascienden a ¢16</w:t>
            </w:r>
            <w:r w:rsidR="00941681">
              <w:rPr>
                <w:b/>
                <w:i/>
                <w:sz w:val="28"/>
                <w:szCs w:val="28"/>
              </w:rPr>
              <w:t>0</w:t>
            </w:r>
            <w:r w:rsidRPr="005830DD">
              <w:rPr>
                <w:b/>
                <w:i/>
                <w:sz w:val="28"/>
                <w:szCs w:val="28"/>
              </w:rPr>
              <w:t>.</w:t>
            </w:r>
            <w:r w:rsidR="00941681">
              <w:rPr>
                <w:b/>
                <w:i/>
                <w:sz w:val="28"/>
                <w:szCs w:val="28"/>
              </w:rPr>
              <w:t>0</w:t>
            </w:r>
            <w:r w:rsidR="00A10F57">
              <w:rPr>
                <w:b/>
                <w:i/>
                <w:sz w:val="28"/>
                <w:szCs w:val="28"/>
              </w:rPr>
              <w:t>43</w:t>
            </w:r>
            <w:r w:rsidRPr="005830DD">
              <w:rPr>
                <w:b/>
                <w:i/>
                <w:sz w:val="28"/>
                <w:szCs w:val="28"/>
              </w:rPr>
              <w:t>.</w:t>
            </w:r>
            <w:r w:rsidR="00A10F57">
              <w:rPr>
                <w:b/>
                <w:i/>
                <w:sz w:val="28"/>
                <w:szCs w:val="28"/>
              </w:rPr>
              <w:t>000</w:t>
            </w:r>
            <w:r w:rsidRPr="005830DD">
              <w:rPr>
                <w:b/>
                <w:i/>
                <w:sz w:val="28"/>
                <w:szCs w:val="28"/>
              </w:rPr>
              <w:t>,00 colones.</w:t>
            </w:r>
          </w:p>
          <w:p w:rsidR="00F82567" w:rsidRPr="007F13A9" w:rsidRDefault="00F82567" w:rsidP="002478AC">
            <w:pPr>
              <w:jc w:val="both"/>
              <w:rPr>
                <w:i/>
              </w:rPr>
            </w:pPr>
          </w:p>
        </w:tc>
      </w:tr>
      <w:tr w:rsidR="00A4667A" w:rsidRPr="008856D3" w:rsidTr="00B20331">
        <w:trPr>
          <w:trHeight w:val="279"/>
        </w:trPr>
        <w:tc>
          <w:tcPr>
            <w:tcW w:w="2518" w:type="dxa"/>
            <w:shd w:val="clear" w:color="auto" w:fill="B3B3B3"/>
          </w:tcPr>
          <w:p w:rsidR="00A4667A" w:rsidRPr="00DE5FEF" w:rsidRDefault="00A4667A" w:rsidP="00F77F8B">
            <w:pPr>
              <w:jc w:val="right"/>
              <w:rPr>
                <w:b/>
              </w:rPr>
            </w:pPr>
            <w:r w:rsidRPr="00DE5FEF">
              <w:rPr>
                <w:b/>
              </w:rPr>
              <w:lastRenderedPageBreak/>
              <w:t>Realizado por:</w:t>
            </w:r>
          </w:p>
        </w:tc>
        <w:tc>
          <w:tcPr>
            <w:tcW w:w="8080" w:type="dxa"/>
          </w:tcPr>
          <w:p w:rsidR="00A4667A" w:rsidRPr="008856D3" w:rsidRDefault="001F03F4" w:rsidP="00F77F8B">
            <w:pPr>
              <w:pStyle w:val="Cuerpodetexto"/>
              <w:spacing w:after="0" w:line="240" w:lineRule="auto"/>
              <w:jc w:val="both"/>
              <w:rPr>
                <w:bCs/>
                <w:i/>
                <w:color w:val="5B9BD5"/>
                <w:sz w:val="26"/>
                <w:szCs w:val="26"/>
              </w:rPr>
            </w:pPr>
            <w:r w:rsidRPr="008856D3">
              <w:rPr>
                <w:bCs/>
                <w:i/>
                <w:sz w:val="26"/>
                <w:szCs w:val="26"/>
              </w:rPr>
              <w:t>Lic</w:t>
            </w:r>
            <w:r w:rsidR="007F4D28">
              <w:rPr>
                <w:bCs/>
                <w:i/>
                <w:sz w:val="26"/>
                <w:szCs w:val="26"/>
              </w:rPr>
              <w:t xml:space="preserve">. </w:t>
            </w:r>
            <w:r w:rsidR="00461D5B">
              <w:rPr>
                <w:bCs/>
                <w:i/>
                <w:sz w:val="26"/>
                <w:szCs w:val="26"/>
              </w:rPr>
              <w:t>Alejandro Fonseca Arguedas</w:t>
            </w:r>
            <w:r w:rsidR="00A4667A" w:rsidRPr="008856D3">
              <w:rPr>
                <w:bCs/>
                <w:i/>
                <w:sz w:val="26"/>
                <w:szCs w:val="26"/>
              </w:rPr>
              <w:t xml:space="preserve">, </w:t>
            </w:r>
            <w:r w:rsidR="007F4D28">
              <w:rPr>
                <w:bCs/>
                <w:i/>
                <w:sz w:val="26"/>
                <w:szCs w:val="26"/>
              </w:rPr>
              <w:t>Profesional 2</w:t>
            </w:r>
            <w:r w:rsidR="00875FC2">
              <w:rPr>
                <w:bCs/>
                <w:i/>
                <w:sz w:val="26"/>
                <w:szCs w:val="26"/>
              </w:rPr>
              <w:t xml:space="preserve"> de Planificación </w:t>
            </w:r>
          </w:p>
        </w:tc>
      </w:tr>
      <w:tr w:rsidR="00A4667A" w:rsidRPr="00723CF6" w:rsidTr="00B20331">
        <w:trPr>
          <w:trHeight w:val="279"/>
        </w:trPr>
        <w:tc>
          <w:tcPr>
            <w:tcW w:w="2518" w:type="dxa"/>
            <w:shd w:val="clear" w:color="auto" w:fill="B3B3B3"/>
          </w:tcPr>
          <w:p w:rsidR="00A4667A" w:rsidRPr="00DE5FEF" w:rsidRDefault="00A4667A" w:rsidP="00F77F8B">
            <w:pPr>
              <w:jc w:val="right"/>
              <w:rPr>
                <w:b/>
              </w:rPr>
            </w:pPr>
            <w:r w:rsidRPr="00DE5FEF">
              <w:rPr>
                <w:b/>
              </w:rPr>
              <w:t>Aprobado por:</w:t>
            </w:r>
          </w:p>
        </w:tc>
        <w:tc>
          <w:tcPr>
            <w:tcW w:w="8080" w:type="dxa"/>
          </w:tcPr>
          <w:p w:rsidR="00A4667A" w:rsidRPr="00B20331" w:rsidRDefault="007F4D28" w:rsidP="00B20331">
            <w:pPr>
              <w:pStyle w:val="Cuerpodetexto"/>
              <w:spacing w:after="0" w:line="240" w:lineRule="auto"/>
              <w:jc w:val="both"/>
              <w:rPr>
                <w:bCs/>
                <w:i/>
                <w:color w:val="5B9BD5"/>
                <w:sz w:val="26"/>
                <w:szCs w:val="26"/>
                <w:lang w:val="es-ES" w:bidi="ar-SA"/>
              </w:rPr>
            </w:pPr>
            <w:r w:rsidRPr="008856D3">
              <w:rPr>
                <w:bCs/>
                <w:i/>
                <w:sz w:val="26"/>
                <w:szCs w:val="26"/>
              </w:rPr>
              <w:t>Lic. Minor Anchía Vargas</w:t>
            </w:r>
            <w:r w:rsidR="00A4667A" w:rsidRPr="00B20331">
              <w:rPr>
                <w:bCs/>
                <w:i/>
                <w:sz w:val="26"/>
                <w:szCs w:val="26"/>
              </w:rPr>
              <w:t>, Jefe</w:t>
            </w:r>
            <w:r w:rsidR="00461D5B">
              <w:rPr>
                <w:bCs/>
                <w:i/>
                <w:sz w:val="26"/>
                <w:szCs w:val="26"/>
              </w:rPr>
              <w:t xml:space="preserve"> </w:t>
            </w:r>
            <w:r w:rsidR="00875FC2">
              <w:rPr>
                <w:bCs/>
                <w:i/>
                <w:sz w:val="26"/>
                <w:szCs w:val="26"/>
              </w:rPr>
              <w:t xml:space="preserve">a.i. </w:t>
            </w:r>
            <w:r w:rsidR="00A4667A" w:rsidRPr="00B20331">
              <w:rPr>
                <w:bCs/>
                <w:i/>
                <w:sz w:val="26"/>
                <w:szCs w:val="26"/>
              </w:rPr>
              <w:t xml:space="preserve"> Subproceso Organización Institucional</w:t>
            </w:r>
          </w:p>
        </w:tc>
      </w:tr>
      <w:tr w:rsidR="00A4667A" w:rsidRPr="00723CF6" w:rsidTr="00B20331">
        <w:trPr>
          <w:trHeight w:val="294"/>
        </w:trPr>
        <w:tc>
          <w:tcPr>
            <w:tcW w:w="2518" w:type="dxa"/>
            <w:shd w:val="clear" w:color="auto" w:fill="B3B3B3"/>
          </w:tcPr>
          <w:p w:rsidR="00A4667A" w:rsidRPr="00DE5FEF" w:rsidRDefault="00A4667A" w:rsidP="00F77F8B">
            <w:pPr>
              <w:jc w:val="right"/>
              <w:rPr>
                <w:b/>
              </w:rPr>
            </w:pPr>
            <w:r w:rsidRPr="00DE5FEF">
              <w:rPr>
                <w:b/>
              </w:rPr>
              <w:t>Visto bueno:</w:t>
            </w:r>
          </w:p>
        </w:tc>
        <w:tc>
          <w:tcPr>
            <w:tcW w:w="8080" w:type="dxa"/>
          </w:tcPr>
          <w:p w:rsidR="00A4667A" w:rsidRPr="00B20331" w:rsidRDefault="00A4667A" w:rsidP="00F77F8B">
            <w:pPr>
              <w:suppressLineNumbers/>
              <w:tabs>
                <w:tab w:val="left" w:pos="708"/>
              </w:tabs>
              <w:suppressAutoHyphens/>
              <w:jc w:val="both"/>
              <w:rPr>
                <w:bCs/>
                <w:i/>
                <w:color w:val="5B9BD5"/>
                <w:sz w:val="26"/>
                <w:szCs w:val="26"/>
              </w:rPr>
            </w:pPr>
            <w:r w:rsidRPr="00B20331">
              <w:rPr>
                <w:bCs/>
                <w:i/>
                <w:sz w:val="26"/>
                <w:szCs w:val="26"/>
              </w:rPr>
              <w:t>Licda. Nacira Valverde Bermúdez, Directora</w:t>
            </w:r>
            <w:r w:rsidR="00875FC2">
              <w:rPr>
                <w:bCs/>
                <w:i/>
                <w:sz w:val="26"/>
                <w:szCs w:val="26"/>
              </w:rPr>
              <w:t xml:space="preserve"> a.i. </w:t>
            </w:r>
            <w:r w:rsidRPr="00B20331">
              <w:rPr>
                <w:bCs/>
                <w:i/>
                <w:sz w:val="26"/>
                <w:szCs w:val="26"/>
              </w:rPr>
              <w:t xml:space="preserve"> de Planificación</w:t>
            </w:r>
          </w:p>
        </w:tc>
      </w:tr>
    </w:tbl>
    <w:p w:rsidR="00B20331" w:rsidRDefault="00B20331" w:rsidP="00A4667A">
      <w:pPr>
        <w:rPr>
          <w:rFonts w:cs="Arial"/>
          <w:color w:val="5B9BD5"/>
          <w:lang w:val="es-ES_tradnl"/>
        </w:rPr>
      </w:pPr>
    </w:p>
    <w:p w:rsidR="00875FC2" w:rsidRPr="00875FC2" w:rsidRDefault="00875FC2" w:rsidP="00A4667A">
      <w:pPr>
        <w:rPr>
          <w:rFonts w:cs="Arial"/>
          <w:lang w:val="es-ES_tradnl"/>
        </w:rPr>
      </w:pPr>
      <w:proofErr w:type="gramStart"/>
      <w:r w:rsidRPr="00875FC2">
        <w:rPr>
          <w:rFonts w:cs="Arial"/>
          <w:lang w:val="es-ES_tradnl"/>
        </w:rPr>
        <w:t>pvv</w:t>
      </w:r>
      <w:proofErr w:type="gramEnd"/>
    </w:p>
    <w:p w:rsidR="00A4667A" w:rsidRPr="00E86372" w:rsidRDefault="00D455C3" w:rsidP="00316527">
      <w:pPr>
        <w:rPr>
          <w:b/>
          <w:bCs/>
          <w:sz w:val="28"/>
          <w:szCs w:val="28"/>
        </w:rPr>
      </w:pPr>
      <w:r w:rsidRPr="00E86372">
        <w:rPr>
          <w:b/>
          <w:bCs/>
          <w:sz w:val="28"/>
          <w:szCs w:val="28"/>
        </w:rPr>
        <w:t xml:space="preserve">Referencia SICE: </w:t>
      </w:r>
      <w:r w:rsidR="00E7081F">
        <w:rPr>
          <w:b/>
          <w:bCs/>
          <w:sz w:val="28"/>
          <w:szCs w:val="28"/>
        </w:rPr>
        <w:t>12-18</w:t>
      </w:r>
    </w:p>
    <w:p w:rsidR="006F4C47" w:rsidRDefault="006F4C47" w:rsidP="00A4667A">
      <w:pPr>
        <w:widowControl w:val="0"/>
        <w:jc w:val="both"/>
        <w:rPr>
          <w:bCs/>
          <w:sz w:val="28"/>
          <w:szCs w:val="28"/>
        </w:rPr>
      </w:pPr>
    </w:p>
    <w:sectPr w:rsidR="006F4C47" w:rsidSect="00C538E8">
      <w:headerReference w:type="default" r:id="rId12"/>
      <w:footerReference w:type="default" r:id="rId13"/>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DAF" w:rsidRDefault="00B52DAF" w:rsidP="00A4667A">
      <w:r>
        <w:separator/>
      </w:r>
    </w:p>
  </w:endnote>
  <w:endnote w:type="continuationSeparator" w:id="0">
    <w:p w:rsidR="00B52DAF" w:rsidRDefault="00B52DAF"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0D4ABB" w:rsidRDefault="00182676">
        <w:pPr>
          <w:pStyle w:val="Piedepgina"/>
          <w:jc w:val="right"/>
        </w:pPr>
        <w:r>
          <w:fldChar w:fldCharType="begin"/>
        </w:r>
        <w:r w:rsidR="000D4ABB">
          <w:instrText xml:space="preserve"> PAGE   \* MERGEFORMAT </w:instrText>
        </w:r>
        <w:r>
          <w:fldChar w:fldCharType="separate"/>
        </w:r>
        <w:r w:rsidR="00D144F2">
          <w:rPr>
            <w:noProof/>
          </w:rPr>
          <w:t>1</w:t>
        </w:r>
        <w:r>
          <w:rPr>
            <w:noProof/>
          </w:rPr>
          <w:fldChar w:fldCharType="end"/>
        </w:r>
      </w:p>
    </w:sdtContent>
  </w:sdt>
  <w:p w:rsidR="000D4ABB" w:rsidRDefault="000D4A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DAF" w:rsidRDefault="00B52DAF" w:rsidP="00A4667A">
      <w:r>
        <w:separator/>
      </w:r>
    </w:p>
  </w:footnote>
  <w:footnote w:type="continuationSeparator" w:id="0">
    <w:p w:rsidR="00B52DAF" w:rsidRDefault="00B52DAF" w:rsidP="00A4667A">
      <w:r>
        <w:continuationSeparator/>
      </w:r>
    </w:p>
  </w:footnote>
  <w:footnote w:id="1">
    <w:p w:rsidR="000D4ABB" w:rsidRDefault="000D4ABB" w:rsidP="005F142C">
      <w:pPr>
        <w:ind w:right="51"/>
        <w:jc w:val="both"/>
        <w:rPr>
          <w:sz w:val="20"/>
          <w:szCs w:val="20"/>
        </w:rPr>
      </w:pPr>
      <w:bookmarkStart w:id="0" w:name="_Hlk509836843"/>
      <w:bookmarkStart w:id="1" w:name="_Hlk509836842"/>
      <w:r>
        <w:rPr>
          <w:rStyle w:val="Refdenotaalpie"/>
        </w:rPr>
        <w:t>[1]</w:t>
      </w:r>
      <w:r>
        <w:t xml:space="preserve"> </w:t>
      </w:r>
      <w:r>
        <w:rPr>
          <w:sz w:val="20"/>
          <w:szCs w:val="20"/>
        </w:rPr>
        <w:t>Los proyectos mencionados por la Dirección General fueron los siguientes:</w:t>
      </w:r>
    </w:p>
    <w:p w:rsidR="000D4ABB" w:rsidRDefault="000D4ABB" w:rsidP="005F142C">
      <w:pPr>
        <w:ind w:right="51"/>
        <w:jc w:val="both"/>
        <w:rPr>
          <w:rFonts w:ascii="Calibri" w:hAnsi="Calibri" w:cs="Calibri"/>
          <w:sz w:val="20"/>
          <w:szCs w:val="20"/>
          <w:lang w:val="es-CR" w:eastAsia="en-US"/>
        </w:rPr>
      </w:pPr>
      <w:r>
        <w:rPr>
          <w:sz w:val="20"/>
          <w:szCs w:val="20"/>
        </w:rPr>
        <w:t>-- Acreditación internacional bajo la norma ISO 17025:2005 del Departamento de Ciencias Forenses.</w:t>
      </w:r>
    </w:p>
    <w:p w:rsidR="000D4ABB" w:rsidRDefault="000D4ABB" w:rsidP="005F142C">
      <w:pPr>
        <w:ind w:right="51"/>
        <w:jc w:val="both"/>
        <w:rPr>
          <w:sz w:val="20"/>
          <w:szCs w:val="20"/>
        </w:rPr>
      </w:pPr>
      <w:r>
        <w:rPr>
          <w:sz w:val="20"/>
          <w:szCs w:val="20"/>
        </w:rPr>
        <w:t>-- Contar con la Unidad de Potencial Interno de la Administración del OIJ.</w:t>
      </w:r>
    </w:p>
    <w:p w:rsidR="000D4ABB" w:rsidRDefault="000D4ABB" w:rsidP="005F142C">
      <w:pPr>
        <w:ind w:right="51"/>
        <w:jc w:val="both"/>
        <w:rPr>
          <w:sz w:val="20"/>
          <w:szCs w:val="20"/>
        </w:rPr>
      </w:pPr>
      <w:r>
        <w:rPr>
          <w:sz w:val="20"/>
          <w:szCs w:val="20"/>
        </w:rPr>
        <w:t>-- Reforzamiento de personal técnico en la Unidad de Taller Mecánico de la Sección de Transportes.</w:t>
      </w:r>
    </w:p>
    <w:p w:rsidR="000D4ABB" w:rsidRDefault="000D4ABB" w:rsidP="005F142C">
      <w:pPr>
        <w:ind w:right="51"/>
        <w:jc w:val="both"/>
        <w:rPr>
          <w:sz w:val="20"/>
          <w:szCs w:val="20"/>
        </w:rPr>
      </w:pPr>
      <w:r>
        <w:rPr>
          <w:sz w:val="20"/>
          <w:szCs w:val="20"/>
        </w:rPr>
        <w:t>-- Dotar a la Oficina de Prensa de un técnico en audiovisuales.</w:t>
      </w:r>
    </w:p>
    <w:p w:rsidR="000D4ABB" w:rsidRDefault="000D4ABB" w:rsidP="005F142C">
      <w:pPr>
        <w:ind w:right="51"/>
        <w:jc w:val="both"/>
        <w:rPr>
          <w:sz w:val="20"/>
          <w:szCs w:val="20"/>
        </w:rPr>
      </w:pPr>
      <w:r>
        <w:rPr>
          <w:sz w:val="20"/>
          <w:szCs w:val="20"/>
        </w:rPr>
        <w:t xml:space="preserve">-- Reforzamiento del personal de la Sección de Delitos Informáticos y Sección de Delitos Económicos y Financieros, con la finalidad que se atiendan casos complejos y de interés Nacional que ingresan a dichas Secciones. </w:t>
      </w:r>
    </w:p>
    <w:p w:rsidR="000D4ABB" w:rsidRDefault="000D4ABB" w:rsidP="005F142C">
      <w:pPr>
        <w:ind w:right="51"/>
        <w:jc w:val="both"/>
        <w:rPr>
          <w:sz w:val="20"/>
          <w:szCs w:val="20"/>
        </w:rPr>
      </w:pPr>
      <w:r>
        <w:rPr>
          <w:sz w:val="20"/>
          <w:szCs w:val="20"/>
        </w:rPr>
        <w:t xml:space="preserve">-- Reforzar las oficinas en las cuales se detectó mediante un estudio de cargas de trabajo la necesidad de contar con más plazas que permitan la atención oportuna de los casos que ingresan.  </w:t>
      </w:r>
      <w:bookmarkEnd w:id="0"/>
      <w:bookmarkEnd w:id="1"/>
    </w:p>
  </w:footnote>
  <w:footnote w:id="2">
    <w:p w:rsidR="000D4ABB" w:rsidRDefault="000D4ABB" w:rsidP="005F142C">
      <w:pPr>
        <w:pStyle w:val="Textonotapie"/>
        <w:jc w:val="both"/>
      </w:pPr>
      <w:r>
        <w:rPr>
          <w:rStyle w:val="Refdenotaalpie"/>
        </w:rPr>
        <w:t>[2]</w:t>
      </w:r>
      <w:r>
        <w:t xml:space="preserve"> Las dependencias policiales mencionadas por el Lic. Espinoza </w:t>
      </w:r>
      <w:proofErr w:type="spellStart"/>
      <w:r>
        <w:t>Espinoza</w:t>
      </w:r>
      <w:proofErr w:type="spellEnd"/>
      <w:r>
        <w:t xml:space="preserve"> fueron las siguientes: Departamento Laboratorio de Ciencias Forenses (oficio 379-DCF-2017); Oficina de Planes y Operaciones (oficio 0535-OPO-2017); Administración del OIJ (oficio 734-ADM-OIJ-2017); Secretaría General del OIJ (oficio 807-SEC-2017); Oficina de Prensa (oficio 938-OP-2017); Departamento de Investigaciones Criminales (oficio 1215-DICR-2017) y Dirección General (oficio 1438-DG-2017).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BB" w:rsidRDefault="000D4ABB">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182676" w:rsidRPr="00182676">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0D4ABB" w:rsidRPr="00BC690B" w:rsidRDefault="000D4ABB"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0D4ABB" w:rsidRPr="00BC690B" w:rsidRDefault="000D4ABB"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0D4ABB" w:rsidRPr="00BC690B" w:rsidRDefault="000D4ABB"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0D4ABB" w:rsidRPr="00BC690B" w:rsidRDefault="000D4ABB" w:rsidP="00F77F8B"/>
            </w:txbxContent>
          </v:textbox>
        </v:shape>
      </w:pict>
    </w:r>
  </w:p>
  <w:p w:rsidR="000D4ABB" w:rsidRDefault="000D4ABB">
    <w:pPr>
      <w:pStyle w:val="Encabezado"/>
    </w:pPr>
  </w:p>
  <w:p w:rsidR="000D4ABB" w:rsidRDefault="000D4ABB">
    <w:pPr>
      <w:pStyle w:val="Encabezado"/>
    </w:pPr>
  </w:p>
  <w:p w:rsidR="000D4ABB" w:rsidRDefault="000D4ABB">
    <w:pPr>
      <w:pStyle w:val="Encabezado"/>
      <w:pBdr>
        <w:bottom w:val="single" w:sz="12" w:space="1" w:color="auto"/>
      </w:pBdr>
    </w:pPr>
  </w:p>
  <w:p w:rsidR="000D4ABB" w:rsidRDefault="000D4A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000003"/>
    <w:multiLevelType w:val="multilevel"/>
    <w:tmpl w:val="80BC2086"/>
    <w:lvl w:ilvl="0">
      <w:start w:val="1"/>
      <w:numFmt w:val="decimal"/>
      <w:lvlText w:val="%1."/>
      <w:lvlJc w:val="left"/>
      <w:pPr>
        <w:tabs>
          <w:tab w:val="num" w:pos="720"/>
        </w:tabs>
        <w:ind w:left="720" w:hanging="360"/>
      </w:pPr>
      <w:rPr>
        <w:rFonts w:ascii="Times New Roman" w:hAnsi="Times New Roman" w:cs="Times New Roman" w:hint="default"/>
        <w:sz w:val="26"/>
        <w:szCs w:val="26"/>
        <w:lang w:val="es-CR" w:eastAsia="es-ES"/>
      </w:rPr>
    </w:lvl>
    <w:lvl w:ilvl="1">
      <w:start w:val="1"/>
      <w:numFmt w:val="lowerLetter"/>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654035"/>
    <w:multiLevelType w:val="hybridMultilevel"/>
    <w:tmpl w:val="365AAD9E"/>
    <w:lvl w:ilvl="0" w:tplc="F8CEAFCC">
      <w:start w:val="1"/>
      <w:numFmt w:val="decimal"/>
      <w:lvlText w:val="%1)"/>
      <w:lvlJc w:val="left"/>
      <w:pPr>
        <w:ind w:left="417"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585E1D"/>
    <w:multiLevelType w:val="hybridMultilevel"/>
    <w:tmpl w:val="9CAE24E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17">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5250DD"/>
    <w:multiLevelType w:val="hybridMultilevel"/>
    <w:tmpl w:val="EE968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AF1111"/>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28">
    <w:nsid w:val="667E4569"/>
    <w:multiLevelType w:val="hybridMultilevel"/>
    <w:tmpl w:val="A01CBC8C"/>
    <w:lvl w:ilvl="0" w:tplc="DB5E3C16">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90C4188"/>
    <w:multiLevelType w:val="hybridMultilevel"/>
    <w:tmpl w:val="841A5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A34777"/>
    <w:multiLevelType w:val="hybridMultilevel"/>
    <w:tmpl w:val="FBE42738"/>
    <w:lvl w:ilvl="0" w:tplc="7DA24792">
      <w:start w:val="1"/>
      <w:numFmt w:val="decimal"/>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31">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33">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1"/>
  </w:num>
  <w:num w:numId="4">
    <w:abstractNumId w:val="8"/>
  </w:num>
  <w:num w:numId="5">
    <w:abstractNumId w:val="14"/>
  </w:num>
  <w:num w:numId="6">
    <w:abstractNumId w:val="21"/>
  </w:num>
  <w:num w:numId="7">
    <w:abstractNumId w:val="32"/>
  </w:num>
  <w:num w:numId="8">
    <w:abstractNumId w:val="7"/>
  </w:num>
  <w:num w:numId="9">
    <w:abstractNumId w:val="9"/>
  </w:num>
  <w:num w:numId="10">
    <w:abstractNumId w:val="10"/>
  </w:num>
  <w:num w:numId="11">
    <w:abstractNumId w:val="13"/>
  </w:num>
  <w:num w:numId="12">
    <w:abstractNumId w:val="6"/>
  </w:num>
  <w:num w:numId="13">
    <w:abstractNumId w:val="5"/>
  </w:num>
  <w:num w:numId="14">
    <w:abstractNumId w:val="26"/>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2"/>
  </w:num>
  <w:num w:numId="24">
    <w:abstractNumId w:val="25"/>
  </w:num>
  <w:num w:numId="25">
    <w:abstractNumId w:val="0"/>
  </w:num>
  <w:num w:numId="26">
    <w:abstractNumId w:val="12"/>
  </w:num>
  <w:num w:numId="27">
    <w:abstractNumId w:val="35"/>
  </w:num>
  <w:num w:numId="28">
    <w:abstractNumId w:val="15"/>
  </w:num>
  <w:num w:numId="29">
    <w:abstractNumId w:val="16"/>
  </w:num>
  <w:num w:numId="30">
    <w:abstractNumId w:val="20"/>
  </w:num>
  <w:num w:numId="31">
    <w:abstractNumId w:val="3"/>
  </w:num>
  <w:num w:numId="32">
    <w:abstractNumId w:val="28"/>
  </w:num>
  <w:num w:numId="33">
    <w:abstractNumId w:val="30"/>
  </w:num>
  <w:num w:numId="34">
    <w:abstractNumId w:val="27"/>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00438"/>
    <w:rsid w:val="0000237A"/>
    <w:rsid w:val="00010E44"/>
    <w:rsid w:val="00016FD7"/>
    <w:rsid w:val="0002320F"/>
    <w:rsid w:val="0002583D"/>
    <w:rsid w:val="00032628"/>
    <w:rsid w:val="00032BEE"/>
    <w:rsid w:val="000356B2"/>
    <w:rsid w:val="0004610D"/>
    <w:rsid w:val="00053D7E"/>
    <w:rsid w:val="00055C31"/>
    <w:rsid w:val="00062784"/>
    <w:rsid w:val="00071116"/>
    <w:rsid w:val="0007695C"/>
    <w:rsid w:val="00084F64"/>
    <w:rsid w:val="00086720"/>
    <w:rsid w:val="00097F73"/>
    <w:rsid w:val="000A007A"/>
    <w:rsid w:val="000A0C0B"/>
    <w:rsid w:val="000A10A2"/>
    <w:rsid w:val="000A1214"/>
    <w:rsid w:val="000A1CC3"/>
    <w:rsid w:val="000A47F3"/>
    <w:rsid w:val="000A4BC9"/>
    <w:rsid w:val="000A665A"/>
    <w:rsid w:val="000B69EB"/>
    <w:rsid w:val="000C1F5C"/>
    <w:rsid w:val="000C5297"/>
    <w:rsid w:val="000C669E"/>
    <w:rsid w:val="000D3D7D"/>
    <w:rsid w:val="000D4ABB"/>
    <w:rsid w:val="000D770E"/>
    <w:rsid w:val="000E5075"/>
    <w:rsid w:val="000F3AB4"/>
    <w:rsid w:val="001119F8"/>
    <w:rsid w:val="001216EE"/>
    <w:rsid w:val="00132CDC"/>
    <w:rsid w:val="001361A9"/>
    <w:rsid w:val="0014227C"/>
    <w:rsid w:val="001425A0"/>
    <w:rsid w:val="00143204"/>
    <w:rsid w:val="00144541"/>
    <w:rsid w:val="00155E5C"/>
    <w:rsid w:val="00162E1F"/>
    <w:rsid w:val="00182676"/>
    <w:rsid w:val="001838B6"/>
    <w:rsid w:val="00186CF2"/>
    <w:rsid w:val="0019005D"/>
    <w:rsid w:val="00191393"/>
    <w:rsid w:val="0019292D"/>
    <w:rsid w:val="00195C46"/>
    <w:rsid w:val="001A2723"/>
    <w:rsid w:val="001A3EA4"/>
    <w:rsid w:val="001A7042"/>
    <w:rsid w:val="001B4047"/>
    <w:rsid w:val="001B4E44"/>
    <w:rsid w:val="001C11F8"/>
    <w:rsid w:val="001C1A01"/>
    <w:rsid w:val="001C2DBD"/>
    <w:rsid w:val="001C4152"/>
    <w:rsid w:val="001C52DD"/>
    <w:rsid w:val="001D1674"/>
    <w:rsid w:val="001D2B09"/>
    <w:rsid w:val="001E1742"/>
    <w:rsid w:val="001F03F4"/>
    <w:rsid w:val="001F4E7F"/>
    <w:rsid w:val="001F58DB"/>
    <w:rsid w:val="001F77D6"/>
    <w:rsid w:val="00200D00"/>
    <w:rsid w:val="00202013"/>
    <w:rsid w:val="00204604"/>
    <w:rsid w:val="00207759"/>
    <w:rsid w:val="0022753D"/>
    <w:rsid w:val="0022789F"/>
    <w:rsid w:val="00232C16"/>
    <w:rsid w:val="00242924"/>
    <w:rsid w:val="002478AC"/>
    <w:rsid w:val="00251992"/>
    <w:rsid w:val="002525B9"/>
    <w:rsid w:val="00256F43"/>
    <w:rsid w:val="002710AF"/>
    <w:rsid w:val="00273879"/>
    <w:rsid w:val="002815B6"/>
    <w:rsid w:val="00283EC8"/>
    <w:rsid w:val="00284412"/>
    <w:rsid w:val="0028547B"/>
    <w:rsid w:val="00287959"/>
    <w:rsid w:val="00290603"/>
    <w:rsid w:val="00294575"/>
    <w:rsid w:val="00294A15"/>
    <w:rsid w:val="00296980"/>
    <w:rsid w:val="002A0578"/>
    <w:rsid w:val="002A0A5C"/>
    <w:rsid w:val="002A4953"/>
    <w:rsid w:val="002B5224"/>
    <w:rsid w:val="002B7385"/>
    <w:rsid w:val="002D145B"/>
    <w:rsid w:val="002D1F41"/>
    <w:rsid w:val="002D570E"/>
    <w:rsid w:val="002D7E5E"/>
    <w:rsid w:val="003009E2"/>
    <w:rsid w:val="00302BF7"/>
    <w:rsid w:val="00307BC4"/>
    <w:rsid w:val="003110C6"/>
    <w:rsid w:val="00314593"/>
    <w:rsid w:val="00316527"/>
    <w:rsid w:val="00322BA5"/>
    <w:rsid w:val="00326796"/>
    <w:rsid w:val="003424CB"/>
    <w:rsid w:val="00342ECC"/>
    <w:rsid w:val="00347BAE"/>
    <w:rsid w:val="003530AB"/>
    <w:rsid w:val="00354244"/>
    <w:rsid w:val="0035785E"/>
    <w:rsid w:val="00357917"/>
    <w:rsid w:val="00357F3B"/>
    <w:rsid w:val="00371881"/>
    <w:rsid w:val="00374789"/>
    <w:rsid w:val="003770E6"/>
    <w:rsid w:val="0038232C"/>
    <w:rsid w:val="00384983"/>
    <w:rsid w:val="00384DC2"/>
    <w:rsid w:val="00386194"/>
    <w:rsid w:val="0038796E"/>
    <w:rsid w:val="00390FE5"/>
    <w:rsid w:val="00394F22"/>
    <w:rsid w:val="003A0D35"/>
    <w:rsid w:val="003A0D8B"/>
    <w:rsid w:val="003A3508"/>
    <w:rsid w:val="003C265E"/>
    <w:rsid w:val="003C578E"/>
    <w:rsid w:val="003D4B59"/>
    <w:rsid w:val="003D6A7D"/>
    <w:rsid w:val="003D7258"/>
    <w:rsid w:val="003D75D8"/>
    <w:rsid w:val="003E368F"/>
    <w:rsid w:val="0040388B"/>
    <w:rsid w:val="004108C9"/>
    <w:rsid w:val="00414B8A"/>
    <w:rsid w:val="0042374B"/>
    <w:rsid w:val="0043230D"/>
    <w:rsid w:val="004454F1"/>
    <w:rsid w:val="00447DC7"/>
    <w:rsid w:val="004535B5"/>
    <w:rsid w:val="00457DFF"/>
    <w:rsid w:val="00461A1F"/>
    <w:rsid w:val="00461D5B"/>
    <w:rsid w:val="004649DE"/>
    <w:rsid w:val="00465BFF"/>
    <w:rsid w:val="00465EC8"/>
    <w:rsid w:val="004677F4"/>
    <w:rsid w:val="00481950"/>
    <w:rsid w:val="00485B8A"/>
    <w:rsid w:val="00485C87"/>
    <w:rsid w:val="00493EDD"/>
    <w:rsid w:val="00497281"/>
    <w:rsid w:val="004B1E87"/>
    <w:rsid w:val="004B2AA9"/>
    <w:rsid w:val="004D10D1"/>
    <w:rsid w:val="004D1CF1"/>
    <w:rsid w:val="004D2A30"/>
    <w:rsid w:val="004E3CB5"/>
    <w:rsid w:val="004F34BE"/>
    <w:rsid w:val="005070F9"/>
    <w:rsid w:val="00511A01"/>
    <w:rsid w:val="00511FC2"/>
    <w:rsid w:val="00513B1F"/>
    <w:rsid w:val="00514ECC"/>
    <w:rsid w:val="0051748F"/>
    <w:rsid w:val="005238EE"/>
    <w:rsid w:val="00523F4A"/>
    <w:rsid w:val="00524353"/>
    <w:rsid w:val="00524608"/>
    <w:rsid w:val="005250A6"/>
    <w:rsid w:val="005324D5"/>
    <w:rsid w:val="005438DB"/>
    <w:rsid w:val="0055067B"/>
    <w:rsid w:val="00551724"/>
    <w:rsid w:val="00553C37"/>
    <w:rsid w:val="0056266A"/>
    <w:rsid w:val="0056296B"/>
    <w:rsid w:val="00573174"/>
    <w:rsid w:val="00573B3A"/>
    <w:rsid w:val="005830DD"/>
    <w:rsid w:val="00585B71"/>
    <w:rsid w:val="00587EAD"/>
    <w:rsid w:val="005922DC"/>
    <w:rsid w:val="005923BC"/>
    <w:rsid w:val="00596C81"/>
    <w:rsid w:val="005A36C2"/>
    <w:rsid w:val="005A7577"/>
    <w:rsid w:val="005B1C42"/>
    <w:rsid w:val="005B3F8F"/>
    <w:rsid w:val="005B5EF9"/>
    <w:rsid w:val="005C080E"/>
    <w:rsid w:val="005C25B0"/>
    <w:rsid w:val="005C4135"/>
    <w:rsid w:val="005C4925"/>
    <w:rsid w:val="005D1D76"/>
    <w:rsid w:val="005D2517"/>
    <w:rsid w:val="005E3B41"/>
    <w:rsid w:val="005E665A"/>
    <w:rsid w:val="005E7468"/>
    <w:rsid w:val="005F0DD5"/>
    <w:rsid w:val="005F142C"/>
    <w:rsid w:val="006022FD"/>
    <w:rsid w:val="006119D4"/>
    <w:rsid w:val="00640F5B"/>
    <w:rsid w:val="0064273B"/>
    <w:rsid w:val="006529BD"/>
    <w:rsid w:val="006555DE"/>
    <w:rsid w:val="00655B0D"/>
    <w:rsid w:val="00656870"/>
    <w:rsid w:val="006575D1"/>
    <w:rsid w:val="00660151"/>
    <w:rsid w:val="00663B34"/>
    <w:rsid w:val="006850F8"/>
    <w:rsid w:val="00692F3F"/>
    <w:rsid w:val="006976CC"/>
    <w:rsid w:val="00697AF8"/>
    <w:rsid w:val="006A50B8"/>
    <w:rsid w:val="006A5CF1"/>
    <w:rsid w:val="006C543E"/>
    <w:rsid w:val="006D2758"/>
    <w:rsid w:val="006D4205"/>
    <w:rsid w:val="006D4781"/>
    <w:rsid w:val="006E13BB"/>
    <w:rsid w:val="006E5FCF"/>
    <w:rsid w:val="006F01CC"/>
    <w:rsid w:val="006F03B5"/>
    <w:rsid w:val="006F2CF7"/>
    <w:rsid w:val="006F4454"/>
    <w:rsid w:val="006F4C47"/>
    <w:rsid w:val="006F63CB"/>
    <w:rsid w:val="0070281C"/>
    <w:rsid w:val="00704E16"/>
    <w:rsid w:val="00704ED4"/>
    <w:rsid w:val="00707F93"/>
    <w:rsid w:val="00722344"/>
    <w:rsid w:val="00730345"/>
    <w:rsid w:val="007455FE"/>
    <w:rsid w:val="0075198B"/>
    <w:rsid w:val="007529B0"/>
    <w:rsid w:val="00753B92"/>
    <w:rsid w:val="00755089"/>
    <w:rsid w:val="00757E5E"/>
    <w:rsid w:val="007664C4"/>
    <w:rsid w:val="00766802"/>
    <w:rsid w:val="00773A60"/>
    <w:rsid w:val="00776457"/>
    <w:rsid w:val="007939A8"/>
    <w:rsid w:val="007A77B4"/>
    <w:rsid w:val="007A7DA2"/>
    <w:rsid w:val="007C0189"/>
    <w:rsid w:val="007C17F0"/>
    <w:rsid w:val="007C36BC"/>
    <w:rsid w:val="007D36ED"/>
    <w:rsid w:val="007D69EA"/>
    <w:rsid w:val="007E3B89"/>
    <w:rsid w:val="007F13A9"/>
    <w:rsid w:val="007F4D28"/>
    <w:rsid w:val="008044CF"/>
    <w:rsid w:val="008062E9"/>
    <w:rsid w:val="00806BE8"/>
    <w:rsid w:val="00806D93"/>
    <w:rsid w:val="0082610A"/>
    <w:rsid w:val="0082765A"/>
    <w:rsid w:val="00847885"/>
    <w:rsid w:val="008563AE"/>
    <w:rsid w:val="00857403"/>
    <w:rsid w:val="00857A9C"/>
    <w:rsid w:val="00861C9E"/>
    <w:rsid w:val="00862DC0"/>
    <w:rsid w:val="008708D5"/>
    <w:rsid w:val="00873B20"/>
    <w:rsid w:val="008746BE"/>
    <w:rsid w:val="00875FC2"/>
    <w:rsid w:val="00884007"/>
    <w:rsid w:val="008856D3"/>
    <w:rsid w:val="00886FDE"/>
    <w:rsid w:val="00890002"/>
    <w:rsid w:val="008A1863"/>
    <w:rsid w:val="008A7783"/>
    <w:rsid w:val="008C0B1D"/>
    <w:rsid w:val="008C0E4F"/>
    <w:rsid w:val="008C1948"/>
    <w:rsid w:val="008C1D2D"/>
    <w:rsid w:val="008C419D"/>
    <w:rsid w:val="008E3A68"/>
    <w:rsid w:val="008E5462"/>
    <w:rsid w:val="009218D7"/>
    <w:rsid w:val="00924709"/>
    <w:rsid w:val="009263AD"/>
    <w:rsid w:val="00930675"/>
    <w:rsid w:val="00941681"/>
    <w:rsid w:val="00950276"/>
    <w:rsid w:val="0095477B"/>
    <w:rsid w:val="0095485A"/>
    <w:rsid w:val="00954E89"/>
    <w:rsid w:val="0095552C"/>
    <w:rsid w:val="0095651E"/>
    <w:rsid w:val="00956BE7"/>
    <w:rsid w:val="0097054E"/>
    <w:rsid w:val="009706E1"/>
    <w:rsid w:val="009714BA"/>
    <w:rsid w:val="00973E77"/>
    <w:rsid w:val="00984598"/>
    <w:rsid w:val="00985A2B"/>
    <w:rsid w:val="00992ECD"/>
    <w:rsid w:val="00992FDC"/>
    <w:rsid w:val="009A1F55"/>
    <w:rsid w:val="009A3693"/>
    <w:rsid w:val="009A572B"/>
    <w:rsid w:val="009A63F2"/>
    <w:rsid w:val="009A73E8"/>
    <w:rsid w:val="009D1923"/>
    <w:rsid w:val="009D6C3D"/>
    <w:rsid w:val="009D7349"/>
    <w:rsid w:val="009F6F35"/>
    <w:rsid w:val="00A013C7"/>
    <w:rsid w:val="00A04679"/>
    <w:rsid w:val="00A04706"/>
    <w:rsid w:val="00A10F57"/>
    <w:rsid w:val="00A12EF6"/>
    <w:rsid w:val="00A12FA7"/>
    <w:rsid w:val="00A256E3"/>
    <w:rsid w:val="00A260D1"/>
    <w:rsid w:val="00A272A0"/>
    <w:rsid w:val="00A307E5"/>
    <w:rsid w:val="00A30868"/>
    <w:rsid w:val="00A31C6A"/>
    <w:rsid w:val="00A35B71"/>
    <w:rsid w:val="00A360E7"/>
    <w:rsid w:val="00A4667A"/>
    <w:rsid w:val="00A50BDA"/>
    <w:rsid w:val="00A559E2"/>
    <w:rsid w:val="00A578E0"/>
    <w:rsid w:val="00A711C4"/>
    <w:rsid w:val="00A731B5"/>
    <w:rsid w:val="00A754F2"/>
    <w:rsid w:val="00A815AF"/>
    <w:rsid w:val="00A87BC3"/>
    <w:rsid w:val="00A93BE5"/>
    <w:rsid w:val="00A952AD"/>
    <w:rsid w:val="00A96EA3"/>
    <w:rsid w:val="00AA23F9"/>
    <w:rsid w:val="00AA42EC"/>
    <w:rsid w:val="00AA62F2"/>
    <w:rsid w:val="00AA7882"/>
    <w:rsid w:val="00AA7F6D"/>
    <w:rsid w:val="00AB643F"/>
    <w:rsid w:val="00AB6F6E"/>
    <w:rsid w:val="00AC100A"/>
    <w:rsid w:val="00AC1F83"/>
    <w:rsid w:val="00AC537C"/>
    <w:rsid w:val="00AC56B9"/>
    <w:rsid w:val="00AC5AB0"/>
    <w:rsid w:val="00AD061D"/>
    <w:rsid w:val="00AD169E"/>
    <w:rsid w:val="00AD5778"/>
    <w:rsid w:val="00AD7069"/>
    <w:rsid w:val="00AE0C79"/>
    <w:rsid w:val="00AE2D6E"/>
    <w:rsid w:val="00AF4AAA"/>
    <w:rsid w:val="00AF6A07"/>
    <w:rsid w:val="00B01331"/>
    <w:rsid w:val="00B0483C"/>
    <w:rsid w:val="00B05E7C"/>
    <w:rsid w:val="00B10D30"/>
    <w:rsid w:val="00B163F7"/>
    <w:rsid w:val="00B20331"/>
    <w:rsid w:val="00B22CA2"/>
    <w:rsid w:val="00B33624"/>
    <w:rsid w:val="00B3407D"/>
    <w:rsid w:val="00B352E3"/>
    <w:rsid w:val="00B4787B"/>
    <w:rsid w:val="00B5030E"/>
    <w:rsid w:val="00B52DAF"/>
    <w:rsid w:val="00B531A5"/>
    <w:rsid w:val="00B53302"/>
    <w:rsid w:val="00B62B32"/>
    <w:rsid w:val="00B73196"/>
    <w:rsid w:val="00B87D80"/>
    <w:rsid w:val="00B916E5"/>
    <w:rsid w:val="00B91F22"/>
    <w:rsid w:val="00B947B3"/>
    <w:rsid w:val="00BA10A9"/>
    <w:rsid w:val="00BA39A1"/>
    <w:rsid w:val="00BA576D"/>
    <w:rsid w:val="00BB26CC"/>
    <w:rsid w:val="00BB379C"/>
    <w:rsid w:val="00BB67C5"/>
    <w:rsid w:val="00BB7C52"/>
    <w:rsid w:val="00BC4CDF"/>
    <w:rsid w:val="00BC6892"/>
    <w:rsid w:val="00BD04A8"/>
    <w:rsid w:val="00BD0801"/>
    <w:rsid w:val="00BD408F"/>
    <w:rsid w:val="00BD70F6"/>
    <w:rsid w:val="00BE6116"/>
    <w:rsid w:val="00BF3A83"/>
    <w:rsid w:val="00BF5EB1"/>
    <w:rsid w:val="00C0039B"/>
    <w:rsid w:val="00C03625"/>
    <w:rsid w:val="00C04B4C"/>
    <w:rsid w:val="00C05D28"/>
    <w:rsid w:val="00C0718F"/>
    <w:rsid w:val="00C131E8"/>
    <w:rsid w:val="00C2426E"/>
    <w:rsid w:val="00C30500"/>
    <w:rsid w:val="00C32B1E"/>
    <w:rsid w:val="00C34DED"/>
    <w:rsid w:val="00C351A5"/>
    <w:rsid w:val="00C37756"/>
    <w:rsid w:val="00C53182"/>
    <w:rsid w:val="00C538E8"/>
    <w:rsid w:val="00C70D10"/>
    <w:rsid w:val="00C70D84"/>
    <w:rsid w:val="00C75F46"/>
    <w:rsid w:val="00C83610"/>
    <w:rsid w:val="00C90817"/>
    <w:rsid w:val="00C91FD5"/>
    <w:rsid w:val="00CA4835"/>
    <w:rsid w:val="00CA4EAC"/>
    <w:rsid w:val="00CB06D9"/>
    <w:rsid w:val="00CB0828"/>
    <w:rsid w:val="00CB0A0D"/>
    <w:rsid w:val="00CB213D"/>
    <w:rsid w:val="00CB36B1"/>
    <w:rsid w:val="00CB5494"/>
    <w:rsid w:val="00CB6911"/>
    <w:rsid w:val="00CD2A40"/>
    <w:rsid w:val="00CD456D"/>
    <w:rsid w:val="00CD5CC6"/>
    <w:rsid w:val="00CE5333"/>
    <w:rsid w:val="00CF0E5F"/>
    <w:rsid w:val="00CF202F"/>
    <w:rsid w:val="00D02FCC"/>
    <w:rsid w:val="00D03E09"/>
    <w:rsid w:val="00D071C0"/>
    <w:rsid w:val="00D07361"/>
    <w:rsid w:val="00D10A5A"/>
    <w:rsid w:val="00D144F2"/>
    <w:rsid w:val="00D311D7"/>
    <w:rsid w:val="00D31BFE"/>
    <w:rsid w:val="00D455C3"/>
    <w:rsid w:val="00D475FC"/>
    <w:rsid w:val="00D621F3"/>
    <w:rsid w:val="00D66244"/>
    <w:rsid w:val="00D70B5F"/>
    <w:rsid w:val="00D710E7"/>
    <w:rsid w:val="00D7235E"/>
    <w:rsid w:val="00D81A84"/>
    <w:rsid w:val="00D85F3C"/>
    <w:rsid w:val="00D901EE"/>
    <w:rsid w:val="00D91759"/>
    <w:rsid w:val="00D961C3"/>
    <w:rsid w:val="00DA3AE2"/>
    <w:rsid w:val="00DA405E"/>
    <w:rsid w:val="00DA7C39"/>
    <w:rsid w:val="00DB42BF"/>
    <w:rsid w:val="00DB6B47"/>
    <w:rsid w:val="00DC3805"/>
    <w:rsid w:val="00DC5D90"/>
    <w:rsid w:val="00DD1A0E"/>
    <w:rsid w:val="00DD2E03"/>
    <w:rsid w:val="00DD35D0"/>
    <w:rsid w:val="00DD6E2C"/>
    <w:rsid w:val="00DE27A7"/>
    <w:rsid w:val="00DF0C79"/>
    <w:rsid w:val="00DF3986"/>
    <w:rsid w:val="00DF607A"/>
    <w:rsid w:val="00E07793"/>
    <w:rsid w:val="00E14057"/>
    <w:rsid w:val="00E14BB2"/>
    <w:rsid w:val="00E16A68"/>
    <w:rsid w:val="00E31975"/>
    <w:rsid w:val="00E41280"/>
    <w:rsid w:val="00E4186D"/>
    <w:rsid w:val="00E42048"/>
    <w:rsid w:val="00E43878"/>
    <w:rsid w:val="00E525A9"/>
    <w:rsid w:val="00E529CF"/>
    <w:rsid w:val="00E6121F"/>
    <w:rsid w:val="00E63CFA"/>
    <w:rsid w:val="00E7081F"/>
    <w:rsid w:val="00E80C94"/>
    <w:rsid w:val="00E80DED"/>
    <w:rsid w:val="00E8341C"/>
    <w:rsid w:val="00E86372"/>
    <w:rsid w:val="00E93BD2"/>
    <w:rsid w:val="00E93D0D"/>
    <w:rsid w:val="00ED02CD"/>
    <w:rsid w:val="00ED0978"/>
    <w:rsid w:val="00ED2F17"/>
    <w:rsid w:val="00ED4398"/>
    <w:rsid w:val="00ED4528"/>
    <w:rsid w:val="00EF335E"/>
    <w:rsid w:val="00F01320"/>
    <w:rsid w:val="00F02590"/>
    <w:rsid w:val="00F07ED6"/>
    <w:rsid w:val="00F23A98"/>
    <w:rsid w:val="00F241F8"/>
    <w:rsid w:val="00F247C8"/>
    <w:rsid w:val="00F34299"/>
    <w:rsid w:val="00F35CD4"/>
    <w:rsid w:val="00F417F5"/>
    <w:rsid w:val="00F449FF"/>
    <w:rsid w:val="00F50C5D"/>
    <w:rsid w:val="00F55CA5"/>
    <w:rsid w:val="00F74047"/>
    <w:rsid w:val="00F765B2"/>
    <w:rsid w:val="00F77F8B"/>
    <w:rsid w:val="00F801D6"/>
    <w:rsid w:val="00F8224A"/>
    <w:rsid w:val="00F82567"/>
    <w:rsid w:val="00F976DC"/>
    <w:rsid w:val="00FA5849"/>
    <w:rsid w:val="00FB5C25"/>
    <w:rsid w:val="00FC1A79"/>
    <w:rsid w:val="00FC306F"/>
    <w:rsid w:val="00FC3824"/>
    <w:rsid w:val="00FC56DB"/>
    <w:rsid w:val="00FD2C3E"/>
    <w:rsid w:val="00FD4999"/>
    <w:rsid w:val="00FE01D3"/>
    <w:rsid w:val="00FE02A8"/>
    <w:rsid w:val="00FE2912"/>
    <w:rsid w:val="00FE2CC0"/>
    <w:rsid w:val="00FE4BC3"/>
    <w:rsid w:val="00FE59CF"/>
    <w:rsid w:val="00FF7B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qFormat/>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uiPriority w:val="99"/>
    <w:semiHidden/>
    <w:rsid w:val="00A4667A"/>
    <w:rPr>
      <w:sz w:val="20"/>
      <w:szCs w:val="20"/>
    </w:rPr>
  </w:style>
  <w:style w:type="character" w:customStyle="1" w:styleId="TextonotapieCar">
    <w:name w:val="Texto nota pie Car"/>
    <w:basedOn w:val="Fuentedeprrafopredeter"/>
    <w:link w:val="Textonotapie"/>
    <w:uiPriority w:val="99"/>
    <w:semiHidden/>
    <w:rsid w:val="00A4667A"/>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aliases w:val="Bullet 1,Use Case List Paragraph,Lista vistosa - Énfasis 11,Párrafo de lista Car Car Car"/>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5"/>
      </w:numPr>
      <w:contextualSpacing/>
    </w:pPr>
  </w:style>
  <w:style w:type="paragraph" w:customStyle="1" w:styleId="xmsonormal">
    <w:name w:val="x_msonormal"/>
    <w:basedOn w:val="Normal"/>
    <w:rsid w:val="006D4205"/>
    <w:rPr>
      <w:rFonts w:ascii="Calibri" w:eastAsiaTheme="minorHAnsi" w:hAnsi="Calibri" w:cs="Calibri"/>
      <w:sz w:val="22"/>
      <w:szCs w:val="22"/>
      <w:lang w:val="es-CR" w:eastAsia="es-CR"/>
    </w:rPr>
  </w:style>
</w:styles>
</file>

<file path=word/webSettings.xml><?xml version="1.0" encoding="utf-8"?>
<w:webSettings xmlns:r="http://schemas.openxmlformats.org/officeDocument/2006/relationships" xmlns:w="http://schemas.openxmlformats.org/wordprocessingml/2006/main">
  <w:divs>
    <w:div w:id="2049791">
      <w:bodyDiv w:val="1"/>
      <w:marLeft w:val="0"/>
      <w:marRight w:val="0"/>
      <w:marTop w:val="0"/>
      <w:marBottom w:val="0"/>
      <w:divBdr>
        <w:top w:val="none" w:sz="0" w:space="0" w:color="auto"/>
        <w:left w:val="none" w:sz="0" w:space="0" w:color="auto"/>
        <w:bottom w:val="none" w:sz="0" w:space="0" w:color="auto"/>
        <w:right w:val="none" w:sz="0" w:space="0" w:color="auto"/>
      </w:divBdr>
    </w:div>
    <w:div w:id="88963570">
      <w:bodyDiv w:val="1"/>
      <w:marLeft w:val="0"/>
      <w:marRight w:val="0"/>
      <w:marTop w:val="0"/>
      <w:marBottom w:val="0"/>
      <w:divBdr>
        <w:top w:val="none" w:sz="0" w:space="0" w:color="auto"/>
        <w:left w:val="none" w:sz="0" w:space="0" w:color="auto"/>
        <w:bottom w:val="none" w:sz="0" w:space="0" w:color="auto"/>
        <w:right w:val="none" w:sz="0" w:space="0" w:color="auto"/>
      </w:divBdr>
    </w:div>
    <w:div w:id="459109564">
      <w:bodyDiv w:val="1"/>
      <w:marLeft w:val="0"/>
      <w:marRight w:val="0"/>
      <w:marTop w:val="0"/>
      <w:marBottom w:val="0"/>
      <w:divBdr>
        <w:top w:val="none" w:sz="0" w:space="0" w:color="auto"/>
        <w:left w:val="none" w:sz="0" w:space="0" w:color="auto"/>
        <w:bottom w:val="none" w:sz="0" w:space="0" w:color="auto"/>
        <w:right w:val="none" w:sz="0" w:space="0" w:color="auto"/>
      </w:divBdr>
    </w:div>
    <w:div w:id="834107334">
      <w:bodyDiv w:val="1"/>
      <w:marLeft w:val="0"/>
      <w:marRight w:val="0"/>
      <w:marTop w:val="0"/>
      <w:marBottom w:val="0"/>
      <w:divBdr>
        <w:top w:val="none" w:sz="0" w:space="0" w:color="auto"/>
        <w:left w:val="none" w:sz="0" w:space="0" w:color="auto"/>
        <w:bottom w:val="none" w:sz="0" w:space="0" w:color="auto"/>
        <w:right w:val="none" w:sz="0" w:space="0" w:color="auto"/>
      </w:divBdr>
    </w:div>
    <w:div w:id="1156799837">
      <w:bodyDiv w:val="1"/>
      <w:marLeft w:val="0"/>
      <w:marRight w:val="0"/>
      <w:marTop w:val="0"/>
      <w:marBottom w:val="0"/>
      <w:divBdr>
        <w:top w:val="none" w:sz="0" w:space="0" w:color="auto"/>
        <w:left w:val="none" w:sz="0" w:space="0" w:color="auto"/>
        <w:bottom w:val="none" w:sz="0" w:space="0" w:color="auto"/>
        <w:right w:val="none" w:sz="0" w:space="0" w:color="auto"/>
      </w:divBdr>
    </w:div>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 w:id="20921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9CAB-FD8D-4CD9-85FF-403C9D95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2808</Words>
  <Characters>15448</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2018-04-13T15:51:00Z</dcterms:created>
  <dcterms:modified xsi:type="dcterms:W3CDTF">2018-04-13T15:51:00Z</dcterms:modified>
</cp:coreProperties>
</file>