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DA2B6B" w:rsidP="00A4667A">
      <w:r w:rsidRPr="00DA2B6B">
        <w:rPr>
          <w:noProof/>
        </w:rPr>
        <w:pict>
          <v:group id="Group 2" o:spid="_x0000_s1026" style="position:absolute;margin-left:-85.2pt;margin-top:-139.9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Default="008D3AFE" w:rsidP="00A4667A">
      <w:pPr>
        <w:jc w:val="center"/>
        <w:rPr>
          <w:rFonts w:ascii="Calibri" w:hAnsi="Calibri"/>
          <w:sz w:val="40"/>
          <w:szCs w:val="40"/>
        </w:rPr>
      </w:pPr>
      <w:r w:rsidRPr="008D3AFE">
        <w:rPr>
          <w:rFonts w:ascii="Calibri" w:hAnsi="Calibri"/>
          <w:sz w:val="40"/>
          <w:szCs w:val="40"/>
        </w:rPr>
        <w:t>Técnico Especializado 5 (</w:t>
      </w:r>
      <w:r w:rsidR="009A36A6">
        <w:rPr>
          <w:rFonts w:ascii="Calibri" w:hAnsi="Calibri"/>
          <w:sz w:val="40"/>
          <w:szCs w:val="40"/>
        </w:rPr>
        <w:t>área de Mantenimiento</w:t>
      </w:r>
      <w:r w:rsidRPr="008D3AFE">
        <w:rPr>
          <w:rFonts w:ascii="Calibri" w:hAnsi="Calibri"/>
          <w:sz w:val="40"/>
          <w:szCs w:val="40"/>
        </w:rPr>
        <w:t>)</w:t>
      </w:r>
      <w:r w:rsidR="001A5179">
        <w:rPr>
          <w:rFonts w:ascii="Calibri" w:hAnsi="Calibri"/>
          <w:sz w:val="40"/>
          <w:szCs w:val="40"/>
        </w:rPr>
        <w:t xml:space="preserve"> </w:t>
      </w:r>
      <w:r w:rsidR="00A8535E">
        <w:rPr>
          <w:rFonts w:ascii="Calibri" w:hAnsi="Calibri"/>
          <w:sz w:val="40"/>
          <w:szCs w:val="40"/>
        </w:rPr>
        <w:t>para la Administración del Organismo de Investigación Judicial, OIJ.</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A4667A" w:rsidRPr="002640EC" w:rsidRDefault="00A4667A" w:rsidP="00883978">
      <w:pPr>
        <w:rPr>
          <w:rFonts w:ascii="Calibri" w:hAnsi="Calibri"/>
          <w:sz w:val="40"/>
          <w:szCs w:val="40"/>
        </w:rPr>
      </w:pPr>
    </w:p>
    <w:p w:rsidR="00A4667A" w:rsidRPr="002640EC" w:rsidRDefault="00A5207D" w:rsidP="00A4667A">
      <w:pPr>
        <w:jc w:val="center"/>
        <w:rPr>
          <w:rFonts w:ascii="Calibri" w:hAnsi="Calibri"/>
          <w:sz w:val="40"/>
          <w:szCs w:val="40"/>
        </w:rPr>
      </w:pPr>
      <w:r>
        <w:rPr>
          <w:rFonts w:ascii="Calibri" w:hAnsi="Calibri"/>
          <w:sz w:val="40"/>
          <w:szCs w:val="40"/>
        </w:rPr>
        <w:t>1</w:t>
      </w:r>
      <w:r w:rsidR="003F6746">
        <w:rPr>
          <w:rFonts w:ascii="Calibri" w:hAnsi="Calibri"/>
          <w:sz w:val="40"/>
          <w:szCs w:val="40"/>
        </w:rPr>
        <w:t>3</w:t>
      </w:r>
      <w:r w:rsidR="00AA23F9">
        <w:rPr>
          <w:rFonts w:ascii="Calibri" w:hAnsi="Calibri"/>
          <w:sz w:val="40"/>
          <w:szCs w:val="40"/>
        </w:rPr>
        <w:t xml:space="preserve"> </w:t>
      </w:r>
      <w:r w:rsidR="00A4667A" w:rsidRPr="002640EC">
        <w:rPr>
          <w:rFonts w:ascii="Calibri" w:hAnsi="Calibri"/>
          <w:sz w:val="40"/>
          <w:szCs w:val="40"/>
        </w:rPr>
        <w:t xml:space="preserve">de </w:t>
      </w:r>
      <w:r w:rsidR="00565B7F">
        <w:rPr>
          <w:rFonts w:ascii="Calibri" w:hAnsi="Calibri"/>
          <w:sz w:val="40"/>
          <w:szCs w:val="40"/>
        </w:rPr>
        <w:t>abril</w:t>
      </w:r>
      <w:r w:rsidR="00A4667A" w:rsidRPr="002640EC">
        <w:rPr>
          <w:rFonts w:ascii="Calibri" w:hAnsi="Calibri"/>
          <w:sz w:val="40"/>
          <w:szCs w:val="40"/>
        </w:rPr>
        <w:t xml:space="preserve"> de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281"/>
        <w:gridCol w:w="1560"/>
        <w:gridCol w:w="2239"/>
      </w:tblGrid>
      <w:tr w:rsidR="00A4667A" w:rsidRPr="00EE5396" w:rsidTr="00F765B2">
        <w:trPr>
          <w:trHeight w:val="540"/>
        </w:trPr>
        <w:tc>
          <w:tcPr>
            <w:tcW w:w="6799" w:type="dxa"/>
            <w:gridSpan w:val="2"/>
            <w:tcBorders>
              <w:bottom w:val="single" w:sz="4" w:space="0" w:color="auto"/>
            </w:tcBorders>
            <w:shd w:val="clear" w:color="auto" w:fill="000000"/>
            <w:vAlign w:val="center"/>
          </w:tcPr>
          <w:p w:rsidR="00A4667A" w:rsidRPr="00EE5396" w:rsidRDefault="00A4667A" w:rsidP="009A1F55">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9A1F55">
            <w:pPr>
              <w:jc w:val="right"/>
              <w:rPr>
                <w:b/>
                <w:sz w:val="28"/>
                <w:szCs w:val="28"/>
              </w:rPr>
            </w:pPr>
            <w:r w:rsidRPr="00EE5396">
              <w:rPr>
                <w:b/>
                <w:sz w:val="28"/>
                <w:szCs w:val="28"/>
              </w:rPr>
              <w:t>Fecha:</w:t>
            </w:r>
          </w:p>
        </w:tc>
        <w:tc>
          <w:tcPr>
            <w:tcW w:w="2239" w:type="dxa"/>
            <w:vAlign w:val="center"/>
          </w:tcPr>
          <w:p w:rsidR="00A4667A" w:rsidRPr="00EE5396" w:rsidRDefault="00A5207D" w:rsidP="009A1F55">
            <w:pPr>
              <w:jc w:val="center"/>
              <w:rPr>
                <w:i/>
                <w:sz w:val="28"/>
                <w:szCs w:val="28"/>
              </w:rPr>
            </w:pPr>
            <w:r>
              <w:rPr>
                <w:i/>
                <w:sz w:val="28"/>
                <w:szCs w:val="28"/>
              </w:rPr>
              <w:t>1</w:t>
            </w:r>
            <w:r w:rsidR="0021334A">
              <w:rPr>
                <w:i/>
                <w:sz w:val="28"/>
                <w:szCs w:val="28"/>
              </w:rPr>
              <w:t>3</w:t>
            </w:r>
            <w:r w:rsidR="00A4667A" w:rsidRPr="00EE5396">
              <w:rPr>
                <w:i/>
                <w:sz w:val="28"/>
                <w:szCs w:val="28"/>
              </w:rPr>
              <w:t>/</w:t>
            </w:r>
            <w:r w:rsidR="00565B7F">
              <w:rPr>
                <w:i/>
                <w:sz w:val="28"/>
                <w:szCs w:val="28"/>
              </w:rPr>
              <w:t>4</w:t>
            </w:r>
            <w:r w:rsidR="00A4667A" w:rsidRPr="00EE5396">
              <w:rPr>
                <w:i/>
                <w:sz w:val="28"/>
                <w:szCs w:val="28"/>
              </w:rPr>
              <w:t>/201</w:t>
            </w:r>
            <w:r w:rsidR="00316527">
              <w:rPr>
                <w:i/>
                <w:sz w:val="28"/>
                <w:szCs w:val="28"/>
              </w:rPr>
              <w:t>8</w:t>
            </w:r>
          </w:p>
        </w:tc>
      </w:tr>
      <w:tr w:rsidR="00A4667A" w:rsidRPr="00EE5396" w:rsidTr="00F765B2">
        <w:trPr>
          <w:trHeight w:val="494"/>
        </w:trPr>
        <w:tc>
          <w:tcPr>
            <w:tcW w:w="6799" w:type="dxa"/>
            <w:gridSpan w:val="2"/>
            <w:shd w:val="clear" w:color="auto" w:fill="262626"/>
            <w:vAlign w:val="center"/>
          </w:tcPr>
          <w:p w:rsidR="00A4667A" w:rsidRPr="00EE5396" w:rsidRDefault="00A4667A" w:rsidP="009A1F55">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9A1F55">
            <w:pPr>
              <w:jc w:val="center"/>
              <w:rPr>
                <w:b/>
                <w:sz w:val="28"/>
                <w:szCs w:val="28"/>
              </w:rPr>
            </w:pPr>
            <w:r w:rsidRPr="00EE5396">
              <w:rPr>
                <w:b/>
                <w:sz w:val="28"/>
                <w:szCs w:val="28"/>
              </w:rPr>
              <w:t># Informe:</w:t>
            </w:r>
          </w:p>
        </w:tc>
        <w:tc>
          <w:tcPr>
            <w:tcW w:w="2239" w:type="dxa"/>
            <w:vAlign w:val="center"/>
          </w:tcPr>
          <w:p w:rsidR="00A4667A" w:rsidRPr="00EE5396" w:rsidRDefault="00D847BA" w:rsidP="009A1F55">
            <w:pPr>
              <w:jc w:val="center"/>
              <w:rPr>
                <w:i/>
                <w:sz w:val="28"/>
                <w:szCs w:val="28"/>
              </w:rPr>
            </w:pPr>
            <w:r>
              <w:rPr>
                <w:i/>
                <w:sz w:val="28"/>
                <w:szCs w:val="28"/>
              </w:rPr>
              <w:t>28</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AD2B7A">
        <w:trPr>
          <w:trHeight w:val="494"/>
        </w:trPr>
        <w:tc>
          <w:tcPr>
            <w:tcW w:w="2518" w:type="dxa"/>
            <w:shd w:val="clear" w:color="auto" w:fill="B3B3B3"/>
            <w:vAlign w:val="center"/>
          </w:tcPr>
          <w:p w:rsidR="00A4667A" w:rsidRPr="00EE5396" w:rsidRDefault="00A4667A" w:rsidP="009A1F55">
            <w:pPr>
              <w:jc w:val="right"/>
              <w:rPr>
                <w:b/>
                <w:sz w:val="28"/>
                <w:szCs w:val="28"/>
              </w:rPr>
            </w:pPr>
            <w:r w:rsidRPr="00EE5396">
              <w:rPr>
                <w:b/>
                <w:sz w:val="28"/>
                <w:szCs w:val="28"/>
              </w:rPr>
              <w:t>Proyecto u oficinas analizadas:</w:t>
            </w:r>
          </w:p>
        </w:tc>
        <w:tc>
          <w:tcPr>
            <w:tcW w:w="8080" w:type="dxa"/>
            <w:gridSpan w:val="3"/>
            <w:vAlign w:val="center"/>
          </w:tcPr>
          <w:p w:rsidR="00A4667A" w:rsidRPr="00AD2B7A" w:rsidRDefault="00A5207D" w:rsidP="00A8535E">
            <w:pPr>
              <w:rPr>
                <w:bCs/>
              </w:rPr>
            </w:pPr>
            <w:r w:rsidRPr="00AD2B7A">
              <w:rPr>
                <w:bCs/>
              </w:rPr>
              <w:t xml:space="preserve">Técnico Especializado 5 (área de Mantenimiento) para la </w:t>
            </w:r>
            <w:r w:rsidR="00A8535E" w:rsidRPr="00AD2B7A">
              <w:rPr>
                <w:bCs/>
              </w:rPr>
              <w:t>Administración del Organismo de Investigación Judicial, OIJ.</w:t>
            </w:r>
          </w:p>
        </w:tc>
      </w:tr>
    </w:tbl>
    <w:p w:rsidR="00A4667A" w:rsidRPr="00EE5396" w:rsidRDefault="00A4667A" w:rsidP="00F55CA5">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757E5E">
        <w:trPr>
          <w:trHeight w:val="1064"/>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A4667A" w:rsidRPr="00F55CA5" w:rsidRDefault="00A4667A" w:rsidP="00757E5E">
            <w:pPr>
              <w:jc w:val="both"/>
              <w:rPr>
                <w:bCs/>
                <w:i/>
                <w:sz w:val="10"/>
                <w:szCs w:val="10"/>
              </w:rPr>
            </w:pPr>
          </w:p>
          <w:tbl>
            <w:tblPr>
              <w:tblW w:w="7942" w:type="dxa"/>
              <w:tblLayout w:type="fixed"/>
              <w:tblCellMar>
                <w:left w:w="0" w:type="dxa"/>
                <w:right w:w="0" w:type="dxa"/>
              </w:tblCellMar>
              <w:tblLook w:val="0000"/>
            </w:tblPr>
            <w:tblGrid>
              <w:gridCol w:w="2152"/>
              <w:gridCol w:w="1063"/>
              <w:gridCol w:w="2414"/>
              <w:gridCol w:w="2313"/>
            </w:tblGrid>
            <w:tr w:rsidR="00773A60" w:rsidRPr="00D901EE" w:rsidTr="00CA6E8E">
              <w:trPr>
                <w:trHeight w:val="51"/>
                <w:tblHeader/>
              </w:trPr>
              <w:tc>
                <w:tcPr>
                  <w:tcW w:w="796"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Despacho</w:t>
                  </w:r>
                </w:p>
              </w:tc>
              <w:tc>
                <w:tcPr>
                  <w:tcW w:w="39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D901EE" w:rsidRDefault="00773A60" w:rsidP="0022789F">
                  <w:pPr>
                    <w:jc w:val="center"/>
                    <w:rPr>
                      <w:b/>
                      <w:bCs/>
                      <w:sz w:val="18"/>
                      <w:szCs w:val="18"/>
                    </w:rPr>
                  </w:pPr>
                  <w:r w:rsidRPr="00D901EE">
                    <w:rPr>
                      <w:b/>
                      <w:bCs/>
                      <w:sz w:val="18"/>
                      <w:szCs w:val="18"/>
                    </w:rPr>
                    <w:t>Cant</w:t>
                  </w:r>
                </w:p>
              </w:tc>
              <w:tc>
                <w:tcPr>
                  <w:tcW w:w="89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Default="00773A60" w:rsidP="0022789F">
                  <w:pPr>
                    <w:jc w:val="center"/>
                    <w:rPr>
                      <w:b/>
                      <w:bCs/>
                      <w:sz w:val="18"/>
                      <w:szCs w:val="18"/>
                    </w:rPr>
                  </w:pPr>
                  <w:r w:rsidRPr="00D901EE">
                    <w:rPr>
                      <w:b/>
                      <w:bCs/>
                      <w:sz w:val="18"/>
                      <w:szCs w:val="18"/>
                    </w:rPr>
                    <w:t>Tipo de</w:t>
                  </w:r>
                </w:p>
                <w:p w:rsidR="00773A60" w:rsidRPr="00D901EE" w:rsidRDefault="00773A60" w:rsidP="0022789F">
                  <w:pPr>
                    <w:jc w:val="center"/>
                    <w:rPr>
                      <w:b/>
                      <w:bCs/>
                      <w:sz w:val="18"/>
                      <w:szCs w:val="18"/>
                    </w:rPr>
                  </w:pPr>
                  <w:r>
                    <w:rPr>
                      <w:b/>
                      <w:bCs/>
                      <w:sz w:val="18"/>
                      <w:szCs w:val="18"/>
                    </w:rPr>
                    <w:t>P</w:t>
                  </w:r>
                  <w:r w:rsidRPr="00D901EE">
                    <w:rPr>
                      <w:b/>
                      <w:bCs/>
                      <w:sz w:val="18"/>
                      <w:szCs w:val="18"/>
                    </w:rPr>
                    <w:t>laza</w:t>
                  </w:r>
                </w:p>
              </w:tc>
              <w:tc>
                <w:tcPr>
                  <w:tcW w:w="85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Default="00773A60" w:rsidP="00862DC0">
                  <w:pPr>
                    <w:jc w:val="center"/>
                    <w:rPr>
                      <w:b/>
                      <w:bCs/>
                      <w:sz w:val="18"/>
                      <w:szCs w:val="18"/>
                    </w:rPr>
                  </w:pPr>
                  <w:r w:rsidRPr="00D901EE">
                    <w:rPr>
                      <w:b/>
                      <w:bCs/>
                      <w:sz w:val="18"/>
                      <w:szCs w:val="18"/>
                    </w:rPr>
                    <w:t>Condición</w:t>
                  </w:r>
                </w:p>
                <w:p w:rsidR="00773A60" w:rsidRPr="00D901EE" w:rsidRDefault="00773A60" w:rsidP="0022789F">
                  <w:pPr>
                    <w:jc w:val="center"/>
                    <w:rPr>
                      <w:b/>
                      <w:bCs/>
                      <w:sz w:val="18"/>
                      <w:szCs w:val="18"/>
                    </w:rPr>
                  </w:pPr>
                  <w:r w:rsidRPr="00D901EE">
                    <w:rPr>
                      <w:b/>
                      <w:bCs/>
                      <w:sz w:val="18"/>
                      <w:szCs w:val="18"/>
                    </w:rPr>
                    <w:t>actual</w:t>
                  </w:r>
                </w:p>
              </w:tc>
            </w:tr>
            <w:tr w:rsidR="00773A60" w:rsidRPr="00D901EE" w:rsidTr="00CA6E8E">
              <w:trPr>
                <w:trHeight w:val="710"/>
              </w:trPr>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D901EE" w:rsidRDefault="00A8535E" w:rsidP="0022789F">
                  <w:pPr>
                    <w:jc w:val="both"/>
                    <w:rPr>
                      <w:sz w:val="18"/>
                      <w:szCs w:val="18"/>
                    </w:rPr>
                  </w:pPr>
                  <w:r>
                    <w:rPr>
                      <w:sz w:val="18"/>
                      <w:szCs w:val="18"/>
                    </w:rPr>
                    <w:t>Administración del O.I.J.</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D901EE" w:rsidRDefault="00773A60" w:rsidP="0022789F">
                  <w:pPr>
                    <w:jc w:val="center"/>
                    <w:rPr>
                      <w:sz w:val="18"/>
                      <w:szCs w:val="18"/>
                    </w:rPr>
                  </w:pPr>
                  <w:r>
                    <w:rPr>
                      <w:sz w:val="18"/>
                      <w:szCs w:val="18"/>
                    </w:rPr>
                    <w:t>1</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D901EE" w:rsidRDefault="008D3AFE" w:rsidP="001A5179">
                  <w:pPr>
                    <w:jc w:val="center"/>
                    <w:rPr>
                      <w:sz w:val="18"/>
                      <w:szCs w:val="18"/>
                    </w:rPr>
                  </w:pPr>
                  <w:r w:rsidRPr="008D3AFE">
                    <w:rPr>
                      <w:sz w:val="18"/>
                      <w:szCs w:val="18"/>
                    </w:rPr>
                    <w:t>Técnic</w:t>
                  </w:r>
                  <w:r w:rsidR="00A5207D">
                    <w:rPr>
                      <w:sz w:val="18"/>
                      <w:szCs w:val="18"/>
                    </w:rPr>
                    <w:t xml:space="preserve">a Especializada 5 </w:t>
                  </w:r>
                  <w:r w:rsidRPr="008D3AFE">
                    <w:rPr>
                      <w:sz w:val="18"/>
                      <w:szCs w:val="18"/>
                    </w:rPr>
                    <w:t xml:space="preserve">o </w:t>
                  </w:r>
                  <w:r w:rsidR="00A5207D">
                    <w:rPr>
                      <w:sz w:val="18"/>
                      <w:szCs w:val="18"/>
                    </w:rPr>
                    <w:t xml:space="preserve">Técnico </w:t>
                  </w:r>
                  <w:r w:rsidRPr="008D3AFE">
                    <w:rPr>
                      <w:sz w:val="18"/>
                      <w:szCs w:val="18"/>
                    </w:rPr>
                    <w:t>Especializado 5 (</w:t>
                  </w:r>
                  <w:r>
                    <w:rPr>
                      <w:sz w:val="18"/>
                      <w:szCs w:val="18"/>
                    </w:rPr>
                    <w:t>O</w:t>
                  </w:r>
                  <w:r w:rsidRPr="008D3AFE">
                    <w:rPr>
                      <w:sz w:val="18"/>
                      <w:szCs w:val="18"/>
                    </w:rPr>
                    <w:t xml:space="preserve">brero </w:t>
                  </w:r>
                  <w:r>
                    <w:rPr>
                      <w:sz w:val="18"/>
                      <w:szCs w:val="18"/>
                    </w:rPr>
                    <w:t>E</w:t>
                  </w:r>
                  <w:r w:rsidRPr="008D3AFE">
                    <w:rPr>
                      <w:sz w:val="18"/>
                      <w:szCs w:val="18"/>
                    </w:rPr>
                    <w:t>specializado)</w:t>
                  </w:r>
                </w:p>
              </w:tc>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D901EE" w:rsidRDefault="00A8535E" w:rsidP="00D901EE">
                  <w:pPr>
                    <w:jc w:val="center"/>
                    <w:rPr>
                      <w:sz w:val="18"/>
                      <w:szCs w:val="18"/>
                    </w:rPr>
                  </w:pPr>
                  <w:r>
                    <w:rPr>
                      <w:sz w:val="18"/>
                      <w:szCs w:val="18"/>
                    </w:rPr>
                    <w:t>Permiso con goce de salario</w:t>
                  </w:r>
                </w:p>
              </w:tc>
            </w:tr>
            <w:tr w:rsidR="00773A60" w:rsidRPr="00D901EE" w:rsidTr="00CA6E8E">
              <w:trPr>
                <w:gridAfter w:val="2"/>
                <w:wAfter w:w="2776" w:type="dxa"/>
                <w:trHeight w:val="368"/>
              </w:trPr>
              <w:tc>
                <w:tcPr>
                  <w:tcW w:w="7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D901EE" w:rsidRDefault="00773A60" w:rsidP="00F55CA5">
                  <w:pPr>
                    <w:jc w:val="right"/>
                    <w:rPr>
                      <w:b/>
                      <w:sz w:val="18"/>
                      <w:szCs w:val="18"/>
                    </w:rPr>
                  </w:pPr>
                  <w:r w:rsidRPr="00D901EE">
                    <w:rPr>
                      <w:b/>
                      <w:sz w:val="18"/>
                      <w:szCs w:val="18"/>
                    </w:rPr>
                    <w:t>TOTAL</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D901EE" w:rsidRDefault="00773A60" w:rsidP="0022789F">
                  <w:pPr>
                    <w:jc w:val="center"/>
                    <w:rPr>
                      <w:b/>
                      <w:sz w:val="18"/>
                      <w:szCs w:val="18"/>
                    </w:rPr>
                  </w:pPr>
                  <w:r w:rsidRPr="00D901EE">
                    <w:rPr>
                      <w:b/>
                      <w:sz w:val="18"/>
                      <w:szCs w:val="18"/>
                    </w:rPr>
                    <w:t>1</w:t>
                  </w:r>
                </w:p>
              </w:tc>
            </w:tr>
          </w:tbl>
          <w:p w:rsidR="00A754F2" w:rsidRPr="00627F9B" w:rsidRDefault="00A754F2" w:rsidP="00757E5E">
            <w:pPr>
              <w:jc w:val="both"/>
              <w:rPr>
                <w:bCs/>
                <w:i/>
                <w:sz w:val="28"/>
                <w:szCs w:val="28"/>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1A5179" w:rsidRDefault="001A5179" w:rsidP="001A5179">
            <w:pPr>
              <w:jc w:val="both"/>
              <w:rPr>
                <w:rFonts w:ascii="Arial Narrow" w:hAnsi="Arial Narrow"/>
                <w:bCs/>
              </w:rPr>
            </w:pPr>
          </w:p>
          <w:p w:rsidR="001A5179" w:rsidRPr="00AD2B7A" w:rsidRDefault="001A5179" w:rsidP="001A5179">
            <w:pPr>
              <w:jc w:val="both"/>
              <w:rPr>
                <w:bCs/>
              </w:rPr>
            </w:pPr>
            <w:r w:rsidRPr="00AD2B7A">
              <w:rPr>
                <w:bCs/>
              </w:rPr>
              <w:t>En la sesión 112-17 celebrada el 14 de diciembre del 2017, artículo LXXXIII, el Consejo Superior conoció el oficio 1449-DG-2017/Ref.1738 de la Dirección General del OIJ, donde solicitó aprobar la prórroga (para el 2018) de varias plazas solicitadas en el 2017 por diferentes oficinas de esa dependencia, para darle continuidad a varios proyectos dirigidos a la mejora continua del servicio brindado a la persona usuaria (en aspectos de calidad, eficiencia y eficacia de los recursos humanos y materiales)</w:t>
            </w:r>
            <w:r w:rsidRPr="00AD2B7A">
              <w:rPr>
                <w:bCs/>
                <w:vertAlign w:val="superscript"/>
              </w:rPr>
              <w:t>[1]</w:t>
            </w:r>
            <w:r w:rsidRPr="00AD2B7A">
              <w:rPr>
                <w:bCs/>
              </w:rPr>
              <w:t xml:space="preserve">. </w:t>
            </w:r>
            <w:r w:rsidRPr="00AD2B7A">
              <w:rPr>
                <w:b/>
                <w:bCs/>
              </w:rPr>
              <w:t>En total, la Dirección General solicita la continuidad de 78 plazas para fortalecer la gestión de siete dependencias del OIJ</w:t>
            </w:r>
            <w:r w:rsidRPr="00AD2B7A">
              <w:rPr>
                <w:b/>
                <w:bCs/>
                <w:vertAlign w:val="superscript"/>
              </w:rPr>
              <w:t>[2]</w:t>
            </w:r>
            <w:r w:rsidRPr="00AD2B7A">
              <w:rPr>
                <w:bCs/>
              </w:rPr>
              <w:t xml:space="preserve">. Al respecto, el Consejo Superior acordó convocar a los Directores de Planificación y de Gestión Humana, a fin de que informaran sobre la situación de las plazas referidas. </w:t>
            </w:r>
          </w:p>
          <w:p w:rsidR="001A5179" w:rsidRPr="00AD2B7A" w:rsidRDefault="001A5179" w:rsidP="001A5179">
            <w:pPr>
              <w:jc w:val="both"/>
              <w:rPr>
                <w:bCs/>
              </w:rPr>
            </w:pPr>
          </w:p>
          <w:p w:rsidR="001A5179" w:rsidRPr="00AD2B7A" w:rsidRDefault="001A5179" w:rsidP="001A5179">
            <w:pPr>
              <w:jc w:val="both"/>
              <w:rPr>
                <w:bCs/>
              </w:rPr>
            </w:pPr>
            <w:r w:rsidRPr="00AD2B7A">
              <w:rPr>
                <w:bCs/>
              </w:rPr>
              <w:t>No obstante, 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rsidR="001A5179" w:rsidRPr="00AD2B7A" w:rsidRDefault="001A5179" w:rsidP="001A5179">
            <w:pPr>
              <w:jc w:val="both"/>
              <w:rPr>
                <w:bCs/>
              </w:rPr>
            </w:pPr>
          </w:p>
          <w:p w:rsidR="001A5179" w:rsidRPr="00AD2B7A" w:rsidRDefault="001A5179" w:rsidP="001A5179">
            <w:pPr>
              <w:jc w:val="both"/>
              <w:rPr>
                <w:bCs/>
              </w:rPr>
            </w:pPr>
            <w:r w:rsidRPr="00AD2B7A">
              <w:rPr>
                <w:bCs/>
              </w:rPr>
              <w:t xml:space="preserve">Posteriormente, en la sesión 11-18 del 8 de febrero del 2018, artículo XLIX, el Consejo Superior dispuso prorrogar los referidos permisos con goce de salario por tres meses más (a partir del 9 de febrero del 2018), por lo que los 78 recursos indicados se mantendrían vigentes hasta el próximo 9 de mayo del 2018. </w:t>
            </w:r>
            <w:r w:rsidR="00F722C2" w:rsidRPr="00AD2B7A">
              <w:rPr>
                <w:bCs/>
              </w:rPr>
              <w:t>Cabe señalar que algunas de estas plazas han sido atendidas en diferentes estudios de estructura elaborados por la Dirección de Planificación, situación que será considerada dentro de las valoraciones por realizar, a fin de atender oportunamente las necesidades referidas por la Dirección del Organismo de Investigación Judicial.</w:t>
            </w:r>
          </w:p>
          <w:p w:rsidR="001A5179" w:rsidRDefault="001A5179" w:rsidP="001A5179">
            <w:pPr>
              <w:widowControl w:val="0"/>
              <w:jc w:val="both"/>
              <w:rPr>
                <w:bCs/>
              </w:rPr>
            </w:pPr>
          </w:p>
          <w:p w:rsidR="00D7772A" w:rsidRPr="00AD2B7A" w:rsidRDefault="00D7772A" w:rsidP="001A5179">
            <w:pPr>
              <w:widowControl w:val="0"/>
              <w:jc w:val="both"/>
              <w:rPr>
                <w:bCs/>
              </w:rPr>
            </w:pPr>
          </w:p>
          <w:p w:rsidR="00A5207D" w:rsidRPr="00AD2B7A" w:rsidRDefault="001A5179" w:rsidP="001A5179">
            <w:pPr>
              <w:jc w:val="both"/>
              <w:rPr>
                <w:bCs/>
              </w:rPr>
            </w:pPr>
            <w:r w:rsidRPr="00AD2B7A">
              <w:rPr>
                <w:bCs/>
              </w:rPr>
              <w:lastRenderedPageBreak/>
              <w:t>En razón de la permanencia y continuidad de los permisos con goce de salario avalados por el Consejo Superior, la Dirección de Planificación procede a analizar las solicitudes a través de los informes de requerimiento humano para el 2019.</w:t>
            </w:r>
          </w:p>
          <w:p w:rsidR="00A5207D" w:rsidRPr="00AD2B7A" w:rsidRDefault="00A5207D" w:rsidP="001A5179">
            <w:pPr>
              <w:jc w:val="both"/>
              <w:rPr>
                <w:b/>
                <w:bCs/>
              </w:rPr>
            </w:pPr>
          </w:p>
          <w:p w:rsidR="005D2517" w:rsidRPr="00AD2B7A" w:rsidRDefault="00F722C2" w:rsidP="001A5179">
            <w:pPr>
              <w:jc w:val="both"/>
              <w:rPr>
                <w:b/>
                <w:bCs/>
              </w:rPr>
            </w:pPr>
            <w:r w:rsidRPr="00AD2B7A">
              <w:rPr>
                <w:b/>
                <w:bCs/>
              </w:rPr>
              <w:t xml:space="preserve">Como parte de esos recursos, se atenderá en el presente informe la solicitud de 1 plaza de </w:t>
            </w:r>
            <w:r w:rsidR="00A5207D" w:rsidRPr="00AD2B7A">
              <w:rPr>
                <w:b/>
                <w:bCs/>
              </w:rPr>
              <w:t xml:space="preserve">Técnica Especializada 5 o </w:t>
            </w:r>
            <w:r w:rsidRPr="00AD2B7A">
              <w:rPr>
                <w:b/>
                <w:bCs/>
              </w:rPr>
              <w:t>Técnico Especializado 5 (</w:t>
            </w:r>
            <w:r w:rsidR="009A36A6" w:rsidRPr="00AD2B7A">
              <w:rPr>
                <w:b/>
                <w:bCs/>
              </w:rPr>
              <w:t xml:space="preserve">área de </w:t>
            </w:r>
            <w:r w:rsidRPr="00AD2B7A">
              <w:rPr>
                <w:b/>
                <w:bCs/>
              </w:rPr>
              <w:t>Mantenimiento)</w:t>
            </w:r>
            <w:r w:rsidR="00A5207D" w:rsidRPr="00AD2B7A">
              <w:rPr>
                <w:b/>
                <w:bCs/>
              </w:rPr>
              <w:t>,</w:t>
            </w:r>
            <w:r w:rsidRPr="00AD2B7A">
              <w:rPr>
                <w:b/>
                <w:bCs/>
              </w:rPr>
              <w:t xml:space="preserve"> para la Administración del OIJ.</w:t>
            </w:r>
          </w:p>
          <w:p w:rsidR="00A5207D" w:rsidRPr="001A5179" w:rsidRDefault="00A5207D" w:rsidP="001A5179">
            <w:pPr>
              <w:jc w:val="both"/>
              <w:rPr>
                <w:rFonts w:ascii="Arial Narrow" w:hAnsi="Arial Narrow"/>
                <w:bCs/>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676F23" w:rsidRPr="00AD2B7A" w:rsidRDefault="00F1513F" w:rsidP="00CA6E8E">
            <w:pPr>
              <w:pStyle w:val="Prrafodelista"/>
              <w:jc w:val="both"/>
              <w:rPr>
                <w:b/>
                <w:bCs/>
                <w:i/>
                <w:lang w:val="es-ES" w:eastAsia="es-ES"/>
              </w:rPr>
            </w:pPr>
            <w:r w:rsidRPr="00AD2B7A">
              <w:rPr>
                <w:b/>
                <w:bCs/>
                <w:i/>
                <w:lang w:val="es-ES" w:eastAsia="es-ES"/>
              </w:rPr>
              <w:t xml:space="preserve">3.1.- </w:t>
            </w:r>
            <w:r w:rsidR="00676F23" w:rsidRPr="00AD2B7A">
              <w:rPr>
                <w:b/>
                <w:bCs/>
                <w:i/>
                <w:lang w:val="es-ES" w:eastAsia="es-ES"/>
              </w:rPr>
              <w:t>Necesidad de</w:t>
            </w:r>
            <w:r w:rsidRPr="00AD2B7A">
              <w:rPr>
                <w:b/>
                <w:bCs/>
                <w:i/>
                <w:lang w:val="es-ES" w:eastAsia="es-ES"/>
              </w:rPr>
              <w:t xml:space="preserve">l puesto solicitado según </w:t>
            </w:r>
            <w:r w:rsidR="00382B8D" w:rsidRPr="00AD2B7A">
              <w:rPr>
                <w:b/>
                <w:bCs/>
                <w:i/>
                <w:lang w:val="es-ES" w:eastAsia="es-ES"/>
              </w:rPr>
              <w:t xml:space="preserve">lo indicado por </w:t>
            </w:r>
            <w:r w:rsidRPr="00AD2B7A">
              <w:rPr>
                <w:b/>
                <w:bCs/>
                <w:i/>
                <w:lang w:val="es-ES" w:eastAsia="es-ES"/>
              </w:rPr>
              <w:t>el MSc.</w:t>
            </w:r>
            <w:r w:rsidR="00382B8D" w:rsidRPr="00AD2B7A">
              <w:rPr>
                <w:b/>
                <w:bCs/>
                <w:i/>
                <w:lang w:val="es-ES" w:eastAsia="es-ES"/>
              </w:rPr>
              <w:t xml:space="preserve"> Walter Espinoza Espinoza, y</w:t>
            </w:r>
            <w:r w:rsidR="00A5207D" w:rsidRPr="00AD2B7A">
              <w:rPr>
                <w:b/>
                <w:bCs/>
                <w:i/>
                <w:lang w:val="es-ES" w:eastAsia="es-ES"/>
              </w:rPr>
              <w:t xml:space="preserve"> el </w:t>
            </w:r>
            <w:r w:rsidR="00382B8D" w:rsidRPr="00AD2B7A">
              <w:rPr>
                <w:b/>
                <w:bCs/>
                <w:i/>
                <w:lang w:val="es-ES" w:eastAsia="es-ES"/>
              </w:rPr>
              <w:t xml:space="preserve"> MBA</w:t>
            </w:r>
            <w:r w:rsidRPr="00AD2B7A">
              <w:rPr>
                <w:b/>
                <w:bCs/>
                <w:i/>
                <w:lang w:val="es-ES" w:eastAsia="es-ES"/>
              </w:rPr>
              <w:t xml:space="preserve"> Mauricio Fonseca Umaña, </w:t>
            </w:r>
            <w:r w:rsidR="00382B8D" w:rsidRPr="00AD2B7A">
              <w:rPr>
                <w:b/>
                <w:bCs/>
                <w:i/>
                <w:lang w:val="es-ES" w:eastAsia="es-ES"/>
              </w:rPr>
              <w:t>en su orden, Director</w:t>
            </w:r>
            <w:r w:rsidR="006B43D9" w:rsidRPr="00AD2B7A">
              <w:rPr>
                <w:b/>
                <w:bCs/>
                <w:i/>
                <w:lang w:val="es-ES" w:eastAsia="es-ES"/>
              </w:rPr>
              <w:t xml:space="preserve"> General</w:t>
            </w:r>
            <w:r w:rsidR="00382B8D" w:rsidRPr="00AD2B7A">
              <w:rPr>
                <w:b/>
                <w:bCs/>
                <w:i/>
                <w:lang w:val="es-ES" w:eastAsia="es-ES"/>
              </w:rPr>
              <w:t xml:space="preserve"> y </w:t>
            </w:r>
            <w:r w:rsidRPr="00AD2B7A">
              <w:rPr>
                <w:b/>
                <w:bCs/>
                <w:i/>
                <w:lang w:val="es-ES" w:eastAsia="es-ES"/>
              </w:rPr>
              <w:t>Administrador del Organismo de Investigación Judicial</w:t>
            </w:r>
          </w:p>
          <w:p w:rsidR="00D351D7" w:rsidRPr="00AD2B7A" w:rsidRDefault="00F1513F" w:rsidP="00BD188E">
            <w:pPr>
              <w:pStyle w:val="Prrafodelista"/>
              <w:jc w:val="both"/>
              <w:rPr>
                <w:bCs/>
                <w:lang w:val="es-ES" w:eastAsia="es-ES"/>
              </w:rPr>
            </w:pPr>
            <w:r w:rsidRPr="00AD2B7A">
              <w:rPr>
                <w:bCs/>
                <w:lang w:val="es-ES" w:eastAsia="es-ES"/>
              </w:rPr>
              <w:t xml:space="preserve">Mediante </w:t>
            </w:r>
            <w:r w:rsidR="00A5207D" w:rsidRPr="00AD2B7A">
              <w:rPr>
                <w:bCs/>
                <w:lang w:val="es-ES" w:eastAsia="es-ES"/>
              </w:rPr>
              <w:t>el of</w:t>
            </w:r>
            <w:r w:rsidRPr="00AD2B7A">
              <w:rPr>
                <w:bCs/>
                <w:lang w:val="es-ES" w:eastAsia="es-ES"/>
              </w:rPr>
              <w:t>icio 99-DG-2017</w:t>
            </w:r>
            <w:r w:rsidR="00211EAF" w:rsidRPr="00AD2B7A">
              <w:rPr>
                <w:bCs/>
                <w:lang w:val="es-ES" w:eastAsia="es-ES"/>
              </w:rPr>
              <w:t>,</w:t>
            </w:r>
            <w:r w:rsidR="00BD188E" w:rsidRPr="00AD2B7A">
              <w:rPr>
                <w:bCs/>
                <w:lang w:val="es-ES" w:eastAsia="es-ES"/>
              </w:rPr>
              <w:t xml:space="preserve"> suscrito por el Lic. Walter Espinoza Espinoza, Director General del OIJ, </w:t>
            </w:r>
            <w:r w:rsidR="00A5207D" w:rsidRPr="00AD2B7A">
              <w:rPr>
                <w:bCs/>
                <w:lang w:val="es-ES" w:eastAsia="es-ES"/>
              </w:rPr>
              <w:t xml:space="preserve">se </w:t>
            </w:r>
            <w:r w:rsidR="00EF5713" w:rsidRPr="00AD2B7A">
              <w:rPr>
                <w:bCs/>
                <w:lang w:val="es-ES" w:eastAsia="es-ES"/>
              </w:rPr>
              <w:t xml:space="preserve">indicó que desde el año 2012 </w:t>
            </w:r>
            <w:r w:rsidR="00CF6A65" w:rsidRPr="00AD2B7A">
              <w:rPr>
                <w:bCs/>
                <w:lang w:val="es-ES" w:eastAsia="es-ES"/>
              </w:rPr>
              <w:t>se</w:t>
            </w:r>
            <w:r w:rsidR="00EF5713" w:rsidRPr="00AD2B7A">
              <w:rPr>
                <w:bCs/>
                <w:lang w:val="es-ES" w:eastAsia="es-ES"/>
              </w:rPr>
              <w:t xml:space="preserve"> cuenta con la plaza de Técnico Especializado 5 (obrero especializado)</w:t>
            </w:r>
            <w:r w:rsidR="003F6746" w:rsidRPr="00AD2B7A">
              <w:rPr>
                <w:bCs/>
                <w:lang w:val="es-ES" w:eastAsia="es-ES"/>
              </w:rPr>
              <w:t xml:space="preserve"> en forma ordinaria</w:t>
            </w:r>
            <w:r w:rsidR="00382B8D" w:rsidRPr="00AD2B7A">
              <w:rPr>
                <w:bCs/>
                <w:lang w:val="es-ES" w:eastAsia="es-ES"/>
              </w:rPr>
              <w:t>,</w:t>
            </w:r>
            <w:r w:rsidR="003F6746" w:rsidRPr="00AD2B7A">
              <w:rPr>
                <w:bCs/>
                <w:lang w:val="es-ES" w:eastAsia="es-ES"/>
              </w:rPr>
              <w:t xml:space="preserve"> no obstante, </w:t>
            </w:r>
            <w:r w:rsidR="00382B8D" w:rsidRPr="00AD2B7A">
              <w:rPr>
                <w:bCs/>
                <w:lang w:val="es-ES" w:eastAsia="es-ES"/>
              </w:rPr>
              <w:t xml:space="preserve">en razón de la necesidad de </w:t>
            </w:r>
            <w:r w:rsidR="00EF5713" w:rsidRPr="00AD2B7A">
              <w:rPr>
                <w:bCs/>
                <w:lang w:val="es-ES" w:eastAsia="es-ES"/>
              </w:rPr>
              <w:t>asumi</w:t>
            </w:r>
            <w:r w:rsidR="00382B8D" w:rsidRPr="00AD2B7A">
              <w:rPr>
                <w:bCs/>
                <w:lang w:val="es-ES" w:eastAsia="es-ES"/>
              </w:rPr>
              <w:t>r</w:t>
            </w:r>
            <w:r w:rsidR="00EF5713" w:rsidRPr="00AD2B7A">
              <w:rPr>
                <w:bCs/>
                <w:lang w:val="es-ES" w:eastAsia="es-ES"/>
              </w:rPr>
              <w:t xml:space="preserve"> el servicio de mantenimiento y reparación en diferentes secciones de</w:t>
            </w:r>
            <w:r w:rsidR="00CF6A65" w:rsidRPr="00AD2B7A">
              <w:rPr>
                <w:bCs/>
                <w:lang w:val="es-ES" w:eastAsia="es-ES"/>
              </w:rPr>
              <w:t>l O</w:t>
            </w:r>
            <w:r w:rsidR="00EF5713" w:rsidRPr="00AD2B7A">
              <w:rPr>
                <w:bCs/>
                <w:lang w:val="es-ES" w:eastAsia="es-ES"/>
              </w:rPr>
              <w:t>rganismo</w:t>
            </w:r>
            <w:r w:rsidR="00CF6A65" w:rsidRPr="00AD2B7A">
              <w:rPr>
                <w:bCs/>
                <w:lang w:val="es-ES" w:eastAsia="es-ES"/>
              </w:rPr>
              <w:t xml:space="preserve">, dado </w:t>
            </w:r>
            <w:r w:rsidR="00EF5713" w:rsidRPr="00AD2B7A">
              <w:rPr>
                <w:bCs/>
                <w:lang w:val="es-ES" w:eastAsia="es-ES"/>
              </w:rPr>
              <w:t>el crecimiento institucional que se ha presentado como por ejemplo</w:t>
            </w:r>
            <w:r w:rsidR="00D351D7" w:rsidRPr="00AD2B7A">
              <w:rPr>
                <w:bCs/>
                <w:lang w:val="es-ES" w:eastAsia="es-ES"/>
              </w:rPr>
              <w:t xml:space="preserve"> en</w:t>
            </w:r>
            <w:r w:rsidR="00EF5713" w:rsidRPr="00AD2B7A">
              <w:rPr>
                <w:bCs/>
                <w:lang w:val="es-ES" w:eastAsia="es-ES"/>
              </w:rPr>
              <w:t xml:space="preserve"> la Oficina de Planes y Operaciones con la Plataforma de Información Policial, la Unidad </w:t>
            </w:r>
            <w:r w:rsidR="00CF6A65" w:rsidRPr="00AD2B7A">
              <w:rPr>
                <w:bCs/>
                <w:lang w:val="es-ES" w:eastAsia="es-ES"/>
              </w:rPr>
              <w:t xml:space="preserve">de </w:t>
            </w:r>
            <w:r w:rsidR="00EF5713" w:rsidRPr="00AD2B7A">
              <w:rPr>
                <w:bCs/>
                <w:lang w:val="es-ES" w:eastAsia="es-ES"/>
              </w:rPr>
              <w:t>Crimen Organizado,</w:t>
            </w:r>
            <w:r w:rsidR="00CF6A65" w:rsidRPr="00AD2B7A">
              <w:rPr>
                <w:bCs/>
                <w:lang w:val="es-ES" w:eastAsia="es-ES"/>
              </w:rPr>
              <w:t xml:space="preserve"> entre otras</w:t>
            </w:r>
            <w:r w:rsidR="003F6746" w:rsidRPr="00AD2B7A">
              <w:rPr>
                <w:bCs/>
                <w:lang w:val="es-ES" w:eastAsia="es-ES"/>
              </w:rPr>
              <w:t>, se ha solicitado un recurso adicional en condición de permiso con goce de salario y sustitución desde marzo del 2017</w:t>
            </w:r>
            <w:r w:rsidR="00D351D7" w:rsidRPr="00AD2B7A">
              <w:rPr>
                <w:bCs/>
                <w:lang w:val="es-ES" w:eastAsia="es-ES"/>
              </w:rPr>
              <w:t xml:space="preserve">. </w:t>
            </w:r>
          </w:p>
          <w:p w:rsidR="00DA0666" w:rsidRPr="00AD2B7A" w:rsidRDefault="00D351D7" w:rsidP="00DA0666">
            <w:pPr>
              <w:pStyle w:val="Prrafodelista"/>
              <w:jc w:val="both"/>
              <w:rPr>
                <w:bCs/>
                <w:lang w:val="es-ES" w:eastAsia="es-ES"/>
              </w:rPr>
            </w:pPr>
            <w:r w:rsidRPr="00AD2B7A">
              <w:rPr>
                <w:bCs/>
                <w:lang w:val="es-ES" w:eastAsia="es-ES"/>
              </w:rPr>
              <w:t>Adiciona que</w:t>
            </w:r>
            <w:r w:rsidR="00EF5713" w:rsidRPr="00AD2B7A">
              <w:rPr>
                <w:bCs/>
                <w:lang w:val="es-ES" w:eastAsia="es-ES"/>
              </w:rPr>
              <w:t xml:space="preserve"> la cantidad </w:t>
            </w:r>
            <w:r w:rsidR="00CF6A65" w:rsidRPr="00AD2B7A">
              <w:rPr>
                <w:bCs/>
                <w:lang w:val="es-ES" w:eastAsia="es-ES"/>
              </w:rPr>
              <w:t xml:space="preserve">de </w:t>
            </w:r>
            <w:r w:rsidR="00EF5713" w:rsidRPr="00AD2B7A">
              <w:rPr>
                <w:bCs/>
                <w:lang w:val="es-ES" w:eastAsia="es-ES"/>
              </w:rPr>
              <w:t xml:space="preserve">solicitudes y </w:t>
            </w:r>
            <w:r w:rsidR="00CF6A65" w:rsidRPr="00AD2B7A">
              <w:rPr>
                <w:bCs/>
                <w:lang w:val="es-ES" w:eastAsia="es-ES"/>
              </w:rPr>
              <w:t xml:space="preserve">de </w:t>
            </w:r>
            <w:r w:rsidR="00EF5713" w:rsidRPr="00AD2B7A">
              <w:rPr>
                <w:bCs/>
                <w:lang w:val="es-ES" w:eastAsia="es-ES"/>
              </w:rPr>
              <w:t>requerimientos se ha incrementado generando un atraso en los tiempos de respuesta</w:t>
            </w:r>
            <w:r w:rsidRPr="00AD2B7A">
              <w:rPr>
                <w:bCs/>
                <w:lang w:val="es-ES" w:eastAsia="es-ES"/>
              </w:rPr>
              <w:t>, y que e</w:t>
            </w:r>
            <w:r w:rsidR="00CF6A65" w:rsidRPr="00AD2B7A">
              <w:rPr>
                <w:bCs/>
                <w:lang w:val="es-ES" w:eastAsia="es-ES"/>
              </w:rPr>
              <w:t xml:space="preserve">l </w:t>
            </w:r>
            <w:r w:rsidR="008D3AFE" w:rsidRPr="00AD2B7A">
              <w:rPr>
                <w:bCs/>
                <w:lang w:val="es-ES" w:eastAsia="es-ES"/>
              </w:rPr>
              <w:t>Técnico Especializado 5</w:t>
            </w:r>
            <w:r w:rsidR="00CF6A65" w:rsidRPr="00AD2B7A">
              <w:rPr>
                <w:bCs/>
                <w:lang w:val="es-ES" w:eastAsia="es-ES"/>
              </w:rPr>
              <w:t xml:space="preserve"> ha </w:t>
            </w:r>
            <w:r w:rsidR="00676F23" w:rsidRPr="00AD2B7A">
              <w:rPr>
                <w:bCs/>
                <w:lang w:val="es-ES" w:eastAsia="es-ES"/>
              </w:rPr>
              <w:t>facilita</w:t>
            </w:r>
            <w:r w:rsidR="00CF6A65" w:rsidRPr="00AD2B7A">
              <w:rPr>
                <w:bCs/>
                <w:lang w:val="es-ES" w:eastAsia="es-ES"/>
              </w:rPr>
              <w:t>do</w:t>
            </w:r>
            <w:r w:rsidR="00676F23" w:rsidRPr="00AD2B7A">
              <w:rPr>
                <w:bCs/>
                <w:lang w:val="es-ES" w:eastAsia="es-ES"/>
              </w:rPr>
              <w:t xml:space="preserve"> la atención de las solicitudes pendientes, así como de las que surjan día a día en materia de electricidad, fontanería, albañilería, maderas, metalurgia y todas aquellas que actualmente se atienden con </w:t>
            </w:r>
            <w:r w:rsidR="00CF6A65" w:rsidRPr="00AD2B7A">
              <w:rPr>
                <w:bCs/>
                <w:lang w:val="es-ES" w:eastAsia="es-ES"/>
              </w:rPr>
              <w:t>el único</w:t>
            </w:r>
            <w:r w:rsidR="00676F23" w:rsidRPr="00AD2B7A">
              <w:rPr>
                <w:bCs/>
                <w:lang w:val="es-ES" w:eastAsia="es-ES"/>
              </w:rPr>
              <w:t xml:space="preserve"> </w:t>
            </w:r>
            <w:r w:rsidR="00CF6A65" w:rsidRPr="00AD2B7A">
              <w:rPr>
                <w:bCs/>
                <w:lang w:val="es-ES" w:eastAsia="es-ES"/>
              </w:rPr>
              <w:t>O</w:t>
            </w:r>
            <w:r w:rsidR="00676F23" w:rsidRPr="00AD2B7A">
              <w:rPr>
                <w:bCs/>
                <w:lang w:val="es-ES" w:eastAsia="es-ES"/>
              </w:rPr>
              <w:t>brero</w:t>
            </w:r>
            <w:r w:rsidR="00A5207D" w:rsidRPr="00AD2B7A">
              <w:rPr>
                <w:bCs/>
                <w:lang w:val="es-ES" w:eastAsia="es-ES"/>
              </w:rPr>
              <w:t xml:space="preserve"> Especializado</w:t>
            </w:r>
            <w:r w:rsidR="00247491" w:rsidRPr="00AD2B7A">
              <w:rPr>
                <w:bCs/>
                <w:lang w:val="es-ES" w:eastAsia="es-ES"/>
              </w:rPr>
              <w:t>.</w:t>
            </w:r>
          </w:p>
          <w:p w:rsidR="00247491" w:rsidRPr="00AD2B7A" w:rsidRDefault="00247491" w:rsidP="00DA0666">
            <w:pPr>
              <w:pStyle w:val="Prrafodelista"/>
              <w:jc w:val="both"/>
              <w:rPr>
                <w:bCs/>
                <w:lang w:val="es-ES" w:eastAsia="es-ES"/>
              </w:rPr>
            </w:pPr>
            <w:r w:rsidRPr="00AD2B7A">
              <w:rPr>
                <w:bCs/>
                <w:lang w:val="es-ES" w:eastAsia="es-ES"/>
              </w:rPr>
              <w:t xml:space="preserve">Según indica el Administrador del </w:t>
            </w:r>
            <w:r w:rsidR="000907F9" w:rsidRPr="00AD2B7A">
              <w:rPr>
                <w:bCs/>
                <w:lang w:val="es-ES" w:eastAsia="es-ES"/>
              </w:rPr>
              <w:t>OIJ</w:t>
            </w:r>
            <w:r w:rsidRPr="00AD2B7A">
              <w:rPr>
                <w:bCs/>
                <w:lang w:val="es-ES" w:eastAsia="es-ES"/>
              </w:rPr>
              <w:t>, únicamente se dispone de una plaza de Técnico Especializado 5 para atender tod</w:t>
            </w:r>
            <w:r w:rsidR="00A5207D" w:rsidRPr="00AD2B7A">
              <w:rPr>
                <w:bCs/>
                <w:lang w:val="es-ES" w:eastAsia="es-ES"/>
              </w:rPr>
              <w:t>o</w:t>
            </w:r>
            <w:r w:rsidRPr="00AD2B7A">
              <w:rPr>
                <w:bCs/>
                <w:lang w:val="es-ES" w:eastAsia="es-ES"/>
              </w:rPr>
              <w:t>s los reportes que ingresan en las diversas áreas, a quien le corresponde brindar atención a las 43 oficinas ubicadas en el I Circuito Judicial</w:t>
            </w:r>
            <w:r w:rsidR="00A5207D" w:rsidRPr="00AD2B7A">
              <w:rPr>
                <w:bCs/>
                <w:lang w:val="es-ES" w:eastAsia="es-ES"/>
              </w:rPr>
              <w:t xml:space="preserve"> de San José</w:t>
            </w:r>
            <w:r w:rsidR="003862A9" w:rsidRPr="00AD2B7A">
              <w:rPr>
                <w:bCs/>
                <w:lang w:val="es-ES" w:eastAsia="es-ES"/>
              </w:rPr>
              <w:t xml:space="preserve"> (incluyendo, las Secciones de Cárceles, de Transportes, </w:t>
            </w:r>
            <w:r w:rsidR="00FF5309" w:rsidRPr="00AD2B7A">
              <w:rPr>
                <w:bCs/>
                <w:lang w:val="es-ES" w:eastAsia="es-ES"/>
              </w:rPr>
              <w:t>Administración)</w:t>
            </w:r>
            <w:r w:rsidRPr="00AD2B7A">
              <w:rPr>
                <w:bCs/>
                <w:lang w:val="es-ES" w:eastAsia="es-ES"/>
              </w:rPr>
              <w:t xml:space="preserve"> y 11 oficinas ubicadas en el edificio “Torre Z”. Asimismo, contribuye con la confección de especificaciones técnicas, criterios técnicos, y visitas programadas hasta por un monto máximo de ¢5.000.000 de colones, ya que, en caso de superar ese monto, lo realiza el Departamento de Servicios Generales.</w:t>
            </w:r>
            <w:r w:rsidR="009D155C" w:rsidRPr="00AD2B7A">
              <w:rPr>
                <w:bCs/>
                <w:lang w:val="es-ES" w:eastAsia="es-ES"/>
              </w:rPr>
              <w:t xml:space="preserve"> De ahí la necesidad de reforzar este servicio con la plaza que viene operando en condición de permiso con goce de salario.</w:t>
            </w:r>
          </w:p>
          <w:p w:rsidR="009D155C" w:rsidRPr="00AD2B7A" w:rsidRDefault="009F5EE5" w:rsidP="009F5EE5">
            <w:pPr>
              <w:pStyle w:val="Prrafodelista"/>
              <w:jc w:val="both"/>
              <w:rPr>
                <w:bCs/>
                <w:i/>
                <w:lang w:val="es-ES" w:eastAsia="es-ES"/>
              </w:rPr>
            </w:pPr>
            <w:bookmarkStart w:id="0" w:name="_Hlk510526679"/>
            <w:r w:rsidRPr="00AD2B7A">
              <w:rPr>
                <w:bCs/>
                <w:lang w:val="es-ES" w:eastAsia="es-ES"/>
              </w:rPr>
              <w:t xml:space="preserve">Adicionan </w:t>
            </w:r>
            <w:r w:rsidR="00283011" w:rsidRPr="00AD2B7A">
              <w:rPr>
                <w:bCs/>
                <w:lang w:val="es-ES" w:eastAsia="es-ES"/>
              </w:rPr>
              <w:t xml:space="preserve">los jerarcas del </w:t>
            </w:r>
            <w:r w:rsidR="000907F9" w:rsidRPr="00AD2B7A">
              <w:rPr>
                <w:bCs/>
                <w:lang w:val="es-ES" w:eastAsia="es-ES"/>
              </w:rPr>
              <w:t>OIJ</w:t>
            </w:r>
            <w:r w:rsidR="00283011" w:rsidRPr="00AD2B7A">
              <w:rPr>
                <w:bCs/>
                <w:lang w:val="es-ES" w:eastAsia="es-ES"/>
              </w:rPr>
              <w:t xml:space="preserve">, </w:t>
            </w:r>
            <w:r w:rsidR="000907F9" w:rsidRPr="00AD2B7A">
              <w:rPr>
                <w:bCs/>
                <w:lang w:val="es-ES" w:eastAsia="es-ES"/>
              </w:rPr>
              <w:t xml:space="preserve">que </w:t>
            </w:r>
            <w:r w:rsidR="00283011" w:rsidRPr="00AD2B7A">
              <w:rPr>
                <w:bCs/>
                <w:lang w:val="es-ES" w:eastAsia="es-ES"/>
              </w:rPr>
              <w:t xml:space="preserve">existen trabajos que </w:t>
            </w:r>
            <w:r w:rsidRPr="00AD2B7A">
              <w:rPr>
                <w:bCs/>
                <w:lang w:val="es-ES" w:eastAsia="es-ES"/>
              </w:rPr>
              <w:t>“</w:t>
            </w:r>
            <w:r w:rsidR="00283011" w:rsidRPr="00AD2B7A">
              <w:rPr>
                <w:bCs/>
                <w:i/>
                <w:lang w:val="es-ES" w:eastAsia="es-ES"/>
              </w:rPr>
              <w:t xml:space="preserve">por su naturaleza se requiere que sean elaborados al menos por 2 personas, como por ejemplo la remodelación del área que actualmente tiene la Oficina de Unidad de Género y Acceso a la Justicia en la </w:t>
            </w:r>
            <w:r w:rsidR="007F4FD0" w:rsidRPr="00AD2B7A">
              <w:rPr>
                <w:bCs/>
                <w:i/>
                <w:lang w:val="es-ES" w:eastAsia="es-ES"/>
              </w:rPr>
              <w:t>Policía</w:t>
            </w:r>
            <w:r w:rsidR="00283011" w:rsidRPr="00AD2B7A">
              <w:rPr>
                <w:bCs/>
                <w:i/>
                <w:lang w:val="es-ES" w:eastAsia="es-ES"/>
              </w:rPr>
              <w:t xml:space="preserve"> Judicial, o el trabajo de remodelación para la instalación del Centro de Información Confidencial, ya que si bien estos fueron realizados por el Obrero Especializado 5, al ser una sola persona la que los ejecutó se alargan los  plazos de entrega, lo que hace que se acumulen gran cantidad de solicitudes. Además de indicar que estos trabajos se ven interrumpidos para dar la debida atención a las emergencias que se presentan a diario</w:t>
            </w:r>
            <w:r w:rsidR="000E3B81" w:rsidRPr="00AD2B7A">
              <w:rPr>
                <w:bCs/>
                <w:i/>
                <w:lang w:val="es-ES" w:eastAsia="es-ES"/>
              </w:rPr>
              <w:t>”.</w:t>
            </w:r>
          </w:p>
          <w:bookmarkEnd w:id="0"/>
          <w:p w:rsidR="00976D52" w:rsidRPr="00AD2B7A" w:rsidRDefault="009F5EE5" w:rsidP="00364A6A">
            <w:pPr>
              <w:pStyle w:val="Prrafodelista"/>
              <w:jc w:val="both"/>
              <w:rPr>
                <w:bCs/>
                <w:lang w:val="es-ES" w:eastAsia="es-ES"/>
              </w:rPr>
            </w:pPr>
            <w:r w:rsidRPr="00AD2B7A">
              <w:rPr>
                <w:bCs/>
                <w:lang w:val="es-ES" w:eastAsia="es-ES"/>
              </w:rPr>
              <w:t>Es importante mencionar que ante consulta realiza</w:t>
            </w:r>
            <w:r w:rsidR="000907F9" w:rsidRPr="00AD2B7A">
              <w:rPr>
                <w:bCs/>
                <w:lang w:val="es-ES" w:eastAsia="es-ES"/>
              </w:rPr>
              <w:t>d</w:t>
            </w:r>
            <w:r w:rsidRPr="00AD2B7A">
              <w:rPr>
                <w:bCs/>
                <w:lang w:val="es-ES" w:eastAsia="es-ES"/>
              </w:rPr>
              <w:t xml:space="preserve">a por parte del Consejo </w:t>
            </w:r>
            <w:r w:rsidR="009A36A6" w:rsidRPr="00AD2B7A">
              <w:rPr>
                <w:bCs/>
                <w:lang w:val="es-ES" w:eastAsia="es-ES"/>
              </w:rPr>
              <w:t>Superior a</w:t>
            </w:r>
            <w:r w:rsidRPr="00AD2B7A">
              <w:rPr>
                <w:bCs/>
                <w:lang w:val="es-ES" w:eastAsia="es-ES"/>
              </w:rPr>
              <w:t xml:space="preserve"> la Dirección Ejecutiva para determinar la viabilidad o no de prorrogar el permiso con goce de salario a la plaza en estudio, se detalló un informe indicando que durante el 2016 solo del edificio del OIJ se recibieron para la Sección de Mantenimiento aproximadamente 2480 Ordenes de Trabajo y para el año 2017, se registra</w:t>
            </w:r>
            <w:r w:rsidR="000907F9" w:rsidRPr="00AD2B7A">
              <w:rPr>
                <w:bCs/>
                <w:lang w:val="es-ES" w:eastAsia="es-ES"/>
              </w:rPr>
              <w:t>ro</w:t>
            </w:r>
            <w:r w:rsidRPr="00AD2B7A">
              <w:rPr>
                <w:bCs/>
                <w:lang w:val="es-ES" w:eastAsia="es-ES"/>
              </w:rPr>
              <w:t xml:space="preserve">n 2425 órdenes. Cabe destacar que este valor </w:t>
            </w:r>
            <w:r w:rsidR="000907F9" w:rsidRPr="00AD2B7A">
              <w:rPr>
                <w:bCs/>
                <w:lang w:val="es-ES" w:eastAsia="es-ES"/>
              </w:rPr>
              <w:t xml:space="preserve">incluye </w:t>
            </w:r>
            <w:r w:rsidRPr="00AD2B7A">
              <w:rPr>
                <w:bCs/>
                <w:lang w:val="es-ES" w:eastAsia="es-ES"/>
              </w:rPr>
              <w:t xml:space="preserve">todos los reportes de las oficinas ubicadas en el edificio </w:t>
            </w:r>
            <w:r w:rsidR="009A36A6" w:rsidRPr="00AD2B7A">
              <w:rPr>
                <w:bCs/>
                <w:lang w:val="es-ES" w:eastAsia="es-ES"/>
              </w:rPr>
              <w:t xml:space="preserve">del </w:t>
            </w:r>
            <w:r w:rsidRPr="00AD2B7A">
              <w:rPr>
                <w:bCs/>
                <w:lang w:val="es-ES" w:eastAsia="es-ES"/>
              </w:rPr>
              <w:t>OIJ.</w:t>
            </w:r>
          </w:p>
          <w:p w:rsidR="00247491" w:rsidRPr="00AD2B7A" w:rsidRDefault="00976D52" w:rsidP="00190116">
            <w:pPr>
              <w:pStyle w:val="Prrafodelista"/>
              <w:jc w:val="both"/>
              <w:rPr>
                <w:bCs/>
              </w:rPr>
            </w:pPr>
            <w:r w:rsidRPr="00AD2B7A">
              <w:rPr>
                <w:b/>
                <w:bCs/>
                <w:i/>
                <w:lang w:val="es-ES" w:eastAsia="es-ES"/>
              </w:rPr>
              <w:t>3</w:t>
            </w:r>
            <w:r w:rsidR="00364A6A" w:rsidRPr="00AD2B7A">
              <w:rPr>
                <w:b/>
                <w:bCs/>
                <w:i/>
                <w:lang w:val="es-ES" w:eastAsia="es-ES"/>
              </w:rPr>
              <w:t xml:space="preserve">.2.- </w:t>
            </w:r>
            <w:r w:rsidR="00247491" w:rsidRPr="00AD2B7A">
              <w:rPr>
                <w:b/>
                <w:bCs/>
                <w:i/>
              </w:rPr>
              <w:t>Información Estadística sobre los reportes de trabajo atendidos por los dos Obreros Especializados</w:t>
            </w:r>
          </w:p>
          <w:p w:rsidR="00294BA7" w:rsidRPr="00AD2B7A" w:rsidRDefault="00294BA7" w:rsidP="00364A6A">
            <w:pPr>
              <w:pStyle w:val="Prrafodelista"/>
              <w:jc w:val="both"/>
              <w:rPr>
                <w:bCs/>
                <w:lang w:val="es-ES" w:eastAsia="es-ES"/>
              </w:rPr>
            </w:pPr>
            <w:r w:rsidRPr="00AD2B7A">
              <w:rPr>
                <w:bCs/>
                <w:lang w:val="es-ES" w:eastAsia="es-ES"/>
              </w:rPr>
              <w:t>Los actuales dos Técnicos Especializados 5</w:t>
            </w:r>
            <w:r w:rsidR="00B921D6" w:rsidRPr="00AD2B7A">
              <w:rPr>
                <w:bCs/>
                <w:lang w:val="es-ES" w:eastAsia="es-ES"/>
              </w:rPr>
              <w:t xml:space="preserve"> (Obreros Especializados)</w:t>
            </w:r>
            <w:r w:rsidR="00031E3B" w:rsidRPr="00AD2B7A">
              <w:rPr>
                <w:rStyle w:val="Refdenotaalpie"/>
                <w:bCs/>
                <w:lang w:val="es-ES" w:eastAsia="es-ES"/>
              </w:rPr>
              <w:footnoteReference w:id="1"/>
            </w:r>
            <w:r w:rsidR="0072089E" w:rsidRPr="00AD2B7A">
              <w:rPr>
                <w:bCs/>
                <w:lang w:val="es-ES" w:eastAsia="es-ES"/>
              </w:rPr>
              <w:t xml:space="preserve"> (plaza ordinaria y la del permiso con goce de salario y sustitución</w:t>
            </w:r>
            <w:r w:rsidRPr="00AD2B7A">
              <w:rPr>
                <w:bCs/>
                <w:lang w:val="es-ES" w:eastAsia="es-ES"/>
              </w:rPr>
              <w:t xml:space="preserve">, deben asumir diversas actividades para atender las necesidades </w:t>
            </w:r>
            <w:r w:rsidR="00251035" w:rsidRPr="00AD2B7A">
              <w:rPr>
                <w:bCs/>
                <w:lang w:val="es-ES" w:eastAsia="es-ES"/>
              </w:rPr>
              <w:t xml:space="preserve">de mantenimiento </w:t>
            </w:r>
            <w:r w:rsidRPr="00AD2B7A">
              <w:rPr>
                <w:bCs/>
                <w:lang w:val="es-ES" w:eastAsia="es-ES"/>
              </w:rPr>
              <w:t>que se reportan por parte de las oficinas del OIJ, no solo del Primer Circuito Judicial de San José</w:t>
            </w:r>
            <w:r w:rsidR="00AB3497" w:rsidRPr="00AD2B7A">
              <w:rPr>
                <w:bCs/>
                <w:lang w:val="es-ES" w:eastAsia="es-ES"/>
              </w:rPr>
              <w:t xml:space="preserve"> </w:t>
            </w:r>
            <w:r w:rsidR="00251035" w:rsidRPr="00AD2B7A">
              <w:rPr>
                <w:bCs/>
                <w:lang w:val="es-ES" w:eastAsia="es-ES"/>
              </w:rPr>
              <w:t>-</w:t>
            </w:r>
            <w:r w:rsidR="00AB3497" w:rsidRPr="00AD2B7A">
              <w:rPr>
                <w:bCs/>
                <w:lang w:val="es-ES" w:eastAsia="es-ES"/>
              </w:rPr>
              <w:t>incluyendo periferias como Puriscal y Acosta</w:t>
            </w:r>
            <w:r w:rsidR="00251035" w:rsidRPr="00AD2B7A">
              <w:rPr>
                <w:bCs/>
                <w:lang w:val="es-ES" w:eastAsia="es-ES"/>
              </w:rPr>
              <w:t>-</w:t>
            </w:r>
            <w:r w:rsidR="00AB3497" w:rsidRPr="00AD2B7A">
              <w:rPr>
                <w:bCs/>
                <w:lang w:val="es-ES" w:eastAsia="es-ES"/>
              </w:rPr>
              <w:t xml:space="preserve"> sino de aquellas otras dependencias de zonas regionales que se requieran, principalmente para </w:t>
            </w:r>
            <w:r w:rsidR="00251035" w:rsidRPr="00AD2B7A">
              <w:rPr>
                <w:bCs/>
                <w:lang w:val="es-ES" w:eastAsia="es-ES"/>
              </w:rPr>
              <w:t xml:space="preserve">atender trabajos que se tengan que contratar </w:t>
            </w:r>
            <w:r w:rsidR="00A021FA" w:rsidRPr="00AD2B7A">
              <w:rPr>
                <w:bCs/>
                <w:lang w:val="es-ES" w:eastAsia="es-ES"/>
              </w:rPr>
              <w:t xml:space="preserve">y este personal debe </w:t>
            </w:r>
            <w:r w:rsidR="00AB3497" w:rsidRPr="00AD2B7A">
              <w:rPr>
                <w:bCs/>
                <w:lang w:val="es-ES" w:eastAsia="es-ES"/>
              </w:rPr>
              <w:t>realizar la proyección de</w:t>
            </w:r>
            <w:r w:rsidR="00CC0039" w:rsidRPr="00AD2B7A">
              <w:rPr>
                <w:bCs/>
                <w:lang w:val="es-ES" w:eastAsia="es-ES"/>
              </w:rPr>
              <w:t xml:space="preserve"> la cantidad de</w:t>
            </w:r>
            <w:r w:rsidR="00AB3497" w:rsidRPr="00AD2B7A">
              <w:rPr>
                <w:bCs/>
                <w:lang w:val="es-ES" w:eastAsia="es-ES"/>
              </w:rPr>
              <w:t xml:space="preserve"> los materiales a utilizar</w:t>
            </w:r>
            <w:r w:rsidR="00CC0039" w:rsidRPr="00AD2B7A">
              <w:rPr>
                <w:bCs/>
                <w:lang w:val="es-ES" w:eastAsia="es-ES"/>
              </w:rPr>
              <w:t>,</w:t>
            </w:r>
            <w:r w:rsidR="00AB3497" w:rsidRPr="00AD2B7A">
              <w:rPr>
                <w:bCs/>
                <w:lang w:val="es-ES" w:eastAsia="es-ES"/>
              </w:rPr>
              <w:t xml:space="preserve"> la</w:t>
            </w:r>
            <w:r w:rsidR="00CC0039" w:rsidRPr="00AD2B7A">
              <w:rPr>
                <w:bCs/>
                <w:lang w:val="es-ES" w:eastAsia="es-ES"/>
              </w:rPr>
              <w:t xml:space="preserve"> descripción </w:t>
            </w:r>
            <w:r w:rsidR="00AB3497" w:rsidRPr="00AD2B7A">
              <w:rPr>
                <w:bCs/>
                <w:lang w:val="es-ES" w:eastAsia="es-ES"/>
              </w:rPr>
              <w:t xml:space="preserve">del trabajo que se va a  requerir, </w:t>
            </w:r>
            <w:r w:rsidR="00CC0039" w:rsidRPr="00AD2B7A">
              <w:rPr>
                <w:bCs/>
                <w:lang w:val="es-ES" w:eastAsia="es-ES"/>
              </w:rPr>
              <w:t xml:space="preserve">las cotizaciones y compras de los materiales, </w:t>
            </w:r>
            <w:r w:rsidR="00AB3497" w:rsidRPr="00AD2B7A">
              <w:rPr>
                <w:bCs/>
                <w:lang w:val="es-ES" w:eastAsia="es-ES"/>
              </w:rPr>
              <w:t>así como la supervisión</w:t>
            </w:r>
            <w:r w:rsidR="00CC0039" w:rsidRPr="00AD2B7A">
              <w:rPr>
                <w:bCs/>
                <w:lang w:val="es-ES" w:eastAsia="es-ES"/>
              </w:rPr>
              <w:t xml:space="preserve"> para los</w:t>
            </w:r>
            <w:r w:rsidR="00AB3497" w:rsidRPr="00AD2B7A">
              <w:rPr>
                <w:bCs/>
                <w:lang w:val="es-ES" w:eastAsia="es-ES"/>
              </w:rPr>
              <w:t xml:space="preserve"> trabajos contratados</w:t>
            </w:r>
            <w:r w:rsidR="00CC0039" w:rsidRPr="00AD2B7A">
              <w:rPr>
                <w:bCs/>
                <w:lang w:val="es-ES" w:eastAsia="es-ES"/>
              </w:rPr>
              <w:t xml:space="preserve"> y su posterior recepción</w:t>
            </w:r>
            <w:r w:rsidR="00AB3497" w:rsidRPr="00AD2B7A">
              <w:rPr>
                <w:bCs/>
                <w:lang w:val="es-ES" w:eastAsia="es-ES"/>
              </w:rPr>
              <w:t>.</w:t>
            </w:r>
          </w:p>
          <w:p w:rsidR="00247491" w:rsidRDefault="00B718B5" w:rsidP="00364A6A">
            <w:pPr>
              <w:pStyle w:val="Prrafodelista"/>
              <w:jc w:val="both"/>
              <w:rPr>
                <w:bCs/>
                <w:lang w:val="es-ES" w:eastAsia="es-ES"/>
              </w:rPr>
            </w:pPr>
            <w:r w:rsidRPr="00AD2B7A">
              <w:rPr>
                <w:bCs/>
                <w:lang w:val="es-ES" w:eastAsia="es-ES"/>
              </w:rPr>
              <w:t xml:space="preserve">A </w:t>
            </w:r>
            <w:r w:rsidR="00976D52" w:rsidRPr="00AD2B7A">
              <w:rPr>
                <w:bCs/>
                <w:lang w:val="es-ES" w:eastAsia="es-ES"/>
              </w:rPr>
              <w:t>continuación,</w:t>
            </w:r>
            <w:r w:rsidRPr="00AD2B7A">
              <w:rPr>
                <w:bCs/>
                <w:lang w:val="es-ES" w:eastAsia="es-ES"/>
              </w:rPr>
              <w:t xml:space="preserve"> se registra la cantidad de solicitudes de mantenimiento atendidas </w:t>
            </w:r>
            <w:r w:rsidR="00976D52" w:rsidRPr="00AD2B7A">
              <w:rPr>
                <w:bCs/>
                <w:lang w:val="es-ES" w:eastAsia="es-ES"/>
              </w:rPr>
              <w:t>y las visitas realizadas a las oficinas para dar el mantenimiento respectivo.</w:t>
            </w:r>
          </w:p>
          <w:p w:rsidR="008A4367" w:rsidRDefault="008A4367" w:rsidP="00364A6A">
            <w:pPr>
              <w:pStyle w:val="Prrafodelista"/>
              <w:jc w:val="both"/>
              <w:rPr>
                <w:bCs/>
                <w:lang w:val="es-ES" w:eastAsia="es-ES"/>
              </w:rPr>
            </w:pPr>
          </w:p>
          <w:p w:rsidR="008A4367" w:rsidRDefault="008A4367" w:rsidP="00364A6A">
            <w:pPr>
              <w:pStyle w:val="Prrafodelista"/>
              <w:jc w:val="both"/>
              <w:rPr>
                <w:bCs/>
                <w:lang w:val="es-ES" w:eastAsia="es-ES"/>
              </w:rPr>
            </w:pPr>
          </w:p>
          <w:p w:rsidR="008A4367" w:rsidRDefault="008A4367" w:rsidP="00364A6A">
            <w:pPr>
              <w:pStyle w:val="Prrafodelista"/>
              <w:jc w:val="both"/>
              <w:rPr>
                <w:bCs/>
                <w:lang w:val="es-ES" w:eastAsia="es-ES"/>
              </w:rPr>
            </w:pPr>
          </w:p>
          <w:p w:rsidR="008A4367" w:rsidRPr="00AD2B7A" w:rsidRDefault="008A4367" w:rsidP="00364A6A">
            <w:pPr>
              <w:pStyle w:val="Prrafodelista"/>
              <w:jc w:val="both"/>
              <w:rPr>
                <w:bCs/>
                <w:lang w:val="es-ES" w:eastAsia="es-ES"/>
              </w:rPr>
            </w:pPr>
          </w:p>
          <w:p w:rsidR="00976D52" w:rsidRPr="00AD2B7A" w:rsidRDefault="00976D52" w:rsidP="00976D52">
            <w:pPr>
              <w:pStyle w:val="Prrafodelista"/>
              <w:spacing w:before="0" w:beforeAutospacing="0" w:after="0" w:afterAutospacing="0"/>
              <w:jc w:val="center"/>
              <w:rPr>
                <w:bCs/>
                <w:lang w:val="es-ES" w:eastAsia="es-ES"/>
              </w:rPr>
            </w:pPr>
            <w:r w:rsidRPr="00AD2B7A">
              <w:rPr>
                <w:bCs/>
                <w:lang w:val="es-ES" w:eastAsia="es-ES"/>
              </w:rPr>
              <w:t>CUADRO 1</w:t>
            </w:r>
          </w:p>
          <w:p w:rsidR="00976D52" w:rsidRPr="00AD2B7A" w:rsidRDefault="00976D52" w:rsidP="00976D52">
            <w:pPr>
              <w:pStyle w:val="Prrafodelista"/>
              <w:spacing w:before="0" w:beforeAutospacing="0" w:after="0" w:afterAutospacing="0"/>
              <w:jc w:val="center"/>
              <w:rPr>
                <w:bCs/>
                <w:sz w:val="18"/>
                <w:szCs w:val="18"/>
                <w:lang w:val="es-ES" w:eastAsia="es-ES"/>
              </w:rPr>
            </w:pPr>
            <w:r w:rsidRPr="00AD2B7A">
              <w:rPr>
                <w:bCs/>
                <w:sz w:val="18"/>
                <w:szCs w:val="18"/>
                <w:lang w:val="es-ES" w:eastAsia="es-ES"/>
              </w:rPr>
              <w:t>MOVIMIENTO DE TRABAJO REALIZADO POR LOS TECNICOS ESPECIALIZADOS 5 EN AREAS DE MANTENIMIENTO DEL OIJ, DURANTE EL 2017 Y LOS PRIMEROS DOS MESES DEL 2018</w:t>
            </w:r>
          </w:p>
          <w:p w:rsidR="00CC19FB" w:rsidRPr="00976D52" w:rsidRDefault="00CC19FB" w:rsidP="00976D52">
            <w:pPr>
              <w:pStyle w:val="Prrafodelista"/>
              <w:spacing w:before="0" w:beforeAutospacing="0" w:after="0" w:afterAutospacing="0"/>
              <w:jc w:val="center"/>
              <w:rPr>
                <w:rFonts w:ascii="Arial Narrow" w:hAnsi="Arial Narrow"/>
                <w:bCs/>
                <w:sz w:val="18"/>
                <w:szCs w:val="18"/>
                <w:lang w:val="es-ES" w:eastAsia="es-ES"/>
              </w:rPr>
            </w:pPr>
          </w:p>
          <w:tbl>
            <w:tblPr>
              <w:tblStyle w:val="GridTable6ColorfulAccent5"/>
              <w:tblW w:w="7659" w:type="dxa"/>
              <w:jc w:val="center"/>
              <w:tblLayout w:type="fixed"/>
              <w:tblLook w:val="04A0"/>
            </w:tblPr>
            <w:tblGrid>
              <w:gridCol w:w="2437"/>
              <w:gridCol w:w="646"/>
              <w:gridCol w:w="647"/>
              <w:gridCol w:w="647"/>
              <w:gridCol w:w="647"/>
              <w:gridCol w:w="938"/>
              <w:gridCol w:w="709"/>
              <w:gridCol w:w="938"/>
              <w:gridCol w:w="50"/>
            </w:tblGrid>
            <w:tr w:rsidR="00294BA7" w:rsidRPr="009D155C" w:rsidTr="00A60763">
              <w:trPr>
                <w:gridAfter w:val="1"/>
                <w:cnfStyle w:val="100000000000"/>
                <w:wAfter w:w="50" w:type="dxa"/>
                <w:jc w:val="center"/>
              </w:trPr>
              <w:tc>
                <w:tcPr>
                  <w:cnfStyle w:val="001000000000"/>
                  <w:tcW w:w="2437" w:type="dxa"/>
                  <w:vMerge w:val="restart"/>
                  <w:vAlign w:val="center"/>
                </w:tcPr>
                <w:p w:rsidR="00294BA7" w:rsidRPr="009D155C" w:rsidRDefault="00294BA7" w:rsidP="00483B40">
                  <w:pPr>
                    <w:pStyle w:val="Prrafodelista"/>
                    <w:jc w:val="center"/>
                    <w:rPr>
                      <w:rFonts w:ascii="Arial Narrow" w:hAnsi="Arial Narrow"/>
                      <w:b w:val="0"/>
                      <w:bCs w:val="0"/>
                      <w:sz w:val="20"/>
                      <w:szCs w:val="20"/>
                      <w:lang w:val="es-ES" w:eastAsia="es-ES"/>
                    </w:rPr>
                  </w:pPr>
                  <w:r w:rsidRPr="00294BA7">
                    <w:rPr>
                      <w:rFonts w:ascii="Arial Narrow" w:hAnsi="Arial Narrow"/>
                      <w:bCs w:val="0"/>
                      <w:sz w:val="16"/>
                      <w:szCs w:val="16"/>
                      <w:lang w:val="es-ES" w:eastAsia="es-ES"/>
                    </w:rPr>
                    <w:t>PROCESO DE MANTENIMIENTO</w:t>
                  </w:r>
                </w:p>
              </w:tc>
              <w:tc>
                <w:tcPr>
                  <w:tcW w:w="3525" w:type="dxa"/>
                  <w:gridSpan w:val="5"/>
                  <w:vAlign w:val="center"/>
                </w:tcPr>
                <w:p w:rsidR="00294BA7" w:rsidRPr="00294BA7" w:rsidRDefault="00294BA7" w:rsidP="009D155C">
                  <w:pPr>
                    <w:pStyle w:val="Prrafodelista"/>
                    <w:spacing w:before="0" w:beforeAutospacing="0" w:after="0" w:afterAutospacing="0"/>
                    <w:jc w:val="center"/>
                    <w:cnfStyle w:val="100000000000"/>
                    <w:rPr>
                      <w:rFonts w:ascii="Arial Narrow" w:hAnsi="Arial Narrow"/>
                      <w:lang w:val="es-ES" w:eastAsia="es-ES"/>
                    </w:rPr>
                  </w:pPr>
                  <w:r w:rsidRPr="00294BA7">
                    <w:rPr>
                      <w:rFonts w:ascii="Arial Narrow" w:hAnsi="Arial Narrow"/>
                      <w:bCs w:val="0"/>
                      <w:lang w:val="es-ES" w:eastAsia="es-ES"/>
                    </w:rPr>
                    <w:t>2017</w:t>
                  </w:r>
                </w:p>
              </w:tc>
              <w:tc>
                <w:tcPr>
                  <w:tcW w:w="1647" w:type="dxa"/>
                  <w:gridSpan w:val="2"/>
                  <w:vAlign w:val="center"/>
                </w:tcPr>
                <w:p w:rsidR="00294BA7" w:rsidRPr="00294BA7" w:rsidRDefault="00294BA7" w:rsidP="009D155C">
                  <w:pPr>
                    <w:pStyle w:val="Prrafodelista"/>
                    <w:spacing w:before="0" w:beforeAutospacing="0" w:after="0" w:afterAutospacing="0"/>
                    <w:jc w:val="center"/>
                    <w:cnfStyle w:val="100000000000"/>
                    <w:rPr>
                      <w:rFonts w:ascii="Arial Narrow" w:hAnsi="Arial Narrow"/>
                      <w:bCs w:val="0"/>
                      <w:lang w:val="es-ES" w:eastAsia="es-ES"/>
                    </w:rPr>
                  </w:pPr>
                  <w:r w:rsidRPr="00294BA7">
                    <w:rPr>
                      <w:rFonts w:ascii="Arial Narrow" w:hAnsi="Arial Narrow"/>
                      <w:bCs w:val="0"/>
                      <w:lang w:val="es-ES" w:eastAsia="es-ES"/>
                    </w:rPr>
                    <w:t>2018</w:t>
                  </w:r>
                </w:p>
              </w:tc>
            </w:tr>
            <w:tr w:rsidR="00CC19FB" w:rsidRPr="009D155C" w:rsidTr="00CC19FB">
              <w:trPr>
                <w:gridAfter w:val="1"/>
                <w:cnfStyle w:val="000000100000"/>
                <w:wAfter w:w="50" w:type="dxa"/>
                <w:jc w:val="center"/>
              </w:trPr>
              <w:tc>
                <w:tcPr>
                  <w:cnfStyle w:val="001000000000"/>
                  <w:tcW w:w="2437" w:type="dxa"/>
                  <w:vMerge/>
                  <w:vAlign w:val="center"/>
                </w:tcPr>
                <w:p w:rsidR="00294BA7" w:rsidRPr="00294BA7" w:rsidRDefault="00294BA7" w:rsidP="00483B40">
                  <w:pPr>
                    <w:pStyle w:val="Prrafodelista"/>
                    <w:jc w:val="center"/>
                    <w:rPr>
                      <w:rFonts w:ascii="Arial Narrow" w:hAnsi="Arial Narrow"/>
                      <w:bCs w:val="0"/>
                      <w:sz w:val="16"/>
                      <w:szCs w:val="16"/>
                      <w:lang w:val="es-ES" w:eastAsia="es-ES"/>
                    </w:rPr>
                  </w:pPr>
                </w:p>
              </w:tc>
              <w:tc>
                <w:tcPr>
                  <w:tcW w:w="646" w:type="dxa"/>
                  <w:vAlign w:val="center"/>
                </w:tcPr>
                <w:p w:rsidR="00294BA7" w:rsidRPr="00294BA7" w:rsidRDefault="00294BA7" w:rsidP="00483B40">
                  <w:pPr>
                    <w:pStyle w:val="Prrafodelista"/>
                    <w:spacing w:before="0" w:beforeAutospacing="0" w:after="0" w:afterAutospacing="0"/>
                    <w:jc w:val="center"/>
                    <w:cnfStyle w:val="000000100000"/>
                    <w:rPr>
                      <w:rFonts w:ascii="Arial Narrow" w:hAnsi="Arial Narrow"/>
                      <w:b/>
                      <w:sz w:val="16"/>
                      <w:szCs w:val="16"/>
                      <w:lang w:val="es-ES" w:eastAsia="es-ES"/>
                    </w:rPr>
                  </w:pPr>
                  <w:r w:rsidRPr="00294BA7">
                    <w:rPr>
                      <w:rFonts w:ascii="Arial Narrow" w:hAnsi="Arial Narrow"/>
                      <w:b/>
                      <w:bCs/>
                      <w:sz w:val="16"/>
                      <w:szCs w:val="16"/>
                      <w:lang w:val="es-ES" w:eastAsia="es-ES"/>
                    </w:rPr>
                    <w:t xml:space="preserve">I </w:t>
                  </w:r>
                </w:p>
                <w:p w:rsidR="00294BA7" w:rsidRPr="00294BA7" w:rsidRDefault="00294BA7" w:rsidP="00483B40">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bCs/>
                      <w:sz w:val="16"/>
                      <w:szCs w:val="16"/>
                      <w:lang w:val="es-ES" w:eastAsia="es-ES"/>
                    </w:rPr>
                    <w:t>TRIM.</w:t>
                  </w:r>
                </w:p>
              </w:tc>
              <w:tc>
                <w:tcPr>
                  <w:tcW w:w="647" w:type="dxa"/>
                  <w:vAlign w:val="center"/>
                </w:tcPr>
                <w:p w:rsidR="00294BA7" w:rsidRPr="00294BA7" w:rsidRDefault="00294BA7" w:rsidP="00483B40">
                  <w:pPr>
                    <w:pStyle w:val="Prrafodelista"/>
                    <w:spacing w:before="0" w:beforeAutospacing="0" w:after="0" w:afterAutospacing="0"/>
                    <w:jc w:val="center"/>
                    <w:cnfStyle w:val="000000100000"/>
                    <w:rPr>
                      <w:rFonts w:ascii="Arial Narrow" w:hAnsi="Arial Narrow"/>
                      <w:b/>
                      <w:sz w:val="16"/>
                      <w:szCs w:val="16"/>
                      <w:lang w:val="es-ES" w:eastAsia="es-ES"/>
                    </w:rPr>
                  </w:pPr>
                  <w:r w:rsidRPr="00294BA7">
                    <w:rPr>
                      <w:rFonts w:ascii="Arial Narrow" w:hAnsi="Arial Narrow"/>
                      <w:b/>
                      <w:sz w:val="16"/>
                      <w:szCs w:val="16"/>
                      <w:lang w:val="es-ES" w:eastAsia="es-ES"/>
                    </w:rPr>
                    <w:t>I</w:t>
                  </w:r>
                  <w:r w:rsidRPr="00294BA7">
                    <w:rPr>
                      <w:rFonts w:ascii="Arial Narrow" w:hAnsi="Arial Narrow"/>
                      <w:b/>
                      <w:bCs/>
                      <w:sz w:val="16"/>
                      <w:szCs w:val="16"/>
                      <w:lang w:val="es-ES" w:eastAsia="es-ES"/>
                    </w:rPr>
                    <w:t>I</w:t>
                  </w:r>
                  <w:r w:rsidRPr="00294BA7">
                    <w:rPr>
                      <w:rFonts w:ascii="Arial Narrow" w:hAnsi="Arial Narrow"/>
                      <w:b/>
                      <w:sz w:val="16"/>
                      <w:szCs w:val="16"/>
                      <w:lang w:val="es-ES" w:eastAsia="es-ES"/>
                    </w:rPr>
                    <w:t xml:space="preserve"> </w:t>
                  </w:r>
                </w:p>
                <w:p w:rsidR="00294BA7" w:rsidRPr="00294BA7" w:rsidRDefault="00294BA7" w:rsidP="00483B40">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sz w:val="16"/>
                      <w:szCs w:val="16"/>
                      <w:lang w:val="es-ES" w:eastAsia="es-ES"/>
                    </w:rPr>
                    <w:t>TRIM.</w:t>
                  </w:r>
                </w:p>
              </w:tc>
              <w:tc>
                <w:tcPr>
                  <w:tcW w:w="647" w:type="dxa"/>
                  <w:vAlign w:val="center"/>
                </w:tcPr>
                <w:p w:rsidR="00CC19FB" w:rsidRDefault="00294BA7" w:rsidP="00483B40">
                  <w:pPr>
                    <w:pStyle w:val="Prrafodelista"/>
                    <w:spacing w:before="0" w:beforeAutospacing="0" w:after="0" w:afterAutospacing="0"/>
                    <w:jc w:val="center"/>
                    <w:cnfStyle w:val="000000100000"/>
                    <w:rPr>
                      <w:rFonts w:ascii="Arial Narrow" w:hAnsi="Arial Narrow"/>
                      <w:b/>
                      <w:sz w:val="16"/>
                      <w:szCs w:val="16"/>
                      <w:lang w:val="es-ES" w:eastAsia="es-ES"/>
                    </w:rPr>
                  </w:pPr>
                  <w:r w:rsidRPr="00294BA7">
                    <w:rPr>
                      <w:rFonts w:ascii="Arial Narrow" w:hAnsi="Arial Narrow"/>
                      <w:b/>
                      <w:sz w:val="16"/>
                      <w:szCs w:val="16"/>
                      <w:lang w:val="es-ES" w:eastAsia="es-ES"/>
                    </w:rPr>
                    <w:t>I</w:t>
                  </w:r>
                  <w:r w:rsidRPr="00294BA7">
                    <w:rPr>
                      <w:rFonts w:ascii="Arial Narrow" w:hAnsi="Arial Narrow"/>
                      <w:b/>
                      <w:bCs/>
                      <w:sz w:val="16"/>
                      <w:szCs w:val="16"/>
                      <w:lang w:val="es-ES" w:eastAsia="es-ES"/>
                    </w:rPr>
                    <w:t>II</w:t>
                  </w:r>
                </w:p>
                <w:p w:rsidR="00294BA7" w:rsidRPr="00294BA7" w:rsidRDefault="00294BA7" w:rsidP="00483B40">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sz w:val="16"/>
                      <w:szCs w:val="16"/>
                      <w:lang w:val="es-ES" w:eastAsia="es-ES"/>
                    </w:rPr>
                    <w:t>TRIM.</w:t>
                  </w:r>
                </w:p>
              </w:tc>
              <w:tc>
                <w:tcPr>
                  <w:tcW w:w="647" w:type="dxa"/>
                  <w:vAlign w:val="center"/>
                </w:tcPr>
                <w:p w:rsidR="00294BA7" w:rsidRPr="00294BA7" w:rsidRDefault="00294BA7" w:rsidP="00483B40">
                  <w:pPr>
                    <w:pStyle w:val="Prrafodelista"/>
                    <w:spacing w:before="0" w:beforeAutospacing="0" w:after="0" w:afterAutospacing="0"/>
                    <w:jc w:val="center"/>
                    <w:cnfStyle w:val="000000100000"/>
                    <w:rPr>
                      <w:rFonts w:ascii="Arial Narrow" w:hAnsi="Arial Narrow"/>
                      <w:b/>
                      <w:sz w:val="16"/>
                      <w:szCs w:val="16"/>
                      <w:lang w:val="es-ES" w:eastAsia="es-ES"/>
                    </w:rPr>
                  </w:pPr>
                  <w:r w:rsidRPr="00294BA7">
                    <w:rPr>
                      <w:rFonts w:ascii="Arial Narrow" w:hAnsi="Arial Narrow"/>
                      <w:b/>
                      <w:sz w:val="16"/>
                      <w:szCs w:val="16"/>
                      <w:lang w:val="es-ES" w:eastAsia="es-ES"/>
                    </w:rPr>
                    <w:t>I</w:t>
                  </w:r>
                  <w:r w:rsidRPr="00294BA7">
                    <w:rPr>
                      <w:rFonts w:ascii="Arial Narrow" w:hAnsi="Arial Narrow"/>
                      <w:b/>
                      <w:bCs/>
                      <w:sz w:val="16"/>
                      <w:szCs w:val="16"/>
                      <w:lang w:val="es-ES" w:eastAsia="es-ES"/>
                    </w:rPr>
                    <w:t>V</w:t>
                  </w:r>
                </w:p>
                <w:p w:rsidR="00294BA7" w:rsidRPr="00294BA7" w:rsidRDefault="00294BA7" w:rsidP="00483B40">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sz w:val="16"/>
                      <w:szCs w:val="16"/>
                      <w:lang w:val="es-ES" w:eastAsia="es-ES"/>
                    </w:rPr>
                    <w:t>TRIM.</w:t>
                  </w:r>
                </w:p>
              </w:tc>
              <w:tc>
                <w:tcPr>
                  <w:tcW w:w="938" w:type="dxa"/>
                  <w:vAlign w:val="center"/>
                </w:tcPr>
                <w:p w:rsidR="00294BA7" w:rsidRPr="00CC0039" w:rsidRDefault="00294BA7" w:rsidP="00483B40">
                  <w:pPr>
                    <w:pStyle w:val="Prrafodelista"/>
                    <w:spacing w:before="0" w:beforeAutospacing="0" w:after="0" w:afterAutospacing="0"/>
                    <w:jc w:val="center"/>
                    <w:cnfStyle w:val="000000100000"/>
                    <w:rPr>
                      <w:rFonts w:ascii="Arial Narrow" w:hAnsi="Arial Narrow"/>
                      <w:bCs/>
                      <w:sz w:val="16"/>
                      <w:szCs w:val="16"/>
                      <w:lang w:val="es-ES" w:eastAsia="es-ES"/>
                    </w:rPr>
                  </w:pPr>
                  <w:r w:rsidRPr="00CC0039">
                    <w:rPr>
                      <w:rFonts w:ascii="Arial Narrow" w:hAnsi="Arial Narrow"/>
                      <w:b/>
                      <w:bCs/>
                      <w:sz w:val="16"/>
                      <w:szCs w:val="16"/>
                      <w:lang w:val="es-ES" w:eastAsia="es-ES"/>
                    </w:rPr>
                    <w:t>PROM</w:t>
                  </w:r>
                  <w:r w:rsidRPr="00CC0039">
                    <w:rPr>
                      <w:rFonts w:ascii="Arial Narrow" w:hAnsi="Arial Narrow"/>
                      <w:bCs/>
                      <w:sz w:val="16"/>
                      <w:szCs w:val="16"/>
                      <w:lang w:val="es-ES" w:eastAsia="es-ES"/>
                    </w:rPr>
                    <w:t>.</w:t>
                  </w:r>
                </w:p>
                <w:p w:rsidR="00294BA7" w:rsidRPr="00CC0039" w:rsidRDefault="00294BA7" w:rsidP="00483B40">
                  <w:pPr>
                    <w:pStyle w:val="Prrafodelista"/>
                    <w:spacing w:before="0" w:beforeAutospacing="0" w:after="0" w:afterAutospacing="0"/>
                    <w:jc w:val="center"/>
                    <w:cnfStyle w:val="000000100000"/>
                    <w:rPr>
                      <w:rFonts w:ascii="Arial Narrow" w:hAnsi="Arial Narrow"/>
                      <w:bCs/>
                      <w:sz w:val="16"/>
                      <w:szCs w:val="16"/>
                      <w:lang w:val="es-ES" w:eastAsia="es-ES"/>
                    </w:rPr>
                  </w:pPr>
                  <w:r w:rsidRPr="00CC0039">
                    <w:rPr>
                      <w:rFonts w:ascii="Arial Narrow" w:hAnsi="Arial Narrow"/>
                      <w:b/>
                      <w:bCs/>
                      <w:sz w:val="16"/>
                      <w:szCs w:val="16"/>
                      <w:lang w:val="es-ES" w:eastAsia="es-ES"/>
                    </w:rPr>
                    <w:t>MENSUAL</w:t>
                  </w:r>
                </w:p>
              </w:tc>
              <w:tc>
                <w:tcPr>
                  <w:tcW w:w="709" w:type="dxa"/>
                  <w:vAlign w:val="center"/>
                </w:tcPr>
                <w:p w:rsidR="00294BA7" w:rsidRPr="00294BA7" w:rsidRDefault="00294BA7" w:rsidP="00483B40">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bCs/>
                      <w:sz w:val="16"/>
                      <w:szCs w:val="16"/>
                      <w:lang w:val="es-ES" w:eastAsia="es-ES"/>
                    </w:rPr>
                    <w:t>I BIMESTRE</w:t>
                  </w:r>
                </w:p>
              </w:tc>
              <w:tc>
                <w:tcPr>
                  <w:tcW w:w="938" w:type="dxa"/>
                  <w:vAlign w:val="center"/>
                </w:tcPr>
                <w:p w:rsidR="00294BA7" w:rsidRPr="00294BA7" w:rsidRDefault="00294BA7" w:rsidP="00294BA7">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bCs/>
                      <w:sz w:val="16"/>
                      <w:szCs w:val="16"/>
                      <w:lang w:val="es-ES" w:eastAsia="es-ES"/>
                    </w:rPr>
                    <w:t>PROM.</w:t>
                  </w:r>
                </w:p>
                <w:p w:rsidR="00294BA7" w:rsidRPr="00294BA7" w:rsidRDefault="00294BA7" w:rsidP="00294BA7">
                  <w:pPr>
                    <w:pStyle w:val="Prrafodelista"/>
                    <w:spacing w:before="0" w:beforeAutospacing="0" w:after="0" w:afterAutospacing="0"/>
                    <w:jc w:val="center"/>
                    <w:cnfStyle w:val="000000100000"/>
                    <w:rPr>
                      <w:rFonts w:ascii="Arial Narrow" w:hAnsi="Arial Narrow"/>
                      <w:b/>
                      <w:bCs/>
                      <w:sz w:val="16"/>
                      <w:szCs w:val="16"/>
                      <w:lang w:val="es-ES" w:eastAsia="es-ES"/>
                    </w:rPr>
                  </w:pPr>
                  <w:r w:rsidRPr="00294BA7">
                    <w:rPr>
                      <w:rFonts w:ascii="Arial Narrow" w:hAnsi="Arial Narrow"/>
                      <w:b/>
                      <w:bCs/>
                      <w:sz w:val="16"/>
                      <w:szCs w:val="16"/>
                      <w:lang w:val="es-ES" w:eastAsia="es-ES"/>
                    </w:rPr>
                    <w:t>MENSUAL</w:t>
                  </w:r>
                </w:p>
              </w:tc>
            </w:tr>
            <w:tr w:rsidR="00963480" w:rsidRPr="009D155C" w:rsidTr="00A60763">
              <w:trPr>
                <w:gridAfter w:val="1"/>
                <w:wAfter w:w="50" w:type="dxa"/>
                <w:jc w:val="center"/>
              </w:trPr>
              <w:tc>
                <w:tcPr>
                  <w:cnfStyle w:val="001000000000"/>
                  <w:tcW w:w="2437" w:type="dxa"/>
                </w:tcPr>
                <w:p w:rsidR="00963480" w:rsidRPr="00483B40" w:rsidRDefault="00963480" w:rsidP="00963480">
                  <w:pPr>
                    <w:pStyle w:val="Prrafodelista"/>
                    <w:jc w:val="both"/>
                    <w:rPr>
                      <w:rFonts w:ascii="Arial Narrow" w:hAnsi="Arial Narrow"/>
                      <w:b w:val="0"/>
                      <w:bCs w:val="0"/>
                      <w:sz w:val="16"/>
                      <w:szCs w:val="16"/>
                      <w:lang w:val="es-ES" w:eastAsia="es-ES"/>
                    </w:rPr>
                  </w:pPr>
                  <w:r>
                    <w:rPr>
                      <w:rFonts w:ascii="Arial Narrow" w:hAnsi="Arial Narrow"/>
                      <w:b w:val="0"/>
                      <w:bCs w:val="0"/>
                      <w:sz w:val="16"/>
                      <w:szCs w:val="16"/>
                      <w:lang w:val="es-ES" w:eastAsia="es-ES"/>
                    </w:rPr>
                    <w:t xml:space="preserve">1. </w:t>
                  </w:r>
                  <w:r w:rsidRPr="00483B40">
                    <w:rPr>
                      <w:rFonts w:ascii="Arial Narrow" w:hAnsi="Arial Narrow"/>
                      <w:b w:val="0"/>
                      <w:bCs w:val="0"/>
                      <w:sz w:val="16"/>
                      <w:szCs w:val="16"/>
                      <w:lang w:val="es-ES" w:eastAsia="es-ES"/>
                    </w:rPr>
                    <w:t>Solicitudes de mantenimiento atendidas</w:t>
                  </w:r>
                  <w:r>
                    <w:rPr>
                      <w:rFonts w:ascii="Arial Narrow" w:hAnsi="Arial Narrow"/>
                      <w:b w:val="0"/>
                      <w:bCs w:val="0"/>
                      <w:sz w:val="16"/>
                      <w:szCs w:val="16"/>
                      <w:lang w:val="es-ES" w:eastAsia="es-ES"/>
                    </w:rPr>
                    <w:t>.</w:t>
                  </w:r>
                </w:p>
              </w:tc>
              <w:tc>
                <w:tcPr>
                  <w:tcW w:w="646" w:type="dxa"/>
                </w:tcPr>
                <w:p w:rsidR="00963480" w:rsidRPr="00483B40" w:rsidRDefault="00963480" w:rsidP="00963480">
                  <w:pPr>
                    <w:pStyle w:val="Prrafodelista"/>
                    <w:jc w:val="center"/>
                    <w:cnfStyle w:val="000000000000"/>
                    <w:rPr>
                      <w:rFonts w:ascii="Arial Narrow" w:hAnsi="Arial Narrow"/>
                      <w:bCs/>
                      <w:sz w:val="16"/>
                      <w:szCs w:val="16"/>
                      <w:lang w:val="es-ES" w:eastAsia="es-ES"/>
                    </w:rPr>
                  </w:pPr>
                  <w:r w:rsidRPr="00483B40">
                    <w:rPr>
                      <w:rFonts w:ascii="Arial Narrow" w:hAnsi="Arial Narrow"/>
                      <w:bCs/>
                      <w:sz w:val="16"/>
                      <w:szCs w:val="16"/>
                      <w:lang w:val="es-ES" w:eastAsia="es-ES"/>
                    </w:rPr>
                    <w:t>205</w:t>
                  </w:r>
                </w:p>
              </w:tc>
              <w:tc>
                <w:tcPr>
                  <w:tcW w:w="647" w:type="dxa"/>
                </w:tcPr>
                <w:p w:rsidR="00963480" w:rsidRPr="00483B40" w:rsidRDefault="00963480" w:rsidP="00963480">
                  <w:pPr>
                    <w:pStyle w:val="Prrafodelista"/>
                    <w:jc w:val="center"/>
                    <w:cnfStyle w:val="000000000000"/>
                    <w:rPr>
                      <w:rFonts w:ascii="Arial Narrow" w:hAnsi="Arial Narrow"/>
                      <w:bCs/>
                      <w:sz w:val="16"/>
                      <w:szCs w:val="16"/>
                      <w:lang w:val="es-ES" w:eastAsia="es-ES"/>
                    </w:rPr>
                  </w:pPr>
                  <w:r w:rsidRPr="00483B40">
                    <w:rPr>
                      <w:rFonts w:ascii="Arial Narrow" w:hAnsi="Arial Narrow"/>
                      <w:bCs/>
                      <w:sz w:val="16"/>
                      <w:szCs w:val="16"/>
                      <w:lang w:val="es-ES" w:eastAsia="es-ES"/>
                    </w:rPr>
                    <w:t>105</w:t>
                  </w:r>
                </w:p>
              </w:tc>
              <w:tc>
                <w:tcPr>
                  <w:tcW w:w="647" w:type="dxa"/>
                </w:tcPr>
                <w:p w:rsidR="00963480" w:rsidRPr="00483B40" w:rsidRDefault="00963480" w:rsidP="00963480">
                  <w:pPr>
                    <w:pStyle w:val="Prrafodelista"/>
                    <w:jc w:val="center"/>
                    <w:cnfStyle w:val="000000000000"/>
                    <w:rPr>
                      <w:rFonts w:ascii="Arial Narrow" w:hAnsi="Arial Narrow"/>
                      <w:bCs/>
                      <w:sz w:val="16"/>
                      <w:szCs w:val="16"/>
                      <w:lang w:val="es-ES" w:eastAsia="es-ES"/>
                    </w:rPr>
                  </w:pPr>
                  <w:r w:rsidRPr="00483B40">
                    <w:rPr>
                      <w:rFonts w:ascii="Arial Narrow" w:hAnsi="Arial Narrow"/>
                      <w:bCs/>
                      <w:sz w:val="16"/>
                      <w:szCs w:val="16"/>
                      <w:lang w:val="es-ES" w:eastAsia="es-ES"/>
                    </w:rPr>
                    <w:t>109</w:t>
                  </w:r>
                </w:p>
              </w:tc>
              <w:tc>
                <w:tcPr>
                  <w:tcW w:w="647" w:type="dxa"/>
                </w:tcPr>
                <w:p w:rsidR="00963480" w:rsidRPr="00483B40" w:rsidRDefault="00963480" w:rsidP="00963480">
                  <w:pPr>
                    <w:pStyle w:val="Prrafodelista"/>
                    <w:jc w:val="center"/>
                    <w:cnfStyle w:val="000000000000"/>
                    <w:rPr>
                      <w:rFonts w:ascii="Arial Narrow" w:hAnsi="Arial Narrow"/>
                      <w:bCs/>
                      <w:sz w:val="16"/>
                      <w:szCs w:val="16"/>
                      <w:lang w:val="es-ES" w:eastAsia="es-ES"/>
                    </w:rPr>
                  </w:pPr>
                  <w:r w:rsidRPr="00483B40">
                    <w:rPr>
                      <w:rFonts w:ascii="Arial Narrow" w:hAnsi="Arial Narrow"/>
                      <w:bCs/>
                      <w:sz w:val="16"/>
                      <w:szCs w:val="16"/>
                      <w:lang w:val="es-ES" w:eastAsia="es-ES"/>
                    </w:rPr>
                    <w:t>131</w:t>
                  </w:r>
                </w:p>
              </w:tc>
              <w:tc>
                <w:tcPr>
                  <w:tcW w:w="938" w:type="dxa"/>
                </w:tcPr>
                <w:p w:rsidR="00963480" w:rsidRPr="00CC0039" w:rsidRDefault="00963480" w:rsidP="00963480">
                  <w:pPr>
                    <w:pStyle w:val="Prrafodelista"/>
                    <w:jc w:val="center"/>
                    <w:cnfStyle w:val="000000000000"/>
                    <w:rPr>
                      <w:rFonts w:ascii="Arial Narrow" w:hAnsi="Arial Narrow"/>
                      <w:bCs/>
                      <w:sz w:val="16"/>
                      <w:szCs w:val="16"/>
                      <w:lang w:val="es-ES" w:eastAsia="es-ES"/>
                    </w:rPr>
                  </w:pPr>
                  <w:r w:rsidRPr="00CC0039">
                    <w:rPr>
                      <w:rFonts w:ascii="Arial Narrow" w:hAnsi="Arial Narrow"/>
                      <w:bCs/>
                      <w:sz w:val="16"/>
                      <w:szCs w:val="16"/>
                      <w:lang w:val="es-ES" w:eastAsia="es-ES"/>
                    </w:rPr>
                    <w:t>49</w:t>
                  </w:r>
                </w:p>
              </w:tc>
              <w:tc>
                <w:tcPr>
                  <w:tcW w:w="0" w:type="dxa"/>
                </w:tcPr>
                <w:p w:rsidR="00963480" w:rsidRPr="00483B40" w:rsidRDefault="00963480" w:rsidP="00963480">
                  <w:pPr>
                    <w:pStyle w:val="Prrafodelista"/>
                    <w:jc w:val="center"/>
                    <w:cnfStyle w:val="000000000000"/>
                    <w:rPr>
                      <w:rFonts w:ascii="Arial Narrow" w:hAnsi="Arial Narrow"/>
                      <w:bCs/>
                      <w:sz w:val="16"/>
                      <w:szCs w:val="16"/>
                      <w:lang w:val="es-ES" w:eastAsia="es-ES"/>
                    </w:rPr>
                  </w:pPr>
                  <w:r>
                    <w:rPr>
                      <w:rFonts w:ascii="Arial Narrow" w:hAnsi="Arial Narrow"/>
                      <w:bCs/>
                      <w:sz w:val="16"/>
                      <w:szCs w:val="16"/>
                      <w:lang w:val="es-ES" w:eastAsia="es-ES"/>
                    </w:rPr>
                    <w:t>102</w:t>
                  </w:r>
                </w:p>
              </w:tc>
              <w:tc>
                <w:tcPr>
                  <w:tcW w:w="938" w:type="dxa"/>
                </w:tcPr>
                <w:p w:rsidR="00963480" w:rsidRPr="00CC0039" w:rsidRDefault="00963480" w:rsidP="00963480">
                  <w:pPr>
                    <w:pStyle w:val="Prrafodelista"/>
                    <w:jc w:val="center"/>
                    <w:cnfStyle w:val="000000000000"/>
                    <w:rPr>
                      <w:rFonts w:ascii="Arial Narrow" w:hAnsi="Arial Narrow"/>
                      <w:b/>
                      <w:bCs/>
                      <w:sz w:val="16"/>
                      <w:szCs w:val="16"/>
                      <w:lang w:val="es-ES" w:eastAsia="es-ES"/>
                    </w:rPr>
                  </w:pPr>
                  <w:r w:rsidRPr="00CC0039">
                    <w:rPr>
                      <w:rFonts w:ascii="Arial Narrow" w:hAnsi="Arial Narrow"/>
                      <w:b/>
                      <w:bCs/>
                      <w:sz w:val="16"/>
                      <w:szCs w:val="16"/>
                      <w:lang w:val="es-ES" w:eastAsia="es-ES"/>
                    </w:rPr>
                    <w:t>51</w:t>
                  </w:r>
                </w:p>
              </w:tc>
            </w:tr>
            <w:tr w:rsidR="00CC19FB" w:rsidRPr="009D155C" w:rsidTr="00CC19FB">
              <w:trPr>
                <w:gridAfter w:val="1"/>
                <w:cnfStyle w:val="000000100000"/>
                <w:wAfter w:w="50" w:type="dxa"/>
                <w:jc w:val="center"/>
              </w:trPr>
              <w:tc>
                <w:tcPr>
                  <w:cnfStyle w:val="001000000000"/>
                  <w:tcW w:w="2437" w:type="dxa"/>
                  <w:tcBorders>
                    <w:bottom w:val="single" w:sz="18" w:space="0" w:color="92CDDC" w:themeColor="accent5" w:themeTint="99"/>
                  </w:tcBorders>
                </w:tcPr>
                <w:p w:rsidR="00963480" w:rsidRPr="00483B40" w:rsidRDefault="00963480" w:rsidP="00963480">
                  <w:pPr>
                    <w:pStyle w:val="Prrafodelista"/>
                    <w:jc w:val="both"/>
                    <w:rPr>
                      <w:rFonts w:ascii="Arial Narrow" w:hAnsi="Arial Narrow"/>
                      <w:b w:val="0"/>
                      <w:bCs w:val="0"/>
                      <w:sz w:val="16"/>
                      <w:szCs w:val="16"/>
                      <w:lang w:val="es-ES" w:eastAsia="es-ES"/>
                    </w:rPr>
                  </w:pPr>
                  <w:r>
                    <w:rPr>
                      <w:rFonts w:ascii="Arial Narrow" w:hAnsi="Arial Narrow"/>
                      <w:b w:val="0"/>
                      <w:bCs w:val="0"/>
                      <w:sz w:val="16"/>
                      <w:szCs w:val="16"/>
                      <w:lang w:val="es-ES" w:eastAsia="es-ES"/>
                    </w:rPr>
                    <w:t xml:space="preserve">2. </w:t>
                  </w:r>
                  <w:r w:rsidRPr="00483B40">
                    <w:rPr>
                      <w:rFonts w:ascii="Arial Narrow" w:hAnsi="Arial Narrow"/>
                      <w:b w:val="0"/>
                      <w:bCs w:val="0"/>
                      <w:sz w:val="16"/>
                      <w:szCs w:val="16"/>
                      <w:lang w:val="es-ES" w:eastAsia="es-ES"/>
                    </w:rPr>
                    <w:t>Visitas de mantenimiento a oficinas</w:t>
                  </w:r>
                  <w:r w:rsidR="00CC19FB">
                    <w:rPr>
                      <w:rFonts w:ascii="Arial Narrow" w:hAnsi="Arial Narrow"/>
                      <w:b w:val="0"/>
                      <w:bCs w:val="0"/>
                      <w:sz w:val="16"/>
                      <w:szCs w:val="16"/>
                      <w:lang w:val="es-ES" w:eastAsia="es-ES"/>
                    </w:rPr>
                    <w:t xml:space="preserve"> (</w:t>
                  </w:r>
                  <w:r w:rsidR="003862A9">
                    <w:rPr>
                      <w:rFonts w:ascii="Arial Narrow" w:hAnsi="Arial Narrow"/>
                      <w:b w:val="0"/>
                      <w:bCs w:val="0"/>
                      <w:sz w:val="16"/>
                      <w:szCs w:val="16"/>
                      <w:lang w:val="es-ES" w:eastAsia="es-ES"/>
                    </w:rPr>
                    <w:t>*</w:t>
                  </w:r>
                  <w:r w:rsidR="00CC19FB">
                    <w:rPr>
                      <w:rFonts w:ascii="Arial Narrow" w:hAnsi="Arial Narrow"/>
                      <w:b w:val="0"/>
                      <w:bCs w:val="0"/>
                      <w:sz w:val="16"/>
                      <w:szCs w:val="16"/>
                      <w:lang w:val="es-ES" w:eastAsia="es-ES"/>
                    </w:rPr>
                    <w:t>)</w:t>
                  </w:r>
                  <w:r>
                    <w:rPr>
                      <w:rFonts w:ascii="Arial Narrow" w:hAnsi="Arial Narrow"/>
                      <w:b w:val="0"/>
                      <w:bCs w:val="0"/>
                      <w:sz w:val="16"/>
                      <w:szCs w:val="16"/>
                      <w:lang w:val="es-ES" w:eastAsia="es-ES"/>
                    </w:rPr>
                    <w:t>.</w:t>
                  </w:r>
                </w:p>
              </w:tc>
              <w:tc>
                <w:tcPr>
                  <w:tcW w:w="646" w:type="dxa"/>
                  <w:tcBorders>
                    <w:bottom w:val="single" w:sz="18" w:space="0" w:color="92CDDC" w:themeColor="accent5" w:themeTint="99"/>
                  </w:tcBorders>
                </w:tcPr>
                <w:p w:rsidR="00963480" w:rsidRPr="00483B40" w:rsidRDefault="00963480" w:rsidP="00963480">
                  <w:pPr>
                    <w:pStyle w:val="Prrafodelista"/>
                    <w:jc w:val="center"/>
                    <w:cnfStyle w:val="000000100000"/>
                    <w:rPr>
                      <w:rFonts w:ascii="Arial Narrow" w:hAnsi="Arial Narrow"/>
                      <w:bCs/>
                      <w:sz w:val="16"/>
                      <w:szCs w:val="16"/>
                      <w:lang w:val="es-ES" w:eastAsia="es-ES"/>
                    </w:rPr>
                  </w:pPr>
                  <w:r w:rsidRPr="00483B40">
                    <w:rPr>
                      <w:rFonts w:ascii="Arial Narrow" w:hAnsi="Arial Narrow"/>
                      <w:bCs/>
                      <w:sz w:val="16"/>
                      <w:szCs w:val="16"/>
                      <w:lang w:val="es-ES" w:eastAsia="es-ES"/>
                    </w:rPr>
                    <w:t>270</w:t>
                  </w:r>
                </w:p>
              </w:tc>
              <w:tc>
                <w:tcPr>
                  <w:tcW w:w="647" w:type="dxa"/>
                  <w:tcBorders>
                    <w:bottom w:val="single" w:sz="18" w:space="0" w:color="92CDDC" w:themeColor="accent5" w:themeTint="99"/>
                  </w:tcBorders>
                </w:tcPr>
                <w:p w:rsidR="00963480" w:rsidRPr="00483B40" w:rsidRDefault="00963480" w:rsidP="00963480">
                  <w:pPr>
                    <w:pStyle w:val="Prrafodelista"/>
                    <w:jc w:val="center"/>
                    <w:cnfStyle w:val="000000100000"/>
                    <w:rPr>
                      <w:rFonts w:ascii="Arial Narrow" w:hAnsi="Arial Narrow"/>
                      <w:bCs/>
                      <w:sz w:val="16"/>
                      <w:szCs w:val="16"/>
                      <w:lang w:val="es-ES" w:eastAsia="es-ES"/>
                    </w:rPr>
                  </w:pPr>
                  <w:r w:rsidRPr="00483B40">
                    <w:rPr>
                      <w:rFonts w:ascii="Arial Narrow" w:hAnsi="Arial Narrow"/>
                      <w:bCs/>
                      <w:sz w:val="16"/>
                      <w:szCs w:val="16"/>
                      <w:lang w:val="es-ES" w:eastAsia="es-ES"/>
                    </w:rPr>
                    <w:t>176</w:t>
                  </w:r>
                </w:p>
              </w:tc>
              <w:tc>
                <w:tcPr>
                  <w:tcW w:w="647" w:type="dxa"/>
                  <w:tcBorders>
                    <w:bottom w:val="single" w:sz="18" w:space="0" w:color="92CDDC" w:themeColor="accent5" w:themeTint="99"/>
                  </w:tcBorders>
                </w:tcPr>
                <w:p w:rsidR="00963480" w:rsidRPr="00483B40" w:rsidRDefault="00963480" w:rsidP="00963480">
                  <w:pPr>
                    <w:pStyle w:val="Prrafodelista"/>
                    <w:jc w:val="center"/>
                    <w:cnfStyle w:val="000000100000"/>
                    <w:rPr>
                      <w:rFonts w:ascii="Arial Narrow" w:hAnsi="Arial Narrow"/>
                      <w:bCs/>
                      <w:sz w:val="16"/>
                      <w:szCs w:val="16"/>
                      <w:lang w:val="es-ES" w:eastAsia="es-ES"/>
                    </w:rPr>
                  </w:pPr>
                  <w:r w:rsidRPr="00483B40">
                    <w:rPr>
                      <w:rFonts w:ascii="Arial Narrow" w:hAnsi="Arial Narrow"/>
                      <w:bCs/>
                      <w:sz w:val="16"/>
                      <w:szCs w:val="16"/>
                      <w:lang w:val="es-ES" w:eastAsia="es-ES"/>
                    </w:rPr>
                    <w:t>173</w:t>
                  </w:r>
                </w:p>
              </w:tc>
              <w:tc>
                <w:tcPr>
                  <w:tcW w:w="647" w:type="dxa"/>
                  <w:tcBorders>
                    <w:bottom w:val="single" w:sz="18" w:space="0" w:color="92CDDC" w:themeColor="accent5" w:themeTint="99"/>
                  </w:tcBorders>
                </w:tcPr>
                <w:p w:rsidR="00963480" w:rsidRPr="00483B40" w:rsidRDefault="00963480" w:rsidP="00963480">
                  <w:pPr>
                    <w:pStyle w:val="Prrafodelista"/>
                    <w:jc w:val="center"/>
                    <w:cnfStyle w:val="000000100000"/>
                    <w:rPr>
                      <w:rFonts w:ascii="Arial Narrow" w:hAnsi="Arial Narrow"/>
                      <w:bCs/>
                      <w:sz w:val="16"/>
                      <w:szCs w:val="16"/>
                      <w:lang w:val="es-ES" w:eastAsia="es-ES"/>
                    </w:rPr>
                  </w:pPr>
                  <w:r w:rsidRPr="00483B40">
                    <w:rPr>
                      <w:rFonts w:ascii="Arial Narrow" w:hAnsi="Arial Narrow"/>
                      <w:bCs/>
                      <w:sz w:val="16"/>
                      <w:szCs w:val="16"/>
                      <w:lang w:val="es-ES" w:eastAsia="es-ES"/>
                    </w:rPr>
                    <w:t>164</w:t>
                  </w:r>
                </w:p>
              </w:tc>
              <w:tc>
                <w:tcPr>
                  <w:tcW w:w="938" w:type="dxa"/>
                  <w:tcBorders>
                    <w:bottom w:val="single" w:sz="18" w:space="0" w:color="92CDDC" w:themeColor="accent5" w:themeTint="99"/>
                  </w:tcBorders>
                </w:tcPr>
                <w:p w:rsidR="00963480" w:rsidRPr="00CC0039" w:rsidRDefault="00963480" w:rsidP="00963480">
                  <w:pPr>
                    <w:pStyle w:val="Prrafodelista"/>
                    <w:jc w:val="center"/>
                    <w:cnfStyle w:val="000000100000"/>
                    <w:rPr>
                      <w:rFonts w:ascii="Arial Narrow" w:hAnsi="Arial Narrow"/>
                      <w:bCs/>
                      <w:sz w:val="16"/>
                      <w:szCs w:val="16"/>
                      <w:lang w:val="es-ES" w:eastAsia="es-ES"/>
                    </w:rPr>
                  </w:pPr>
                  <w:r w:rsidRPr="00CC0039">
                    <w:rPr>
                      <w:rFonts w:ascii="Arial Narrow" w:hAnsi="Arial Narrow"/>
                      <w:bCs/>
                      <w:sz w:val="16"/>
                      <w:szCs w:val="16"/>
                      <w:lang w:val="es-ES" w:eastAsia="es-ES"/>
                    </w:rPr>
                    <w:t>70</w:t>
                  </w:r>
                </w:p>
              </w:tc>
              <w:tc>
                <w:tcPr>
                  <w:tcW w:w="709" w:type="dxa"/>
                  <w:tcBorders>
                    <w:bottom w:val="single" w:sz="18" w:space="0" w:color="92CDDC" w:themeColor="accent5" w:themeTint="99"/>
                  </w:tcBorders>
                </w:tcPr>
                <w:p w:rsidR="00963480" w:rsidRPr="00483B40" w:rsidRDefault="00963480" w:rsidP="00963480">
                  <w:pPr>
                    <w:pStyle w:val="Prrafodelista"/>
                    <w:jc w:val="center"/>
                    <w:cnfStyle w:val="000000100000"/>
                    <w:rPr>
                      <w:rFonts w:ascii="Arial Narrow" w:hAnsi="Arial Narrow"/>
                      <w:bCs/>
                      <w:sz w:val="16"/>
                      <w:szCs w:val="16"/>
                      <w:lang w:val="es-ES" w:eastAsia="es-ES"/>
                    </w:rPr>
                  </w:pPr>
                  <w:r>
                    <w:rPr>
                      <w:rFonts w:ascii="Arial Narrow" w:hAnsi="Arial Narrow"/>
                      <w:bCs/>
                      <w:sz w:val="16"/>
                      <w:szCs w:val="16"/>
                      <w:lang w:val="es-ES" w:eastAsia="es-ES"/>
                    </w:rPr>
                    <w:t>142</w:t>
                  </w:r>
                </w:p>
              </w:tc>
              <w:tc>
                <w:tcPr>
                  <w:tcW w:w="938" w:type="dxa"/>
                  <w:tcBorders>
                    <w:bottom w:val="single" w:sz="18" w:space="0" w:color="92CDDC" w:themeColor="accent5" w:themeTint="99"/>
                  </w:tcBorders>
                </w:tcPr>
                <w:p w:rsidR="00963480" w:rsidRPr="00CC0039" w:rsidRDefault="00963480" w:rsidP="00963480">
                  <w:pPr>
                    <w:pStyle w:val="Prrafodelista"/>
                    <w:jc w:val="center"/>
                    <w:cnfStyle w:val="000000100000"/>
                    <w:rPr>
                      <w:rFonts w:ascii="Arial Narrow" w:hAnsi="Arial Narrow"/>
                      <w:b/>
                      <w:bCs/>
                      <w:sz w:val="16"/>
                      <w:szCs w:val="16"/>
                      <w:lang w:val="es-ES" w:eastAsia="es-ES"/>
                    </w:rPr>
                  </w:pPr>
                  <w:r w:rsidRPr="00CC0039">
                    <w:rPr>
                      <w:rFonts w:ascii="Arial Narrow" w:hAnsi="Arial Narrow"/>
                      <w:b/>
                      <w:bCs/>
                      <w:sz w:val="16"/>
                      <w:szCs w:val="16"/>
                      <w:lang w:val="es-ES" w:eastAsia="es-ES"/>
                    </w:rPr>
                    <w:t>71</w:t>
                  </w:r>
                </w:p>
              </w:tc>
            </w:tr>
            <w:tr w:rsidR="00963480" w:rsidRPr="009D155C" w:rsidTr="00A60763">
              <w:trPr>
                <w:jc w:val="center"/>
              </w:trPr>
              <w:tc>
                <w:tcPr>
                  <w:cnfStyle w:val="001000000000"/>
                  <w:tcW w:w="7659" w:type="dxa"/>
                  <w:gridSpan w:val="9"/>
                  <w:tcBorders>
                    <w:top w:val="single" w:sz="18" w:space="0" w:color="92CDDC" w:themeColor="accent5" w:themeTint="99"/>
                    <w:left w:val="nil"/>
                    <w:bottom w:val="nil"/>
                    <w:right w:val="nil"/>
                  </w:tcBorders>
                </w:tcPr>
                <w:p w:rsidR="00963480" w:rsidRDefault="003862A9" w:rsidP="003862A9">
                  <w:pPr>
                    <w:pStyle w:val="Prrafodelista"/>
                    <w:spacing w:before="0" w:beforeAutospacing="0" w:after="0" w:afterAutospacing="0"/>
                    <w:jc w:val="both"/>
                    <w:rPr>
                      <w:rFonts w:ascii="Arial Narrow" w:hAnsi="Arial Narrow"/>
                      <w:sz w:val="16"/>
                      <w:szCs w:val="16"/>
                      <w:lang w:val="es-ES" w:eastAsia="es-ES"/>
                    </w:rPr>
                  </w:pPr>
                  <w:r>
                    <w:rPr>
                      <w:rFonts w:ascii="Arial Narrow" w:hAnsi="Arial Narrow"/>
                      <w:sz w:val="16"/>
                      <w:szCs w:val="16"/>
                      <w:lang w:val="es-ES" w:eastAsia="es-ES"/>
                    </w:rPr>
                    <w:t xml:space="preserve">Nota: (*) Las visitas están relacionadas con la cantidad de veces que deben trasladarse los trabajadores a las oficinas para llevar a cabo la atención de la solicitud. </w:t>
                  </w:r>
                </w:p>
                <w:p w:rsidR="003862A9" w:rsidRPr="00CC0039" w:rsidRDefault="003862A9" w:rsidP="003862A9">
                  <w:pPr>
                    <w:pStyle w:val="Prrafodelista"/>
                    <w:spacing w:before="0" w:beforeAutospacing="0" w:after="0" w:afterAutospacing="0"/>
                    <w:jc w:val="both"/>
                    <w:rPr>
                      <w:rFonts w:ascii="Arial Narrow" w:hAnsi="Arial Narrow"/>
                      <w:b w:val="0"/>
                      <w:bCs w:val="0"/>
                      <w:sz w:val="16"/>
                      <w:szCs w:val="16"/>
                      <w:lang w:val="es-ES" w:eastAsia="es-ES"/>
                    </w:rPr>
                  </w:pPr>
                  <w:r w:rsidRPr="00976D52">
                    <w:rPr>
                      <w:rFonts w:ascii="Arial Narrow" w:hAnsi="Arial Narrow"/>
                      <w:b w:val="0"/>
                      <w:bCs w:val="0"/>
                      <w:color w:val="auto"/>
                      <w:sz w:val="16"/>
                      <w:szCs w:val="16"/>
                      <w:lang w:val="es-ES" w:eastAsia="es-ES"/>
                    </w:rPr>
                    <w:t>Fuente: Información estadística por parte de la Administración del OIJ</w:t>
                  </w:r>
                </w:p>
              </w:tc>
            </w:tr>
          </w:tbl>
          <w:p w:rsidR="00247491" w:rsidRPr="00AD2B7A" w:rsidRDefault="009F5EE5" w:rsidP="00364A6A">
            <w:pPr>
              <w:pStyle w:val="Prrafodelista"/>
              <w:jc w:val="both"/>
              <w:rPr>
                <w:bCs/>
                <w:lang w:val="es-ES" w:eastAsia="es-ES"/>
              </w:rPr>
            </w:pPr>
            <w:r w:rsidRPr="00AD2B7A">
              <w:rPr>
                <w:bCs/>
                <w:lang w:val="es-ES" w:eastAsia="es-ES"/>
              </w:rPr>
              <w:t xml:space="preserve">Se puede apreciar que el promedio mensual de </w:t>
            </w:r>
            <w:r w:rsidR="00963480" w:rsidRPr="00AD2B7A">
              <w:rPr>
                <w:bCs/>
                <w:lang w:val="es-ES" w:eastAsia="es-ES"/>
              </w:rPr>
              <w:t xml:space="preserve">solicitudes atendidas </w:t>
            </w:r>
            <w:r w:rsidRPr="00AD2B7A">
              <w:rPr>
                <w:bCs/>
                <w:lang w:val="es-ES" w:eastAsia="es-ES"/>
              </w:rPr>
              <w:t>por ambos trabajadores se mantiene similar entre el año pasado y el presente (</w:t>
            </w:r>
            <w:r w:rsidR="00963480" w:rsidRPr="00AD2B7A">
              <w:rPr>
                <w:bCs/>
                <w:lang w:val="es-ES" w:eastAsia="es-ES"/>
              </w:rPr>
              <w:t>5</w:t>
            </w:r>
            <w:r w:rsidRPr="00AD2B7A">
              <w:rPr>
                <w:bCs/>
                <w:lang w:val="es-ES" w:eastAsia="es-ES"/>
              </w:rPr>
              <w:t>0), lo mismo que el promedio de</w:t>
            </w:r>
            <w:r w:rsidR="00963480" w:rsidRPr="00AD2B7A">
              <w:rPr>
                <w:bCs/>
                <w:lang w:val="es-ES" w:eastAsia="es-ES"/>
              </w:rPr>
              <w:t xml:space="preserve"> visitas realizadas (70)</w:t>
            </w:r>
            <w:r w:rsidRPr="00AD2B7A">
              <w:rPr>
                <w:bCs/>
                <w:lang w:val="es-ES" w:eastAsia="es-ES"/>
              </w:rPr>
              <w:t xml:space="preserve">; sin embargo, de lo indicado por el Máster Fonseca Umaña, existen una serie de solicitudes que quedan desatendidas por la falta de tiempo y capacidad operativa para </w:t>
            </w:r>
            <w:r w:rsidR="00FD5753" w:rsidRPr="00AD2B7A">
              <w:rPr>
                <w:bCs/>
                <w:lang w:val="es-ES" w:eastAsia="es-ES"/>
              </w:rPr>
              <w:t xml:space="preserve">poder </w:t>
            </w:r>
            <w:r w:rsidRPr="00AD2B7A">
              <w:rPr>
                <w:bCs/>
                <w:lang w:val="es-ES" w:eastAsia="es-ES"/>
              </w:rPr>
              <w:t>asumirlas.</w:t>
            </w:r>
          </w:p>
          <w:p w:rsidR="00963480" w:rsidRPr="00AD2B7A" w:rsidRDefault="00963480" w:rsidP="00364A6A">
            <w:pPr>
              <w:pStyle w:val="Prrafodelista"/>
              <w:jc w:val="both"/>
              <w:rPr>
                <w:bCs/>
                <w:lang w:val="es-ES" w:eastAsia="es-ES"/>
              </w:rPr>
            </w:pPr>
            <w:r w:rsidRPr="00AD2B7A">
              <w:rPr>
                <w:bCs/>
                <w:lang w:val="es-ES" w:eastAsia="es-ES"/>
              </w:rPr>
              <w:t xml:space="preserve">Cabe señalar que a criterio del Sr. Jairo Rodríguez García, Técnico Especializado 5 en área de Mantenimiento de la Administración del OIJ, una de las actividades que se presentan con mayor constancia es </w:t>
            </w:r>
            <w:r w:rsidR="003862A9" w:rsidRPr="00AD2B7A">
              <w:rPr>
                <w:bCs/>
                <w:lang w:val="es-ES" w:eastAsia="es-ES"/>
              </w:rPr>
              <w:t>la reparación de los portones de</w:t>
            </w:r>
            <w:r w:rsidRPr="00AD2B7A">
              <w:rPr>
                <w:bCs/>
                <w:lang w:val="es-ES" w:eastAsia="es-ES"/>
              </w:rPr>
              <w:t xml:space="preserve"> las celdas de las Secciones de Cárceles</w:t>
            </w:r>
            <w:r w:rsidR="003862A9" w:rsidRPr="00AD2B7A">
              <w:rPr>
                <w:bCs/>
                <w:lang w:val="es-ES" w:eastAsia="es-ES"/>
              </w:rPr>
              <w:t>,</w:t>
            </w:r>
            <w:r w:rsidRPr="00AD2B7A">
              <w:rPr>
                <w:bCs/>
                <w:lang w:val="es-ES" w:eastAsia="es-ES"/>
              </w:rPr>
              <w:t xml:space="preserve"> </w:t>
            </w:r>
            <w:r w:rsidR="003862A9" w:rsidRPr="00AD2B7A">
              <w:rPr>
                <w:bCs/>
                <w:lang w:val="es-ES" w:eastAsia="es-ES"/>
              </w:rPr>
              <w:t>dado que,</w:t>
            </w:r>
            <w:r w:rsidRPr="00AD2B7A">
              <w:rPr>
                <w:bCs/>
                <w:lang w:val="es-ES" w:eastAsia="es-ES"/>
              </w:rPr>
              <w:t xml:space="preserve"> al ingresar personas </w:t>
            </w:r>
            <w:r w:rsidR="003862A9" w:rsidRPr="00AD2B7A">
              <w:rPr>
                <w:bCs/>
                <w:lang w:val="es-ES" w:eastAsia="es-ES"/>
              </w:rPr>
              <w:t>molestas por su detención,</w:t>
            </w:r>
            <w:r w:rsidRPr="00AD2B7A">
              <w:rPr>
                <w:bCs/>
                <w:lang w:val="es-ES" w:eastAsia="es-ES"/>
              </w:rPr>
              <w:t xml:space="preserve"> arremeten contra los portones </w:t>
            </w:r>
            <w:r w:rsidR="003862A9" w:rsidRPr="00AD2B7A">
              <w:rPr>
                <w:bCs/>
                <w:lang w:val="es-ES" w:eastAsia="es-ES"/>
              </w:rPr>
              <w:t xml:space="preserve">y los dañan. Al parecer esta actividad se les presenta hasta 3 veces a la semana. </w:t>
            </w:r>
            <w:r w:rsidR="00FD5753" w:rsidRPr="00AD2B7A">
              <w:rPr>
                <w:bCs/>
                <w:lang w:val="es-ES" w:eastAsia="es-ES"/>
              </w:rPr>
              <w:t xml:space="preserve">Otro aspecto que concentra mucho tiempo es el cambio de fluorescentes y de balastros, </w:t>
            </w:r>
            <w:r w:rsidR="00493817" w:rsidRPr="00AD2B7A">
              <w:rPr>
                <w:bCs/>
                <w:lang w:val="es-ES" w:eastAsia="es-ES"/>
              </w:rPr>
              <w:t>ya que el reporte puede indicar que es uno y cuando visitan la oficina se encuentran con varios más.</w:t>
            </w:r>
          </w:p>
          <w:p w:rsidR="002D7500" w:rsidRPr="00AD2B7A" w:rsidRDefault="002D7500" w:rsidP="00364A6A">
            <w:pPr>
              <w:pStyle w:val="Prrafodelista"/>
              <w:jc w:val="both"/>
              <w:rPr>
                <w:bCs/>
                <w:lang w:val="es-ES" w:eastAsia="es-ES"/>
              </w:rPr>
            </w:pPr>
            <w:r w:rsidRPr="00AD2B7A">
              <w:rPr>
                <w:bCs/>
                <w:lang w:val="es-ES" w:eastAsia="es-ES"/>
              </w:rPr>
              <w:t>El Máster Fonseca Umaña, brindó la siguiente gráfica con el comportamiento ascendente que ha tenido la atención de solicitudes de mantenimiento realizadas por ambos Técnicos Especializados durante el quinquenio del 2012 al 2016, periodo en que se ha</w:t>
            </w:r>
            <w:r w:rsidR="00CC19FB" w:rsidRPr="00AD2B7A">
              <w:rPr>
                <w:bCs/>
                <w:lang w:val="es-ES" w:eastAsia="es-ES"/>
              </w:rPr>
              <w:t>n</w:t>
            </w:r>
            <w:r w:rsidRPr="00AD2B7A">
              <w:rPr>
                <w:bCs/>
                <w:lang w:val="es-ES" w:eastAsia="es-ES"/>
              </w:rPr>
              <w:t xml:space="preserve"> mantenido ambos puestos trabajando. </w:t>
            </w:r>
          </w:p>
          <w:p w:rsidR="002D7500" w:rsidRDefault="002D7500" w:rsidP="002D7500">
            <w:pPr>
              <w:pStyle w:val="Prrafodelista"/>
              <w:jc w:val="center"/>
              <w:rPr>
                <w:rFonts w:ascii="Arial Narrow" w:hAnsi="Arial Narrow"/>
                <w:bCs/>
                <w:lang w:val="es-ES" w:eastAsia="es-ES"/>
              </w:rPr>
            </w:pPr>
            <w:r>
              <w:rPr>
                <w:rFonts w:ascii="Arial Narrow" w:hAnsi="Arial Narrow"/>
                <w:bCs/>
                <w:noProof/>
              </w:rPr>
              <w:drawing>
                <wp:inline distT="0" distB="0" distL="0" distR="0">
                  <wp:extent cx="3490622" cy="183584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9220" cy="1845625"/>
                          </a:xfrm>
                          <a:prstGeom prst="rect">
                            <a:avLst/>
                          </a:prstGeom>
                          <a:noFill/>
                        </pic:spPr>
                      </pic:pic>
                    </a:graphicData>
                  </a:graphic>
                </wp:inline>
              </w:drawing>
            </w:r>
          </w:p>
          <w:p w:rsidR="00694219" w:rsidRDefault="00694219" w:rsidP="002D7500">
            <w:pPr>
              <w:pStyle w:val="Prrafodelista"/>
              <w:jc w:val="center"/>
              <w:rPr>
                <w:rFonts w:ascii="Arial Narrow" w:hAnsi="Arial Narrow"/>
                <w:bCs/>
                <w:lang w:val="es-ES" w:eastAsia="es-ES"/>
              </w:rPr>
            </w:pPr>
          </w:p>
          <w:p w:rsidR="00A655ED" w:rsidRPr="00AD2B7A" w:rsidRDefault="00FE0977" w:rsidP="00364A6A">
            <w:pPr>
              <w:pStyle w:val="Prrafodelista"/>
              <w:jc w:val="both"/>
              <w:rPr>
                <w:bCs/>
                <w:lang w:val="es-ES" w:eastAsia="es-ES"/>
              </w:rPr>
            </w:pPr>
            <w:r w:rsidRPr="00AD2B7A">
              <w:rPr>
                <w:bCs/>
                <w:lang w:val="es-ES" w:eastAsia="es-ES"/>
              </w:rPr>
              <w:t xml:space="preserve">El incremento </w:t>
            </w:r>
            <w:r w:rsidR="00CC19FB" w:rsidRPr="00AD2B7A">
              <w:rPr>
                <w:bCs/>
                <w:lang w:val="es-ES" w:eastAsia="es-ES"/>
              </w:rPr>
              <w:t>se registró</w:t>
            </w:r>
            <w:r w:rsidRPr="00AD2B7A">
              <w:rPr>
                <w:bCs/>
                <w:lang w:val="es-ES" w:eastAsia="es-ES"/>
              </w:rPr>
              <w:t xml:space="preserve"> a partir del 2014 y hasta el 2016; sin embargo</w:t>
            </w:r>
            <w:r w:rsidR="00A655ED" w:rsidRPr="00AD2B7A">
              <w:rPr>
                <w:bCs/>
                <w:lang w:val="es-ES" w:eastAsia="es-ES"/>
              </w:rPr>
              <w:t>, se evidencia un incremento del 52% en la cantidad de labores atendidas desde el 2012 hasta el 2016, lo que permite determinar que el apoyo de la segunda plaza ha dado resultados positivos.</w:t>
            </w:r>
          </w:p>
          <w:p w:rsidR="002D7500" w:rsidRPr="00AD2B7A" w:rsidRDefault="004F70B9" w:rsidP="00364A6A">
            <w:pPr>
              <w:pStyle w:val="Prrafodelista"/>
              <w:jc w:val="both"/>
              <w:rPr>
                <w:bCs/>
                <w:lang w:val="es-ES" w:eastAsia="es-ES"/>
              </w:rPr>
            </w:pPr>
            <w:r w:rsidRPr="00AD2B7A">
              <w:rPr>
                <w:bCs/>
                <w:lang w:val="es-ES" w:eastAsia="es-ES"/>
              </w:rPr>
              <w:t>No obstante,</w:t>
            </w:r>
            <w:r w:rsidR="002D7500" w:rsidRPr="00AD2B7A">
              <w:rPr>
                <w:bCs/>
                <w:lang w:val="es-ES" w:eastAsia="es-ES"/>
              </w:rPr>
              <w:t xml:space="preserve"> existe un alto número de solicitudes que no pueden ser atendidas </w:t>
            </w:r>
            <w:r w:rsidRPr="00AD2B7A">
              <w:rPr>
                <w:bCs/>
                <w:lang w:val="es-ES" w:eastAsia="es-ES"/>
              </w:rPr>
              <w:t xml:space="preserve">oportunamente </w:t>
            </w:r>
            <w:r w:rsidR="00A655ED" w:rsidRPr="00AD2B7A">
              <w:rPr>
                <w:bCs/>
                <w:lang w:val="es-ES" w:eastAsia="es-ES"/>
              </w:rPr>
              <w:t>por</w:t>
            </w:r>
            <w:r w:rsidR="002D7500" w:rsidRPr="00AD2B7A">
              <w:rPr>
                <w:bCs/>
                <w:lang w:val="es-ES" w:eastAsia="es-ES"/>
              </w:rPr>
              <w:t xml:space="preserve"> la limitación del tiempo</w:t>
            </w:r>
            <w:r w:rsidR="00A655ED" w:rsidRPr="00AD2B7A">
              <w:rPr>
                <w:bCs/>
                <w:lang w:val="es-ES" w:eastAsia="es-ES"/>
              </w:rPr>
              <w:t xml:space="preserve">, la carga de trabajo existente, y la </w:t>
            </w:r>
            <w:r w:rsidR="002D7500" w:rsidRPr="00AD2B7A">
              <w:rPr>
                <w:bCs/>
                <w:lang w:val="es-ES" w:eastAsia="es-ES"/>
              </w:rPr>
              <w:t>aten</w:t>
            </w:r>
            <w:r w:rsidR="00A655ED" w:rsidRPr="00AD2B7A">
              <w:rPr>
                <w:bCs/>
                <w:lang w:val="es-ES" w:eastAsia="es-ES"/>
              </w:rPr>
              <w:t xml:space="preserve">ción </w:t>
            </w:r>
            <w:r w:rsidR="002D7500" w:rsidRPr="00AD2B7A">
              <w:rPr>
                <w:bCs/>
                <w:lang w:val="es-ES" w:eastAsia="es-ES"/>
              </w:rPr>
              <w:t>de otras actividades que surgen con carácter de urgencia.</w:t>
            </w:r>
          </w:p>
          <w:p w:rsidR="009A36A6" w:rsidRPr="00AD2B7A" w:rsidRDefault="00190116" w:rsidP="009A36A6">
            <w:pPr>
              <w:pStyle w:val="Prrafodelista"/>
              <w:jc w:val="both"/>
              <w:rPr>
                <w:b/>
                <w:bCs/>
                <w:i/>
              </w:rPr>
            </w:pPr>
            <w:r w:rsidRPr="00AD2B7A">
              <w:rPr>
                <w:b/>
                <w:bCs/>
                <w:i/>
              </w:rPr>
              <w:t xml:space="preserve">3.3.- </w:t>
            </w:r>
            <w:r w:rsidR="009A36A6" w:rsidRPr="00AD2B7A">
              <w:rPr>
                <w:b/>
                <w:bCs/>
                <w:i/>
              </w:rPr>
              <w:t xml:space="preserve">Actividades que se llevan a cabo por parte de los </w:t>
            </w:r>
            <w:r w:rsidR="004F70B9" w:rsidRPr="00AD2B7A">
              <w:rPr>
                <w:b/>
                <w:bCs/>
                <w:i/>
              </w:rPr>
              <w:t xml:space="preserve">Obreros </w:t>
            </w:r>
            <w:r w:rsidR="009A36A6" w:rsidRPr="00AD2B7A">
              <w:rPr>
                <w:b/>
                <w:bCs/>
                <w:i/>
              </w:rPr>
              <w:t xml:space="preserve">Especializados en </w:t>
            </w:r>
            <w:r w:rsidR="00B921D6" w:rsidRPr="00AD2B7A">
              <w:rPr>
                <w:b/>
                <w:bCs/>
                <w:i/>
              </w:rPr>
              <w:t xml:space="preserve">áreas </w:t>
            </w:r>
            <w:r w:rsidR="009A36A6" w:rsidRPr="00AD2B7A">
              <w:rPr>
                <w:b/>
                <w:bCs/>
                <w:i/>
              </w:rPr>
              <w:t>de Mantenimiento</w:t>
            </w:r>
          </w:p>
          <w:p w:rsidR="009A36A6" w:rsidRPr="00AD2B7A" w:rsidRDefault="009A36A6" w:rsidP="009A36A6">
            <w:pPr>
              <w:pStyle w:val="Prrafodelista"/>
              <w:jc w:val="both"/>
              <w:rPr>
                <w:bCs/>
                <w:lang w:val="es-ES" w:eastAsia="es-ES"/>
              </w:rPr>
            </w:pPr>
            <w:r w:rsidRPr="00AD2B7A">
              <w:rPr>
                <w:bCs/>
                <w:lang w:val="es-ES" w:eastAsia="es-ES"/>
              </w:rPr>
              <w:t>Algunas de las actividades que se llevan a cabo por parte de este personal son:</w:t>
            </w:r>
          </w:p>
          <w:p w:rsidR="009A36A6" w:rsidRPr="00AD2B7A" w:rsidRDefault="009A36A6" w:rsidP="009A36A6">
            <w:pPr>
              <w:pStyle w:val="Prrafodelista"/>
              <w:numPr>
                <w:ilvl w:val="0"/>
                <w:numId w:val="40"/>
              </w:numPr>
              <w:rPr>
                <w:bCs/>
                <w:i/>
                <w:lang w:val="es-ES" w:eastAsia="es-ES"/>
              </w:rPr>
            </w:pPr>
            <w:r w:rsidRPr="00AD2B7A">
              <w:rPr>
                <w:bCs/>
                <w:i/>
                <w:lang w:val="es-ES" w:eastAsia="es-ES"/>
              </w:rPr>
              <w:t>Cambio de instalaciones eléctricas, cajas de Breaker Eléctricos.</w:t>
            </w:r>
            <w:r w:rsidRPr="00AD2B7A">
              <w:rPr>
                <w:bCs/>
                <w:i/>
                <w:lang w:val="es-ES" w:eastAsia="es-ES"/>
              </w:rPr>
              <w:tab/>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Destaqueo de tuberías, piletas, lavatorios, baño, trampas de grasa, entre otros.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Cambio de tuberías</w:t>
            </w:r>
            <w:r w:rsidR="00824A2E" w:rsidRPr="00AD2B7A">
              <w:rPr>
                <w:bCs/>
                <w:i/>
                <w:lang w:val="es-ES" w:eastAsia="es-ES"/>
              </w:rPr>
              <w:t>, por fugas de agua</w:t>
            </w:r>
            <w:r w:rsidR="00963480" w:rsidRPr="00AD2B7A">
              <w:rPr>
                <w:bCs/>
                <w:i/>
                <w:lang w:val="es-ES" w:eastAsia="es-ES"/>
              </w:rPr>
              <w:t>.</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Reparación de puertas, vidrios quebrados, ventanales,</w:t>
            </w:r>
            <w:r w:rsidR="003862A9" w:rsidRPr="00AD2B7A">
              <w:rPr>
                <w:bCs/>
                <w:i/>
                <w:lang w:val="es-ES" w:eastAsia="es-ES"/>
              </w:rPr>
              <w:t xml:space="preserve"> portones</w:t>
            </w:r>
            <w:r w:rsidR="004F70B9" w:rsidRPr="00AD2B7A">
              <w:rPr>
                <w:bCs/>
                <w:i/>
                <w:lang w:val="es-ES" w:eastAsia="es-ES"/>
              </w:rPr>
              <w:t>,</w:t>
            </w:r>
            <w:r w:rsidRPr="00AD2B7A">
              <w:rPr>
                <w:bCs/>
                <w:i/>
                <w:lang w:val="es-ES" w:eastAsia="es-ES"/>
              </w:rPr>
              <w:t xml:space="preserve"> entre otros.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Remodelaciones estructurales en oficinas, ventanales y otros.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Polarizado de ventanales.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 xml:space="preserve">Pinturas de oficinas, baños y otras áreas. </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Cambio de herrajes, llavines</w:t>
            </w:r>
            <w:r w:rsidR="003862A9" w:rsidRPr="00AD2B7A">
              <w:rPr>
                <w:bCs/>
                <w:i/>
                <w:lang w:val="es-ES" w:eastAsia="es-ES"/>
              </w:rPr>
              <w:t xml:space="preserve"> en puertas </w:t>
            </w:r>
            <w:r w:rsidRPr="00AD2B7A">
              <w:rPr>
                <w:bCs/>
                <w:i/>
                <w:lang w:val="es-ES" w:eastAsia="es-ES"/>
              </w:rPr>
              <w:t>y portones dañados.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Confección de muebles para bodegas, resguardo de armas, guardar expedientes, equipo, material de oficina, evidencias importantes, entre otros.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Reparación de fluorescentes.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Instalación de compresores.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Instalación de lámparas.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Atención de techos o cielos rasos caídos.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Búsqueda de cotizaciones, compras de materiales, entre otros.</w:t>
            </w:r>
          </w:p>
          <w:p w:rsidR="009A36A6" w:rsidRPr="00AD2B7A" w:rsidRDefault="009A36A6" w:rsidP="009A36A6">
            <w:pPr>
              <w:pStyle w:val="Prrafodelista"/>
              <w:numPr>
                <w:ilvl w:val="0"/>
                <w:numId w:val="40"/>
              </w:numPr>
              <w:spacing w:before="0" w:beforeAutospacing="0" w:after="0" w:afterAutospacing="0"/>
              <w:jc w:val="both"/>
              <w:rPr>
                <w:bCs/>
                <w:i/>
                <w:lang w:val="es-ES" w:eastAsia="es-ES"/>
              </w:rPr>
            </w:pPr>
            <w:r w:rsidRPr="00AD2B7A">
              <w:rPr>
                <w:bCs/>
                <w:i/>
                <w:lang w:val="es-ES" w:eastAsia="es-ES"/>
              </w:rPr>
              <w:t>Todos aquellos trabajos que son propios del uso de instalaciones y que se deben atender de forma inmediata.</w:t>
            </w:r>
          </w:p>
          <w:p w:rsidR="009A36A6" w:rsidRPr="00AD2B7A" w:rsidRDefault="009A36A6" w:rsidP="009A36A6">
            <w:pPr>
              <w:pStyle w:val="Prrafodelista"/>
              <w:jc w:val="both"/>
              <w:rPr>
                <w:bCs/>
                <w:lang w:val="es-ES" w:eastAsia="es-ES"/>
              </w:rPr>
            </w:pPr>
            <w:r w:rsidRPr="00AD2B7A">
              <w:rPr>
                <w:bCs/>
                <w:lang w:val="es-ES" w:eastAsia="es-ES"/>
              </w:rPr>
              <w:t xml:space="preserve">Los trabajos que concentran la mayor cantidad de atención son los eléctricos </w:t>
            </w:r>
            <w:r w:rsidR="003862A9" w:rsidRPr="00AD2B7A">
              <w:rPr>
                <w:bCs/>
                <w:lang w:val="es-ES" w:eastAsia="es-ES"/>
              </w:rPr>
              <w:t xml:space="preserve">con un </w:t>
            </w:r>
            <w:r w:rsidRPr="00AD2B7A">
              <w:rPr>
                <w:bCs/>
                <w:lang w:val="es-ES" w:eastAsia="es-ES"/>
              </w:rPr>
              <w:t>33% aproximadamente, seguido por l</w:t>
            </w:r>
            <w:r w:rsidR="004F70B9" w:rsidRPr="00AD2B7A">
              <w:rPr>
                <w:bCs/>
                <w:lang w:val="es-ES" w:eastAsia="es-ES"/>
              </w:rPr>
              <w:t>o</w:t>
            </w:r>
            <w:r w:rsidRPr="00AD2B7A">
              <w:rPr>
                <w:bCs/>
                <w:lang w:val="es-ES" w:eastAsia="es-ES"/>
              </w:rPr>
              <w:t>s de cerrajería (25%), fontanería (16%), carpintería (17%), y un 9% en otros trabajos como metalmecánica, albañilería y las contrataciones.</w:t>
            </w:r>
          </w:p>
          <w:p w:rsidR="009A36A6" w:rsidRPr="00AD2B7A" w:rsidRDefault="009A36A6" w:rsidP="009A36A6">
            <w:pPr>
              <w:pStyle w:val="Prrafodelista"/>
              <w:jc w:val="both"/>
              <w:rPr>
                <w:bCs/>
                <w:lang w:val="es-ES" w:eastAsia="es-ES"/>
              </w:rPr>
            </w:pPr>
            <w:r w:rsidRPr="00AD2B7A">
              <w:rPr>
                <w:bCs/>
                <w:lang w:val="es-ES" w:eastAsia="es-ES"/>
              </w:rPr>
              <w:t xml:space="preserve">Como se puede apreciar, las actividades por atender son diversas, </w:t>
            </w:r>
            <w:r w:rsidR="004F70B9" w:rsidRPr="00AD2B7A">
              <w:rPr>
                <w:bCs/>
                <w:lang w:val="es-ES" w:eastAsia="es-ES"/>
              </w:rPr>
              <w:t xml:space="preserve">lo que resulta </w:t>
            </w:r>
            <w:r w:rsidRPr="00AD2B7A">
              <w:rPr>
                <w:bCs/>
                <w:lang w:val="es-ES" w:eastAsia="es-ES"/>
              </w:rPr>
              <w:t xml:space="preserve">consecuente </w:t>
            </w:r>
            <w:r w:rsidR="004F70B9" w:rsidRPr="00AD2B7A">
              <w:rPr>
                <w:bCs/>
                <w:lang w:val="es-ES" w:eastAsia="es-ES"/>
              </w:rPr>
              <w:t xml:space="preserve">con </w:t>
            </w:r>
            <w:r w:rsidRPr="00AD2B7A">
              <w:rPr>
                <w:bCs/>
                <w:lang w:val="es-ES" w:eastAsia="es-ES"/>
              </w:rPr>
              <w:t>el comentario</w:t>
            </w:r>
            <w:r w:rsidR="00190116" w:rsidRPr="00AD2B7A">
              <w:rPr>
                <w:bCs/>
                <w:lang w:val="es-ES" w:eastAsia="es-ES"/>
              </w:rPr>
              <w:t xml:space="preserve"> externado por el Jefe de la Sección de Mantenimiento</w:t>
            </w:r>
            <w:r w:rsidR="00116F9C" w:rsidRPr="00AD2B7A">
              <w:rPr>
                <w:bCs/>
                <w:lang w:val="es-ES" w:eastAsia="es-ES"/>
              </w:rPr>
              <w:t xml:space="preserve"> y Construcción del Departamento de Servicios Generales,</w:t>
            </w:r>
            <w:r w:rsidRPr="00AD2B7A">
              <w:rPr>
                <w:bCs/>
                <w:lang w:val="es-ES" w:eastAsia="es-ES"/>
              </w:rPr>
              <w:t xml:space="preserve"> al mostrar su preocupación en la atención de los asuntos eléctricos que </w:t>
            </w:r>
            <w:r w:rsidR="00116F9C" w:rsidRPr="00AD2B7A">
              <w:rPr>
                <w:bCs/>
                <w:lang w:val="es-ES" w:eastAsia="es-ES"/>
              </w:rPr>
              <w:t>registran la</w:t>
            </w:r>
            <w:r w:rsidRPr="00AD2B7A">
              <w:rPr>
                <w:bCs/>
                <w:lang w:val="es-ES" w:eastAsia="es-ES"/>
              </w:rPr>
              <w:t xml:space="preserve"> mayor demanda</w:t>
            </w:r>
            <w:r w:rsidR="00190116" w:rsidRPr="00AD2B7A">
              <w:rPr>
                <w:bCs/>
                <w:lang w:val="es-ES" w:eastAsia="es-ES"/>
              </w:rPr>
              <w:t xml:space="preserve">, al menos para el personal del </w:t>
            </w:r>
            <w:r w:rsidR="00116F9C" w:rsidRPr="00AD2B7A">
              <w:rPr>
                <w:bCs/>
                <w:lang w:val="es-ES" w:eastAsia="es-ES"/>
              </w:rPr>
              <w:t>OIJ</w:t>
            </w:r>
            <w:r w:rsidRPr="00AD2B7A">
              <w:rPr>
                <w:bCs/>
                <w:lang w:val="es-ES" w:eastAsia="es-ES"/>
              </w:rPr>
              <w:t>.</w:t>
            </w:r>
          </w:p>
          <w:p w:rsidR="00382B8D" w:rsidRDefault="000E3B81" w:rsidP="00364A6A">
            <w:pPr>
              <w:pStyle w:val="Prrafodelista"/>
              <w:jc w:val="both"/>
              <w:rPr>
                <w:b/>
                <w:bCs/>
                <w:i/>
                <w:lang w:val="es-ES" w:eastAsia="es-ES"/>
              </w:rPr>
            </w:pPr>
            <w:r>
              <w:rPr>
                <w:b/>
                <w:bCs/>
                <w:i/>
                <w:lang w:val="es-ES" w:eastAsia="es-ES"/>
              </w:rPr>
              <w:t xml:space="preserve">3.4.- </w:t>
            </w:r>
            <w:r w:rsidR="00364A6A" w:rsidRPr="00364A6A">
              <w:rPr>
                <w:b/>
                <w:bCs/>
                <w:i/>
                <w:lang w:val="es-ES" w:eastAsia="es-ES"/>
              </w:rPr>
              <w:t xml:space="preserve">Consulta efectuada </w:t>
            </w:r>
            <w:r w:rsidR="00247491">
              <w:rPr>
                <w:b/>
                <w:bCs/>
                <w:i/>
                <w:lang w:val="es-ES" w:eastAsia="es-ES"/>
              </w:rPr>
              <w:t xml:space="preserve">al </w:t>
            </w:r>
            <w:r w:rsidR="00364A6A" w:rsidRPr="00364A6A">
              <w:rPr>
                <w:b/>
                <w:bCs/>
                <w:i/>
                <w:lang w:val="es-ES" w:eastAsia="es-ES"/>
              </w:rPr>
              <w:t>Departamento de Servicios Generales</w:t>
            </w:r>
          </w:p>
          <w:p w:rsidR="00112286" w:rsidRPr="00AD2B7A" w:rsidRDefault="00247491" w:rsidP="00247491">
            <w:pPr>
              <w:pStyle w:val="Prrafodelista"/>
              <w:jc w:val="both"/>
              <w:rPr>
                <w:bCs/>
                <w:lang w:val="es-ES" w:eastAsia="es-ES"/>
              </w:rPr>
            </w:pPr>
            <w:r w:rsidRPr="00AD2B7A">
              <w:rPr>
                <w:bCs/>
                <w:lang w:val="es-ES" w:eastAsia="es-ES"/>
              </w:rPr>
              <w:t>En consulta efectuada al Ing. Fabián Castro Molina, MAP, Jefe de la Sección de Mantenimiento y Construcción</w:t>
            </w:r>
            <w:r w:rsidR="009F5EE5" w:rsidRPr="00AD2B7A">
              <w:rPr>
                <w:bCs/>
                <w:lang w:val="es-ES" w:eastAsia="es-ES"/>
              </w:rPr>
              <w:t xml:space="preserve">, señala que si bien existe la colaboración por parte de la Sección al personal encargado de mantenimiento del OIJ, estima que por su experiencia, el </w:t>
            </w:r>
            <w:r w:rsidR="00116F9C" w:rsidRPr="00AD2B7A">
              <w:rPr>
                <w:bCs/>
                <w:lang w:val="es-ES" w:eastAsia="es-ES"/>
              </w:rPr>
              <w:t xml:space="preserve">OIJ </w:t>
            </w:r>
            <w:r w:rsidR="009F5EE5" w:rsidRPr="00AD2B7A">
              <w:rPr>
                <w:bCs/>
                <w:lang w:val="es-ES" w:eastAsia="es-ES"/>
              </w:rPr>
              <w:t>debe contar con una estructura más robusta para asumir las necesidades existentes.</w:t>
            </w:r>
            <w:r w:rsidR="007562CF" w:rsidRPr="00AD2B7A">
              <w:rPr>
                <w:bCs/>
                <w:lang w:val="es-ES" w:eastAsia="es-ES"/>
              </w:rPr>
              <w:t xml:space="preserve"> </w:t>
            </w:r>
            <w:r w:rsidR="009F5EE5" w:rsidRPr="00AD2B7A">
              <w:rPr>
                <w:bCs/>
                <w:lang w:val="es-ES" w:eastAsia="es-ES"/>
              </w:rPr>
              <w:t xml:space="preserve">Alega que es un riesgo muy alto el que se enfrenta </w:t>
            </w:r>
            <w:r w:rsidR="007562CF" w:rsidRPr="00AD2B7A">
              <w:rPr>
                <w:bCs/>
                <w:lang w:val="es-ES" w:eastAsia="es-ES"/>
              </w:rPr>
              <w:t xml:space="preserve">en las diversas oficinas </w:t>
            </w:r>
            <w:r w:rsidR="009F5EE5" w:rsidRPr="00AD2B7A">
              <w:rPr>
                <w:bCs/>
                <w:lang w:val="es-ES" w:eastAsia="es-ES"/>
              </w:rPr>
              <w:t xml:space="preserve">al no </w:t>
            </w:r>
            <w:r w:rsidR="007562CF" w:rsidRPr="00AD2B7A">
              <w:rPr>
                <w:bCs/>
                <w:lang w:val="es-ES" w:eastAsia="es-ES"/>
              </w:rPr>
              <w:t xml:space="preserve">darse el debido mantenimiento preventivo-correctivo, y con una única persona </w:t>
            </w:r>
            <w:r w:rsidR="00B921D6" w:rsidRPr="00AD2B7A">
              <w:rPr>
                <w:bCs/>
                <w:lang w:val="es-ES" w:eastAsia="es-ES"/>
              </w:rPr>
              <w:t xml:space="preserve">(el puesto ordinario) </w:t>
            </w:r>
            <w:r w:rsidR="007562CF" w:rsidRPr="00AD2B7A">
              <w:rPr>
                <w:bCs/>
                <w:lang w:val="es-ES" w:eastAsia="es-ES"/>
              </w:rPr>
              <w:t xml:space="preserve">asumiendo tantos requerimientos no es posible atenderlas. Añadió que los mayores riesgos que pueden enfrentarse son los recalentamientos de cableados eléctricos que además de requerir mucho conocimiento, demandan tiempo en su </w:t>
            </w:r>
            <w:r w:rsidR="00112286" w:rsidRPr="00AD2B7A">
              <w:rPr>
                <w:bCs/>
                <w:lang w:val="es-ES" w:eastAsia="es-ES"/>
              </w:rPr>
              <w:t>atención, y los daños que podrán causar comprometerían la vida humana, los recursos estructurales y materiales</w:t>
            </w:r>
            <w:r w:rsidR="003862A9" w:rsidRPr="00AD2B7A">
              <w:rPr>
                <w:bCs/>
                <w:lang w:val="es-ES" w:eastAsia="es-ES"/>
              </w:rPr>
              <w:t xml:space="preserve"> para la institución</w:t>
            </w:r>
            <w:r w:rsidR="00112286" w:rsidRPr="00AD2B7A">
              <w:rPr>
                <w:bCs/>
                <w:lang w:val="es-ES" w:eastAsia="es-ES"/>
              </w:rPr>
              <w:t>.</w:t>
            </w:r>
          </w:p>
          <w:p w:rsidR="002361DA" w:rsidRPr="00AD2B7A" w:rsidRDefault="00112286" w:rsidP="00247491">
            <w:pPr>
              <w:pStyle w:val="Prrafodelista"/>
              <w:jc w:val="both"/>
              <w:rPr>
                <w:bCs/>
                <w:lang w:val="es-ES" w:eastAsia="es-ES"/>
              </w:rPr>
            </w:pPr>
            <w:r w:rsidRPr="00AD2B7A">
              <w:rPr>
                <w:bCs/>
                <w:lang w:val="es-ES" w:eastAsia="es-ES"/>
              </w:rPr>
              <w:t>Confirma que por parte de la Sección</w:t>
            </w:r>
            <w:r w:rsidR="00116F9C" w:rsidRPr="00AD2B7A">
              <w:rPr>
                <w:bCs/>
                <w:lang w:val="es-ES" w:eastAsia="es-ES"/>
              </w:rPr>
              <w:t xml:space="preserve"> a su cargo</w:t>
            </w:r>
            <w:r w:rsidRPr="00AD2B7A">
              <w:rPr>
                <w:bCs/>
                <w:lang w:val="es-ES" w:eastAsia="es-ES"/>
              </w:rPr>
              <w:t xml:space="preserve"> se le brinda una asistencia </w:t>
            </w:r>
            <w:r w:rsidR="002361DA" w:rsidRPr="00AD2B7A">
              <w:rPr>
                <w:bCs/>
                <w:lang w:val="es-ES" w:eastAsia="es-ES"/>
              </w:rPr>
              <w:t xml:space="preserve">a ese personal </w:t>
            </w:r>
            <w:r w:rsidR="00FF5309" w:rsidRPr="00AD2B7A">
              <w:rPr>
                <w:bCs/>
                <w:lang w:val="es-ES" w:eastAsia="es-ES"/>
              </w:rPr>
              <w:t>especialmente</w:t>
            </w:r>
            <w:r w:rsidR="002361DA" w:rsidRPr="00AD2B7A">
              <w:rPr>
                <w:bCs/>
                <w:lang w:val="es-ES" w:eastAsia="es-ES"/>
              </w:rPr>
              <w:t xml:space="preserve"> </w:t>
            </w:r>
            <w:r w:rsidRPr="00AD2B7A">
              <w:rPr>
                <w:bCs/>
                <w:lang w:val="es-ES" w:eastAsia="es-ES"/>
              </w:rPr>
              <w:t xml:space="preserve">en cerrajería, </w:t>
            </w:r>
            <w:r w:rsidR="00FF5309" w:rsidRPr="00AD2B7A">
              <w:rPr>
                <w:bCs/>
                <w:lang w:val="es-ES" w:eastAsia="es-ES"/>
              </w:rPr>
              <w:t xml:space="preserve">así también </w:t>
            </w:r>
            <w:r w:rsidRPr="00AD2B7A">
              <w:rPr>
                <w:bCs/>
                <w:lang w:val="es-ES" w:eastAsia="es-ES"/>
              </w:rPr>
              <w:t>en el apoyo del equipo</w:t>
            </w:r>
            <w:r w:rsidR="002361DA" w:rsidRPr="00AD2B7A">
              <w:rPr>
                <w:bCs/>
                <w:lang w:val="es-ES" w:eastAsia="es-ES"/>
              </w:rPr>
              <w:t xml:space="preserve"> para trabajos</w:t>
            </w:r>
            <w:r w:rsidR="00FF5309" w:rsidRPr="00AD2B7A">
              <w:rPr>
                <w:bCs/>
                <w:lang w:val="es-ES" w:eastAsia="es-ES"/>
              </w:rPr>
              <w:t xml:space="preserve"> específicos. Este soporte se brinda principalmente</w:t>
            </w:r>
            <w:r w:rsidRPr="00AD2B7A">
              <w:rPr>
                <w:bCs/>
                <w:lang w:val="es-ES" w:eastAsia="es-ES"/>
              </w:rPr>
              <w:t xml:space="preserve"> cuando ambos obreros están fuera de</w:t>
            </w:r>
            <w:r w:rsidR="003862A9" w:rsidRPr="00AD2B7A">
              <w:rPr>
                <w:bCs/>
                <w:lang w:val="es-ES" w:eastAsia="es-ES"/>
              </w:rPr>
              <w:t xml:space="preserve"> </w:t>
            </w:r>
            <w:r w:rsidRPr="00AD2B7A">
              <w:rPr>
                <w:bCs/>
                <w:lang w:val="es-ES" w:eastAsia="es-ES"/>
              </w:rPr>
              <w:t>l</w:t>
            </w:r>
            <w:r w:rsidR="003862A9" w:rsidRPr="00AD2B7A">
              <w:rPr>
                <w:bCs/>
                <w:lang w:val="es-ES" w:eastAsia="es-ES"/>
              </w:rPr>
              <w:t xml:space="preserve">as instalaciones del </w:t>
            </w:r>
            <w:r w:rsidR="00116F9C" w:rsidRPr="00AD2B7A">
              <w:rPr>
                <w:bCs/>
                <w:lang w:val="es-ES" w:eastAsia="es-ES"/>
              </w:rPr>
              <w:t>P</w:t>
            </w:r>
            <w:r w:rsidRPr="00AD2B7A">
              <w:rPr>
                <w:bCs/>
                <w:lang w:val="es-ES" w:eastAsia="es-ES"/>
              </w:rPr>
              <w:t>rimer Circuito</w:t>
            </w:r>
            <w:r w:rsidR="002361DA" w:rsidRPr="00AD2B7A">
              <w:rPr>
                <w:bCs/>
                <w:lang w:val="es-ES" w:eastAsia="es-ES"/>
              </w:rPr>
              <w:t>. Comparte el criterio de la necesidad de apoyo para realizar algunos tipos de trabajo en las oficinas</w:t>
            </w:r>
            <w:r w:rsidR="00FF5309" w:rsidRPr="00AD2B7A">
              <w:rPr>
                <w:bCs/>
                <w:lang w:val="es-ES" w:eastAsia="es-ES"/>
              </w:rPr>
              <w:t xml:space="preserve"> que demandan la participación de un mínimo de dos obreros</w:t>
            </w:r>
            <w:r w:rsidR="002361DA" w:rsidRPr="00AD2B7A">
              <w:rPr>
                <w:bCs/>
                <w:lang w:val="es-ES" w:eastAsia="es-ES"/>
              </w:rPr>
              <w:t xml:space="preserve">, </w:t>
            </w:r>
            <w:r w:rsidR="00FF5309" w:rsidRPr="00AD2B7A">
              <w:rPr>
                <w:bCs/>
                <w:lang w:val="es-ES" w:eastAsia="es-ES"/>
              </w:rPr>
              <w:t>por lo que al</w:t>
            </w:r>
            <w:r w:rsidR="002361DA" w:rsidRPr="00AD2B7A">
              <w:rPr>
                <w:bCs/>
                <w:lang w:val="es-ES" w:eastAsia="es-ES"/>
              </w:rPr>
              <w:t xml:space="preserve"> disponer de un solo especialista </w:t>
            </w:r>
            <w:r w:rsidR="00B921D6" w:rsidRPr="00AD2B7A">
              <w:rPr>
                <w:bCs/>
                <w:lang w:val="es-ES" w:eastAsia="es-ES"/>
              </w:rPr>
              <w:t xml:space="preserve">(puesto ordinario) </w:t>
            </w:r>
            <w:r w:rsidR="002361DA" w:rsidRPr="00AD2B7A">
              <w:rPr>
                <w:bCs/>
                <w:lang w:val="es-ES" w:eastAsia="es-ES"/>
              </w:rPr>
              <w:t xml:space="preserve">es </w:t>
            </w:r>
            <w:r w:rsidR="00FF5309" w:rsidRPr="00AD2B7A">
              <w:rPr>
                <w:bCs/>
                <w:lang w:val="es-ES" w:eastAsia="es-ES"/>
              </w:rPr>
              <w:t>complicado</w:t>
            </w:r>
            <w:r w:rsidR="002361DA" w:rsidRPr="00AD2B7A">
              <w:rPr>
                <w:bCs/>
                <w:lang w:val="es-ES" w:eastAsia="es-ES"/>
              </w:rPr>
              <w:t>.</w:t>
            </w:r>
          </w:p>
          <w:p w:rsidR="00FF5309" w:rsidRPr="00AD2B7A" w:rsidRDefault="002361DA" w:rsidP="007C1D32">
            <w:pPr>
              <w:pStyle w:val="Prrafodelista"/>
              <w:jc w:val="both"/>
              <w:rPr>
                <w:bCs/>
                <w:lang w:val="es-ES" w:eastAsia="es-ES"/>
              </w:rPr>
            </w:pPr>
            <w:r w:rsidRPr="00AD2B7A">
              <w:rPr>
                <w:bCs/>
                <w:lang w:val="es-ES" w:eastAsia="es-ES"/>
              </w:rPr>
              <w:t xml:space="preserve">También refirió que el personal que dispone actualmente en su Sección es reducido para </w:t>
            </w:r>
            <w:r w:rsidR="007C1D32" w:rsidRPr="00AD2B7A">
              <w:rPr>
                <w:bCs/>
                <w:lang w:val="es-ES" w:eastAsia="es-ES"/>
              </w:rPr>
              <w:t xml:space="preserve">atender </w:t>
            </w:r>
            <w:r w:rsidRPr="00AD2B7A">
              <w:rPr>
                <w:bCs/>
                <w:lang w:val="es-ES" w:eastAsia="es-ES"/>
              </w:rPr>
              <w:t>la demanda existente</w:t>
            </w:r>
            <w:r w:rsidR="007C1D32" w:rsidRPr="00AD2B7A">
              <w:rPr>
                <w:bCs/>
                <w:lang w:val="es-ES" w:eastAsia="es-ES"/>
              </w:rPr>
              <w:t xml:space="preserve">, la cual supera las 8.000 solicitudes anuales.  </w:t>
            </w:r>
          </w:p>
          <w:p w:rsidR="009F2535" w:rsidRPr="00AD2B7A" w:rsidRDefault="007C1D32" w:rsidP="000E3B81">
            <w:pPr>
              <w:pStyle w:val="Prrafodelista"/>
              <w:jc w:val="both"/>
              <w:rPr>
                <w:bCs/>
                <w:lang w:val="es-ES" w:eastAsia="es-ES"/>
              </w:rPr>
            </w:pPr>
            <w:r w:rsidRPr="00AD2B7A">
              <w:rPr>
                <w:bCs/>
                <w:lang w:val="es-ES" w:eastAsia="es-ES"/>
              </w:rPr>
              <w:t>Por su parte, e</w:t>
            </w:r>
            <w:r w:rsidR="00247491" w:rsidRPr="00AD2B7A">
              <w:rPr>
                <w:bCs/>
                <w:lang w:val="es-ES" w:eastAsia="es-ES"/>
              </w:rPr>
              <w:t>l Ing. José Guillermo Vindas Cantillano</w:t>
            </w:r>
            <w:r w:rsidR="00116F9C" w:rsidRPr="00AD2B7A">
              <w:rPr>
                <w:bCs/>
                <w:lang w:val="es-ES" w:eastAsia="es-ES"/>
              </w:rPr>
              <w:t>,</w:t>
            </w:r>
            <w:r w:rsidR="00247491" w:rsidRPr="00AD2B7A">
              <w:rPr>
                <w:bCs/>
                <w:lang w:val="es-ES" w:eastAsia="es-ES"/>
              </w:rPr>
              <w:t xml:space="preserve"> Sub Jefe a.í. del </w:t>
            </w:r>
            <w:r w:rsidRPr="00AD2B7A">
              <w:rPr>
                <w:bCs/>
                <w:lang w:val="es-ES" w:eastAsia="es-ES"/>
              </w:rPr>
              <w:t>Departamento</w:t>
            </w:r>
            <w:r w:rsidR="00116F9C" w:rsidRPr="00AD2B7A">
              <w:rPr>
                <w:bCs/>
                <w:lang w:val="es-ES" w:eastAsia="es-ES"/>
              </w:rPr>
              <w:t xml:space="preserve"> de Servicios Generales</w:t>
            </w:r>
            <w:r w:rsidRPr="00AD2B7A">
              <w:rPr>
                <w:bCs/>
                <w:lang w:val="es-ES" w:eastAsia="es-ES"/>
              </w:rPr>
              <w:t xml:space="preserve">, señaló que </w:t>
            </w:r>
            <w:r w:rsidR="007767B2" w:rsidRPr="00AD2B7A">
              <w:rPr>
                <w:bCs/>
                <w:lang w:val="es-ES" w:eastAsia="es-ES"/>
              </w:rPr>
              <w:t xml:space="preserve">el </w:t>
            </w:r>
            <w:r w:rsidR="00116F9C" w:rsidRPr="00AD2B7A">
              <w:rPr>
                <w:bCs/>
                <w:lang w:val="es-ES" w:eastAsia="es-ES"/>
              </w:rPr>
              <w:t xml:space="preserve">OIJ </w:t>
            </w:r>
            <w:r w:rsidRPr="00AD2B7A">
              <w:rPr>
                <w:bCs/>
                <w:lang w:val="es-ES" w:eastAsia="es-ES"/>
              </w:rPr>
              <w:t>está</w:t>
            </w:r>
            <w:r w:rsidR="007767B2" w:rsidRPr="00AD2B7A">
              <w:rPr>
                <w:bCs/>
                <w:lang w:val="es-ES" w:eastAsia="es-ES"/>
              </w:rPr>
              <w:t xml:space="preserve"> gestionando </w:t>
            </w:r>
            <w:r w:rsidR="00116F9C" w:rsidRPr="00AD2B7A">
              <w:rPr>
                <w:bCs/>
                <w:lang w:val="es-ES" w:eastAsia="es-ES"/>
              </w:rPr>
              <w:t>como parte del</w:t>
            </w:r>
            <w:r w:rsidR="007767B2" w:rsidRPr="00AD2B7A">
              <w:rPr>
                <w:bCs/>
                <w:lang w:val="es-ES" w:eastAsia="es-ES"/>
              </w:rPr>
              <w:t xml:space="preserve"> fideicomiso </w:t>
            </w:r>
            <w:r w:rsidR="00116F9C" w:rsidRPr="00AD2B7A">
              <w:rPr>
                <w:bCs/>
                <w:lang w:val="es-ES" w:eastAsia="es-ES"/>
              </w:rPr>
              <w:t xml:space="preserve">con </w:t>
            </w:r>
            <w:r w:rsidR="007767B2" w:rsidRPr="00AD2B7A">
              <w:rPr>
                <w:bCs/>
                <w:lang w:val="es-ES" w:eastAsia="es-ES"/>
              </w:rPr>
              <w:t>el B</w:t>
            </w:r>
            <w:r w:rsidRPr="00AD2B7A">
              <w:rPr>
                <w:bCs/>
                <w:lang w:val="es-ES" w:eastAsia="es-ES"/>
              </w:rPr>
              <w:t xml:space="preserve">anco de </w:t>
            </w:r>
            <w:r w:rsidR="007767B2" w:rsidRPr="00AD2B7A">
              <w:rPr>
                <w:bCs/>
                <w:lang w:val="es-ES" w:eastAsia="es-ES"/>
              </w:rPr>
              <w:t>C</w:t>
            </w:r>
            <w:r w:rsidRPr="00AD2B7A">
              <w:rPr>
                <w:bCs/>
                <w:lang w:val="es-ES" w:eastAsia="es-ES"/>
              </w:rPr>
              <w:t xml:space="preserve">osta </w:t>
            </w:r>
            <w:r w:rsidR="007767B2" w:rsidRPr="00AD2B7A">
              <w:rPr>
                <w:bCs/>
                <w:lang w:val="es-ES" w:eastAsia="es-ES"/>
              </w:rPr>
              <w:t>R</w:t>
            </w:r>
            <w:r w:rsidRPr="00AD2B7A">
              <w:rPr>
                <w:bCs/>
                <w:lang w:val="es-ES" w:eastAsia="es-ES"/>
              </w:rPr>
              <w:t>ica</w:t>
            </w:r>
            <w:r w:rsidR="007767B2" w:rsidRPr="00AD2B7A">
              <w:rPr>
                <w:bCs/>
                <w:lang w:val="es-ES" w:eastAsia="es-ES"/>
              </w:rPr>
              <w:t>, la construcción de una edificación para centralizar en primera instancia a tod</w:t>
            </w:r>
            <w:r w:rsidR="00116F9C" w:rsidRPr="00AD2B7A">
              <w:rPr>
                <w:bCs/>
                <w:lang w:val="es-ES" w:eastAsia="es-ES"/>
              </w:rPr>
              <w:t>a</w:t>
            </w:r>
            <w:r w:rsidR="007767B2" w:rsidRPr="00AD2B7A">
              <w:rPr>
                <w:bCs/>
                <w:lang w:val="es-ES" w:eastAsia="es-ES"/>
              </w:rPr>
              <w:t>s l</w:t>
            </w:r>
            <w:r w:rsidR="00116F9C" w:rsidRPr="00AD2B7A">
              <w:rPr>
                <w:bCs/>
                <w:lang w:val="es-ES" w:eastAsia="es-ES"/>
              </w:rPr>
              <w:t>a</w:t>
            </w:r>
            <w:r w:rsidR="007767B2" w:rsidRPr="00AD2B7A">
              <w:rPr>
                <w:bCs/>
                <w:lang w:val="es-ES" w:eastAsia="es-ES"/>
              </w:rPr>
              <w:t>s dependencias</w:t>
            </w:r>
            <w:r w:rsidR="00116F9C" w:rsidRPr="00AD2B7A">
              <w:rPr>
                <w:bCs/>
                <w:lang w:val="es-ES" w:eastAsia="es-ES"/>
              </w:rPr>
              <w:t xml:space="preserve"> policiales</w:t>
            </w:r>
            <w:r w:rsidR="007767B2" w:rsidRPr="00AD2B7A">
              <w:rPr>
                <w:bCs/>
                <w:lang w:val="es-ES" w:eastAsia="es-ES"/>
              </w:rPr>
              <w:t xml:space="preserve"> del </w:t>
            </w:r>
            <w:r w:rsidR="00116F9C" w:rsidRPr="00AD2B7A">
              <w:rPr>
                <w:bCs/>
                <w:lang w:val="es-ES" w:eastAsia="es-ES"/>
              </w:rPr>
              <w:t>P</w:t>
            </w:r>
            <w:r w:rsidR="007767B2" w:rsidRPr="00AD2B7A">
              <w:rPr>
                <w:bCs/>
                <w:lang w:val="es-ES" w:eastAsia="es-ES"/>
              </w:rPr>
              <w:t xml:space="preserve">rimer </w:t>
            </w:r>
            <w:r w:rsidR="00116F9C" w:rsidRPr="00AD2B7A">
              <w:rPr>
                <w:bCs/>
                <w:lang w:val="es-ES" w:eastAsia="es-ES"/>
              </w:rPr>
              <w:t>C</w:t>
            </w:r>
            <w:r w:rsidR="007767B2" w:rsidRPr="00AD2B7A">
              <w:rPr>
                <w:bCs/>
                <w:lang w:val="es-ES" w:eastAsia="es-ES"/>
              </w:rPr>
              <w:t>ircuito Judicial</w:t>
            </w:r>
            <w:r w:rsidR="00116F9C" w:rsidRPr="00AD2B7A">
              <w:rPr>
                <w:bCs/>
                <w:lang w:val="es-ES" w:eastAsia="es-ES"/>
              </w:rPr>
              <w:t xml:space="preserve"> de San José</w:t>
            </w:r>
            <w:r w:rsidR="007767B2" w:rsidRPr="00AD2B7A">
              <w:rPr>
                <w:bCs/>
                <w:lang w:val="es-ES" w:eastAsia="es-ES"/>
              </w:rPr>
              <w:t xml:space="preserve">, </w:t>
            </w:r>
            <w:r w:rsidRPr="00AD2B7A">
              <w:rPr>
                <w:bCs/>
                <w:lang w:val="es-ES" w:eastAsia="es-ES"/>
              </w:rPr>
              <w:t xml:space="preserve">lo que </w:t>
            </w:r>
            <w:r w:rsidR="007767B2" w:rsidRPr="00AD2B7A">
              <w:rPr>
                <w:bCs/>
                <w:lang w:val="es-ES" w:eastAsia="es-ES"/>
              </w:rPr>
              <w:t>será una realidad en menos de cinco años, con la cual durante aproximadamente 30 años el fideicomiso se har</w:t>
            </w:r>
            <w:r w:rsidR="00116F9C" w:rsidRPr="00AD2B7A">
              <w:rPr>
                <w:bCs/>
                <w:lang w:val="es-ES" w:eastAsia="es-ES"/>
              </w:rPr>
              <w:t>ía</w:t>
            </w:r>
            <w:r w:rsidR="007767B2" w:rsidRPr="00AD2B7A">
              <w:rPr>
                <w:bCs/>
                <w:lang w:val="es-ES" w:eastAsia="es-ES"/>
              </w:rPr>
              <w:t xml:space="preserve"> cargo del mantenimiento de ese inmueble hasta que sea cedido a</w:t>
            </w:r>
            <w:r w:rsidR="00FF5309" w:rsidRPr="00AD2B7A">
              <w:rPr>
                <w:bCs/>
                <w:lang w:val="es-ES" w:eastAsia="es-ES"/>
              </w:rPr>
              <w:t>l Poder Judicial.</w:t>
            </w:r>
            <w:r w:rsidR="00D15AE5" w:rsidRPr="00AD2B7A">
              <w:rPr>
                <w:bCs/>
                <w:lang w:val="es-ES" w:eastAsia="es-ES"/>
              </w:rPr>
              <w:t xml:space="preserve"> Sin embargo, ese mantenimiento radica en aspectos de mayor relevancia y no las actividades que día a día surgen del servicio.</w:t>
            </w:r>
          </w:p>
          <w:p w:rsidR="009F2535" w:rsidRPr="00AD2B7A" w:rsidRDefault="00FF5309" w:rsidP="009F2535">
            <w:pPr>
              <w:pStyle w:val="Prrafodelista"/>
              <w:jc w:val="both"/>
              <w:rPr>
                <w:bCs/>
                <w:lang w:val="es-ES" w:eastAsia="es-ES"/>
              </w:rPr>
            </w:pPr>
            <w:r w:rsidRPr="00AD2B7A">
              <w:rPr>
                <w:bCs/>
                <w:lang w:val="es-ES" w:eastAsia="es-ES"/>
              </w:rPr>
              <w:t xml:space="preserve">Adicionó, </w:t>
            </w:r>
            <w:r w:rsidR="009F2535" w:rsidRPr="00AD2B7A">
              <w:rPr>
                <w:bCs/>
                <w:lang w:val="es-ES" w:eastAsia="es-ES"/>
              </w:rPr>
              <w:t>que la Sección de Mantenimiento</w:t>
            </w:r>
            <w:r w:rsidR="00116F9C" w:rsidRPr="00AD2B7A">
              <w:rPr>
                <w:bCs/>
                <w:lang w:val="es-ES" w:eastAsia="es-ES"/>
              </w:rPr>
              <w:t xml:space="preserve"> y Construcción</w:t>
            </w:r>
            <w:r w:rsidR="009F2535" w:rsidRPr="00AD2B7A">
              <w:rPr>
                <w:bCs/>
                <w:lang w:val="es-ES" w:eastAsia="es-ES"/>
              </w:rPr>
              <w:t xml:space="preserve"> posee una estructura enfocada en la atención de </w:t>
            </w:r>
            <w:r w:rsidRPr="00AD2B7A">
              <w:rPr>
                <w:bCs/>
                <w:lang w:val="es-ES" w:eastAsia="es-ES"/>
              </w:rPr>
              <w:t>ó</w:t>
            </w:r>
            <w:r w:rsidR="009F2535" w:rsidRPr="00AD2B7A">
              <w:rPr>
                <w:bCs/>
                <w:lang w:val="es-ES" w:eastAsia="es-ES"/>
              </w:rPr>
              <w:t xml:space="preserve">rdenes de </w:t>
            </w:r>
            <w:r w:rsidRPr="00AD2B7A">
              <w:rPr>
                <w:bCs/>
                <w:lang w:val="es-ES" w:eastAsia="es-ES"/>
              </w:rPr>
              <w:t>t</w:t>
            </w:r>
            <w:r w:rsidR="009F2535" w:rsidRPr="00AD2B7A">
              <w:rPr>
                <w:bCs/>
                <w:lang w:val="es-ES" w:eastAsia="es-ES"/>
              </w:rPr>
              <w:t xml:space="preserve">rabajo tanto de </w:t>
            </w:r>
            <w:r w:rsidRPr="00AD2B7A">
              <w:rPr>
                <w:bCs/>
                <w:lang w:val="es-ES" w:eastAsia="es-ES"/>
              </w:rPr>
              <w:t>m</w:t>
            </w:r>
            <w:r w:rsidR="009F2535" w:rsidRPr="00AD2B7A">
              <w:rPr>
                <w:bCs/>
                <w:lang w:val="es-ES" w:eastAsia="es-ES"/>
              </w:rPr>
              <w:t xml:space="preserve">antenimiento </w:t>
            </w:r>
            <w:r w:rsidRPr="00AD2B7A">
              <w:rPr>
                <w:bCs/>
                <w:lang w:val="es-ES" w:eastAsia="es-ES"/>
              </w:rPr>
              <w:t>p</w:t>
            </w:r>
            <w:r w:rsidR="009F2535" w:rsidRPr="00AD2B7A">
              <w:rPr>
                <w:bCs/>
                <w:lang w:val="es-ES" w:eastAsia="es-ES"/>
              </w:rPr>
              <w:t xml:space="preserve">reventivo y </w:t>
            </w:r>
            <w:r w:rsidRPr="00AD2B7A">
              <w:rPr>
                <w:bCs/>
                <w:lang w:val="es-ES" w:eastAsia="es-ES"/>
              </w:rPr>
              <w:t>c</w:t>
            </w:r>
            <w:r w:rsidR="009F2535" w:rsidRPr="00AD2B7A">
              <w:rPr>
                <w:bCs/>
                <w:lang w:val="es-ES" w:eastAsia="es-ES"/>
              </w:rPr>
              <w:t xml:space="preserve">orrectivo, como de construcciones de baja y mediana envergadura, esto implica un equipo interdisciplinario que colabora en la administración de las </w:t>
            </w:r>
            <w:r w:rsidRPr="00AD2B7A">
              <w:rPr>
                <w:bCs/>
                <w:lang w:val="es-ES" w:eastAsia="es-ES"/>
              </w:rPr>
              <w:t>ó</w:t>
            </w:r>
            <w:r w:rsidR="009F2535" w:rsidRPr="00AD2B7A">
              <w:rPr>
                <w:bCs/>
                <w:lang w:val="es-ES" w:eastAsia="es-ES"/>
              </w:rPr>
              <w:t xml:space="preserve">rdenes, presupuesto, suministro de materiales, equipos, cotizaciones e información técnica. </w:t>
            </w:r>
          </w:p>
          <w:p w:rsidR="00CF6A65" w:rsidRPr="00AD2B7A" w:rsidRDefault="00FF5309" w:rsidP="00FD5753">
            <w:pPr>
              <w:pStyle w:val="Prrafodelista"/>
              <w:jc w:val="both"/>
              <w:rPr>
                <w:bCs/>
                <w:lang w:val="es-ES" w:eastAsia="es-ES"/>
              </w:rPr>
            </w:pPr>
            <w:r w:rsidRPr="00AD2B7A">
              <w:rPr>
                <w:bCs/>
                <w:lang w:val="es-ES" w:eastAsia="es-ES"/>
              </w:rPr>
              <w:t>Manifiesta el Ingeniero Vindas, que l</w:t>
            </w:r>
            <w:r w:rsidR="009F2535" w:rsidRPr="00AD2B7A">
              <w:rPr>
                <w:bCs/>
                <w:lang w:val="es-ES" w:eastAsia="es-ES"/>
              </w:rPr>
              <w:t>a sección ha brindado desde siempre colaboración a todas las administraciones regionales (inclu</w:t>
            </w:r>
            <w:r w:rsidRPr="00AD2B7A">
              <w:rPr>
                <w:bCs/>
                <w:lang w:val="es-ES" w:eastAsia="es-ES"/>
              </w:rPr>
              <w:t>yendo</w:t>
            </w:r>
            <w:r w:rsidR="009F2535" w:rsidRPr="00AD2B7A">
              <w:rPr>
                <w:bCs/>
                <w:lang w:val="es-ES" w:eastAsia="es-ES"/>
              </w:rPr>
              <w:t xml:space="preserve"> a la A</w:t>
            </w:r>
            <w:r w:rsidRPr="00AD2B7A">
              <w:rPr>
                <w:bCs/>
                <w:lang w:val="es-ES" w:eastAsia="es-ES"/>
              </w:rPr>
              <w:t xml:space="preserve">dministración </w:t>
            </w:r>
            <w:r w:rsidR="009F2535" w:rsidRPr="00AD2B7A">
              <w:rPr>
                <w:bCs/>
                <w:lang w:val="es-ES" w:eastAsia="es-ES"/>
              </w:rPr>
              <w:t>del OIJ de San José, Ministerio P</w:t>
            </w:r>
            <w:r w:rsidR="00493817" w:rsidRPr="00AD2B7A">
              <w:rPr>
                <w:bCs/>
                <w:lang w:val="es-ES" w:eastAsia="es-ES"/>
              </w:rPr>
              <w:t>ú</w:t>
            </w:r>
            <w:r w:rsidR="009F2535" w:rsidRPr="00AD2B7A">
              <w:rPr>
                <w:bCs/>
                <w:lang w:val="es-ES" w:eastAsia="es-ES"/>
              </w:rPr>
              <w:t>blico, II Circuito</w:t>
            </w:r>
            <w:r w:rsidR="00493817" w:rsidRPr="00AD2B7A">
              <w:rPr>
                <w:bCs/>
                <w:lang w:val="es-ES" w:eastAsia="es-ES"/>
              </w:rPr>
              <w:t xml:space="preserve"> Judicial de San José</w:t>
            </w:r>
            <w:r w:rsidR="009F2535" w:rsidRPr="00AD2B7A">
              <w:rPr>
                <w:bCs/>
                <w:lang w:val="es-ES" w:eastAsia="es-ES"/>
              </w:rPr>
              <w:t xml:space="preserve">, Atención a la Victima) para la asesoría, acompañamiento y en ocasiones suministro de materiales o equipo, pero esto no implica que </w:t>
            </w:r>
            <w:r w:rsidRPr="00AD2B7A">
              <w:rPr>
                <w:bCs/>
                <w:lang w:val="es-ES" w:eastAsia="es-ES"/>
              </w:rPr>
              <w:t xml:space="preserve">se </w:t>
            </w:r>
            <w:r w:rsidR="009F2535" w:rsidRPr="00AD2B7A">
              <w:rPr>
                <w:bCs/>
                <w:lang w:val="es-ES" w:eastAsia="es-ES"/>
              </w:rPr>
              <w:t xml:space="preserve">tenga la capacidad para absorber más labores. </w:t>
            </w:r>
            <w:r w:rsidR="00493817" w:rsidRPr="00AD2B7A">
              <w:rPr>
                <w:bCs/>
                <w:lang w:val="es-ES" w:eastAsia="es-ES"/>
              </w:rPr>
              <w:t xml:space="preserve"> </w:t>
            </w:r>
            <w:r w:rsidRPr="00AD2B7A">
              <w:rPr>
                <w:bCs/>
                <w:lang w:val="es-ES" w:eastAsia="es-ES"/>
              </w:rPr>
              <w:t>Aclara que e</w:t>
            </w:r>
            <w:r w:rsidR="009F2535" w:rsidRPr="00AD2B7A">
              <w:rPr>
                <w:bCs/>
                <w:lang w:val="es-ES" w:eastAsia="es-ES"/>
              </w:rPr>
              <w:t>n este momento</w:t>
            </w:r>
            <w:r w:rsidRPr="00AD2B7A">
              <w:rPr>
                <w:bCs/>
                <w:lang w:val="es-ES" w:eastAsia="es-ES"/>
              </w:rPr>
              <w:t xml:space="preserve"> se</w:t>
            </w:r>
            <w:r w:rsidR="009F2535" w:rsidRPr="00AD2B7A">
              <w:rPr>
                <w:bCs/>
                <w:lang w:val="es-ES" w:eastAsia="es-ES"/>
              </w:rPr>
              <w:t xml:space="preserve"> t</w:t>
            </w:r>
            <w:r w:rsidRPr="00AD2B7A">
              <w:rPr>
                <w:bCs/>
                <w:lang w:val="es-ES" w:eastAsia="es-ES"/>
              </w:rPr>
              <w:t>i</w:t>
            </w:r>
            <w:r w:rsidR="009F2535" w:rsidRPr="00AD2B7A">
              <w:rPr>
                <w:bCs/>
                <w:lang w:val="es-ES" w:eastAsia="es-ES"/>
              </w:rPr>
              <w:t xml:space="preserve">ene un porcentaje alto </w:t>
            </w:r>
            <w:r w:rsidR="00493817" w:rsidRPr="00AD2B7A">
              <w:rPr>
                <w:bCs/>
                <w:lang w:val="es-ES" w:eastAsia="es-ES"/>
              </w:rPr>
              <w:t xml:space="preserve">de pendientes </w:t>
            </w:r>
            <w:r w:rsidR="009F2535" w:rsidRPr="00AD2B7A">
              <w:rPr>
                <w:bCs/>
                <w:lang w:val="es-ES" w:eastAsia="es-ES"/>
              </w:rPr>
              <w:t>de las órdenes recibidas en el 2017, mientras que todavía se atienden algunas órdenes pendientes del 2016 (</w:t>
            </w:r>
            <w:r w:rsidRPr="00AD2B7A">
              <w:rPr>
                <w:bCs/>
                <w:lang w:val="es-ES" w:eastAsia="es-ES"/>
              </w:rPr>
              <w:t>se está</w:t>
            </w:r>
            <w:r w:rsidR="009F2535" w:rsidRPr="00AD2B7A">
              <w:rPr>
                <w:bCs/>
                <w:lang w:val="es-ES" w:eastAsia="es-ES"/>
              </w:rPr>
              <w:t xml:space="preserve"> a un 98% de atención del 2016)</w:t>
            </w:r>
            <w:r w:rsidRPr="00AD2B7A">
              <w:rPr>
                <w:bCs/>
                <w:lang w:val="es-ES" w:eastAsia="es-ES"/>
              </w:rPr>
              <w:t xml:space="preserve">, por lo que </w:t>
            </w:r>
            <w:r w:rsidR="009F2535" w:rsidRPr="00AD2B7A">
              <w:rPr>
                <w:bCs/>
                <w:lang w:val="es-ES" w:eastAsia="es-ES"/>
              </w:rPr>
              <w:t xml:space="preserve">lamentablemente no </w:t>
            </w:r>
            <w:r w:rsidRPr="00AD2B7A">
              <w:rPr>
                <w:bCs/>
                <w:lang w:val="es-ES" w:eastAsia="es-ES"/>
              </w:rPr>
              <w:t xml:space="preserve">se </w:t>
            </w:r>
            <w:r w:rsidR="009F2535" w:rsidRPr="00AD2B7A">
              <w:rPr>
                <w:bCs/>
                <w:lang w:val="es-ES" w:eastAsia="es-ES"/>
              </w:rPr>
              <w:t>est</w:t>
            </w:r>
            <w:r w:rsidRPr="00AD2B7A">
              <w:rPr>
                <w:bCs/>
                <w:lang w:val="es-ES" w:eastAsia="es-ES"/>
              </w:rPr>
              <w:t>á</w:t>
            </w:r>
            <w:r w:rsidR="009F2535" w:rsidRPr="00AD2B7A">
              <w:rPr>
                <w:bCs/>
                <w:lang w:val="es-ES" w:eastAsia="es-ES"/>
              </w:rPr>
              <w:t xml:space="preserve"> en</w:t>
            </w:r>
            <w:r w:rsidRPr="00AD2B7A">
              <w:rPr>
                <w:bCs/>
                <w:lang w:val="es-ES" w:eastAsia="es-ES"/>
              </w:rPr>
              <w:t xml:space="preserve"> la</w:t>
            </w:r>
            <w:r w:rsidR="009F2535" w:rsidRPr="00AD2B7A">
              <w:rPr>
                <w:bCs/>
                <w:lang w:val="es-ES" w:eastAsia="es-ES"/>
              </w:rPr>
              <w:t xml:space="preserve"> capacidad de absorber lo que realiza el Técnico Especializado </w:t>
            </w:r>
            <w:r w:rsidR="00116F9C" w:rsidRPr="00AD2B7A">
              <w:rPr>
                <w:bCs/>
                <w:lang w:val="es-ES" w:eastAsia="es-ES"/>
              </w:rPr>
              <w:t>5</w:t>
            </w:r>
            <w:r w:rsidR="00B921D6" w:rsidRPr="00AD2B7A">
              <w:rPr>
                <w:bCs/>
                <w:lang w:val="es-ES" w:eastAsia="es-ES"/>
              </w:rPr>
              <w:t xml:space="preserve"> (puesto ordinario)</w:t>
            </w:r>
            <w:r w:rsidR="00116F9C" w:rsidRPr="00AD2B7A">
              <w:rPr>
                <w:bCs/>
                <w:lang w:val="es-ES" w:eastAsia="es-ES"/>
              </w:rPr>
              <w:t xml:space="preserve"> </w:t>
            </w:r>
            <w:r w:rsidR="009F2535" w:rsidRPr="00AD2B7A">
              <w:rPr>
                <w:bCs/>
                <w:lang w:val="es-ES" w:eastAsia="es-ES"/>
              </w:rPr>
              <w:t>del OIJ, y/o apoyarle con más de lo que ya se le brinda.</w:t>
            </w:r>
          </w:p>
          <w:p w:rsidR="00F136F3" w:rsidRPr="00AD2B7A" w:rsidRDefault="00F136F3" w:rsidP="00F136F3">
            <w:pPr>
              <w:pStyle w:val="Prrafodelista"/>
              <w:jc w:val="both"/>
              <w:rPr>
                <w:bCs/>
                <w:lang w:val="es-ES" w:eastAsia="es-ES"/>
              </w:rPr>
            </w:pPr>
            <w:r w:rsidRPr="00AD2B7A">
              <w:rPr>
                <w:bCs/>
                <w:lang w:val="es-ES" w:eastAsia="es-ES"/>
              </w:rPr>
              <w:t xml:space="preserve">Cabe señalar que hace dos años aproximadamente se concluyó con la primera etapa de la </w:t>
            </w:r>
            <w:r w:rsidR="00D15AE5" w:rsidRPr="00AD2B7A">
              <w:rPr>
                <w:bCs/>
                <w:lang w:val="es-ES" w:eastAsia="es-ES"/>
              </w:rPr>
              <w:t>l</w:t>
            </w:r>
            <w:r w:rsidRPr="00AD2B7A">
              <w:rPr>
                <w:bCs/>
                <w:lang w:val="es-ES" w:eastAsia="es-ES"/>
              </w:rPr>
              <w:t>icitación para el reacondicionamiento eléctrico de todo el edificio del OIJ</w:t>
            </w:r>
            <w:r w:rsidR="00D15AE5" w:rsidRPr="00AD2B7A">
              <w:rPr>
                <w:bCs/>
                <w:lang w:val="es-ES" w:eastAsia="es-ES"/>
              </w:rPr>
              <w:t>. El Ing. Vindas señaló que en esa ocasión se</w:t>
            </w:r>
            <w:r w:rsidRPr="00AD2B7A">
              <w:rPr>
                <w:bCs/>
                <w:lang w:val="es-ES" w:eastAsia="es-ES"/>
              </w:rPr>
              <w:t xml:space="preserve"> cambiaron transformadores, se colocó una planta eléctrica, una subestación eléctrica el cableado principal de tableros por piso; sin embargo, dada la cantidad de asuntos por atender no se pudo cubrir con la totalidad del dinero proyectado, por lo que los trabajos pendientes deben ser atendidos paulatinamente con el personal existente.</w:t>
            </w:r>
          </w:p>
          <w:p w:rsidR="00AB6301" w:rsidRPr="00AD2B7A" w:rsidRDefault="0043049F" w:rsidP="00FD5753">
            <w:pPr>
              <w:pStyle w:val="Prrafodelista"/>
              <w:jc w:val="both"/>
              <w:rPr>
                <w:bCs/>
                <w:lang w:val="es-ES" w:eastAsia="es-ES"/>
              </w:rPr>
            </w:pPr>
            <w:r w:rsidRPr="00AD2B7A">
              <w:rPr>
                <w:bCs/>
                <w:lang w:val="es-ES" w:eastAsia="es-ES"/>
              </w:rPr>
              <w:t>Se determina que es</w:t>
            </w:r>
            <w:r w:rsidR="00AB6301" w:rsidRPr="00AD2B7A">
              <w:rPr>
                <w:bCs/>
                <w:lang w:val="es-ES" w:eastAsia="es-ES"/>
              </w:rPr>
              <w:t xml:space="preserve"> evidente la necesidad de disponer de personal especializado que contribuya con el mantenimiento preventivo y correctivo de las instalaciones que ocupan los servidores judiciales</w:t>
            </w:r>
            <w:r w:rsidR="009502E4" w:rsidRPr="00AD2B7A">
              <w:rPr>
                <w:bCs/>
                <w:lang w:val="es-ES" w:eastAsia="es-ES"/>
              </w:rPr>
              <w:t>, de ahí que la institución ha otorgado este tipo de recurso en diversas oficinas administrativas como lo son las administraciones regionales, el Departamento de Servicios Generales y el Organismo de Investigación Judicial. Sin embargo, disponer de un solo Técnico Especializado</w:t>
            </w:r>
            <w:r w:rsidR="00116F9C" w:rsidRPr="00AD2B7A">
              <w:rPr>
                <w:bCs/>
                <w:lang w:val="es-ES" w:eastAsia="es-ES"/>
              </w:rPr>
              <w:t xml:space="preserve"> 5</w:t>
            </w:r>
            <w:r w:rsidR="00B921D6" w:rsidRPr="00AD2B7A">
              <w:rPr>
                <w:bCs/>
                <w:lang w:val="es-ES" w:eastAsia="es-ES"/>
              </w:rPr>
              <w:t xml:space="preserve"> (puesto ordinario)</w:t>
            </w:r>
            <w:r w:rsidR="009502E4" w:rsidRPr="00AD2B7A">
              <w:rPr>
                <w:bCs/>
                <w:lang w:val="es-ES" w:eastAsia="es-ES"/>
              </w:rPr>
              <w:t xml:space="preserve"> para atender las necesidad</w:t>
            </w:r>
            <w:r w:rsidR="00116F9C" w:rsidRPr="00AD2B7A">
              <w:rPr>
                <w:bCs/>
                <w:lang w:val="es-ES" w:eastAsia="es-ES"/>
              </w:rPr>
              <w:t>es</w:t>
            </w:r>
            <w:r w:rsidR="009502E4" w:rsidRPr="00AD2B7A">
              <w:rPr>
                <w:bCs/>
                <w:lang w:val="es-ES" w:eastAsia="es-ES"/>
              </w:rPr>
              <w:t xml:space="preserve"> de más de 50 oficinas es muy limitado y riesgoso, tomando en consideración el tiempo de depreciación estructural, principalmente en las áreas eléctricas.</w:t>
            </w:r>
          </w:p>
          <w:p w:rsidR="00AB6301" w:rsidRPr="00AD2B7A" w:rsidRDefault="00AB6301" w:rsidP="00AB6301">
            <w:pPr>
              <w:pStyle w:val="Prrafodelista"/>
              <w:jc w:val="both"/>
              <w:rPr>
                <w:b/>
                <w:bCs/>
                <w:i/>
                <w:lang w:val="es-ES" w:eastAsia="es-ES"/>
              </w:rPr>
            </w:pPr>
            <w:r w:rsidRPr="00AD2B7A">
              <w:rPr>
                <w:b/>
                <w:bCs/>
                <w:i/>
                <w:lang w:val="es-ES" w:eastAsia="es-ES"/>
              </w:rPr>
              <w:t>3.5.- Medidas para la Contención del Gasto en el Poder Judicial</w:t>
            </w:r>
          </w:p>
          <w:p w:rsidR="00AB6301" w:rsidRPr="00AD2B7A" w:rsidRDefault="00AB6301" w:rsidP="00AB6301">
            <w:pPr>
              <w:pStyle w:val="Prrafodelista"/>
              <w:jc w:val="both"/>
              <w:rPr>
                <w:bCs/>
                <w:lang w:val="es-ES" w:eastAsia="es-ES"/>
              </w:rPr>
            </w:pPr>
            <w:r w:rsidRPr="00AD2B7A">
              <w:rPr>
                <w:bCs/>
                <w:lang w:val="es-ES" w:eastAsia="es-ES"/>
              </w:rPr>
              <w:t>La Corte Plena en la sesión 27-17 del 21 de agosto del 2017, artículo XVI, aprobó el punto primero de las “Medidas de Adopción Inmediata” contenido en el informe de las Medidas para la Contención del Gasto en el Poder Judicial, en los siguientes términos:</w:t>
            </w:r>
          </w:p>
          <w:p w:rsidR="00AB6301" w:rsidRPr="00A60763" w:rsidRDefault="00AB6301" w:rsidP="00AB6301">
            <w:pPr>
              <w:pStyle w:val="Prrafodelista"/>
              <w:ind w:left="353" w:right="578"/>
              <w:jc w:val="both"/>
              <w:rPr>
                <w:rFonts w:ascii="Arial Narrow" w:hAnsi="Arial Narrow"/>
                <w:bCs/>
                <w:i/>
                <w:lang w:val="es-ES" w:eastAsia="es-ES"/>
              </w:rPr>
            </w:pPr>
            <w:r w:rsidRPr="00A60763">
              <w:rPr>
                <w:rFonts w:ascii="Arial Narrow" w:hAnsi="Arial Narrow"/>
                <w:bCs/>
                <w:i/>
                <w:lang w:val="es-ES" w:eastAsia="es-ES"/>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AB6301" w:rsidRPr="00AD2B7A" w:rsidRDefault="00AB6301" w:rsidP="00AB6301">
            <w:pPr>
              <w:pStyle w:val="Prrafodelista"/>
              <w:jc w:val="both"/>
              <w:rPr>
                <w:bCs/>
                <w:lang w:val="es-ES" w:eastAsia="es-ES"/>
              </w:rPr>
            </w:pPr>
            <w:r w:rsidRPr="00AD2B7A">
              <w:rPr>
                <w:bCs/>
                <w:lang w:val="es-ES" w:eastAsia="es-ES"/>
              </w:rPr>
              <w:t>Este tema fue incorporado dentro de las “Directrices Técnicas para la Elaboración de la Programación Anual de Objetivos y Metas (PAOM) y el Anteproyecto de Presupuesto 2019” (oficio 1766-PLA-2017), aprobadas por el Consejo Superior en la sesión 109-17 del 5 de diciembre del 2017, artículo LXVI.</w:t>
            </w:r>
          </w:p>
          <w:p w:rsidR="00AB6301" w:rsidRPr="00AD2B7A" w:rsidRDefault="00AB6301" w:rsidP="00AB6301">
            <w:pPr>
              <w:pStyle w:val="Prrafodelista"/>
              <w:jc w:val="both"/>
              <w:rPr>
                <w:b/>
                <w:bCs/>
                <w:i/>
                <w:lang w:val="es-ES" w:eastAsia="es-ES"/>
              </w:rPr>
            </w:pPr>
            <w:r w:rsidRPr="00AD2B7A">
              <w:rPr>
                <w:b/>
                <w:bCs/>
                <w:i/>
                <w:lang w:val="es-ES" w:eastAsia="es-ES"/>
              </w:rPr>
              <w:t>3.</w:t>
            </w:r>
            <w:r w:rsidR="00116F9C" w:rsidRPr="00AD2B7A">
              <w:rPr>
                <w:b/>
                <w:bCs/>
                <w:i/>
                <w:lang w:val="es-ES" w:eastAsia="es-ES"/>
              </w:rPr>
              <w:t>6.</w:t>
            </w:r>
            <w:r w:rsidRPr="00AD2B7A">
              <w:rPr>
                <w:b/>
                <w:bCs/>
                <w:i/>
                <w:lang w:val="es-ES" w:eastAsia="es-ES"/>
              </w:rPr>
              <w:t>- Otras consideraciones</w:t>
            </w:r>
          </w:p>
          <w:p w:rsidR="00AB6301" w:rsidRPr="00AD2B7A" w:rsidRDefault="00AB6301" w:rsidP="00AB6301">
            <w:pPr>
              <w:pStyle w:val="Prrafodelista"/>
              <w:jc w:val="both"/>
              <w:rPr>
                <w:bCs/>
                <w:lang w:val="es-ES" w:eastAsia="es-ES"/>
              </w:rPr>
            </w:pPr>
            <w:r w:rsidRPr="00AD2B7A">
              <w:rPr>
                <w:bCs/>
                <w:lang w:val="es-ES" w:eastAsia="es-ES"/>
              </w:rPr>
              <w:t xml:space="preserve">Cabe reiterar que la plaza analizada en el presente estudio, </w:t>
            </w:r>
            <w:r w:rsidR="007D2105" w:rsidRPr="00AD2B7A">
              <w:rPr>
                <w:bCs/>
                <w:lang w:val="es-ES" w:eastAsia="es-ES"/>
              </w:rPr>
              <w:t>e</w:t>
            </w:r>
            <w:r w:rsidRPr="00AD2B7A">
              <w:rPr>
                <w:bCs/>
                <w:lang w:val="es-ES" w:eastAsia="es-ES"/>
              </w:rPr>
              <w:t>s parte de las prioridades establecidas por la Dirección General del OIJ para asumir los proyectos o necesidades existentes que se vienen atendiendo bajo la modalidad de permisos con goce de salario; motivo por el cual el Consejo Superior en la sesión 112-17 del 14 de diciembre del 2017, artículo LXXXIII, acordó convocar a los Directores de Planificación y de Gestión Humana, con el fin de que informaran al Consejo Superior sobre la situación de las plazas referidas por el Lic. Walter Espinoza Espinoza, Director General.</w:t>
            </w:r>
          </w:p>
          <w:p w:rsidR="007D2105" w:rsidRPr="00AD2B7A" w:rsidRDefault="00AB6301">
            <w:pPr>
              <w:pStyle w:val="Prrafodelista"/>
              <w:jc w:val="both"/>
              <w:rPr>
                <w:bCs/>
                <w:lang w:val="es-ES" w:eastAsia="es-ES"/>
              </w:rPr>
            </w:pPr>
            <w:r w:rsidRPr="00AD2B7A">
              <w:rPr>
                <w:bCs/>
                <w:lang w:val="es-ES" w:eastAsia="es-ES"/>
              </w:rPr>
              <w:t>Esa convocatoria se llevó a cabo en febrero anterior, donde la Dirección de Planificación presentó el oficio 145-PLA-2018 del 7 de febrero del 2018, y se está a la espera de la comunicación del acuerdo emitido por el órgano superior. Sin embargo, se estima pertinente abordar estos requerimientos dentro del Anteproyecto de Presupuesto 2019, con el fin de tomar las previsiones del caso y no afectar la continuidad de las labores del OIJ, cuando así resulte oportuno para el buen servicio público.</w:t>
            </w: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t>IV. Elementos Resolutivos</w:t>
            </w:r>
          </w:p>
        </w:tc>
        <w:tc>
          <w:tcPr>
            <w:tcW w:w="8080" w:type="dxa"/>
          </w:tcPr>
          <w:p w:rsidR="004F1F3A" w:rsidRPr="00AD2B7A" w:rsidRDefault="00A4667A" w:rsidP="00930675">
            <w:pPr>
              <w:widowControl w:val="0"/>
              <w:jc w:val="both"/>
              <w:rPr>
                <w:i/>
                <w:color w:val="000000"/>
              </w:rPr>
            </w:pPr>
            <w:r w:rsidRPr="00A60763">
              <w:rPr>
                <w:b/>
                <w:i/>
                <w:color w:val="000000"/>
              </w:rPr>
              <w:t>4</w:t>
            </w:r>
            <w:r w:rsidRPr="00AD2B7A">
              <w:rPr>
                <w:b/>
                <w:i/>
                <w:color w:val="000000"/>
              </w:rPr>
              <w:t>.1.-</w:t>
            </w:r>
            <w:r w:rsidRPr="00AD2B7A">
              <w:rPr>
                <w:i/>
                <w:color w:val="000000"/>
              </w:rPr>
              <w:t xml:space="preserve"> </w:t>
            </w:r>
            <w:r w:rsidR="00AB6301" w:rsidRPr="00AD2B7A">
              <w:rPr>
                <w:bCs/>
              </w:rPr>
              <w:t xml:space="preserve">En razón de la prioridad establecida por la Dirección </w:t>
            </w:r>
            <w:r w:rsidR="0024621D" w:rsidRPr="00AD2B7A">
              <w:rPr>
                <w:bCs/>
              </w:rPr>
              <w:t xml:space="preserve">General </w:t>
            </w:r>
            <w:r w:rsidR="00AB6301" w:rsidRPr="00AD2B7A">
              <w:rPr>
                <w:bCs/>
              </w:rPr>
              <w:t xml:space="preserve">del Organismo de Investigación Judicial, </w:t>
            </w:r>
            <w:r w:rsidR="004F1F3A" w:rsidRPr="00AD2B7A">
              <w:rPr>
                <w:bCs/>
              </w:rPr>
              <w:t xml:space="preserve">y el respaldo otorgado por el Consejo Superior </w:t>
            </w:r>
            <w:r w:rsidR="00AB6301" w:rsidRPr="00AD2B7A">
              <w:rPr>
                <w:bCs/>
              </w:rPr>
              <w:t xml:space="preserve">respecto a la </w:t>
            </w:r>
            <w:r w:rsidR="004F1F3A" w:rsidRPr="00AD2B7A">
              <w:rPr>
                <w:bCs/>
              </w:rPr>
              <w:t xml:space="preserve">prórroga de los permisos con goce de salario otorgados para mantener </w:t>
            </w:r>
            <w:r w:rsidR="00AB6301" w:rsidRPr="00AD2B7A">
              <w:rPr>
                <w:bCs/>
              </w:rPr>
              <w:t xml:space="preserve">la plaza de </w:t>
            </w:r>
            <w:r w:rsidR="0024621D" w:rsidRPr="00AD2B7A">
              <w:rPr>
                <w:bCs/>
              </w:rPr>
              <w:t xml:space="preserve">Técnica Especializada 5 o </w:t>
            </w:r>
            <w:r w:rsidR="00AB6301" w:rsidRPr="00AD2B7A">
              <w:rPr>
                <w:bCs/>
              </w:rPr>
              <w:t>Técnico Especializado 5</w:t>
            </w:r>
            <w:r w:rsidR="0024621D" w:rsidRPr="00AD2B7A">
              <w:rPr>
                <w:bCs/>
              </w:rPr>
              <w:t>,</w:t>
            </w:r>
            <w:r w:rsidR="00AB6301" w:rsidRPr="00AD2B7A">
              <w:rPr>
                <w:bCs/>
              </w:rPr>
              <w:t xml:space="preserve"> </w:t>
            </w:r>
            <w:r w:rsidR="004F1F3A" w:rsidRPr="00AD2B7A">
              <w:rPr>
                <w:bCs/>
              </w:rPr>
              <w:t xml:space="preserve">es que </w:t>
            </w:r>
            <w:r w:rsidR="0024621D" w:rsidRPr="00AD2B7A">
              <w:rPr>
                <w:bCs/>
              </w:rPr>
              <w:t>la Dirección de Planificación analizó</w:t>
            </w:r>
            <w:r w:rsidR="004F1F3A" w:rsidRPr="00AD2B7A">
              <w:rPr>
                <w:bCs/>
              </w:rPr>
              <w:t xml:space="preserve"> este recurso</w:t>
            </w:r>
            <w:r w:rsidR="0024621D" w:rsidRPr="00AD2B7A">
              <w:rPr>
                <w:bCs/>
              </w:rPr>
              <w:t xml:space="preserve"> dentro del proceso presupuestario 2019</w:t>
            </w:r>
            <w:r w:rsidR="004F1F3A" w:rsidRPr="00AD2B7A">
              <w:rPr>
                <w:bCs/>
              </w:rPr>
              <w:t>.</w:t>
            </w:r>
            <w:r w:rsidR="004F1F3A" w:rsidRPr="00AD2B7A">
              <w:rPr>
                <w:i/>
                <w:color w:val="000000"/>
              </w:rPr>
              <w:t xml:space="preserve"> </w:t>
            </w:r>
          </w:p>
          <w:p w:rsidR="004F1F3A" w:rsidRPr="00AD2B7A" w:rsidRDefault="004F1F3A" w:rsidP="00930675">
            <w:pPr>
              <w:widowControl w:val="0"/>
              <w:jc w:val="both"/>
              <w:rPr>
                <w:i/>
                <w:color w:val="000000"/>
              </w:rPr>
            </w:pPr>
          </w:p>
          <w:p w:rsidR="003C578E" w:rsidRPr="00AD2B7A" w:rsidRDefault="00374789" w:rsidP="003C578E">
            <w:pPr>
              <w:widowControl w:val="0"/>
              <w:jc w:val="both"/>
              <w:rPr>
                <w:i/>
                <w:color w:val="000000"/>
              </w:rPr>
            </w:pPr>
            <w:r w:rsidRPr="00AD2B7A">
              <w:rPr>
                <w:b/>
                <w:i/>
                <w:color w:val="000000"/>
              </w:rPr>
              <w:t>4.2.-</w:t>
            </w:r>
            <w:r w:rsidR="003C578E" w:rsidRPr="00AD2B7A">
              <w:rPr>
                <w:i/>
                <w:color w:val="000000"/>
              </w:rPr>
              <w:t xml:space="preserve"> </w:t>
            </w:r>
            <w:r w:rsidR="004F1F3A" w:rsidRPr="00AD2B7A">
              <w:rPr>
                <w:bCs/>
              </w:rPr>
              <w:t xml:space="preserve">La plaza en estudio viene laborando desde </w:t>
            </w:r>
            <w:r w:rsidR="00D15AE5" w:rsidRPr="00AD2B7A">
              <w:rPr>
                <w:bCs/>
              </w:rPr>
              <w:t>marzo d</w:t>
            </w:r>
            <w:r w:rsidR="004F1F3A" w:rsidRPr="00AD2B7A">
              <w:rPr>
                <w:bCs/>
              </w:rPr>
              <w:t>el 201</w:t>
            </w:r>
            <w:r w:rsidR="00D15AE5" w:rsidRPr="00AD2B7A">
              <w:rPr>
                <w:bCs/>
              </w:rPr>
              <w:t>7</w:t>
            </w:r>
            <w:r w:rsidR="004F1F3A" w:rsidRPr="00AD2B7A">
              <w:rPr>
                <w:bCs/>
              </w:rPr>
              <w:t xml:space="preserve"> en condición de permiso con goce de salario como un apoyo a la única plaza ordinaria de Técnico Especializado 5 en áreas de mantenimiento que está adscrita a la Administración del OIJ, la cual fue aprobada </w:t>
            </w:r>
            <w:r w:rsidR="0024621D" w:rsidRPr="00AD2B7A">
              <w:rPr>
                <w:bCs/>
              </w:rPr>
              <w:t xml:space="preserve">por el Consejo Superior </w:t>
            </w:r>
            <w:r w:rsidR="004F1F3A" w:rsidRPr="00AD2B7A">
              <w:rPr>
                <w:bCs/>
              </w:rPr>
              <w:t xml:space="preserve">por tres meses más (a partir del 9 de febrero y hasta el próximo 9 de mayo del 2018), </w:t>
            </w:r>
            <w:r w:rsidR="0024621D" w:rsidRPr="00AD2B7A">
              <w:rPr>
                <w:bCs/>
              </w:rPr>
              <w:t xml:space="preserve">según lo acordado en </w:t>
            </w:r>
            <w:r w:rsidR="007459EA" w:rsidRPr="00AD2B7A">
              <w:rPr>
                <w:bCs/>
              </w:rPr>
              <w:t>la sesión 11-18 del 8 de febrero del 2018, artículo XLIX</w:t>
            </w:r>
            <w:r w:rsidR="004F1F3A" w:rsidRPr="00AD2B7A">
              <w:rPr>
                <w:bCs/>
              </w:rPr>
              <w:t>.</w:t>
            </w:r>
          </w:p>
          <w:p w:rsidR="003C578E" w:rsidRPr="00AD2B7A" w:rsidRDefault="003C578E" w:rsidP="000A47F3">
            <w:pPr>
              <w:pStyle w:val="Prrafodelista"/>
              <w:spacing w:before="0" w:beforeAutospacing="0" w:after="0" w:afterAutospacing="0"/>
              <w:jc w:val="both"/>
              <w:rPr>
                <w:i/>
                <w:color w:val="000000"/>
                <w:lang w:val="es-ES" w:eastAsia="es-ES"/>
              </w:rPr>
            </w:pPr>
          </w:p>
          <w:p w:rsidR="000A1214" w:rsidRPr="00AD2B7A" w:rsidRDefault="000A1214" w:rsidP="000A1214">
            <w:pPr>
              <w:widowControl w:val="0"/>
              <w:jc w:val="both"/>
              <w:rPr>
                <w:b/>
                <w:bCs/>
                <w:i/>
              </w:rPr>
            </w:pPr>
            <w:r w:rsidRPr="00AD2B7A">
              <w:rPr>
                <w:b/>
                <w:i/>
                <w:color w:val="000000"/>
              </w:rPr>
              <w:t>4.3</w:t>
            </w:r>
            <w:r w:rsidR="000A47F3" w:rsidRPr="00AD2B7A">
              <w:rPr>
                <w:b/>
                <w:i/>
                <w:color w:val="000000"/>
              </w:rPr>
              <w:t>.-</w:t>
            </w:r>
            <w:r w:rsidRPr="00AD2B7A">
              <w:rPr>
                <w:b/>
                <w:i/>
                <w:color w:val="000000"/>
              </w:rPr>
              <w:t xml:space="preserve"> </w:t>
            </w:r>
            <w:r w:rsidR="005C73D5" w:rsidRPr="00AD2B7A">
              <w:rPr>
                <w:bCs/>
              </w:rPr>
              <w:t xml:space="preserve">Se tiene previsto </w:t>
            </w:r>
            <w:r w:rsidR="004E4D6D" w:rsidRPr="00AD2B7A">
              <w:rPr>
                <w:bCs/>
              </w:rPr>
              <w:t xml:space="preserve">como parte del Fideicomiso con el Banco de Costa Rica, </w:t>
            </w:r>
            <w:r w:rsidR="005C73D5" w:rsidRPr="00AD2B7A">
              <w:rPr>
                <w:bCs/>
              </w:rPr>
              <w:t xml:space="preserve">que en los próximos 5 años se </w:t>
            </w:r>
            <w:r w:rsidR="004E4D6D" w:rsidRPr="00AD2B7A">
              <w:rPr>
                <w:bCs/>
              </w:rPr>
              <w:t>contará con</w:t>
            </w:r>
            <w:r w:rsidR="005C73D5" w:rsidRPr="00AD2B7A">
              <w:rPr>
                <w:bCs/>
              </w:rPr>
              <w:t xml:space="preserve"> una edificación que centralizará en primera instancia a </w:t>
            </w:r>
            <w:r w:rsidR="004E4D6D" w:rsidRPr="00AD2B7A">
              <w:rPr>
                <w:bCs/>
              </w:rPr>
              <w:t>todas las</w:t>
            </w:r>
            <w:r w:rsidR="005C73D5" w:rsidRPr="00AD2B7A">
              <w:rPr>
                <w:bCs/>
              </w:rPr>
              <w:t xml:space="preserve"> dependencias</w:t>
            </w:r>
            <w:r w:rsidR="004E4D6D" w:rsidRPr="00AD2B7A">
              <w:rPr>
                <w:bCs/>
              </w:rPr>
              <w:t xml:space="preserve"> policiales</w:t>
            </w:r>
            <w:r w:rsidR="005C73D5" w:rsidRPr="00AD2B7A">
              <w:rPr>
                <w:bCs/>
              </w:rPr>
              <w:t xml:space="preserve"> del </w:t>
            </w:r>
            <w:r w:rsidR="004E4D6D" w:rsidRPr="00AD2B7A">
              <w:rPr>
                <w:bCs/>
              </w:rPr>
              <w:t>P</w:t>
            </w:r>
            <w:r w:rsidR="005C73D5" w:rsidRPr="00AD2B7A">
              <w:rPr>
                <w:bCs/>
              </w:rPr>
              <w:t xml:space="preserve">rimer </w:t>
            </w:r>
            <w:r w:rsidR="004E4D6D" w:rsidRPr="00AD2B7A">
              <w:rPr>
                <w:bCs/>
              </w:rPr>
              <w:t>C</w:t>
            </w:r>
            <w:r w:rsidR="005C73D5" w:rsidRPr="00AD2B7A">
              <w:rPr>
                <w:bCs/>
              </w:rPr>
              <w:t>ircuito Judicial de</w:t>
            </w:r>
            <w:r w:rsidR="004E4D6D" w:rsidRPr="00AD2B7A">
              <w:rPr>
                <w:bCs/>
              </w:rPr>
              <w:t xml:space="preserve"> San José</w:t>
            </w:r>
            <w:r w:rsidR="005C73D5" w:rsidRPr="00AD2B7A">
              <w:rPr>
                <w:bCs/>
              </w:rPr>
              <w:t xml:space="preserve">, </w:t>
            </w:r>
            <w:r w:rsidR="004E4D6D" w:rsidRPr="00AD2B7A">
              <w:rPr>
                <w:bCs/>
              </w:rPr>
              <w:t>donde el mantenimiento del inmueble</w:t>
            </w:r>
            <w:r w:rsidR="00D15AE5" w:rsidRPr="00AD2B7A">
              <w:rPr>
                <w:bCs/>
              </w:rPr>
              <w:t xml:space="preserve"> en aspectos más complejos</w:t>
            </w:r>
            <w:r w:rsidR="004E4D6D" w:rsidRPr="00AD2B7A">
              <w:rPr>
                <w:bCs/>
              </w:rPr>
              <w:t xml:space="preserve"> sería asumido </w:t>
            </w:r>
            <w:r w:rsidR="005C73D5" w:rsidRPr="00AD2B7A">
              <w:rPr>
                <w:bCs/>
              </w:rPr>
              <w:t xml:space="preserve">durante aproximadamente 30 años </w:t>
            </w:r>
            <w:r w:rsidR="004E4D6D" w:rsidRPr="00AD2B7A">
              <w:rPr>
                <w:bCs/>
              </w:rPr>
              <w:t xml:space="preserve">por </w:t>
            </w:r>
            <w:r w:rsidR="005C73D5" w:rsidRPr="00AD2B7A">
              <w:rPr>
                <w:bCs/>
              </w:rPr>
              <w:t>el fideicomiso hasta que sea cedido al Poder Judicial.</w:t>
            </w:r>
          </w:p>
          <w:p w:rsidR="007A77B4" w:rsidRPr="00AD2B7A" w:rsidRDefault="000A47F3" w:rsidP="000A47F3">
            <w:pPr>
              <w:pStyle w:val="Prrafodelista"/>
              <w:spacing w:before="0" w:beforeAutospacing="0" w:after="0" w:afterAutospacing="0"/>
              <w:jc w:val="both"/>
              <w:rPr>
                <w:i/>
                <w:color w:val="000000"/>
                <w:lang w:val="es-ES" w:eastAsia="es-ES"/>
              </w:rPr>
            </w:pPr>
            <w:r w:rsidRPr="00AD2B7A">
              <w:rPr>
                <w:i/>
                <w:color w:val="000000"/>
                <w:lang w:val="es-ES" w:eastAsia="es-ES"/>
              </w:rPr>
              <w:t xml:space="preserve"> </w:t>
            </w:r>
          </w:p>
          <w:p w:rsidR="005C73D5" w:rsidRPr="00AD2B7A" w:rsidRDefault="00256F43" w:rsidP="000A47F3">
            <w:pPr>
              <w:pStyle w:val="Prrafodelista"/>
              <w:spacing w:before="0" w:beforeAutospacing="0" w:after="0" w:afterAutospacing="0"/>
              <w:jc w:val="both"/>
              <w:rPr>
                <w:bCs/>
              </w:rPr>
            </w:pPr>
            <w:r w:rsidRPr="00AD2B7A">
              <w:rPr>
                <w:b/>
                <w:i/>
                <w:color w:val="000000"/>
                <w:lang w:val="es-ES" w:eastAsia="es-ES"/>
              </w:rPr>
              <w:t>4.4.-</w:t>
            </w:r>
            <w:r w:rsidRPr="00AD2B7A">
              <w:rPr>
                <w:i/>
                <w:color w:val="000000"/>
                <w:lang w:val="es-ES" w:eastAsia="es-ES"/>
              </w:rPr>
              <w:t xml:space="preserve"> </w:t>
            </w:r>
            <w:r w:rsidR="0043049F" w:rsidRPr="00AD2B7A">
              <w:rPr>
                <w:bCs/>
              </w:rPr>
              <w:t>Existe una estructura de puestos por parte de la Sección de Mantenimiento y Construcción del Departamento de Servicios Generales, que ocasionalmente brinda apoyo al personal especializado adscrito al Organismo, dada la cantidad de solicitudes ingresadas que superan la capacidad de atención.</w:t>
            </w:r>
            <w:r w:rsidR="0043049F" w:rsidRPr="00AD2B7A">
              <w:t xml:space="preserve"> </w:t>
            </w:r>
            <w:r w:rsidR="0043049F" w:rsidRPr="00AD2B7A">
              <w:rPr>
                <w:bCs/>
              </w:rPr>
              <w:t>Se tiene un alto porcentaje de órdenes pendientes recibidas en el 2016 y el 2017.</w:t>
            </w:r>
          </w:p>
          <w:p w:rsidR="005C73D5" w:rsidRPr="00AD2B7A" w:rsidRDefault="005C73D5" w:rsidP="000A47F3">
            <w:pPr>
              <w:pStyle w:val="Prrafodelista"/>
              <w:spacing w:before="0" w:beforeAutospacing="0" w:after="0" w:afterAutospacing="0"/>
              <w:jc w:val="both"/>
              <w:rPr>
                <w:i/>
                <w:lang w:val="es-ES"/>
              </w:rPr>
            </w:pPr>
          </w:p>
          <w:p w:rsidR="00D15AE5" w:rsidRPr="00AD2B7A" w:rsidRDefault="005C73D5" w:rsidP="000A47F3">
            <w:pPr>
              <w:pStyle w:val="Prrafodelista"/>
              <w:spacing w:before="0" w:beforeAutospacing="0" w:after="0" w:afterAutospacing="0"/>
              <w:jc w:val="both"/>
              <w:rPr>
                <w:bCs/>
              </w:rPr>
            </w:pPr>
            <w:r w:rsidRPr="00AD2B7A">
              <w:rPr>
                <w:b/>
                <w:i/>
                <w:lang w:val="es-ES"/>
              </w:rPr>
              <w:t>4.5.-</w:t>
            </w:r>
            <w:r w:rsidRPr="00AD2B7A">
              <w:rPr>
                <w:i/>
                <w:lang w:val="es-ES"/>
              </w:rPr>
              <w:t xml:space="preserve"> </w:t>
            </w:r>
            <w:r w:rsidR="00D15AE5" w:rsidRPr="00AD2B7A">
              <w:rPr>
                <w:bCs/>
              </w:rPr>
              <w:t>Hace dos años aproximadamente se concluyó con la primera etapa de la licitación para el reacondicionamiento eléctrico de todo el edificio del OIJ en donde se cambiaron transformadores, se colocó una planta eléctrica, una subestación eléctrica el cableado principal de tableros por piso; sin embargo, dada la cantidad de asuntos por atender no se pudo cubrir con la totalidad del dinero proyectado, por lo que los trabajos pendientes deben ser atendidos paulatinamente con el personal existente.</w:t>
            </w:r>
          </w:p>
          <w:p w:rsidR="00D15AE5" w:rsidRPr="00AD2B7A" w:rsidRDefault="00D15AE5" w:rsidP="000A47F3">
            <w:pPr>
              <w:pStyle w:val="Prrafodelista"/>
              <w:spacing w:before="0" w:beforeAutospacing="0" w:after="0" w:afterAutospacing="0"/>
              <w:jc w:val="both"/>
              <w:rPr>
                <w:bCs/>
                <w:lang w:val="es-ES"/>
              </w:rPr>
            </w:pPr>
          </w:p>
          <w:p w:rsidR="0043049F" w:rsidRPr="00AD2B7A" w:rsidRDefault="00D15AE5" w:rsidP="000A47F3">
            <w:pPr>
              <w:pStyle w:val="Prrafodelista"/>
              <w:spacing w:before="0" w:beforeAutospacing="0" w:after="0" w:afterAutospacing="0"/>
              <w:jc w:val="both"/>
              <w:rPr>
                <w:bCs/>
              </w:rPr>
            </w:pPr>
            <w:r w:rsidRPr="00694219">
              <w:rPr>
                <w:b/>
                <w:bCs/>
                <w:i/>
              </w:rPr>
              <w:t>4.6.-</w:t>
            </w:r>
            <w:r w:rsidRPr="00AD2B7A">
              <w:rPr>
                <w:bCs/>
              </w:rPr>
              <w:t xml:space="preserve"> </w:t>
            </w:r>
            <w:r w:rsidR="0043049F" w:rsidRPr="00AD2B7A">
              <w:rPr>
                <w:bCs/>
              </w:rPr>
              <w:t>Es evidente la necesidad de disponer de personal especializado que contribuya con el mantenimiento preventivo y correctivo de las instalaciones que ocupan los servidores judiciales, de ahí que la institución ha otorgado este tipo de recurso en diversas oficinas administrativas como lo son las administraciones regionales, el Departamento de Servicios Generales y el Organismo de Investigación Judicial. Sin embargo, disponer de un solo Técnico Especializado para atender las necesidades de más de 50 oficinas es muy limitado y riesgoso, tomando en consideración el tiempo de depreciación estructural, principalmente en las áreas eléctricas.</w:t>
            </w:r>
          </w:p>
          <w:p w:rsidR="0043049F" w:rsidRPr="00AD2B7A" w:rsidRDefault="0043049F" w:rsidP="000A47F3">
            <w:pPr>
              <w:pStyle w:val="Prrafodelista"/>
              <w:spacing w:before="0" w:beforeAutospacing="0" w:after="0" w:afterAutospacing="0"/>
              <w:jc w:val="both"/>
              <w:rPr>
                <w:i/>
                <w:lang w:val="es-ES"/>
              </w:rPr>
            </w:pPr>
          </w:p>
          <w:p w:rsidR="004202EF" w:rsidRPr="00AD2B7A" w:rsidRDefault="0043049F" w:rsidP="000A47F3">
            <w:pPr>
              <w:pStyle w:val="Prrafodelista"/>
              <w:spacing w:before="0" w:beforeAutospacing="0" w:after="0" w:afterAutospacing="0"/>
              <w:jc w:val="both"/>
              <w:rPr>
                <w:bCs/>
              </w:rPr>
            </w:pPr>
            <w:r w:rsidRPr="00AD2B7A">
              <w:rPr>
                <w:b/>
                <w:i/>
                <w:lang w:val="es-ES"/>
              </w:rPr>
              <w:t>4.</w:t>
            </w:r>
            <w:r w:rsidR="00D15AE5" w:rsidRPr="00AD2B7A">
              <w:rPr>
                <w:b/>
                <w:i/>
                <w:lang w:val="es-ES"/>
              </w:rPr>
              <w:t>7</w:t>
            </w:r>
            <w:r w:rsidRPr="00AD2B7A">
              <w:rPr>
                <w:b/>
                <w:i/>
                <w:lang w:val="es-ES"/>
              </w:rPr>
              <w:t>.-</w:t>
            </w:r>
            <w:r w:rsidRPr="00AD2B7A">
              <w:rPr>
                <w:i/>
                <w:lang w:val="es-ES"/>
              </w:rPr>
              <w:t xml:space="preserve"> </w:t>
            </w:r>
            <w:r w:rsidR="004202EF" w:rsidRPr="00AD2B7A">
              <w:rPr>
                <w:bCs/>
              </w:rPr>
              <w:t>El 33% de las solicitudes de mantenimiento, obedecen a asuntos eléctricos, lo que coincide con el criterio de la jefatura de la Sección de Mantenimiento y Construcción sobre su preocupación para dar una debida prevención en esa especialidad, y evitar un posible daño para la institución.</w:t>
            </w:r>
          </w:p>
          <w:p w:rsidR="004202EF" w:rsidRPr="00AD2B7A" w:rsidRDefault="004202EF" w:rsidP="000A47F3">
            <w:pPr>
              <w:pStyle w:val="Prrafodelista"/>
              <w:spacing w:before="0" w:beforeAutospacing="0" w:after="0" w:afterAutospacing="0"/>
              <w:jc w:val="both"/>
              <w:rPr>
                <w:bCs/>
              </w:rPr>
            </w:pPr>
          </w:p>
          <w:p w:rsidR="00D961C3" w:rsidRPr="00AD2B7A" w:rsidRDefault="004202EF" w:rsidP="000A47F3">
            <w:pPr>
              <w:pStyle w:val="Prrafodelista"/>
              <w:spacing w:before="0" w:beforeAutospacing="0" w:after="0" w:afterAutospacing="0"/>
              <w:jc w:val="both"/>
              <w:rPr>
                <w:bCs/>
              </w:rPr>
            </w:pPr>
            <w:r w:rsidRPr="00AD2B7A">
              <w:rPr>
                <w:b/>
                <w:i/>
                <w:lang w:val="es-ES"/>
              </w:rPr>
              <w:t>4.</w:t>
            </w:r>
            <w:r w:rsidR="00D15AE5" w:rsidRPr="00AD2B7A">
              <w:rPr>
                <w:b/>
                <w:i/>
                <w:lang w:val="es-ES"/>
              </w:rPr>
              <w:t>8</w:t>
            </w:r>
            <w:r w:rsidRPr="00AD2B7A">
              <w:rPr>
                <w:b/>
                <w:i/>
                <w:lang w:val="es-ES"/>
              </w:rPr>
              <w:t>.-</w:t>
            </w:r>
            <w:r w:rsidRPr="00AD2B7A">
              <w:rPr>
                <w:bCs/>
                <w:lang w:val="es-ES"/>
              </w:rPr>
              <w:t xml:space="preserve"> </w:t>
            </w:r>
            <w:r w:rsidR="0043049F" w:rsidRPr="00AD2B7A">
              <w:rPr>
                <w:bCs/>
              </w:rPr>
              <w:t>E</w:t>
            </w:r>
            <w:r w:rsidR="0095552C" w:rsidRPr="00AD2B7A">
              <w:rPr>
                <w:bCs/>
              </w:rPr>
              <w:t xml:space="preserve">n la sesión 27-17 del 21 de agosto del 2017, artículo XVI, </w:t>
            </w:r>
            <w:r w:rsidR="004E4D6D" w:rsidRPr="00AD2B7A">
              <w:rPr>
                <w:bCs/>
              </w:rPr>
              <w:t xml:space="preserve">la Corte Plena </w:t>
            </w:r>
            <w:r w:rsidR="0095552C" w:rsidRPr="00AD2B7A">
              <w:rPr>
                <w:bCs/>
              </w:rPr>
              <w:t xml:space="preserve">aprobó el informe de las Medidas para la Contención del Gasto en el Poder Judicial, en </w:t>
            </w:r>
            <w:r w:rsidR="006022FD" w:rsidRPr="00AD2B7A">
              <w:rPr>
                <w:bCs/>
              </w:rPr>
              <w:t>su</w:t>
            </w:r>
            <w:r w:rsidR="0095552C" w:rsidRPr="00AD2B7A">
              <w:rPr>
                <w:bCs/>
              </w:rPr>
              <w:t xml:space="preserve"> punto primero</w:t>
            </w:r>
            <w:r w:rsidR="006022FD" w:rsidRPr="00AD2B7A">
              <w:rPr>
                <w:bCs/>
              </w:rPr>
              <w:t>,</w:t>
            </w:r>
            <w:r w:rsidR="0095552C" w:rsidRPr="00AD2B7A">
              <w:rPr>
                <w:bCs/>
              </w:rPr>
              <w:t xml:space="preserve"> denominado “Medidas de Adopción Inmediata”</w:t>
            </w:r>
            <w:r w:rsidR="006022FD" w:rsidRPr="00AD2B7A">
              <w:rPr>
                <w:bCs/>
              </w:rPr>
              <w:t xml:space="preserve"> y que indica lo siguiente: </w:t>
            </w:r>
          </w:p>
          <w:p w:rsidR="006022FD" w:rsidRPr="00AD2B7A" w:rsidRDefault="006022FD" w:rsidP="000A47F3">
            <w:pPr>
              <w:pStyle w:val="Prrafodelista"/>
              <w:spacing w:before="0" w:beforeAutospacing="0" w:after="0" w:afterAutospacing="0"/>
              <w:jc w:val="both"/>
              <w:rPr>
                <w:i/>
              </w:rPr>
            </w:pPr>
          </w:p>
          <w:p w:rsidR="006022FD" w:rsidRPr="00A60763" w:rsidRDefault="006022FD" w:rsidP="006022FD">
            <w:pPr>
              <w:ind w:left="709" w:right="618"/>
              <w:jc w:val="both"/>
              <w:rPr>
                <w:rFonts w:ascii="Arial Narrow" w:hAnsi="Arial Narrow"/>
                <w:i/>
                <w:lang w:val="es-CR"/>
              </w:rPr>
            </w:pPr>
            <w:r w:rsidRPr="00A60763">
              <w:rPr>
                <w:rFonts w:ascii="Arial Narrow" w:hAnsi="Arial Narrow"/>
                <w:i/>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0B2053" w:rsidRPr="00A60763" w:rsidRDefault="000B2053" w:rsidP="00CB306F">
            <w:pPr>
              <w:autoSpaceDE w:val="0"/>
              <w:autoSpaceDN w:val="0"/>
              <w:adjustRightInd w:val="0"/>
              <w:jc w:val="both"/>
              <w:rPr>
                <w:iCs/>
                <w:color w:val="000000"/>
              </w:rPr>
            </w:pPr>
          </w:p>
          <w:p w:rsidR="00CB306F" w:rsidRPr="00AD2B7A" w:rsidRDefault="00CB306F" w:rsidP="00CB306F">
            <w:pPr>
              <w:autoSpaceDE w:val="0"/>
              <w:autoSpaceDN w:val="0"/>
              <w:adjustRightInd w:val="0"/>
              <w:jc w:val="both"/>
              <w:rPr>
                <w:bCs/>
                <w:lang w:val="es-CR" w:eastAsia="es-CR"/>
              </w:rPr>
            </w:pPr>
            <w:r w:rsidRPr="00AD2B7A">
              <w:rPr>
                <w:bCs/>
                <w:lang w:val="es-CR" w:eastAsia="es-CR"/>
              </w:rPr>
              <w:t>Este tema fue incorporado dentro de las “Directrices Técnicas para la Elaboración de la Programación Anual de Objetivos y Metas (PAOM) y el Anteproyecto de Presupuesto 2019” (oficio 1766-PLA-2017), aprobadas por el Consejo Superior en la sesión 109-17 del 5 de diciembre del 2017, artículo LXVI.</w:t>
            </w:r>
          </w:p>
          <w:p w:rsidR="00A4667A" w:rsidRPr="00A60763" w:rsidRDefault="00A4667A" w:rsidP="000A47F3">
            <w:pPr>
              <w:pStyle w:val="Prrafodelista"/>
              <w:spacing w:before="0" w:beforeAutospacing="0" w:after="0" w:afterAutospacing="0"/>
              <w:jc w:val="both"/>
              <w:rPr>
                <w:i/>
                <w:color w:val="5B9BD5"/>
                <w:lang w:val="es-ES"/>
              </w:rPr>
            </w:pPr>
          </w:p>
        </w:tc>
      </w:tr>
      <w:tr w:rsidR="00A4667A" w:rsidRPr="00723CF6" w:rsidTr="00663B34">
        <w:trPr>
          <w:trHeight w:val="1239"/>
        </w:trPr>
        <w:tc>
          <w:tcPr>
            <w:tcW w:w="2518" w:type="dxa"/>
            <w:shd w:val="clear" w:color="auto" w:fill="C0C0C0"/>
          </w:tcPr>
          <w:p w:rsidR="00A4667A" w:rsidRPr="00723CF6" w:rsidRDefault="004E4D6D" w:rsidP="00A60763">
            <w:pPr>
              <w:jc w:val="right"/>
              <w:rPr>
                <w:b/>
                <w:color w:val="5B9BD5"/>
                <w:sz w:val="28"/>
                <w:szCs w:val="28"/>
              </w:rPr>
            </w:pPr>
            <w:r w:rsidRPr="00675B1D">
              <w:rPr>
                <w:b/>
                <w:sz w:val="28"/>
                <w:szCs w:val="28"/>
              </w:rPr>
              <w:t>V. Re</w:t>
            </w:r>
            <w:r>
              <w:rPr>
                <w:b/>
                <w:sz w:val="28"/>
                <w:szCs w:val="28"/>
              </w:rPr>
              <w:t>comendacione</w:t>
            </w:r>
            <w:r w:rsidRPr="00675B1D">
              <w:rPr>
                <w:b/>
                <w:sz w:val="28"/>
                <w:szCs w:val="28"/>
              </w:rPr>
              <w:t>s</w:t>
            </w:r>
          </w:p>
          <w:p w:rsidR="00A4667A" w:rsidRPr="00723CF6" w:rsidRDefault="00A4667A" w:rsidP="00A60763">
            <w:pPr>
              <w:jc w:val="right"/>
              <w:rPr>
                <w:b/>
                <w:color w:val="5B9BD5"/>
                <w:sz w:val="28"/>
                <w:szCs w:val="28"/>
              </w:rPr>
            </w:pPr>
          </w:p>
        </w:tc>
        <w:tc>
          <w:tcPr>
            <w:tcW w:w="8080" w:type="dxa"/>
          </w:tcPr>
          <w:p w:rsidR="00F577E4" w:rsidRDefault="00A4667A" w:rsidP="00F577E4">
            <w:pPr>
              <w:widowControl w:val="0"/>
              <w:autoSpaceDE w:val="0"/>
              <w:autoSpaceDN w:val="0"/>
              <w:adjustRightInd w:val="0"/>
              <w:jc w:val="both"/>
              <w:rPr>
                <w:bCs/>
                <w:lang w:val="es-CR" w:eastAsia="es-CR"/>
              </w:rPr>
            </w:pPr>
            <w:r w:rsidRPr="00AD2B7A">
              <w:rPr>
                <w:b/>
                <w:i/>
              </w:rPr>
              <w:t>5.1.</w:t>
            </w:r>
            <w:r w:rsidR="00FB52FC" w:rsidRPr="00AD2B7A">
              <w:rPr>
                <w:b/>
                <w:i/>
              </w:rPr>
              <w:t>-</w:t>
            </w:r>
            <w:r w:rsidRPr="00AD2B7A">
              <w:rPr>
                <w:i/>
                <w:sz w:val="28"/>
                <w:szCs w:val="28"/>
              </w:rPr>
              <w:t xml:space="preserve"> </w:t>
            </w:r>
            <w:r w:rsidR="00F577E4" w:rsidRPr="00AD2B7A">
              <w:rPr>
                <w:bCs/>
                <w:lang w:val="es-CR" w:eastAsia="es-CR"/>
              </w:rPr>
              <w:t>Esta Dirección, con base en el estudio realizado, estima que el recurso analizado se requiere crear de manera ordinaria a partir del 2019, en los siguientes términos:</w:t>
            </w:r>
          </w:p>
          <w:p w:rsidR="00AD2B7A" w:rsidRDefault="00AD2B7A" w:rsidP="00F577E4">
            <w:pPr>
              <w:widowControl w:val="0"/>
              <w:autoSpaceDE w:val="0"/>
              <w:autoSpaceDN w:val="0"/>
              <w:adjustRightInd w:val="0"/>
              <w:jc w:val="both"/>
              <w:rPr>
                <w:bCs/>
                <w:lang w:val="es-CR" w:eastAsia="es-CR"/>
              </w:rPr>
            </w:pPr>
          </w:p>
          <w:p w:rsidR="00F577E4" w:rsidRDefault="00F577E4" w:rsidP="00F577E4">
            <w:pPr>
              <w:jc w:val="both"/>
              <w:rPr>
                <w:rFonts w:ascii="Arial Narrow" w:hAnsi="Arial Narrow"/>
                <w:bCs/>
                <w:sz w:val="20"/>
                <w:szCs w:val="20"/>
              </w:rPr>
            </w:pPr>
          </w:p>
          <w:tbl>
            <w:tblPr>
              <w:tblW w:w="7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2"/>
              <w:gridCol w:w="566"/>
              <w:gridCol w:w="1419"/>
              <w:gridCol w:w="840"/>
              <w:gridCol w:w="1137"/>
              <w:gridCol w:w="509"/>
              <w:gridCol w:w="1266"/>
              <w:gridCol w:w="1276"/>
            </w:tblGrid>
            <w:tr w:rsidR="00B921D6" w:rsidRPr="00F577E4" w:rsidTr="00A60763">
              <w:trPr>
                <w:trHeight w:val="50"/>
                <w:tblHeader/>
              </w:trPr>
              <w:tc>
                <w:tcPr>
                  <w:tcW w:w="536" w:type="pct"/>
                  <w:shd w:val="clear" w:color="auto" w:fill="E6E6E6"/>
                  <w:tcMar>
                    <w:top w:w="0" w:type="dxa"/>
                    <w:left w:w="108" w:type="dxa"/>
                    <w:bottom w:w="0" w:type="dxa"/>
                    <w:right w:w="108" w:type="dxa"/>
                  </w:tcMar>
                  <w:vAlign w:val="center"/>
                </w:tcPr>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Despacho</w:t>
                  </w:r>
                </w:p>
              </w:tc>
              <w:tc>
                <w:tcPr>
                  <w:tcW w:w="360" w:type="pct"/>
                  <w:shd w:val="clear" w:color="auto" w:fill="E6E6E6"/>
                  <w:tcMar>
                    <w:top w:w="0" w:type="dxa"/>
                    <w:left w:w="108" w:type="dxa"/>
                    <w:bottom w:w="0" w:type="dxa"/>
                    <w:right w:w="108" w:type="dxa"/>
                  </w:tcMar>
                  <w:vAlign w:val="center"/>
                </w:tcPr>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Cant</w:t>
                  </w:r>
                </w:p>
              </w:tc>
              <w:tc>
                <w:tcPr>
                  <w:tcW w:w="903" w:type="pct"/>
                  <w:shd w:val="clear" w:color="auto" w:fill="E6E6E6"/>
                  <w:tcMar>
                    <w:top w:w="0" w:type="dxa"/>
                    <w:left w:w="108" w:type="dxa"/>
                    <w:bottom w:w="0" w:type="dxa"/>
                    <w:right w:w="108" w:type="dxa"/>
                  </w:tcMar>
                  <w:vAlign w:val="center"/>
                </w:tcPr>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Tipo de plaza</w:t>
                  </w:r>
                </w:p>
              </w:tc>
              <w:tc>
                <w:tcPr>
                  <w:tcW w:w="535" w:type="pct"/>
                  <w:shd w:val="clear" w:color="auto" w:fill="E6E6E6"/>
                  <w:tcMar>
                    <w:top w:w="0" w:type="dxa"/>
                    <w:left w:w="108" w:type="dxa"/>
                    <w:bottom w:w="0" w:type="dxa"/>
                    <w:right w:w="108" w:type="dxa"/>
                  </w:tcMar>
                  <w:vAlign w:val="center"/>
                </w:tcPr>
                <w:p w:rsidR="00B921D6"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Condición</w:t>
                  </w:r>
                </w:p>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actual</w:t>
                  </w:r>
                </w:p>
              </w:tc>
              <w:tc>
                <w:tcPr>
                  <w:tcW w:w="724" w:type="pct"/>
                  <w:shd w:val="clear" w:color="auto" w:fill="E6E6E6"/>
                  <w:tcMar>
                    <w:top w:w="0" w:type="dxa"/>
                    <w:left w:w="108" w:type="dxa"/>
                    <w:bottom w:w="0" w:type="dxa"/>
                    <w:right w:w="108" w:type="dxa"/>
                  </w:tcMar>
                  <w:vAlign w:val="center"/>
                </w:tcPr>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Condición recomendada</w:t>
                  </w:r>
                </w:p>
              </w:tc>
              <w:tc>
                <w:tcPr>
                  <w:tcW w:w="324" w:type="pct"/>
                  <w:shd w:val="clear" w:color="auto" w:fill="E6E6E6"/>
                  <w:vAlign w:val="center"/>
                </w:tcPr>
                <w:p w:rsidR="00B921D6" w:rsidRPr="00F577E4" w:rsidRDefault="00B921D6" w:rsidP="00547055">
                  <w:pPr>
                    <w:snapToGrid w:val="0"/>
                    <w:jc w:val="center"/>
                    <w:rPr>
                      <w:rFonts w:ascii="Arial Narrow" w:hAnsi="Arial Narrow"/>
                      <w:b/>
                      <w:bCs/>
                      <w:caps/>
                      <w:sz w:val="12"/>
                      <w:szCs w:val="12"/>
                    </w:rPr>
                  </w:pPr>
                  <w:r>
                    <w:rPr>
                      <w:rFonts w:ascii="Arial Narrow" w:hAnsi="Arial Narrow"/>
                      <w:b/>
                      <w:bCs/>
                      <w:caps/>
                      <w:sz w:val="12"/>
                      <w:szCs w:val="12"/>
                    </w:rPr>
                    <w:t>PERIODO</w:t>
                  </w:r>
                </w:p>
              </w:tc>
              <w:tc>
                <w:tcPr>
                  <w:tcW w:w="806" w:type="pct"/>
                  <w:shd w:val="clear" w:color="auto" w:fill="E6E6E6"/>
                  <w:tcMar>
                    <w:top w:w="0" w:type="dxa"/>
                    <w:left w:w="108" w:type="dxa"/>
                    <w:bottom w:w="0" w:type="dxa"/>
                    <w:right w:w="108" w:type="dxa"/>
                  </w:tcMar>
                  <w:vAlign w:val="center"/>
                </w:tcPr>
                <w:p w:rsidR="00B921D6"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Costo</w:t>
                  </w:r>
                </w:p>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Estimado</w:t>
                  </w:r>
                </w:p>
              </w:tc>
              <w:tc>
                <w:tcPr>
                  <w:tcW w:w="813" w:type="pct"/>
                  <w:shd w:val="clear" w:color="auto" w:fill="E6E6E6"/>
                  <w:tcMar>
                    <w:top w:w="0" w:type="dxa"/>
                    <w:left w:w="108" w:type="dxa"/>
                    <w:bottom w:w="0" w:type="dxa"/>
                    <w:right w:w="108" w:type="dxa"/>
                  </w:tcMar>
                  <w:vAlign w:val="center"/>
                </w:tcPr>
                <w:p w:rsidR="00B921D6" w:rsidRPr="00F577E4" w:rsidRDefault="00B921D6" w:rsidP="00547055">
                  <w:pPr>
                    <w:snapToGrid w:val="0"/>
                    <w:jc w:val="center"/>
                    <w:rPr>
                      <w:rFonts w:ascii="Arial Narrow" w:hAnsi="Arial Narrow"/>
                      <w:b/>
                      <w:bCs/>
                      <w:caps/>
                      <w:sz w:val="12"/>
                      <w:szCs w:val="12"/>
                    </w:rPr>
                  </w:pPr>
                  <w:r w:rsidRPr="00F577E4">
                    <w:rPr>
                      <w:rFonts w:ascii="Arial Narrow" w:hAnsi="Arial Narrow"/>
                      <w:b/>
                      <w:bCs/>
                      <w:caps/>
                      <w:sz w:val="12"/>
                      <w:szCs w:val="12"/>
                    </w:rPr>
                    <w:t>Observaciones</w:t>
                  </w:r>
                </w:p>
              </w:tc>
            </w:tr>
            <w:tr w:rsidR="00B921D6" w:rsidRPr="00F577E4" w:rsidTr="00A60763">
              <w:trPr>
                <w:trHeight w:val="1003"/>
              </w:trPr>
              <w:tc>
                <w:tcPr>
                  <w:tcW w:w="536" w:type="pct"/>
                  <w:shd w:val="clear" w:color="auto" w:fill="FFFFFF"/>
                  <w:tcMar>
                    <w:top w:w="0" w:type="dxa"/>
                    <w:left w:w="108" w:type="dxa"/>
                    <w:bottom w:w="0" w:type="dxa"/>
                    <w:right w:w="108" w:type="dxa"/>
                  </w:tcMar>
                  <w:textDirection w:val="btLr"/>
                  <w:vAlign w:val="center"/>
                </w:tcPr>
                <w:p w:rsidR="00B921D6" w:rsidRPr="00F577E4" w:rsidRDefault="00B921D6" w:rsidP="00547055">
                  <w:pPr>
                    <w:snapToGrid w:val="0"/>
                    <w:ind w:left="113" w:right="113"/>
                    <w:jc w:val="center"/>
                    <w:rPr>
                      <w:bCs/>
                      <w:i/>
                      <w:sz w:val="18"/>
                      <w:szCs w:val="18"/>
                    </w:rPr>
                  </w:pPr>
                  <w:r>
                    <w:rPr>
                      <w:bCs/>
                      <w:i/>
                      <w:sz w:val="18"/>
                      <w:szCs w:val="18"/>
                    </w:rPr>
                    <w:t>Administración del OIJ</w:t>
                  </w:r>
                </w:p>
              </w:tc>
              <w:tc>
                <w:tcPr>
                  <w:tcW w:w="360" w:type="pct"/>
                  <w:shd w:val="clear" w:color="auto" w:fill="FFFFFF"/>
                  <w:tcMar>
                    <w:top w:w="0" w:type="dxa"/>
                    <w:left w:w="108" w:type="dxa"/>
                    <w:bottom w:w="0" w:type="dxa"/>
                    <w:right w:w="108" w:type="dxa"/>
                  </w:tcMar>
                  <w:vAlign w:val="center"/>
                </w:tcPr>
                <w:p w:rsidR="00B921D6" w:rsidRPr="00F577E4" w:rsidRDefault="00B921D6" w:rsidP="00547055">
                  <w:pPr>
                    <w:snapToGrid w:val="0"/>
                    <w:jc w:val="center"/>
                    <w:rPr>
                      <w:bCs/>
                      <w:i/>
                      <w:sz w:val="18"/>
                      <w:szCs w:val="18"/>
                    </w:rPr>
                  </w:pPr>
                  <w:r w:rsidRPr="00F577E4">
                    <w:rPr>
                      <w:bCs/>
                      <w:i/>
                      <w:sz w:val="18"/>
                      <w:szCs w:val="18"/>
                    </w:rPr>
                    <w:t>1</w:t>
                  </w:r>
                </w:p>
              </w:tc>
              <w:tc>
                <w:tcPr>
                  <w:tcW w:w="903" w:type="pct"/>
                  <w:shd w:val="clear" w:color="auto" w:fill="FFFFFF"/>
                  <w:tcMar>
                    <w:top w:w="0" w:type="dxa"/>
                    <w:left w:w="108" w:type="dxa"/>
                    <w:bottom w:w="0" w:type="dxa"/>
                    <w:right w:w="108" w:type="dxa"/>
                  </w:tcMar>
                  <w:vAlign w:val="center"/>
                </w:tcPr>
                <w:p w:rsidR="00B921D6" w:rsidRDefault="00B921D6" w:rsidP="00547055">
                  <w:pPr>
                    <w:snapToGrid w:val="0"/>
                    <w:jc w:val="center"/>
                    <w:rPr>
                      <w:bCs/>
                      <w:i/>
                      <w:sz w:val="18"/>
                      <w:szCs w:val="18"/>
                    </w:rPr>
                  </w:pPr>
                  <w:r>
                    <w:rPr>
                      <w:bCs/>
                      <w:i/>
                      <w:sz w:val="18"/>
                      <w:szCs w:val="18"/>
                    </w:rPr>
                    <w:t xml:space="preserve">Técnica Especializada 5 o </w:t>
                  </w:r>
                </w:p>
                <w:p w:rsidR="00B921D6" w:rsidRPr="00F577E4" w:rsidRDefault="00B921D6" w:rsidP="00547055">
                  <w:pPr>
                    <w:snapToGrid w:val="0"/>
                    <w:jc w:val="center"/>
                    <w:rPr>
                      <w:bCs/>
                      <w:i/>
                      <w:sz w:val="18"/>
                      <w:szCs w:val="18"/>
                    </w:rPr>
                  </w:pPr>
                  <w:r>
                    <w:rPr>
                      <w:bCs/>
                      <w:i/>
                      <w:sz w:val="18"/>
                      <w:szCs w:val="18"/>
                    </w:rPr>
                    <w:t xml:space="preserve">Técnico Especializado 5 </w:t>
                  </w:r>
                </w:p>
              </w:tc>
              <w:tc>
                <w:tcPr>
                  <w:tcW w:w="535" w:type="pct"/>
                  <w:shd w:val="clear" w:color="auto" w:fill="FFFFFF"/>
                  <w:tcMar>
                    <w:top w:w="0" w:type="dxa"/>
                    <w:left w:w="108" w:type="dxa"/>
                    <w:bottom w:w="0" w:type="dxa"/>
                    <w:right w:w="108" w:type="dxa"/>
                  </w:tcMar>
                  <w:vAlign w:val="center"/>
                </w:tcPr>
                <w:p w:rsidR="00B921D6" w:rsidRDefault="00B921D6" w:rsidP="00547055">
                  <w:pPr>
                    <w:snapToGrid w:val="0"/>
                    <w:jc w:val="center"/>
                    <w:rPr>
                      <w:bCs/>
                      <w:i/>
                      <w:sz w:val="18"/>
                      <w:szCs w:val="18"/>
                    </w:rPr>
                  </w:pPr>
                  <w:r>
                    <w:rPr>
                      <w:bCs/>
                      <w:i/>
                      <w:sz w:val="18"/>
                      <w:szCs w:val="18"/>
                    </w:rPr>
                    <w:t>Permiso</w:t>
                  </w:r>
                </w:p>
                <w:p w:rsidR="00B921D6" w:rsidRDefault="00B921D6" w:rsidP="00547055">
                  <w:pPr>
                    <w:snapToGrid w:val="0"/>
                    <w:jc w:val="center"/>
                    <w:rPr>
                      <w:bCs/>
                      <w:i/>
                      <w:sz w:val="18"/>
                      <w:szCs w:val="18"/>
                    </w:rPr>
                  </w:pPr>
                  <w:r>
                    <w:rPr>
                      <w:bCs/>
                      <w:i/>
                      <w:sz w:val="18"/>
                      <w:szCs w:val="18"/>
                    </w:rPr>
                    <w:t xml:space="preserve"> con Goce</w:t>
                  </w:r>
                </w:p>
                <w:p w:rsidR="00B921D6" w:rsidRDefault="00B921D6" w:rsidP="00547055">
                  <w:pPr>
                    <w:snapToGrid w:val="0"/>
                    <w:jc w:val="center"/>
                    <w:rPr>
                      <w:bCs/>
                      <w:i/>
                      <w:sz w:val="18"/>
                      <w:szCs w:val="18"/>
                    </w:rPr>
                  </w:pPr>
                  <w:r>
                    <w:rPr>
                      <w:bCs/>
                      <w:i/>
                      <w:sz w:val="18"/>
                      <w:szCs w:val="18"/>
                    </w:rPr>
                    <w:t>de Salario</w:t>
                  </w:r>
                </w:p>
                <w:p w:rsidR="00B921D6" w:rsidRPr="00A60763" w:rsidRDefault="00B921D6" w:rsidP="00547055">
                  <w:pPr>
                    <w:snapToGrid w:val="0"/>
                    <w:jc w:val="center"/>
                    <w:rPr>
                      <w:b/>
                      <w:bCs/>
                      <w:i/>
                      <w:sz w:val="18"/>
                      <w:szCs w:val="18"/>
                    </w:rPr>
                  </w:pPr>
                  <w:r w:rsidRPr="00A60763">
                    <w:rPr>
                      <w:b/>
                      <w:bCs/>
                      <w:i/>
                      <w:sz w:val="18"/>
                      <w:szCs w:val="18"/>
                    </w:rPr>
                    <w:t>(a)</w:t>
                  </w:r>
                </w:p>
              </w:tc>
              <w:tc>
                <w:tcPr>
                  <w:tcW w:w="724" w:type="pct"/>
                  <w:shd w:val="clear" w:color="auto" w:fill="FFFFFF"/>
                  <w:tcMar>
                    <w:top w:w="0" w:type="dxa"/>
                    <w:left w:w="108" w:type="dxa"/>
                    <w:bottom w:w="0" w:type="dxa"/>
                    <w:right w:w="108" w:type="dxa"/>
                  </w:tcMar>
                  <w:vAlign w:val="center"/>
                </w:tcPr>
                <w:p w:rsidR="00B921D6" w:rsidRPr="00F577E4" w:rsidRDefault="00B921D6">
                  <w:pPr>
                    <w:snapToGrid w:val="0"/>
                    <w:jc w:val="center"/>
                    <w:rPr>
                      <w:bCs/>
                      <w:i/>
                      <w:sz w:val="18"/>
                      <w:szCs w:val="18"/>
                    </w:rPr>
                  </w:pPr>
                  <w:r w:rsidRPr="00F577E4">
                    <w:rPr>
                      <w:bCs/>
                      <w:i/>
                      <w:sz w:val="18"/>
                      <w:szCs w:val="18"/>
                    </w:rPr>
                    <w:t>Ordinaria</w:t>
                  </w:r>
                </w:p>
              </w:tc>
              <w:tc>
                <w:tcPr>
                  <w:tcW w:w="324" w:type="pct"/>
                  <w:shd w:val="clear" w:color="auto" w:fill="FFFFFF"/>
                  <w:vAlign w:val="center"/>
                </w:tcPr>
                <w:p w:rsidR="00B921D6" w:rsidRPr="00F577E4" w:rsidRDefault="00B921D6" w:rsidP="00547055">
                  <w:pPr>
                    <w:snapToGrid w:val="0"/>
                    <w:jc w:val="center"/>
                    <w:rPr>
                      <w:bCs/>
                      <w:i/>
                      <w:sz w:val="18"/>
                      <w:szCs w:val="18"/>
                    </w:rPr>
                  </w:pPr>
                  <w:r>
                    <w:rPr>
                      <w:bCs/>
                      <w:i/>
                      <w:sz w:val="18"/>
                      <w:szCs w:val="18"/>
                    </w:rPr>
                    <w:t>2019</w:t>
                  </w:r>
                </w:p>
              </w:tc>
              <w:tc>
                <w:tcPr>
                  <w:tcW w:w="806" w:type="pct"/>
                  <w:shd w:val="clear" w:color="auto" w:fill="FFFFFF"/>
                  <w:tcMar>
                    <w:top w:w="0" w:type="dxa"/>
                    <w:left w:w="108" w:type="dxa"/>
                    <w:bottom w:w="0" w:type="dxa"/>
                    <w:right w:w="108" w:type="dxa"/>
                  </w:tcMar>
                  <w:vAlign w:val="center"/>
                </w:tcPr>
                <w:p w:rsidR="00B921D6" w:rsidRPr="00F577E4" w:rsidRDefault="00B921D6" w:rsidP="00547055">
                  <w:pPr>
                    <w:snapToGrid w:val="0"/>
                    <w:jc w:val="center"/>
                    <w:rPr>
                      <w:bCs/>
                      <w:i/>
                      <w:sz w:val="18"/>
                      <w:szCs w:val="18"/>
                    </w:rPr>
                  </w:pPr>
                  <w:r w:rsidRPr="00F577E4">
                    <w:rPr>
                      <w:bCs/>
                      <w:i/>
                      <w:sz w:val="18"/>
                      <w:szCs w:val="18"/>
                    </w:rPr>
                    <w:t xml:space="preserve">¢ </w:t>
                  </w:r>
                  <w:r w:rsidRPr="00547055">
                    <w:rPr>
                      <w:bCs/>
                      <w:i/>
                      <w:sz w:val="18"/>
                      <w:szCs w:val="18"/>
                    </w:rPr>
                    <w:t>16</w:t>
                  </w:r>
                  <w:r>
                    <w:rPr>
                      <w:bCs/>
                      <w:i/>
                      <w:sz w:val="18"/>
                      <w:szCs w:val="18"/>
                    </w:rPr>
                    <w:t>.</w:t>
                  </w:r>
                  <w:r w:rsidRPr="00547055">
                    <w:rPr>
                      <w:bCs/>
                      <w:i/>
                      <w:sz w:val="18"/>
                      <w:szCs w:val="18"/>
                    </w:rPr>
                    <w:t>179</w:t>
                  </w:r>
                  <w:r>
                    <w:rPr>
                      <w:bCs/>
                      <w:i/>
                      <w:sz w:val="18"/>
                      <w:szCs w:val="18"/>
                    </w:rPr>
                    <w:t>.000</w:t>
                  </w:r>
                </w:p>
              </w:tc>
              <w:tc>
                <w:tcPr>
                  <w:tcW w:w="813" w:type="pct"/>
                  <w:shd w:val="clear" w:color="auto" w:fill="FFFFFF"/>
                  <w:tcMar>
                    <w:top w:w="0" w:type="dxa"/>
                    <w:left w:w="108" w:type="dxa"/>
                    <w:bottom w:w="0" w:type="dxa"/>
                    <w:right w:w="108" w:type="dxa"/>
                  </w:tcMar>
                  <w:vAlign w:val="center"/>
                </w:tcPr>
                <w:p w:rsidR="00B921D6" w:rsidRPr="00F577E4" w:rsidRDefault="00B921D6" w:rsidP="00A60763">
                  <w:pPr>
                    <w:jc w:val="both"/>
                    <w:rPr>
                      <w:bCs/>
                      <w:i/>
                      <w:sz w:val="18"/>
                      <w:szCs w:val="18"/>
                    </w:rPr>
                  </w:pPr>
                  <w:r>
                    <w:rPr>
                      <w:b/>
                      <w:bCs/>
                      <w:i/>
                      <w:sz w:val="18"/>
                      <w:szCs w:val="18"/>
                    </w:rPr>
                    <w:t>Para atender labores de mantenimiento preventivo y correctivo en edificios del OIJ.</w:t>
                  </w:r>
                </w:p>
              </w:tc>
            </w:tr>
          </w:tbl>
          <w:p w:rsidR="00F577E4" w:rsidRPr="00F577E4" w:rsidRDefault="00F577E4" w:rsidP="00F577E4">
            <w:pPr>
              <w:jc w:val="both"/>
              <w:rPr>
                <w:rFonts w:ascii="Arial Narrow" w:hAnsi="Arial Narrow"/>
                <w:bCs/>
                <w:sz w:val="20"/>
                <w:szCs w:val="20"/>
              </w:rPr>
            </w:pPr>
            <w:r w:rsidRPr="00A60763">
              <w:rPr>
                <w:rFonts w:ascii="Arial Narrow" w:hAnsi="Arial Narrow"/>
                <w:b/>
                <w:bCs/>
                <w:sz w:val="20"/>
                <w:szCs w:val="20"/>
              </w:rPr>
              <w:t>N</w:t>
            </w:r>
            <w:r w:rsidR="000B2053" w:rsidRPr="00A60763">
              <w:rPr>
                <w:rFonts w:ascii="Arial Narrow" w:hAnsi="Arial Narrow"/>
                <w:b/>
                <w:bCs/>
                <w:sz w:val="20"/>
                <w:szCs w:val="20"/>
              </w:rPr>
              <w:t>OTA</w:t>
            </w:r>
            <w:r w:rsidRPr="00A60763">
              <w:rPr>
                <w:rFonts w:ascii="Arial Narrow" w:hAnsi="Arial Narrow"/>
                <w:b/>
                <w:bCs/>
                <w:sz w:val="20"/>
                <w:szCs w:val="20"/>
              </w:rPr>
              <w:t xml:space="preserve">: </w:t>
            </w:r>
            <w:r w:rsidR="000B2053" w:rsidRPr="00A60763">
              <w:rPr>
                <w:rFonts w:ascii="Arial Narrow" w:hAnsi="Arial Narrow"/>
                <w:b/>
                <w:bCs/>
                <w:sz w:val="20"/>
                <w:szCs w:val="20"/>
              </w:rPr>
              <w:t>(a)</w:t>
            </w:r>
            <w:r w:rsidR="000B2053">
              <w:rPr>
                <w:rFonts w:ascii="Arial Narrow" w:hAnsi="Arial Narrow"/>
                <w:bCs/>
                <w:sz w:val="20"/>
                <w:szCs w:val="20"/>
              </w:rPr>
              <w:t xml:space="preserve"> </w:t>
            </w:r>
            <w:r w:rsidRPr="00F577E4">
              <w:rPr>
                <w:rFonts w:ascii="Arial Narrow" w:hAnsi="Arial Narrow"/>
                <w:bCs/>
                <w:sz w:val="20"/>
                <w:szCs w:val="20"/>
              </w:rPr>
              <w:t xml:space="preserve">Esta plaza viene operando </w:t>
            </w:r>
            <w:r w:rsidR="000B2053">
              <w:rPr>
                <w:rFonts w:ascii="Arial Narrow" w:hAnsi="Arial Narrow"/>
                <w:bCs/>
                <w:sz w:val="20"/>
                <w:szCs w:val="20"/>
              </w:rPr>
              <w:t>bajo</w:t>
            </w:r>
            <w:r>
              <w:rPr>
                <w:rFonts w:ascii="Arial Narrow" w:hAnsi="Arial Narrow"/>
                <w:bCs/>
                <w:sz w:val="20"/>
                <w:szCs w:val="20"/>
              </w:rPr>
              <w:t xml:space="preserve"> la modalidad de p</w:t>
            </w:r>
            <w:r w:rsidR="000B2053">
              <w:rPr>
                <w:rFonts w:ascii="Arial Narrow" w:hAnsi="Arial Narrow"/>
                <w:bCs/>
                <w:sz w:val="20"/>
                <w:szCs w:val="20"/>
              </w:rPr>
              <w:t>ermiso con goce de salario</w:t>
            </w:r>
            <w:r>
              <w:rPr>
                <w:rFonts w:ascii="Arial Narrow" w:hAnsi="Arial Narrow"/>
                <w:bCs/>
                <w:sz w:val="20"/>
                <w:szCs w:val="20"/>
              </w:rPr>
              <w:t xml:space="preserve"> desde el 2012,</w:t>
            </w:r>
            <w:r w:rsidRPr="00F577E4">
              <w:rPr>
                <w:rFonts w:ascii="Arial Narrow" w:hAnsi="Arial Narrow"/>
                <w:bCs/>
                <w:sz w:val="20"/>
                <w:szCs w:val="20"/>
              </w:rPr>
              <w:t xml:space="preserve"> por lo que no deberá otorgarse </w:t>
            </w:r>
            <w:r w:rsidR="000B2053">
              <w:rPr>
                <w:rFonts w:ascii="Arial Narrow" w:hAnsi="Arial Narrow"/>
                <w:bCs/>
                <w:sz w:val="20"/>
                <w:szCs w:val="20"/>
              </w:rPr>
              <w:t xml:space="preserve">mobiliario o </w:t>
            </w:r>
            <w:r w:rsidRPr="00F577E4">
              <w:rPr>
                <w:rFonts w:ascii="Arial Narrow" w:hAnsi="Arial Narrow"/>
                <w:bCs/>
                <w:sz w:val="20"/>
                <w:szCs w:val="20"/>
              </w:rPr>
              <w:t>equipo nuevo</w:t>
            </w:r>
            <w:r w:rsidR="000B2053">
              <w:rPr>
                <w:rFonts w:ascii="Arial Narrow" w:hAnsi="Arial Narrow"/>
                <w:bCs/>
                <w:sz w:val="20"/>
                <w:szCs w:val="20"/>
              </w:rPr>
              <w:t>.</w:t>
            </w:r>
          </w:p>
          <w:p w:rsidR="00F577E4" w:rsidRPr="00F577E4" w:rsidRDefault="00F577E4" w:rsidP="00F577E4">
            <w:pPr>
              <w:jc w:val="both"/>
              <w:rPr>
                <w:b/>
                <w:bCs/>
                <w:i/>
                <w:sz w:val="28"/>
                <w:szCs w:val="28"/>
              </w:rPr>
            </w:pPr>
          </w:p>
          <w:p w:rsidR="00F577E4" w:rsidRPr="00AD2B7A" w:rsidRDefault="00F577E4" w:rsidP="00F577E4">
            <w:pPr>
              <w:jc w:val="both"/>
              <w:rPr>
                <w:b/>
                <w:bCs/>
                <w:i/>
              </w:rPr>
            </w:pPr>
            <w:r w:rsidRPr="00AD2B7A">
              <w:rPr>
                <w:b/>
                <w:bCs/>
                <w:i/>
              </w:rPr>
              <w:t>5.2. Condicionamiento por el cual se otorga el recurso (Impacto esperado)</w:t>
            </w:r>
          </w:p>
          <w:p w:rsidR="00F577E4" w:rsidRDefault="00F577E4" w:rsidP="00857403">
            <w:pPr>
              <w:jc w:val="both"/>
              <w:rPr>
                <w:rFonts w:ascii="Arial Narrow" w:hAnsi="Arial Narrow"/>
                <w:bCs/>
                <w:lang w:val="es-CR" w:eastAsia="es-CR"/>
              </w:rPr>
            </w:pPr>
          </w:p>
          <w:p w:rsidR="00E97568" w:rsidRPr="00AD2B7A" w:rsidRDefault="00547055" w:rsidP="00857403">
            <w:pPr>
              <w:jc w:val="both"/>
              <w:rPr>
                <w:bCs/>
                <w:lang w:val="es-CR" w:eastAsia="es-CR"/>
              </w:rPr>
            </w:pPr>
            <w:r w:rsidRPr="00694219">
              <w:rPr>
                <w:b/>
                <w:i/>
              </w:rPr>
              <w:t>5.2.1</w:t>
            </w:r>
            <w:r w:rsidRPr="00AD2B7A">
              <w:rPr>
                <w:b/>
                <w:i/>
                <w:sz w:val="28"/>
                <w:szCs w:val="28"/>
              </w:rPr>
              <w:t>-</w:t>
            </w:r>
            <w:r w:rsidRPr="00AD2B7A">
              <w:rPr>
                <w:bCs/>
                <w:lang w:val="es-CR" w:eastAsia="es-CR"/>
              </w:rPr>
              <w:t xml:space="preserve"> </w:t>
            </w:r>
            <w:r w:rsidR="00AB6988" w:rsidRPr="00AD2B7A">
              <w:rPr>
                <w:bCs/>
                <w:lang w:val="es-CR" w:eastAsia="es-CR"/>
              </w:rPr>
              <w:t xml:space="preserve">Es criterio de esta Dirección que se recomiende la creación ordinaria de la plaza en estudio, en razón </w:t>
            </w:r>
            <w:r w:rsidR="004202EF" w:rsidRPr="00AD2B7A">
              <w:rPr>
                <w:bCs/>
                <w:lang w:val="es-CR" w:eastAsia="es-CR"/>
              </w:rPr>
              <w:t>de</w:t>
            </w:r>
            <w:r w:rsidR="00E97568" w:rsidRPr="00AD2B7A">
              <w:rPr>
                <w:bCs/>
                <w:lang w:val="es-CR" w:eastAsia="es-CR"/>
              </w:rPr>
              <w:t>l crecimiento en la cantidad de oficinas que se ha dado al Organismo de Investigación Judicial y</w:t>
            </w:r>
            <w:r w:rsidR="004202EF" w:rsidRPr="00AD2B7A">
              <w:rPr>
                <w:bCs/>
                <w:lang w:val="es-CR" w:eastAsia="es-CR"/>
              </w:rPr>
              <w:t xml:space="preserve"> la </w:t>
            </w:r>
            <w:r w:rsidR="004D6098" w:rsidRPr="00AD2B7A">
              <w:rPr>
                <w:bCs/>
                <w:lang w:val="es-CR" w:eastAsia="es-CR"/>
              </w:rPr>
              <w:t xml:space="preserve">necesidad existente para atender los casos </w:t>
            </w:r>
            <w:r w:rsidR="00E97568" w:rsidRPr="00AD2B7A">
              <w:rPr>
                <w:bCs/>
                <w:lang w:val="es-CR" w:eastAsia="es-CR"/>
              </w:rPr>
              <w:t>ordinarios. A pesar que se tenga previsto concretar el mantenimiento de esas oficinas por parte del fideicomiso con el Banco de Costa Rica, una vez construido el nuevo inmueble que albergará a las dependencias policiales del Primer Circuito Judicial de San José, los trabajos por atender son de mayor complejidad por lo que el nuevo recurso, contribuirá también en esas oficinas con los trabajos menos complejos.</w:t>
            </w:r>
          </w:p>
          <w:p w:rsidR="00E97568" w:rsidRPr="00AD2B7A" w:rsidRDefault="00E97568" w:rsidP="00857403">
            <w:pPr>
              <w:jc w:val="both"/>
              <w:rPr>
                <w:bCs/>
                <w:lang w:val="es-CR" w:eastAsia="es-CR"/>
              </w:rPr>
            </w:pPr>
          </w:p>
          <w:p w:rsidR="00E97568" w:rsidRPr="00AD2B7A" w:rsidRDefault="00E97568" w:rsidP="00857403">
            <w:pPr>
              <w:jc w:val="both"/>
              <w:rPr>
                <w:bCs/>
                <w:lang w:val="es-CR" w:eastAsia="es-CR"/>
              </w:rPr>
            </w:pPr>
            <w:r w:rsidRPr="00AD2B7A">
              <w:rPr>
                <w:bCs/>
                <w:lang w:val="es-CR" w:eastAsia="es-CR"/>
              </w:rPr>
              <w:t>A pesar de la</w:t>
            </w:r>
            <w:r w:rsidR="004D6098" w:rsidRPr="00AD2B7A">
              <w:rPr>
                <w:bCs/>
                <w:lang w:val="es-CR" w:eastAsia="es-CR"/>
              </w:rPr>
              <w:t xml:space="preserve"> </w:t>
            </w:r>
            <w:r w:rsidR="004202EF" w:rsidRPr="00AD2B7A">
              <w:rPr>
                <w:bCs/>
                <w:lang w:val="es-CR" w:eastAsia="es-CR"/>
              </w:rPr>
              <w:t>preocupación externada por la jefatura de la Sección de Mantenimiento y Construcción al existir una limitada cantidad de plazas que velen por el mantenimiento preventivo y correctivo de las diferentes oficinas del OIJ</w:t>
            </w:r>
            <w:r w:rsidRPr="00AD2B7A">
              <w:rPr>
                <w:bCs/>
                <w:lang w:val="es-CR" w:eastAsia="es-CR"/>
              </w:rPr>
              <w:t>,</w:t>
            </w:r>
            <w:r w:rsidR="004202EF" w:rsidRPr="00AD2B7A">
              <w:rPr>
                <w:bCs/>
                <w:lang w:val="es-CR" w:eastAsia="es-CR"/>
              </w:rPr>
              <w:t xml:space="preserve"> que contribuyan a minimizar los riesgos institucionales (</w:t>
            </w:r>
            <w:r w:rsidR="00AB6988" w:rsidRPr="00AD2B7A">
              <w:rPr>
                <w:bCs/>
                <w:lang w:val="es-CR" w:eastAsia="es-CR"/>
              </w:rPr>
              <w:t>instalaciones</w:t>
            </w:r>
            <w:r w:rsidR="004202EF" w:rsidRPr="00AD2B7A">
              <w:rPr>
                <w:bCs/>
                <w:lang w:val="es-CR" w:eastAsia="es-CR"/>
              </w:rPr>
              <w:t xml:space="preserve">, </w:t>
            </w:r>
            <w:r w:rsidR="00AB6988" w:rsidRPr="00AD2B7A">
              <w:rPr>
                <w:bCs/>
                <w:lang w:val="es-CR" w:eastAsia="es-CR"/>
              </w:rPr>
              <w:t>bienes y principalmente las personas</w:t>
            </w:r>
            <w:r w:rsidR="004202EF" w:rsidRPr="00AD2B7A">
              <w:rPr>
                <w:bCs/>
                <w:lang w:val="es-CR" w:eastAsia="es-CR"/>
              </w:rPr>
              <w:t>)</w:t>
            </w:r>
            <w:r w:rsidR="00AB6988" w:rsidRPr="00AD2B7A">
              <w:rPr>
                <w:bCs/>
                <w:lang w:val="es-CR" w:eastAsia="es-CR"/>
              </w:rPr>
              <w:t xml:space="preserve">, </w:t>
            </w:r>
            <w:r w:rsidR="004202EF" w:rsidRPr="00AD2B7A">
              <w:rPr>
                <w:bCs/>
                <w:lang w:val="es-CR" w:eastAsia="es-CR"/>
              </w:rPr>
              <w:t xml:space="preserve">en caso de un recalentamiento de </w:t>
            </w:r>
            <w:r w:rsidR="000B2053" w:rsidRPr="00AD2B7A">
              <w:rPr>
                <w:bCs/>
                <w:lang w:val="es-CR" w:eastAsia="es-CR"/>
              </w:rPr>
              <w:t xml:space="preserve">las instalaciones eléctricas, </w:t>
            </w:r>
            <w:r w:rsidRPr="00AD2B7A">
              <w:rPr>
                <w:bCs/>
                <w:lang w:val="es-CR" w:eastAsia="es-CR"/>
              </w:rPr>
              <w:t xml:space="preserve">se debe aclarar que el </w:t>
            </w:r>
            <w:r w:rsidR="00D34849" w:rsidRPr="00AD2B7A">
              <w:rPr>
                <w:bCs/>
                <w:lang w:val="es-CR" w:eastAsia="es-CR"/>
              </w:rPr>
              <w:t xml:space="preserve">Departamento de Servicios Generales </w:t>
            </w:r>
            <w:r w:rsidRPr="00AD2B7A">
              <w:rPr>
                <w:bCs/>
                <w:lang w:val="es-CR" w:eastAsia="es-CR"/>
              </w:rPr>
              <w:t xml:space="preserve">debe asumir los trabajos que quedaron pendientes </w:t>
            </w:r>
            <w:r w:rsidR="00D15AE5" w:rsidRPr="00AD2B7A">
              <w:rPr>
                <w:bCs/>
                <w:lang w:val="es-CR" w:eastAsia="es-CR"/>
              </w:rPr>
              <w:t>de la contratación que hace dos años se realizó para el reacondicionamiento eléctrico en el edificio</w:t>
            </w:r>
            <w:r w:rsidR="00D34849" w:rsidRPr="00AD2B7A">
              <w:rPr>
                <w:bCs/>
                <w:lang w:val="es-CR" w:eastAsia="es-CR"/>
              </w:rPr>
              <w:t xml:space="preserve">, ello para no poner en riesgo las personas que laboran en ese Edificio. </w:t>
            </w:r>
          </w:p>
          <w:p w:rsidR="0043049F" w:rsidRPr="00AD2B7A" w:rsidRDefault="0043049F" w:rsidP="00857403">
            <w:pPr>
              <w:jc w:val="both"/>
              <w:rPr>
                <w:bCs/>
                <w:lang w:val="es-CR" w:eastAsia="es-CR"/>
              </w:rPr>
            </w:pPr>
          </w:p>
          <w:p w:rsidR="0043049F" w:rsidRPr="00AD2B7A" w:rsidRDefault="0043049F" w:rsidP="00857403">
            <w:pPr>
              <w:jc w:val="both"/>
              <w:rPr>
                <w:bCs/>
                <w:lang w:val="es-CR" w:eastAsia="es-CR"/>
              </w:rPr>
            </w:pPr>
            <w:r w:rsidRPr="00694219">
              <w:rPr>
                <w:b/>
                <w:i/>
              </w:rPr>
              <w:t>5.2.</w:t>
            </w:r>
            <w:r w:rsidR="00547055" w:rsidRPr="00694219">
              <w:rPr>
                <w:b/>
                <w:i/>
              </w:rPr>
              <w:t>2.</w:t>
            </w:r>
            <w:r w:rsidRPr="00694219">
              <w:rPr>
                <w:b/>
                <w:i/>
              </w:rPr>
              <w:t>-</w:t>
            </w:r>
            <w:r w:rsidRPr="00AD2B7A">
              <w:rPr>
                <w:i/>
                <w:sz w:val="28"/>
                <w:szCs w:val="28"/>
              </w:rPr>
              <w:t xml:space="preserve"> </w:t>
            </w:r>
            <w:r w:rsidR="00AB6988" w:rsidRPr="00AD2B7A">
              <w:rPr>
                <w:bCs/>
                <w:lang w:val="es-CR" w:eastAsia="es-CR"/>
              </w:rPr>
              <w:t>Conforme a lo señalado en los puntos anteriores, se estima que las instancias decisoras deberán avalar si este recurso se incorpora o no al Presupuesto 2019, sujeto a la disponibilidad de contenido presupuestario, de conformidad con las “Directrices Técnicas para la Elaboración de la Programación Anual de Objetivos y Metas (PAOM) y el Anteproyecto de Presupuesto 2019” (oficio 1766-PLA-2017), aprobadas por el Consejo Superior en la sesión 109-17 del 5 de diciembre del 2017, artículo LXVI.</w:t>
            </w:r>
          </w:p>
          <w:p w:rsidR="004202EF" w:rsidRPr="00694219" w:rsidRDefault="004202EF" w:rsidP="00857403">
            <w:pPr>
              <w:jc w:val="both"/>
              <w:rPr>
                <w:bCs/>
                <w:lang w:val="es-CR" w:eastAsia="es-CR"/>
              </w:rPr>
            </w:pPr>
          </w:p>
          <w:p w:rsidR="00F82567" w:rsidRPr="00AD2B7A" w:rsidRDefault="00FB52FC" w:rsidP="00D34849">
            <w:pPr>
              <w:jc w:val="both"/>
              <w:rPr>
                <w:bCs/>
                <w:lang w:val="es-CR" w:eastAsia="es-CR"/>
              </w:rPr>
            </w:pPr>
            <w:r w:rsidRPr="00694219">
              <w:rPr>
                <w:b/>
                <w:i/>
              </w:rPr>
              <w:t>5.</w:t>
            </w:r>
            <w:r w:rsidR="00547055" w:rsidRPr="00694219">
              <w:rPr>
                <w:b/>
                <w:i/>
              </w:rPr>
              <w:t>2.</w:t>
            </w:r>
            <w:r w:rsidRPr="00694219">
              <w:rPr>
                <w:b/>
                <w:i/>
              </w:rPr>
              <w:t>3.-</w:t>
            </w:r>
            <w:r w:rsidRPr="00AD2B7A">
              <w:rPr>
                <w:b/>
                <w:i/>
                <w:sz w:val="28"/>
                <w:szCs w:val="28"/>
              </w:rPr>
              <w:t xml:space="preserve"> </w:t>
            </w:r>
            <w:r w:rsidRPr="00AD2B7A">
              <w:rPr>
                <w:bCs/>
                <w:lang w:val="es-CR" w:eastAsia="es-CR"/>
              </w:rPr>
              <w:t xml:space="preserve">Es necesario que los lineamientos respecto de las políticas de </w:t>
            </w:r>
            <w:r w:rsidR="000B2053" w:rsidRPr="00AD2B7A">
              <w:rPr>
                <w:bCs/>
                <w:lang w:val="es-CR" w:eastAsia="es-CR"/>
              </w:rPr>
              <w:t xml:space="preserve">mantenimiento </w:t>
            </w:r>
            <w:r w:rsidRPr="00AD2B7A">
              <w:rPr>
                <w:bCs/>
                <w:lang w:val="es-CR" w:eastAsia="es-CR"/>
              </w:rPr>
              <w:t>preven</w:t>
            </w:r>
            <w:r w:rsidR="000B2053" w:rsidRPr="00AD2B7A">
              <w:rPr>
                <w:bCs/>
                <w:lang w:val="es-CR" w:eastAsia="es-CR"/>
              </w:rPr>
              <w:t xml:space="preserve">tivo y correctivo </w:t>
            </w:r>
            <w:r w:rsidRPr="00AD2B7A">
              <w:rPr>
                <w:bCs/>
                <w:lang w:val="es-CR" w:eastAsia="es-CR"/>
              </w:rPr>
              <w:t>que se determinen por parte de la Sección de Mantenimiento y Construcción</w:t>
            </w:r>
            <w:r w:rsidR="00B8429F" w:rsidRPr="00AD2B7A">
              <w:rPr>
                <w:bCs/>
                <w:lang w:val="es-CR" w:eastAsia="es-CR"/>
              </w:rPr>
              <w:t>,</w:t>
            </w:r>
            <w:r w:rsidRPr="00AD2B7A">
              <w:rPr>
                <w:bCs/>
                <w:lang w:val="es-CR" w:eastAsia="es-CR"/>
              </w:rPr>
              <w:t xml:space="preserve"> se</w:t>
            </w:r>
            <w:r w:rsidR="00B8429F" w:rsidRPr="00AD2B7A">
              <w:rPr>
                <w:bCs/>
                <w:lang w:val="es-CR" w:eastAsia="es-CR"/>
              </w:rPr>
              <w:t xml:space="preserve">an replicadas por el </w:t>
            </w:r>
            <w:r w:rsidRPr="00AD2B7A">
              <w:rPr>
                <w:bCs/>
                <w:lang w:val="es-CR" w:eastAsia="es-CR"/>
              </w:rPr>
              <w:t>personal Técnico Especializado adscrito a la Administración del OIJ</w:t>
            </w:r>
            <w:r w:rsidR="00B8429F" w:rsidRPr="00AD2B7A">
              <w:rPr>
                <w:bCs/>
                <w:lang w:val="es-CR" w:eastAsia="es-CR"/>
              </w:rPr>
              <w:t>,</w:t>
            </w:r>
            <w:r w:rsidRPr="00AD2B7A">
              <w:rPr>
                <w:bCs/>
                <w:lang w:val="es-CR" w:eastAsia="es-CR"/>
              </w:rPr>
              <w:t xml:space="preserve"> para prever cualquier imprevisto en esas áreas</w:t>
            </w:r>
            <w:r w:rsidR="003B4AE8" w:rsidRPr="00AD2B7A">
              <w:rPr>
                <w:bCs/>
                <w:lang w:val="es-CR" w:eastAsia="es-CR"/>
              </w:rPr>
              <w:t>, por lo que debe existir una constante comunicación</w:t>
            </w:r>
            <w:r w:rsidR="00DD0085" w:rsidRPr="00AD2B7A">
              <w:rPr>
                <w:bCs/>
                <w:lang w:val="es-CR" w:eastAsia="es-CR"/>
              </w:rPr>
              <w:t xml:space="preserve"> por parte de ambos Técnicos Especializados 5</w:t>
            </w:r>
            <w:r w:rsidR="003B4AE8" w:rsidRPr="00AD2B7A">
              <w:rPr>
                <w:bCs/>
                <w:lang w:val="es-CR" w:eastAsia="es-CR"/>
              </w:rPr>
              <w:t xml:space="preserve"> con la jefatura de la Sección de Mantenimiento</w:t>
            </w:r>
            <w:r w:rsidRPr="00AD2B7A">
              <w:rPr>
                <w:bCs/>
                <w:lang w:val="es-CR" w:eastAsia="es-CR"/>
              </w:rPr>
              <w:t>.</w:t>
            </w:r>
            <w:bookmarkStart w:id="1" w:name="_GoBack"/>
            <w:bookmarkEnd w:id="1"/>
          </w:p>
        </w:tc>
      </w:tr>
      <w:tr w:rsidR="00A4667A" w:rsidRPr="008856D3" w:rsidTr="00B20331">
        <w:trPr>
          <w:trHeight w:val="279"/>
        </w:trPr>
        <w:tc>
          <w:tcPr>
            <w:tcW w:w="2518" w:type="dxa"/>
            <w:shd w:val="clear" w:color="auto" w:fill="B3B3B3"/>
          </w:tcPr>
          <w:p w:rsidR="00A4667A" w:rsidRPr="00DE5FEF" w:rsidRDefault="00A4667A" w:rsidP="00F77F8B">
            <w:pPr>
              <w:jc w:val="right"/>
              <w:rPr>
                <w:b/>
              </w:rPr>
            </w:pPr>
            <w:r w:rsidRPr="00DE5FEF">
              <w:rPr>
                <w:b/>
              </w:rPr>
              <w:t>Realizado por:</w:t>
            </w:r>
          </w:p>
        </w:tc>
        <w:tc>
          <w:tcPr>
            <w:tcW w:w="8080" w:type="dxa"/>
          </w:tcPr>
          <w:p w:rsidR="00A4667A" w:rsidRPr="00AD2B7A" w:rsidRDefault="001F03F4" w:rsidP="00F77F8B">
            <w:pPr>
              <w:pStyle w:val="Cuerpodetexto"/>
              <w:spacing w:after="0" w:line="240" w:lineRule="auto"/>
              <w:jc w:val="both"/>
              <w:rPr>
                <w:bCs/>
                <w:i/>
                <w:color w:val="5B9BD5"/>
              </w:rPr>
            </w:pPr>
            <w:r w:rsidRPr="00AD2B7A">
              <w:rPr>
                <w:bCs/>
                <w:i/>
              </w:rPr>
              <w:t>Lic</w:t>
            </w:r>
            <w:r w:rsidR="007F4D28" w:rsidRPr="00AD2B7A">
              <w:rPr>
                <w:bCs/>
                <w:i/>
              </w:rPr>
              <w:t xml:space="preserve">da. </w:t>
            </w:r>
            <w:r w:rsidR="00547055" w:rsidRPr="00AD2B7A">
              <w:rPr>
                <w:bCs/>
                <w:i/>
              </w:rPr>
              <w:t>Ginethe Retana Ureña</w:t>
            </w:r>
            <w:r w:rsidR="00A4667A" w:rsidRPr="00AD2B7A">
              <w:rPr>
                <w:bCs/>
                <w:i/>
              </w:rPr>
              <w:t xml:space="preserve">, </w:t>
            </w:r>
            <w:r w:rsidR="00547055" w:rsidRPr="00AD2B7A">
              <w:rPr>
                <w:bCs/>
                <w:i/>
              </w:rPr>
              <w:t>Coordinadora de Unidad 3</w:t>
            </w:r>
          </w:p>
        </w:tc>
      </w:tr>
      <w:tr w:rsidR="00A4667A" w:rsidRPr="00723CF6" w:rsidTr="00B20331">
        <w:trPr>
          <w:trHeight w:val="279"/>
        </w:trPr>
        <w:tc>
          <w:tcPr>
            <w:tcW w:w="2518" w:type="dxa"/>
            <w:shd w:val="clear" w:color="auto" w:fill="B3B3B3"/>
          </w:tcPr>
          <w:p w:rsidR="00A4667A" w:rsidRPr="00DE5FEF" w:rsidRDefault="00A4667A" w:rsidP="00F77F8B">
            <w:pPr>
              <w:jc w:val="right"/>
              <w:rPr>
                <w:b/>
              </w:rPr>
            </w:pPr>
            <w:r w:rsidRPr="00DE5FEF">
              <w:rPr>
                <w:b/>
              </w:rPr>
              <w:t>Aprobado por:</w:t>
            </w:r>
          </w:p>
        </w:tc>
        <w:tc>
          <w:tcPr>
            <w:tcW w:w="8080" w:type="dxa"/>
          </w:tcPr>
          <w:p w:rsidR="00A4667A" w:rsidRPr="00AD2B7A" w:rsidRDefault="007F4D28" w:rsidP="00B20331">
            <w:pPr>
              <w:pStyle w:val="Cuerpodetexto"/>
              <w:spacing w:after="0" w:line="240" w:lineRule="auto"/>
              <w:jc w:val="both"/>
              <w:rPr>
                <w:bCs/>
                <w:i/>
                <w:color w:val="5B9BD5"/>
                <w:lang w:val="es-ES" w:bidi="ar-SA"/>
              </w:rPr>
            </w:pPr>
            <w:r w:rsidRPr="00AD2B7A">
              <w:rPr>
                <w:bCs/>
                <w:i/>
              </w:rPr>
              <w:t>Lic. Minor Anchía Vargas</w:t>
            </w:r>
            <w:r w:rsidR="00A4667A" w:rsidRPr="00AD2B7A">
              <w:rPr>
                <w:bCs/>
                <w:i/>
              </w:rPr>
              <w:t xml:space="preserve">, Jefe </w:t>
            </w:r>
            <w:r w:rsidR="00D7772A">
              <w:rPr>
                <w:bCs/>
                <w:i/>
              </w:rPr>
              <w:t xml:space="preserve">a.i. </w:t>
            </w:r>
            <w:r w:rsidR="00A4667A" w:rsidRPr="00AD2B7A">
              <w:rPr>
                <w:bCs/>
                <w:i/>
              </w:rPr>
              <w:t>Subproceso Organización Institucional</w:t>
            </w:r>
          </w:p>
        </w:tc>
      </w:tr>
      <w:tr w:rsidR="00A4667A" w:rsidRPr="00723CF6" w:rsidTr="00B20331">
        <w:trPr>
          <w:trHeight w:val="294"/>
        </w:trPr>
        <w:tc>
          <w:tcPr>
            <w:tcW w:w="2518" w:type="dxa"/>
            <w:shd w:val="clear" w:color="auto" w:fill="B3B3B3"/>
          </w:tcPr>
          <w:p w:rsidR="00A4667A" w:rsidRPr="00DE5FEF" w:rsidRDefault="00A4667A" w:rsidP="00F77F8B">
            <w:pPr>
              <w:jc w:val="right"/>
              <w:rPr>
                <w:b/>
              </w:rPr>
            </w:pPr>
            <w:r w:rsidRPr="00DE5FEF">
              <w:rPr>
                <w:b/>
              </w:rPr>
              <w:t>Visto bueno:</w:t>
            </w:r>
          </w:p>
        </w:tc>
        <w:tc>
          <w:tcPr>
            <w:tcW w:w="8080" w:type="dxa"/>
          </w:tcPr>
          <w:p w:rsidR="00A4667A" w:rsidRPr="00AD2B7A" w:rsidRDefault="00A4667A" w:rsidP="00F77F8B">
            <w:pPr>
              <w:suppressLineNumbers/>
              <w:tabs>
                <w:tab w:val="left" w:pos="708"/>
              </w:tabs>
              <w:suppressAutoHyphens/>
              <w:jc w:val="both"/>
              <w:rPr>
                <w:bCs/>
                <w:i/>
                <w:color w:val="5B9BD5"/>
              </w:rPr>
            </w:pPr>
            <w:r w:rsidRPr="00AD2B7A">
              <w:rPr>
                <w:bCs/>
                <w:i/>
              </w:rPr>
              <w:t xml:space="preserve">Licda. Nacira Valverde Bermúdez, Directora </w:t>
            </w:r>
            <w:r w:rsidR="00D7772A">
              <w:rPr>
                <w:bCs/>
                <w:i/>
              </w:rPr>
              <w:t xml:space="preserve">a.i. </w:t>
            </w:r>
            <w:r w:rsidRPr="00AD2B7A">
              <w:rPr>
                <w:bCs/>
                <w:i/>
              </w:rPr>
              <w:t>de Planificación</w:t>
            </w:r>
          </w:p>
        </w:tc>
      </w:tr>
    </w:tbl>
    <w:p w:rsidR="00B20331" w:rsidRDefault="00B20331" w:rsidP="00A4667A">
      <w:pPr>
        <w:rPr>
          <w:rFonts w:cs="Arial"/>
          <w:color w:val="5B9BD5"/>
          <w:lang w:val="es-ES_tradnl"/>
        </w:rPr>
      </w:pPr>
    </w:p>
    <w:p w:rsidR="00AD2B7A" w:rsidRDefault="00AD2B7A" w:rsidP="00A4667A">
      <w:pPr>
        <w:rPr>
          <w:rFonts w:cs="Arial"/>
          <w:lang w:val="es-ES_tradnl"/>
        </w:rPr>
      </w:pPr>
      <w:proofErr w:type="gramStart"/>
      <w:r>
        <w:rPr>
          <w:rFonts w:cs="Arial"/>
          <w:lang w:val="es-ES_tradnl"/>
        </w:rPr>
        <w:t>p</w:t>
      </w:r>
      <w:r w:rsidRPr="00AD2B7A">
        <w:rPr>
          <w:rFonts w:cs="Arial"/>
          <w:lang w:val="es-ES_tradnl"/>
        </w:rPr>
        <w:t>vv</w:t>
      </w:r>
      <w:proofErr w:type="gramEnd"/>
    </w:p>
    <w:p w:rsidR="00AD2B7A" w:rsidRPr="00AD2B7A" w:rsidRDefault="00AD2B7A" w:rsidP="00A4667A">
      <w:pPr>
        <w:rPr>
          <w:rFonts w:cs="Arial"/>
          <w:lang w:val="es-ES_tradnl"/>
        </w:rPr>
      </w:pPr>
    </w:p>
    <w:p w:rsidR="00680E83" w:rsidRPr="00A60763" w:rsidRDefault="00680E83" w:rsidP="00A4667A">
      <w:pPr>
        <w:rPr>
          <w:rFonts w:cs="Arial"/>
          <w:b/>
          <w:lang w:val="es-ES_tradnl"/>
        </w:rPr>
      </w:pPr>
      <w:r w:rsidRPr="00A60763">
        <w:rPr>
          <w:rFonts w:cs="Arial"/>
          <w:b/>
          <w:lang w:val="es-ES_tradnl"/>
        </w:rPr>
        <w:t>Referencia SICE: 12-18.</w:t>
      </w:r>
    </w:p>
    <w:sectPr w:rsidR="00680E83" w:rsidRPr="00A60763" w:rsidSect="00C538E8">
      <w:headerReference w:type="default" r:id="rId13"/>
      <w:footerReference w:type="default" r:id="rId14"/>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5E" w:rsidRDefault="00663F5E" w:rsidP="00A4667A">
      <w:r>
        <w:separator/>
      </w:r>
    </w:p>
  </w:endnote>
  <w:endnote w:type="continuationSeparator" w:id="0">
    <w:p w:rsidR="00663F5E" w:rsidRDefault="00663F5E"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4202EF" w:rsidRDefault="00DA2B6B">
        <w:pPr>
          <w:pStyle w:val="Piedepgina"/>
          <w:jc w:val="right"/>
        </w:pPr>
        <w:r>
          <w:fldChar w:fldCharType="begin"/>
        </w:r>
        <w:r w:rsidR="004202EF">
          <w:instrText xml:space="preserve"> PAGE   \* MERGEFORMAT </w:instrText>
        </w:r>
        <w:r>
          <w:fldChar w:fldCharType="separate"/>
        </w:r>
        <w:r w:rsidR="00811C5D">
          <w:rPr>
            <w:noProof/>
          </w:rPr>
          <w:t>12</w:t>
        </w:r>
        <w:r>
          <w:rPr>
            <w:noProof/>
          </w:rPr>
          <w:fldChar w:fldCharType="end"/>
        </w:r>
      </w:p>
    </w:sdtContent>
  </w:sdt>
  <w:p w:rsidR="004202EF" w:rsidRDefault="004202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5E" w:rsidRDefault="00663F5E" w:rsidP="00A4667A">
      <w:r>
        <w:separator/>
      </w:r>
    </w:p>
  </w:footnote>
  <w:footnote w:type="continuationSeparator" w:id="0">
    <w:p w:rsidR="00663F5E" w:rsidRDefault="00663F5E" w:rsidP="00A4667A">
      <w:r>
        <w:continuationSeparator/>
      </w:r>
    </w:p>
  </w:footnote>
  <w:footnote w:id="1">
    <w:p w:rsidR="00031E3B" w:rsidRPr="00A60763" w:rsidRDefault="00031E3B" w:rsidP="00A60763">
      <w:pPr>
        <w:pStyle w:val="Textonotapie"/>
        <w:jc w:val="both"/>
        <w:rPr>
          <w:lang w:val="es-CR"/>
        </w:rPr>
      </w:pPr>
      <w:r w:rsidRPr="00B921D6">
        <w:rPr>
          <w:rStyle w:val="Refdenotaalpie"/>
        </w:rPr>
        <w:footnoteRef/>
      </w:r>
      <w:r w:rsidRPr="00B921D6">
        <w:t xml:space="preserve"> </w:t>
      </w:r>
      <w:r w:rsidRPr="00B921D6">
        <w:rPr>
          <w:lang w:val="es-CR"/>
        </w:rPr>
        <w:t>La Administración del OIJ tiene adscrito</w:t>
      </w:r>
      <w:r w:rsidR="004F70B9" w:rsidRPr="00B921D6">
        <w:rPr>
          <w:lang w:val="es-CR"/>
        </w:rPr>
        <w:t>s</w:t>
      </w:r>
      <w:r w:rsidRPr="00B921D6">
        <w:rPr>
          <w:lang w:val="es-CR"/>
        </w:rPr>
        <w:t xml:space="preserve"> de forma ordinaria </w:t>
      </w:r>
      <w:r w:rsidR="004F70B9" w:rsidRPr="00B921D6">
        <w:rPr>
          <w:lang w:val="es-CR"/>
        </w:rPr>
        <w:t xml:space="preserve">3 </w:t>
      </w:r>
      <w:r w:rsidRPr="00B921D6">
        <w:rPr>
          <w:lang w:val="es-CR"/>
        </w:rPr>
        <w:t>puesto</w:t>
      </w:r>
      <w:r w:rsidR="004F70B9" w:rsidRPr="00B921D6">
        <w:rPr>
          <w:lang w:val="es-CR"/>
        </w:rPr>
        <w:t>s</w:t>
      </w:r>
      <w:r w:rsidRPr="00B921D6">
        <w:rPr>
          <w:lang w:val="es-CR"/>
        </w:rPr>
        <w:t xml:space="preserve"> de Técnico Especializado 5</w:t>
      </w:r>
      <w:r w:rsidR="004F70B9" w:rsidRPr="00B921D6">
        <w:rPr>
          <w:lang w:val="es-CR"/>
        </w:rPr>
        <w:t xml:space="preserve"> (369999, 43672 y 109800)</w:t>
      </w:r>
      <w:r w:rsidRPr="00B921D6">
        <w:rPr>
          <w:lang w:val="es-CR"/>
        </w:rPr>
        <w:t>, según la Relación de Puestos 2018.</w:t>
      </w:r>
      <w:r w:rsidR="006A78AD" w:rsidRPr="00A60763">
        <w:rPr>
          <w:lang w:val="es-CR"/>
        </w:rPr>
        <w:t xml:space="preserve"> De e</w:t>
      </w:r>
      <w:r w:rsidR="00B921D6" w:rsidRPr="00A60763">
        <w:rPr>
          <w:lang w:val="es-CR"/>
        </w:rPr>
        <w:t>llos, solo el puesto 43672 corresponde a la clase angosta de Obrero Especializado.</w:t>
      </w:r>
      <w:r w:rsidR="00B921D6">
        <w:rPr>
          <w:lang w:val="es-CR"/>
        </w:rPr>
        <w:t xml:space="preserve"> El otro puesto de Obrero Especializado corresponde al permiso con goce de salario analizado en este informe.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EF" w:rsidRDefault="004202EF">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DA2B6B" w:rsidRPr="00DA2B6B">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4202EF" w:rsidRPr="00BC690B" w:rsidRDefault="004202EF"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4202EF" w:rsidRPr="00BC690B" w:rsidRDefault="004202EF"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4202EF" w:rsidRPr="00BC690B" w:rsidRDefault="004202EF"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4202EF" w:rsidRPr="00BC690B" w:rsidRDefault="004202EF" w:rsidP="00F77F8B"/>
            </w:txbxContent>
          </v:textbox>
        </v:shape>
      </w:pict>
    </w:r>
  </w:p>
  <w:p w:rsidR="004202EF" w:rsidRDefault="004202EF">
    <w:pPr>
      <w:pStyle w:val="Encabezado"/>
    </w:pPr>
  </w:p>
  <w:p w:rsidR="004202EF" w:rsidRDefault="004202EF">
    <w:pPr>
      <w:pStyle w:val="Encabezado"/>
    </w:pPr>
  </w:p>
  <w:p w:rsidR="004202EF" w:rsidRDefault="004202EF">
    <w:pPr>
      <w:pStyle w:val="Encabezado"/>
      <w:pBdr>
        <w:bottom w:val="single" w:sz="12" w:space="1" w:color="auto"/>
      </w:pBdr>
    </w:pPr>
  </w:p>
  <w:p w:rsidR="004202EF" w:rsidRDefault="004202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4F0356"/>
    <w:multiLevelType w:val="hybridMultilevel"/>
    <w:tmpl w:val="65028992"/>
    <w:lvl w:ilvl="0" w:tplc="140A000D">
      <w:start w:val="1"/>
      <w:numFmt w:val="bullet"/>
      <w:lvlText w:val=""/>
      <w:lvlJc w:val="left"/>
      <w:pPr>
        <w:ind w:left="1065" w:hanging="705"/>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6EE7C91"/>
    <w:multiLevelType w:val="hybridMultilevel"/>
    <w:tmpl w:val="14403C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A435821"/>
    <w:multiLevelType w:val="hybridMultilevel"/>
    <w:tmpl w:val="55CC0A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A7A70CD"/>
    <w:multiLevelType w:val="hybridMultilevel"/>
    <w:tmpl w:val="78223334"/>
    <w:lvl w:ilvl="0" w:tplc="12664272">
      <w:numFmt w:val="bullet"/>
      <w:lvlText w:val="•"/>
      <w:lvlJc w:val="left"/>
      <w:pPr>
        <w:ind w:left="1065" w:hanging="705"/>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20">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1">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BCB24DE"/>
    <w:multiLevelType w:val="hybridMultilevel"/>
    <w:tmpl w:val="310ABF0A"/>
    <w:lvl w:ilvl="0" w:tplc="12664272">
      <w:numFmt w:val="bullet"/>
      <w:lvlText w:val="•"/>
      <w:lvlJc w:val="left"/>
      <w:pPr>
        <w:ind w:left="1065" w:hanging="705"/>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70FD6030"/>
    <w:multiLevelType w:val="hybridMultilevel"/>
    <w:tmpl w:val="42D080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35">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7">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5"/>
  </w:num>
  <w:num w:numId="4">
    <w:abstractNumId w:val="10"/>
  </w:num>
  <w:num w:numId="5">
    <w:abstractNumId w:val="17"/>
  </w:num>
  <w:num w:numId="6">
    <w:abstractNumId w:val="24"/>
  </w:num>
  <w:num w:numId="7">
    <w:abstractNumId w:val="36"/>
  </w:num>
  <w:num w:numId="8">
    <w:abstractNumId w:val="9"/>
  </w:num>
  <w:num w:numId="9">
    <w:abstractNumId w:val="11"/>
  </w:num>
  <w:num w:numId="10">
    <w:abstractNumId w:val="12"/>
  </w:num>
  <w:num w:numId="11">
    <w:abstractNumId w:val="16"/>
  </w:num>
  <w:num w:numId="12">
    <w:abstractNumId w:val="8"/>
  </w:num>
  <w:num w:numId="13">
    <w:abstractNumId w:val="5"/>
  </w:num>
  <w:num w:numId="14">
    <w:abstractNumId w:val="29"/>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25"/>
  </w:num>
  <w:num w:numId="24">
    <w:abstractNumId w:val="28"/>
  </w:num>
  <w:num w:numId="25">
    <w:abstractNumId w:val="0"/>
  </w:num>
  <w:num w:numId="26">
    <w:abstractNumId w:val="15"/>
  </w:num>
  <w:num w:numId="27">
    <w:abstractNumId w:val="39"/>
  </w:num>
  <w:num w:numId="28">
    <w:abstractNumId w:val="18"/>
  </w:num>
  <w:num w:numId="29">
    <w:abstractNumId w:val="19"/>
  </w:num>
  <w:num w:numId="30">
    <w:abstractNumId w:val="23"/>
  </w:num>
  <w:num w:numId="31">
    <w:abstractNumId w:val="3"/>
  </w:num>
  <w:num w:numId="32">
    <w:abstractNumId w:val="31"/>
  </w:num>
  <w:num w:numId="33">
    <w:abstractNumId w:val="34"/>
  </w:num>
  <w:num w:numId="34">
    <w:abstractNumId w:val="30"/>
  </w:num>
  <w:num w:numId="35">
    <w:abstractNumId w:val="6"/>
  </w:num>
  <w:num w:numId="36">
    <w:abstractNumId w:val="7"/>
  </w:num>
  <w:num w:numId="37">
    <w:abstractNumId w:val="13"/>
  </w:num>
  <w:num w:numId="38">
    <w:abstractNumId w:val="32"/>
  </w:num>
  <w:num w:numId="39">
    <w:abstractNumId w:val="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1187"/>
    <w:rsid w:val="00010E44"/>
    <w:rsid w:val="00016FD7"/>
    <w:rsid w:val="0002320F"/>
    <w:rsid w:val="0002583D"/>
    <w:rsid w:val="00031E3B"/>
    <w:rsid w:val="00032628"/>
    <w:rsid w:val="00032BEE"/>
    <w:rsid w:val="000356B2"/>
    <w:rsid w:val="0004610D"/>
    <w:rsid w:val="00053D7E"/>
    <w:rsid w:val="00054D7E"/>
    <w:rsid w:val="000776AF"/>
    <w:rsid w:val="00084F64"/>
    <w:rsid w:val="00086720"/>
    <w:rsid w:val="000907F9"/>
    <w:rsid w:val="00097F73"/>
    <w:rsid w:val="000A007A"/>
    <w:rsid w:val="000A0C0B"/>
    <w:rsid w:val="000A10A2"/>
    <w:rsid w:val="000A1214"/>
    <w:rsid w:val="000A1CC3"/>
    <w:rsid w:val="000A47F3"/>
    <w:rsid w:val="000A4BC9"/>
    <w:rsid w:val="000A7C29"/>
    <w:rsid w:val="000B2053"/>
    <w:rsid w:val="000B69EB"/>
    <w:rsid w:val="000C5297"/>
    <w:rsid w:val="000D770E"/>
    <w:rsid w:val="000E3B81"/>
    <w:rsid w:val="000F3AB4"/>
    <w:rsid w:val="001119F8"/>
    <w:rsid w:val="00112286"/>
    <w:rsid w:val="00116F9C"/>
    <w:rsid w:val="001216EE"/>
    <w:rsid w:val="0014227C"/>
    <w:rsid w:val="001425A0"/>
    <w:rsid w:val="00143204"/>
    <w:rsid w:val="00162E1F"/>
    <w:rsid w:val="001838B6"/>
    <w:rsid w:val="00190116"/>
    <w:rsid w:val="00191393"/>
    <w:rsid w:val="001A2723"/>
    <w:rsid w:val="001A5179"/>
    <w:rsid w:val="001B4047"/>
    <w:rsid w:val="001B4E44"/>
    <w:rsid w:val="001C2DBD"/>
    <w:rsid w:val="001D1674"/>
    <w:rsid w:val="001D7975"/>
    <w:rsid w:val="001E1742"/>
    <w:rsid w:val="001F03F4"/>
    <w:rsid w:val="001F4E7F"/>
    <w:rsid w:val="001F58DB"/>
    <w:rsid w:val="001F77D6"/>
    <w:rsid w:val="00200D00"/>
    <w:rsid w:val="00211EAF"/>
    <w:rsid w:val="0021334A"/>
    <w:rsid w:val="0022789F"/>
    <w:rsid w:val="00232C16"/>
    <w:rsid w:val="002361DA"/>
    <w:rsid w:val="0024621D"/>
    <w:rsid w:val="00247491"/>
    <w:rsid w:val="00251035"/>
    <w:rsid w:val="00251992"/>
    <w:rsid w:val="002525B9"/>
    <w:rsid w:val="00256F43"/>
    <w:rsid w:val="002710AF"/>
    <w:rsid w:val="002767C3"/>
    <w:rsid w:val="002815B6"/>
    <w:rsid w:val="00283011"/>
    <w:rsid w:val="00284412"/>
    <w:rsid w:val="0028547B"/>
    <w:rsid w:val="00287959"/>
    <w:rsid w:val="00294575"/>
    <w:rsid w:val="00294A15"/>
    <w:rsid w:val="00294BA7"/>
    <w:rsid w:val="00296980"/>
    <w:rsid w:val="002A0578"/>
    <w:rsid w:val="002A0A5C"/>
    <w:rsid w:val="002A4953"/>
    <w:rsid w:val="002B5224"/>
    <w:rsid w:val="002D145B"/>
    <w:rsid w:val="002D1F41"/>
    <w:rsid w:val="002D7500"/>
    <w:rsid w:val="003009E2"/>
    <w:rsid w:val="00302BF7"/>
    <w:rsid w:val="00314593"/>
    <w:rsid w:val="00316527"/>
    <w:rsid w:val="00322BA5"/>
    <w:rsid w:val="0032341C"/>
    <w:rsid w:val="0032648C"/>
    <w:rsid w:val="00326796"/>
    <w:rsid w:val="003424CB"/>
    <w:rsid w:val="003530AB"/>
    <w:rsid w:val="00357F3B"/>
    <w:rsid w:val="00364A6A"/>
    <w:rsid w:val="00374789"/>
    <w:rsid w:val="003770E6"/>
    <w:rsid w:val="0038232C"/>
    <w:rsid w:val="00382B8D"/>
    <w:rsid w:val="00384983"/>
    <w:rsid w:val="00384DC2"/>
    <w:rsid w:val="00386194"/>
    <w:rsid w:val="003862A9"/>
    <w:rsid w:val="003866D4"/>
    <w:rsid w:val="0038796E"/>
    <w:rsid w:val="00394F22"/>
    <w:rsid w:val="003B4AE8"/>
    <w:rsid w:val="003C578E"/>
    <w:rsid w:val="003D4B59"/>
    <w:rsid w:val="003D6A7D"/>
    <w:rsid w:val="003D75D8"/>
    <w:rsid w:val="003F6746"/>
    <w:rsid w:val="004062F5"/>
    <w:rsid w:val="004108C9"/>
    <w:rsid w:val="004202EF"/>
    <w:rsid w:val="0042374B"/>
    <w:rsid w:val="0043049F"/>
    <w:rsid w:val="0043230D"/>
    <w:rsid w:val="004454F1"/>
    <w:rsid w:val="00447DC7"/>
    <w:rsid w:val="00447FAE"/>
    <w:rsid w:val="00457DFF"/>
    <w:rsid w:val="00461A1F"/>
    <w:rsid w:val="004630C5"/>
    <w:rsid w:val="004649DE"/>
    <w:rsid w:val="00481950"/>
    <w:rsid w:val="00483B40"/>
    <w:rsid w:val="00485B8A"/>
    <w:rsid w:val="00486A95"/>
    <w:rsid w:val="00493817"/>
    <w:rsid w:val="00493EDD"/>
    <w:rsid w:val="004B170D"/>
    <w:rsid w:val="004B1E87"/>
    <w:rsid w:val="004B2AA9"/>
    <w:rsid w:val="004D1CF1"/>
    <w:rsid w:val="004D2A30"/>
    <w:rsid w:val="004D4FA3"/>
    <w:rsid w:val="004D6098"/>
    <w:rsid w:val="004E4D6D"/>
    <w:rsid w:val="004F16CB"/>
    <w:rsid w:val="004F1F3A"/>
    <w:rsid w:val="004F70B9"/>
    <w:rsid w:val="00500B67"/>
    <w:rsid w:val="005070F9"/>
    <w:rsid w:val="00511A01"/>
    <w:rsid w:val="00511FC2"/>
    <w:rsid w:val="00517BCF"/>
    <w:rsid w:val="005238EE"/>
    <w:rsid w:val="00523F4A"/>
    <w:rsid w:val="00524353"/>
    <w:rsid w:val="00524608"/>
    <w:rsid w:val="00527381"/>
    <w:rsid w:val="005324D5"/>
    <w:rsid w:val="005438DB"/>
    <w:rsid w:val="00547055"/>
    <w:rsid w:val="0055067B"/>
    <w:rsid w:val="0055626B"/>
    <w:rsid w:val="00565B7F"/>
    <w:rsid w:val="00573174"/>
    <w:rsid w:val="00573B3A"/>
    <w:rsid w:val="00574718"/>
    <w:rsid w:val="005854C0"/>
    <w:rsid w:val="00585B71"/>
    <w:rsid w:val="00587EAD"/>
    <w:rsid w:val="005923BC"/>
    <w:rsid w:val="00596C81"/>
    <w:rsid w:val="005A36C2"/>
    <w:rsid w:val="005A599D"/>
    <w:rsid w:val="005A7577"/>
    <w:rsid w:val="005B3F8F"/>
    <w:rsid w:val="005C080E"/>
    <w:rsid w:val="005C4135"/>
    <w:rsid w:val="005C4925"/>
    <w:rsid w:val="005C73D5"/>
    <w:rsid w:val="005D1D76"/>
    <w:rsid w:val="005D2517"/>
    <w:rsid w:val="005E3B41"/>
    <w:rsid w:val="005E7468"/>
    <w:rsid w:val="005F0DD5"/>
    <w:rsid w:val="006022FD"/>
    <w:rsid w:val="006119D4"/>
    <w:rsid w:val="00640F5B"/>
    <w:rsid w:val="00642DFF"/>
    <w:rsid w:val="00655B0D"/>
    <w:rsid w:val="006575D1"/>
    <w:rsid w:val="00663B34"/>
    <w:rsid w:val="00663F5E"/>
    <w:rsid w:val="00676F23"/>
    <w:rsid w:val="00680E83"/>
    <w:rsid w:val="006850F8"/>
    <w:rsid w:val="00692F3F"/>
    <w:rsid w:val="00694219"/>
    <w:rsid w:val="00697AF8"/>
    <w:rsid w:val="006A50B8"/>
    <w:rsid w:val="006A5CF1"/>
    <w:rsid w:val="006A78AD"/>
    <w:rsid w:val="006B43D9"/>
    <w:rsid w:val="006C20BC"/>
    <w:rsid w:val="006E13BB"/>
    <w:rsid w:val="006F01CC"/>
    <w:rsid w:val="006F03B5"/>
    <w:rsid w:val="006F2CF7"/>
    <w:rsid w:val="006F4C47"/>
    <w:rsid w:val="006F63CB"/>
    <w:rsid w:val="00704ED4"/>
    <w:rsid w:val="0070522A"/>
    <w:rsid w:val="0072089E"/>
    <w:rsid w:val="00724D93"/>
    <w:rsid w:val="007449A0"/>
    <w:rsid w:val="007455FE"/>
    <w:rsid w:val="007459EA"/>
    <w:rsid w:val="007529B0"/>
    <w:rsid w:val="00753B92"/>
    <w:rsid w:val="00755089"/>
    <w:rsid w:val="007562CF"/>
    <w:rsid w:val="00757E5E"/>
    <w:rsid w:val="00773A60"/>
    <w:rsid w:val="00776457"/>
    <w:rsid w:val="007767B2"/>
    <w:rsid w:val="007A77B4"/>
    <w:rsid w:val="007A7DA2"/>
    <w:rsid w:val="007C17F0"/>
    <w:rsid w:val="007C1D32"/>
    <w:rsid w:val="007C36BC"/>
    <w:rsid w:val="007D2105"/>
    <w:rsid w:val="007D36ED"/>
    <w:rsid w:val="007D69EA"/>
    <w:rsid w:val="007E3B89"/>
    <w:rsid w:val="007F13A9"/>
    <w:rsid w:val="007F4D28"/>
    <w:rsid w:val="007F4FD0"/>
    <w:rsid w:val="008044CF"/>
    <w:rsid w:val="00806BE8"/>
    <w:rsid w:val="00811C5D"/>
    <w:rsid w:val="00824A2E"/>
    <w:rsid w:val="0082765A"/>
    <w:rsid w:val="00831AE1"/>
    <w:rsid w:val="00847885"/>
    <w:rsid w:val="008563AE"/>
    <w:rsid w:val="00857403"/>
    <w:rsid w:val="00857A9C"/>
    <w:rsid w:val="00861C9E"/>
    <w:rsid w:val="00862DC0"/>
    <w:rsid w:val="008708D5"/>
    <w:rsid w:val="00873B20"/>
    <w:rsid w:val="00883978"/>
    <w:rsid w:val="00884007"/>
    <w:rsid w:val="008856D3"/>
    <w:rsid w:val="00886FDE"/>
    <w:rsid w:val="00890002"/>
    <w:rsid w:val="008A4367"/>
    <w:rsid w:val="008A7783"/>
    <w:rsid w:val="008B2071"/>
    <w:rsid w:val="008C0B1D"/>
    <w:rsid w:val="008C0E4F"/>
    <w:rsid w:val="008C34C5"/>
    <w:rsid w:val="008C419D"/>
    <w:rsid w:val="008D3AFE"/>
    <w:rsid w:val="008E3A68"/>
    <w:rsid w:val="008E5462"/>
    <w:rsid w:val="009218D7"/>
    <w:rsid w:val="00924709"/>
    <w:rsid w:val="009263AD"/>
    <w:rsid w:val="00930675"/>
    <w:rsid w:val="00935CE8"/>
    <w:rsid w:val="00950276"/>
    <w:rsid w:val="009502E4"/>
    <w:rsid w:val="00953B61"/>
    <w:rsid w:val="0095477B"/>
    <w:rsid w:val="0095485A"/>
    <w:rsid w:val="0095552C"/>
    <w:rsid w:val="0095651E"/>
    <w:rsid w:val="00956BE7"/>
    <w:rsid w:val="00963480"/>
    <w:rsid w:val="0097054E"/>
    <w:rsid w:val="00973E77"/>
    <w:rsid w:val="00976D52"/>
    <w:rsid w:val="00984598"/>
    <w:rsid w:val="00985A2B"/>
    <w:rsid w:val="00992ECD"/>
    <w:rsid w:val="00992FDC"/>
    <w:rsid w:val="009A1F55"/>
    <w:rsid w:val="009A36A6"/>
    <w:rsid w:val="009A572B"/>
    <w:rsid w:val="009A73E8"/>
    <w:rsid w:val="009D155C"/>
    <w:rsid w:val="009D7349"/>
    <w:rsid w:val="009F2535"/>
    <w:rsid w:val="009F5EE5"/>
    <w:rsid w:val="009F6F35"/>
    <w:rsid w:val="00A021FA"/>
    <w:rsid w:val="00A04679"/>
    <w:rsid w:val="00A04706"/>
    <w:rsid w:val="00A12FA7"/>
    <w:rsid w:val="00A24AFD"/>
    <w:rsid w:val="00A256E3"/>
    <w:rsid w:val="00A260D1"/>
    <w:rsid w:val="00A307E5"/>
    <w:rsid w:val="00A30868"/>
    <w:rsid w:val="00A31C6A"/>
    <w:rsid w:val="00A35B71"/>
    <w:rsid w:val="00A360E7"/>
    <w:rsid w:val="00A4667A"/>
    <w:rsid w:val="00A5207D"/>
    <w:rsid w:val="00A559E2"/>
    <w:rsid w:val="00A56FB0"/>
    <w:rsid w:val="00A578E0"/>
    <w:rsid w:val="00A60763"/>
    <w:rsid w:val="00A655ED"/>
    <w:rsid w:val="00A711C4"/>
    <w:rsid w:val="00A731B5"/>
    <w:rsid w:val="00A754F2"/>
    <w:rsid w:val="00A815AF"/>
    <w:rsid w:val="00A83052"/>
    <w:rsid w:val="00A8535E"/>
    <w:rsid w:val="00A8642F"/>
    <w:rsid w:val="00A87BC3"/>
    <w:rsid w:val="00A93BE5"/>
    <w:rsid w:val="00A96EA3"/>
    <w:rsid w:val="00AA23F9"/>
    <w:rsid w:val="00AA7882"/>
    <w:rsid w:val="00AB3497"/>
    <w:rsid w:val="00AB6301"/>
    <w:rsid w:val="00AB643F"/>
    <w:rsid w:val="00AB6988"/>
    <w:rsid w:val="00AB6F6E"/>
    <w:rsid w:val="00AC100A"/>
    <w:rsid w:val="00AC537C"/>
    <w:rsid w:val="00AC56B9"/>
    <w:rsid w:val="00AC5AB0"/>
    <w:rsid w:val="00AD169E"/>
    <w:rsid w:val="00AD2B7A"/>
    <w:rsid w:val="00AD5778"/>
    <w:rsid w:val="00AE0C79"/>
    <w:rsid w:val="00AE2D6E"/>
    <w:rsid w:val="00AF4AAA"/>
    <w:rsid w:val="00AF6A07"/>
    <w:rsid w:val="00B01331"/>
    <w:rsid w:val="00B0483C"/>
    <w:rsid w:val="00B10D30"/>
    <w:rsid w:val="00B163F7"/>
    <w:rsid w:val="00B20331"/>
    <w:rsid w:val="00B22CA2"/>
    <w:rsid w:val="00B27AA4"/>
    <w:rsid w:val="00B33624"/>
    <w:rsid w:val="00B3407D"/>
    <w:rsid w:val="00B343E0"/>
    <w:rsid w:val="00B4787B"/>
    <w:rsid w:val="00B5030E"/>
    <w:rsid w:val="00B531A5"/>
    <w:rsid w:val="00B718B5"/>
    <w:rsid w:val="00B73196"/>
    <w:rsid w:val="00B8429F"/>
    <w:rsid w:val="00B87D80"/>
    <w:rsid w:val="00B916E5"/>
    <w:rsid w:val="00B91F22"/>
    <w:rsid w:val="00B921D6"/>
    <w:rsid w:val="00BA10A9"/>
    <w:rsid w:val="00BB26CC"/>
    <w:rsid w:val="00BB379C"/>
    <w:rsid w:val="00BB67C5"/>
    <w:rsid w:val="00BC4CDF"/>
    <w:rsid w:val="00BD04A8"/>
    <w:rsid w:val="00BD0801"/>
    <w:rsid w:val="00BD188E"/>
    <w:rsid w:val="00BD408F"/>
    <w:rsid w:val="00BE6116"/>
    <w:rsid w:val="00C0039B"/>
    <w:rsid w:val="00C0718F"/>
    <w:rsid w:val="00C2426E"/>
    <w:rsid w:val="00C30500"/>
    <w:rsid w:val="00C32B1E"/>
    <w:rsid w:val="00C351A5"/>
    <w:rsid w:val="00C538E8"/>
    <w:rsid w:val="00C614DD"/>
    <w:rsid w:val="00C63D81"/>
    <w:rsid w:val="00C70D10"/>
    <w:rsid w:val="00C70D84"/>
    <w:rsid w:val="00C90817"/>
    <w:rsid w:val="00C91FD5"/>
    <w:rsid w:val="00CA4835"/>
    <w:rsid w:val="00CA4EAC"/>
    <w:rsid w:val="00CA6E8E"/>
    <w:rsid w:val="00CB0828"/>
    <w:rsid w:val="00CB0A0D"/>
    <w:rsid w:val="00CB306F"/>
    <w:rsid w:val="00CB36B1"/>
    <w:rsid w:val="00CB6911"/>
    <w:rsid w:val="00CC0039"/>
    <w:rsid w:val="00CC19FB"/>
    <w:rsid w:val="00CD2A40"/>
    <w:rsid w:val="00CE5333"/>
    <w:rsid w:val="00CF202F"/>
    <w:rsid w:val="00CF6A65"/>
    <w:rsid w:val="00D02FCC"/>
    <w:rsid w:val="00D03E09"/>
    <w:rsid w:val="00D0483C"/>
    <w:rsid w:val="00D071C0"/>
    <w:rsid w:val="00D07361"/>
    <w:rsid w:val="00D10A5A"/>
    <w:rsid w:val="00D15AE5"/>
    <w:rsid w:val="00D311D7"/>
    <w:rsid w:val="00D31BFE"/>
    <w:rsid w:val="00D34849"/>
    <w:rsid w:val="00D351D7"/>
    <w:rsid w:val="00D455C3"/>
    <w:rsid w:val="00D475FC"/>
    <w:rsid w:val="00D5568F"/>
    <w:rsid w:val="00D55917"/>
    <w:rsid w:val="00D710E7"/>
    <w:rsid w:val="00D7235E"/>
    <w:rsid w:val="00D7772A"/>
    <w:rsid w:val="00D81A84"/>
    <w:rsid w:val="00D847BA"/>
    <w:rsid w:val="00D901EE"/>
    <w:rsid w:val="00D91759"/>
    <w:rsid w:val="00D961C3"/>
    <w:rsid w:val="00DA0666"/>
    <w:rsid w:val="00DA2B6B"/>
    <w:rsid w:val="00DA3AE2"/>
    <w:rsid w:val="00DA7C39"/>
    <w:rsid w:val="00DC3805"/>
    <w:rsid w:val="00DC5D90"/>
    <w:rsid w:val="00DD0085"/>
    <w:rsid w:val="00DD0D59"/>
    <w:rsid w:val="00DD1A0E"/>
    <w:rsid w:val="00DD3672"/>
    <w:rsid w:val="00DF3986"/>
    <w:rsid w:val="00DF3F14"/>
    <w:rsid w:val="00DF607A"/>
    <w:rsid w:val="00E07793"/>
    <w:rsid w:val="00E14BB2"/>
    <w:rsid w:val="00E16A68"/>
    <w:rsid w:val="00E31975"/>
    <w:rsid w:val="00E36DFF"/>
    <w:rsid w:val="00E43878"/>
    <w:rsid w:val="00E525A9"/>
    <w:rsid w:val="00E529CF"/>
    <w:rsid w:val="00E55776"/>
    <w:rsid w:val="00E6121F"/>
    <w:rsid w:val="00E63CFA"/>
    <w:rsid w:val="00E8341C"/>
    <w:rsid w:val="00E93BD2"/>
    <w:rsid w:val="00E97568"/>
    <w:rsid w:val="00EB1FBE"/>
    <w:rsid w:val="00ED02CD"/>
    <w:rsid w:val="00ED0978"/>
    <w:rsid w:val="00ED2F17"/>
    <w:rsid w:val="00ED4528"/>
    <w:rsid w:val="00EF5713"/>
    <w:rsid w:val="00F01320"/>
    <w:rsid w:val="00F114AB"/>
    <w:rsid w:val="00F136F3"/>
    <w:rsid w:val="00F1513F"/>
    <w:rsid w:val="00F23A98"/>
    <w:rsid w:val="00F241F8"/>
    <w:rsid w:val="00F247C8"/>
    <w:rsid w:val="00F24D9C"/>
    <w:rsid w:val="00F271A4"/>
    <w:rsid w:val="00F35CD4"/>
    <w:rsid w:val="00F417F5"/>
    <w:rsid w:val="00F42139"/>
    <w:rsid w:val="00F50C5D"/>
    <w:rsid w:val="00F55CA5"/>
    <w:rsid w:val="00F577E4"/>
    <w:rsid w:val="00F722C2"/>
    <w:rsid w:val="00F74047"/>
    <w:rsid w:val="00F765B2"/>
    <w:rsid w:val="00F77F8B"/>
    <w:rsid w:val="00F801D6"/>
    <w:rsid w:val="00F82567"/>
    <w:rsid w:val="00FA5849"/>
    <w:rsid w:val="00FB52FC"/>
    <w:rsid w:val="00FB5C25"/>
    <w:rsid w:val="00FC56DB"/>
    <w:rsid w:val="00FD2C3E"/>
    <w:rsid w:val="00FD5753"/>
    <w:rsid w:val="00FE02A8"/>
    <w:rsid w:val="00FE0977"/>
    <w:rsid w:val="00FE2CC0"/>
    <w:rsid w:val="00FF5309"/>
    <w:rsid w:val="00FF7B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 w:type="paragraph" w:styleId="Textoindependiente3">
    <w:name w:val="Body Text 3"/>
    <w:basedOn w:val="Normal"/>
    <w:link w:val="Textoindependiente3Car"/>
    <w:rsid w:val="00001187"/>
    <w:pPr>
      <w:suppressAutoHyphens/>
      <w:spacing w:after="120"/>
    </w:pPr>
    <w:rPr>
      <w:sz w:val="16"/>
      <w:szCs w:val="16"/>
      <w:lang w:eastAsia="zh-CN"/>
    </w:rPr>
  </w:style>
  <w:style w:type="character" w:customStyle="1" w:styleId="Textoindependiente3Car">
    <w:name w:val="Texto independiente 3 Car"/>
    <w:basedOn w:val="Fuentedeprrafopredeter"/>
    <w:link w:val="Textoindependiente3"/>
    <w:rsid w:val="00001187"/>
    <w:rPr>
      <w:rFonts w:ascii="Times New Roman" w:eastAsia="Times New Roman" w:hAnsi="Times New Roman" w:cs="Times New Roman"/>
      <w:sz w:val="16"/>
      <w:szCs w:val="16"/>
      <w:lang w:val="es-ES" w:eastAsia="zh-CN"/>
    </w:rPr>
  </w:style>
  <w:style w:type="table" w:customStyle="1" w:styleId="GridTable6ColorfulAccent6">
    <w:name w:val="Grid Table 6 Colorful Accent 6"/>
    <w:basedOn w:val="Tablanormal"/>
    <w:uiPriority w:val="51"/>
    <w:rsid w:val="009D155C"/>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5">
    <w:name w:val="Grid Table 6 Colorful Accent 5"/>
    <w:basedOn w:val="Tablanormal"/>
    <w:uiPriority w:val="51"/>
    <w:rsid w:val="009D155C"/>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BBA3-A1A0-4C2B-87DF-C38D4210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3930</Words>
  <Characters>21617</Characters>
  <Application>Microsoft Office Word</Application>
  <DocSecurity>4</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2018-04-13T19:30:00Z</dcterms:created>
  <dcterms:modified xsi:type="dcterms:W3CDTF">2018-04-13T19:30:00Z</dcterms:modified>
</cp:coreProperties>
</file>