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A4667A" w:rsidP="00A4667A"/>
    <w:p w:rsidR="00A4667A" w:rsidRPr="002640EC" w:rsidRDefault="00294040" w:rsidP="00A4667A">
      <w:r w:rsidRPr="00294040">
        <w:rPr>
          <w:noProof/>
          <w:lang w:val="es-CR" w:eastAsia="es-CR"/>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6C7CBD" w:rsidRPr="007E7E35" w:rsidRDefault="00236140" w:rsidP="006C7CBD">
      <w:pPr>
        <w:jc w:val="center"/>
        <w:rPr>
          <w:b/>
          <w:sz w:val="40"/>
          <w:szCs w:val="40"/>
        </w:rPr>
      </w:pPr>
      <w:r>
        <w:rPr>
          <w:b/>
          <w:sz w:val="40"/>
          <w:szCs w:val="40"/>
        </w:rPr>
        <w:t>Sección de Delitos Económicos y Financieros del Organismo de Investigación Judicial</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6668ED" w:rsidP="00A4667A">
      <w:pPr>
        <w:jc w:val="center"/>
        <w:rPr>
          <w:rFonts w:ascii="Calibri" w:hAnsi="Calibri"/>
          <w:sz w:val="40"/>
          <w:szCs w:val="40"/>
        </w:rPr>
      </w:pPr>
      <w:r>
        <w:rPr>
          <w:rFonts w:ascii="Calibri" w:hAnsi="Calibri"/>
          <w:sz w:val="40"/>
          <w:szCs w:val="40"/>
        </w:rPr>
        <w:t>13</w:t>
      </w:r>
      <w:r w:rsidR="00EA38ED">
        <w:rPr>
          <w:rFonts w:ascii="Calibri" w:hAnsi="Calibri"/>
          <w:sz w:val="40"/>
          <w:szCs w:val="40"/>
        </w:rPr>
        <w:t xml:space="preserve"> </w:t>
      </w:r>
      <w:r w:rsidR="00A4667A" w:rsidRPr="002640EC">
        <w:rPr>
          <w:rFonts w:ascii="Calibri" w:hAnsi="Calibri"/>
          <w:sz w:val="40"/>
          <w:szCs w:val="40"/>
        </w:rPr>
        <w:t xml:space="preserve">de </w:t>
      </w:r>
      <w:r w:rsidR="00236140">
        <w:rPr>
          <w:rFonts w:ascii="Calibri" w:hAnsi="Calibri"/>
          <w:sz w:val="40"/>
          <w:szCs w:val="40"/>
        </w:rPr>
        <w:t>abril</w:t>
      </w:r>
      <w:r w:rsidR="00A4667A" w:rsidRPr="002640EC">
        <w:rPr>
          <w:rFonts w:ascii="Calibri" w:hAnsi="Calibri"/>
          <w:sz w:val="40"/>
          <w:szCs w:val="40"/>
        </w:rPr>
        <w:t xml:space="preserve"> de</w:t>
      </w:r>
      <w:r w:rsidR="00236140">
        <w:rPr>
          <w:rFonts w:ascii="Calibri" w:hAnsi="Calibri"/>
          <w:sz w:val="40"/>
          <w:szCs w:val="40"/>
        </w:rPr>
        <w:t>l</w:t>
      </w:r>
      <w:r w:rsidR="00A4667A" w:rsidRPr="002640EC">
        <w:rPr>
          <w:rFonts w:ascii="Calibri" w:hAnsi="Calibri"/>
          <w:sz w:val="40"/>
          <w:szCs w:val="40"/>
        </w:rPr>
        <w:t xml:space="preserv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4252"/>
        <w:gridCol w:w="1560"/>
        <w:gridCol w:w="2239"/>
      </w:tblGrid>
      <w:tr w:rsidR="00A4667A" w:rsidRPr="00EE5396" w:rsidTr="007A42AC">
        <w:trPr>
          <w:trHeight w:val="540"/>
        </w:trPr>
        <w:tc>
          <w:tcPr>
            <w:tcW w:w="6799" w:type="dxa"/>
            <w:gridSpan w:val="2"/>
            <w:tcBorders>
              <w:bottom w:val="single" w:sz="4" w:space="0" w:color="auto"/>
            </w:tcBorders>
            <w:shd w:val="clear" w:color="auto" w:fill="000000"/>
            <w:vAlign w:val="center"/>
          </w:tcPr>
          <w:p w:rsidR="00A4667A" w:rsidRPr="00EE5396" w:rsidRDefault="00A4667A" w:rsidP="007A42AC">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A4667A" w:rsidRPr="00EE5396" w:rsidRDefault="00A4667A" w:rsidP="007A42AC">
            <w:pPr>
              <w:jc w:val="right"/>
              <w:rPr>
                <w:b/>
                <w:sz w:val="28"/>
                <w:szCs w:val="28"/>
              </w:rPr>
            </w:pPr>
            <w:r w:rsidRPr="00EE5396">
              <w:rPr>
                <w:b/>
                <w:sz w:val="28"/>
                <w:szCs w:val="28"/>
              </w:rPr>
              <w:t>Fecha:</w:t>
            </w:r>
          </w:p>
        </w:tc>
        <w:tc>
          <w:tcPr>
            <w:tcW w:w="2239" w:type="dxa"/>
            <w:vAlign w:val="center"/>
          </w:tcPr>
          <w:p w:rsidR="00A4667A" w:rsidRPr="00EE5396" w:rsidRDefault="006668ED" w:rsidP="006668ED">
            <w:pPr>
              <w:jc w:val="right"/>
              <w:rPr>
                <w:i/>
                <w:sz w:val="28"/>
                <w:szCs w:val="28"/>
              </w:rPr>
            </w:pPr>
            <w:r>
              <w:rPr>
                <w:i/>
                <w:sz w:val="28"/>
                <w:szCs w:val="28"/>
              </w:rPr>
              <w:t>13</w:t>
            </w:r>
            <w:r w:rsidR="00A4667A" w:rsidRPr="00EE5396">
              <w:rPr>
                <w:i/>
                <w:sz w:val="28"/>
                <w:szCs w:val="28"/>
              </w:rPr>
              <w:t>/</w:t>
            </w:r>
            <w:r w:rsidR="009F7EF4">
              <w:rPr>
                <w:i/>
                <w:sz w:val="28"/>
                <w:szCs w:val="28"/>
              </w:rPr>
              <w:t>4</w:t>
            </w:r>
            <w:r w:rsidR="00A4667A" w:rsidRPr="00EE5396">
              <w:rPr>
                <w:i/>
                <w:sz w:val="28"/>
                <w:szCs w:val="28"/>
              </w:rPr>
              <w:t>/201</w:t>
            </w:r>
            <w:r w:rsidR="00316527">
              <w:rPr>
                <w:i/>
                <w:sz w:val="28"/>
                <w:szCs w:val="28"/>
              </w:rPr>
              <w:t>8</w:t>
            </w:r>
          </w:p>
        </w:tc>
      </w:tr>
      <w:tr w:rsidR="00A4667A" w:rsidRPr="00EE5396" w:rsidTr="007A42AC">
        <w:trPr>
          <w:trHeight w:val="494"/>
        </w:trPr>
        <w:tc>
          <w:tcPr>
            <w:tcW w:w="6799" w:type="dxa"/>
            <w:gridSpan w:val="2"/>
            <w:shd w:val="clear" w:color="auto" w:fill="262626"/>
            <w:vAlign w:val="center"/>
          </w:tcPr>
          <w:p w:rsidR="00A4667A" w:rsidRPr="00EE5396" w:rsidRDefault="00A4667A" w:rsidP="007A42AC">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7A42AC">
            <w:pPr>
              <w:jc w:val="right"/>
              <w:rPr>
                <w:b/>
                <w:sz w:val="28"/>
                <w:szCs w:val="28"/>
              </w:rPr>
            </w:pPr>
            <w:r w:rsidRPr="00EE5396">
              <w:rPr>
                <w:b/>
                <w:sz w:val="28"/>
                <w:szCs w:val="28"/>
              </w:rPr>
              <w:t># Informe:</w:t>
            </w:r>
          </w:p>
        </w:tc>
        <w:tc>
          <w:tcPr>
            <w:tcW w:w="2239" w:type="dxa"/>
            <w:vAlign w:val="center"/>
          </w:tcPr>
          <w:p w:rsidR="00A4667A" w:rsidRPr="00EE5396" w:rsidRDefault="00EA38ED" w:rsidP="00EA38ED">
            <w:pPr>
              <w:jc w:val="right"/>
              <w:rPr>
                <w:i/>
                <w:sz w:val="28"/>
                <w:szCs w:val="28"/>
              </w:rPr>
            </w:pPr>
            <w:r>
              <w:rPr>
                <w:i/>
                <w:sz w:val="28"/>
                <w:szCs w:val="28"/>
              </w:rPr>
              <w:t>29</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7A42AC">
        <w:trPr>
          <w:trHeight w:val="494"/>
        </w:trPr>
        <w:tc>
          <w:tcPr>
            <w:tcW w:w="2547" w:type="dxa"/>
            <w:shd w:val="clear" w:color="auto" w:fill="B3B3B3"/>
            <w:vAlign w:val="center"/>
          </w:tcPr>
          <w:p w:rsidR="00A4667A" w:rsidRPr="00EE5396" w:rsidRDefault="00A4667A" w:rsidP="007A42AC">
            <w:pPr>
              <w:jc w:val="right"/>
              <w:rPr>
                <w:b/>
                <w:sz w:val="28"/>
                <w:szCs w:val="28"/>
              </w:rPr>
            </w:pPr>
            <w:r w:rsidRPr="00EE5396">
              <w:rPr>
                <w:b/>
                <w:sz w:val="28"/>
                <w:szCs w:val="28"/>
              </w:rPr>
              <w:t>Proyecto u oficinas analizadas:</w:t>
            </w:r>
          </w:p>
        </w:tc>
        <w:tc>
          <w:tcPr>
            <w:tcW w:w="8051" w:type="dxa"/>
            <w:gridSpan w:val="3"/>
            <w:vAlign w:val="center"/>
          </w:tcPr>
          <w:p w:rsidR="00A4667A" w:rsidRPr="00EE5396" w:rsidRDefault="009F7EF4" w:rsidP="007A42AC">
            <w:pPr>
              <w:jc w:val="both"/>
              <w:rPr>
                <w:i/>
                <w:sz w:val="28"/>
                <w:szCs w:val="28"/>
              </w:rPr>
            </w:pPr>
            <w:r>
              <w:rPr>
                <w:bCs/>
                <w:i/>
                <w:sz w:val="28"/>
                <w:szCs w:val="28"/>
              </w:rPr>
              <w:t>Sección de Delitos Económicos y Financieros del Organismo de Investigación Judicial (O.I.J.)</w:t>
            </w:r>
          </w:p>
        </w:tc>
      </w:tr>
    </w:tbl>
    <w:p w:rsidR="00A4667A" w:rsidRPr="00EE5396" w:rsidRDefault="00A4667A" w:rsidP="00A4667A">
      <w:pPr>
        <w:spacing w:line="480" w:lineRule="auto"/>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486C67" w:rsidRPr="0022144A" w:rsidRDefault="00486C67" w:rsidP="009F7EF4">
            <w:pPr>
              <w:jc w:val="both"/>
              <w:rPr>
                <w:i/>
                <w:sz w:val="28"/>
                <w:szCs w:val="28"/>
              </w:rPr>
            </w:pPr>
            <w:r w:rsidRPr="008221CB">
              <w:rPr>
                <w:i/>
                <w:sz w:val="28"/>
                <w:szCs w:val="28"/>
              </w:rPr>
              <w:t>Programa 92</w:t>
            </w:r>
            <w:r w:rsidR="009F7EF4">
              <w:rPr>
                <w:i/>
                <w:sz w:val="28"/>
                <w:szCs w:val="28"/>
              </w:rPr>
              <w:t>8 Organismo de Investigación Judicial.</w:t>
            </w:r>
          </w:p>
          <w:p w:rsidR="00486C67" w:rsidRPr="0022144A" w:rsidRDefault="009F7EF4" w:rsidP="00486C67">
            <w:pPr>
              <w:numPr>
                <w:ilvl w:val="0"/>
                <w:numId w:val="25"/>
              </w:numPr>
              <w:jc w:val="both"/>
              <w:rPr>
                <w:i/>
                <w:sz w:val="28"/>
                <w:szCs w:val="28"/>
              </w:rPr>
            </w:pPr>
            <w:r>
              <w:rPr>
                <w:i/>
                <w:sz w:val="28"/>
                <w:szCs w:val="28"/>
              </w:rPr>
              <w:t>6Peritas o Peritos Judicial</w:t>
            </w:r>
            <w:r w:rsidR="005905F6">
              <w:rPr>
                <w:i/>
                <w:sz w:val="28"/>
                <w:szCs w:val="28"/>
              </w:rPr>
              <w:t>es</w:t>
            </w:r>
            <w:r w:rsidR="00E167C7">
              <w:rPr>
                <w:i/>
                <w:sz w:val="28"/>
                <w:szCs w:val="28"/>
              </w:rPr>
              <w:t xml:space="preserve"> 2</w:t>
            </w:r>
            <w:r>
              <w:rPr>
                <w:i/>
                <w:sz w:val="28"/>
                <w:szCs w:val="28"/>
              </w:rPr>
              <w:t xml:space="preserve"> de la Sección de Delitos Económicos y Financieros del O.I.J.</w:t>
            </w:r>
            <w:r w:rsidR="005905F6">
              <w:rPr>
                <w:i/>
                <w:sz w:val="28"/>
                <w:szCs w:val="28"/>
              </w:rPr>
              <w:t>, creados bajo la modalidad de permiso con goce de salario y sustitución.</w:t>
            </w:r>
          </w:p>
          <w:p w:rsidR="00A4667A" w:rsidRPr="004B1300" w:rsidRDefault="00A4667A" w:rsidP="009F7EF4">
            <w:pPr>
              <w:ind w:left="720"/>
              <w:jc w:val="both"/>
              <w:rPr>
                <w:bCs/>
                <w:sz w:val="16"/>
                <w:szCs w:val="16"/>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675B1D">
              <w:rPr>
                <w:b/>
                <w:sz w:val="28"/>
                <w:szCs w:val="28"/>
              </w:rPr>
              <w:t>Planteada</w:t>
            </w:r>
          </w:p>
        </w:tc>
        <w:tc>
          <w:tcPr>
            <w:tcW w:w="8080" w:type="dxa"/>
          </w:tcPr>
          <w:p w:rsidR="0086682A" w:rsidRDefault="0086682A" w:rsidP="0086682A">
            <w:pPr>
              <w:jc w:val="both"/>
              <w:rPr>
                <w:i/>
                <w:iCs/>
                <w:sz w:val="28"/>
                <w:szCs w:val="28"/>
              </w:rPr>
            </w:pPr>
            <w:r>
              <w:rPr>
                <w:i/>
                <w:iCs/>
                <w:sz w:val="28"/>
                <w:szCs w:val="28"/>
              </w:rPr>
              <w:t>En la sesión 112-17 celebrada el 14 de diciembre del 2017, artículo LXXXIII, el Consejo Superior conoció el oficio 1449-DG-2017/Ref.1738 de la Dirección General del OIJ, donde solicitó aprobar la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r>
              <w:rPr>
                <w:rStyle w:val="Refdenotaalpie"/>
                <w:b/>
                <w:bCs/>
                <w:i/>
                <w:iCs/>
                <w:sz w:val="28"/>
              </w:rPr>
              <w:footnoteReference w:customMarkFollows="1" w:id="1"/>
              <w:t>[1]</w:t>
            </w:r>
            <w:r>
              <w:rPr>
                <w:i/>
                <w:iCs/>
                <w:sz w:val="28"/>
                <w:szCs w:val="28"/>
              </w:rPr>
              <w:t xml:space="preserve">. </w:t>
            </w:r>
            <w:r>
              <w:rPr>
                <w:b/>
                <w:bCs/>
                <w:i/>
                <w:iCs/>
                <w:sz w:val="28"/>
                <w:szCs w:val="28"/>
              </w:rPr>
              <w:t>En total, la Dirección General solicita la continuidad de 78 plazas para fortalecer la gestión de siete dependencias del O</w:t>
            </w:r>
            <w:r w:rsidR="000C7249">
              <w:rPr>
                <w:b/>
                <w:bCs/>
                <w:i/>
                <w:iCs/>
                <w:sz w:val="28"/>
                <w:szCs w:val="28"/>
              </w:rPr>
              <w:t>.</w:t>
            </w:r>
            <w:r>
              <w:rPr>
                <w:b/>
                <w:bCs/>
                <w:i/>
                <w:iCs/>
                <w:sz w:val="28"/>
                <w:szCs w:val="28"/>
              </w:rPr>
              <w:t>I</w:t>
            </w:r>
            <w:r w:rsidR="000C7249">
              <w:rPr>
                <w:b/>
                <w:bCs/>
                <w:i/>
                <w:iCs/>
                <w:sz w:val="28"/>
                <w:szCs w:val="28"/>
              </w:rPr>
              <w:t>.</w:t>
            </w:r>
            <w:r>
              <w:rPr>
                <w:b/>
                <w:bCs/>
                <w:i/>
                <w:iCs/>
                <w:sz w:val="28"/>
                <w:szCs w:val="28"/>
              </w:rPr>
              <w:t>J</w:t>
            </w:r>
            <w:r w:rsidR="000C7249">
              <w:rPr>
                <w:b/>
                <w:bCs/>
                <w:i/>
                <w:iCs/>
                <w:sz w:val="28"/>
                <w:szCs w:val="28"/>
              </w:rPr>
              <w:t>.</w:t>
            </w:r>
            <w:r>
              <w:rPr>
                <w:rStyle w:val="Refdenotaalpie"/>
                <w:b/>
                <w:bCs/>
                <w:i/>
                <w:iCs/>
                <w:sz w:val="28"/>
              </w:rPr>
              <w:footnoteReference w:customMarkFollows="1" w:id="2"/>
              <w:t>[2]</w:t>
            </w:r>
            <w:r>
              <w:rPr>
                <w:b/>
                <w:bCs/>
                <w:i/>
                <w:iCs/>
                <w:sz w:val="28"/>
                <w:szCs w:val="28"/>
              </w:rPr>
              <w:t xml:space="preserve">. </w:t>
            </w:r>
            <w:r>
              <w:rPr>
                <w:i/>
                <w:iCs/>
                <w:sz w:val="28"/>
                <w:szCs w:val="28"/>
              </w:rPr>
              <w:t xml:space="preserve">Al respecto, el Consejo Superior acordó convocar a los Directores de Planificación y de Gestión Humana, a fin de que informaran sobre la situación de las plazas referidas. </w:t>
            </w:r>
          </w:p>
          <w:p w:rsidR="0086682A" w:rsidRDefault="0086682A" w:rsidP="0086682A">
            <w:pPr>
              <w:rPr>
                <w:i/>
                <w:iCs/>
                <w:sz w:val="28"/>
                <w:szCs w:val="28"/>
              </w:rPr>
            </w:pPr>
          </w:p>
          <w:p w:rsidR="002029C6" w:rsidRDefault="002029C6" w:rsidP="0086682A">
            <w:pPr>
              <w:rPr>
                <w:i/>
                <w:iCs/>
                <w:sz w:val="28"/>
                <w:szCs w:val="28"/>
              </w:rPr>
            </w:pPr>
          </w:p>
          <w:p w:rsidR="002029C6" w:rsidRDefault="002029C6" w:rsidP="0086682A">
            <w:pPr>
              <w:rPr>
                <w:i/>
                <w:iCs/>
                <w:sz w:val="28"/>
                <w:szCs w:val="28"/>
              </w:rPr>
            </w:pPr>
          </w:p>
          <w:p w:rsidR="0086682A" w:rsidRDefault="0086682A" w:rsidP="0086682A">
            <w:pPr>
              <w:jc w:val="both"/>
              <w:rPr>
                <w:i/>
                <w:iCs/>
                <w:sz w:val="28"/>
                <w:szCs w:val="28"/>
              </w:rPr>
            </w:pPr>
            <w:r>
              <w:rPr>
                <w:i/>
                <w:iCs/>
                <w:sz w:val="28"/>
                <w:szCs w:val="28"/>
              </w:rPr>
              <w:lastRenderedPageBreak/>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rsidR="0086682A" w:rsidRDefault="0086682A" w:rsidP="0086682A">
            <w:pPr>
              <w:jc w:val="both"/>
              <w:rPr>
                <w:i/>
                <w:iCs/>
                <w:sz w:val="28"/>
                <w:szCs w:val="28"/>
              </w:rPr>
            </w:pPr>
          </w:p>
          <w:p w:rsidR="0086682A" w:rsidRDefault="0086682A" w:rsidP="0086682A">
            <w:pPr>
              <w:jc w:val="both"/>
              <w:rPr>
                <w:i/>
                <w:iCs/>
                <w:sz w:val="28"/>
                <w:szCs w:val="28"/>
              </w:rPr>
            </w:pPr>
            <w:r>
              <w:rPr>
                <w:i/>
                <w:iCs/>
                <w:sz w:val="28"/>
                <w:szCs w:val="28"/>
              </w:rPr>
              <w:t xml:space="preserve">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 </w:t>
            </w:r>
          </w:p>
          <w:p w:rsidR="0086682A" w:rsidRDefault="0086682A" w:rsidP="0086682A">
            <w:pPr>
              <w:jc w:val="both"/>
              <w:rPr>
                <w:i/>
                <w:iCs/>
                <w:sz w:val="28"/>
                <w:szCs w:val="28"/>
              </w:rPr>
            </w:pPr>
          </w:p>
          <w:p w:rsidR="0086682A" w:rsidRDefault="0086682A" w:rsidP="0086682A">
            <w:pPr>
              <w:jc w:val="both"/>
              <w:rPr>
                <w:b/>
                <w:bCs/>
                <w:i/>
                <w:iCs/>
                <w:sz w:val="28"/>
                <w:szCs w:val="28"/>
              </w:rPr>
            </w:pPr>
            <w:r>
              <w:rPr>
                <w:b/>
                <w:bCs/>
                <w:i/>
                <w:iCs/>
                <w:sz w:val="28"/>
                <w:szCs w:val="28"/>
              </w:rPr>
              <w:t xml:space="preserve">Como parte de esos recursos, se tiene la solicitud de </w:t>
            </w:r>
            <w:r w:rsidR="00E167C7" w:rsidRPr="000C7249">
              <w:rPr>
                <w:b/>
                <w:bCs/>
                <w:i/>
                <w:iCs/>
                <w:sz w:val="28"/>
                <w:szCs w:val="28"/>
              </w:rPr>
              <w:t xml:space="preserve">6 </w:t>
            </w:r>
            <w:r w:rsidRPr="000C7249">
              <w:rPr>
                <w:b/>
                <w:bCs/>
                <w:i/>
                <w:iCs/>
                <w:sz w:val="28"/>
                <w:szCs w:val="28"/>
              </w:rPr>
              <w:t>plaza</w:t>
            </w:r>
            <w:r w:rsidR="00E167C7" w:rsidRPr="000C7249">
              <w:rPr>
                <w:b/>
                <w:bCs/>
                <w:i/>
                <w:iCs/>
                <w:sz w:val="28"/>
                <w:szCs w:val="28"/>
              </w:rPr>
              <w:t>s</w:t>
            </w:r>
            <w:r w:rsidRPr="000C7249">
              <w:rPr>
                <w:b/>
                <w:bCs/>
                <w:i/>
                <w:iCs/>
                <w:sz w:val="28"/>
                <w:szCs w:val="28"/>
              </w:rPr>
              <w:t xml:space="preserve"> de</w:t>
            </w:r>
            <w:r w:rsidR="000C7249" w:rsidRPr="000C7249">
              <w:rPr>
                <w:b/>
                <w:bCs/>
                <w:i/>
                <w:iCs/>
                <w:sz w:val="28"/>
                <w:szCs w:val="28"/>
              </w:rPr>
              <w:t xml:space="preserve"> Perita o Perito Judicial 2 </w:t>
            </w:r>
            <w:r w:rsidRPr="000C7249">
              <w:rPr>
                <w:b/>
                <w:bCs/>
                <w:i/>
                <w:iCs/>
                <w:sz w:val="28"/>
                <w:szCs w:val="28"/>
              </w:rPr>
              <w:t xml:space="preserve">para </w:t>
            </w:r>
            <w:r w:rsidR="000C7249" w:rsidRPr="000C7249">
              <w:rPr>
                <w:b/>
                <w:bCs/>
                <w:i/>
                <w:iCs/>
                <w:sz w:val="28"/>
                <w:szCs w:val="28"/>
              </w:rPr>
              <w:t xml:space="preserve">la Sección de Delitos Económicos y Financieros del </w:t>
            </w:r>
            <w:r w:rsidRPr="000C7249">
              <w:rPr>
                <w:b/>
                <w:bCs/>
                <w:i/>
                <w:iCs/>
                <w:sz w:val="28"/>
                <w:szCs w:val="28"/>
              </w:rPr>
              <w:t>O</w:t>
            </w:r>
            <w:r w:rsidR="000C7249" w:rsidRPr="000C7249">
              <w:rPr>
                <w:b/>
                <w:bCs/>
                <w:i/>
                <w:iCs/>
                <w:sz w:val="28"/>
                <w:szCs w:val="28"/>
              </w:rPr>
              <w:t>.</w:t>
            </w:r>
            <w:r w:rsidRPr="000C7249">
              <w:rPr>
                <w:b/>
                <w:bCs/>
                <w:i/>
                <w:iCs/>
                <w:sz w:val="28"/>
                <w:szCs w:val="28"/>
              </w:rPr>
              <w:t>I</w:t>
            </w:r>
            <w:r w:rsidR="000C7249" w:rsidRPr="000C7249">
              <w:rPr>
                <w:b/>
                <w:bCs/>
                <w:i/>
                <w:iCs/>
                <w:sz w:val="28"/>
                <w:szCs w:val="28"/>
              </w:rPr>
              <w:t>.</w:t>
            </w:r>
            <w:r w:rsidRPr="000C7249">
              <w:rPr>
                <w:b/>
                <w:bCs/>
                <w:i/>
                <w:iCs/>
                <w:sz w:val="28"/>
                <w:szCs w:val="28"/>
              </w:rPr>
              <w:t>J.</w:t>
            </w:r>
          </w:p>
          <w:p w:rsidR="0086682A" w:rsidRDefault="0086682A" w:rsidP="0086682A">
            <w:pPr>
              <w:jc w:val="both"/>
              <w:rPr>
                <w:i/>
                <w:iCs/>
                <w:sz w:val="28"/>
                <w:szCs w:val="28"/>
              </w:rPr>
            </w:pPr>
          </w:p>
          <w:p w:rsidR="0086682A" w:rsidRDefault="0086682A" w:rsidP="0086682A">
            <w:pPr>
              <w:jc w:val="both"/>
              <w:rPr>
                <w:i/>
                <w:iCs/>
                <w:sz w:val="28"/>
                <w:szCs w:val="28"/>
              </w:rPr>
            </w:pPr>
            <w:r>
              <w:rPr>
                <w:i/>
                <w:iCs/>
                <w:sz w:val="28"/>
                <w:szCs w:val="28"/>
              </w:rPr>
              <w:t>En razón de la permanencia y continuidad de los permisos con goce de salario avalados por el Consejo Superior, la Dirección de Planificación procede a analizar las solicitudes a través de los informes de requerimiento humano para el 2019. Cabe señalar que algunas de estas plazas han sido atendidas en diferentes estudios de estructura elaborados por la Dirección de Planificación, situación que será considerada dentro de las valoraciones por realizar, a fin de atender las necesidades referidas por la Dirección del Organismo de Investigación Judicial.</w:t>
            </w:r>
          </w:p>
          <w:p w:rsidR="00DD6A8A" w:rsidRPr="004B1300" w:rsidRDefault="00DD6A8A" w:rsidP="00757E5E">
            <w:pPr>
              <w:widowControl w:val="0"/>
              <w:jc w:val="both"/>
              <w:rPr>
                <w:i/>
                <w:sz w:val="28"/>
                <w:szCs w:val="28"/>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A4667A" w:rsidRPr="004B1300" w:rsidRDefault="00A4667A" w:rsidP="00FE2F3B">
            <w:pPr>
              <w:widowControl w:val="0"/>
              <w:jc w:val="both"/>
              <w:rPr>
                <w:b/>
                <w:bCs/>
                <w:i/>
                <w:sz w:val="28"/>
                <w:szCs w:val="28"/>
              </w:rPr>
            </w:pPr>
            <w:r w:rsidRPr="004B1300">
              <w:rPr>
                <w:b/>
                <w:bCs/>
                <w:i/>
                <w:sz w:val="28"/>
                <w:szCs w:val="28"/>
              </w:rPr>
              <w:t>3.1.</w:t>
            </w:r>
            <w:r w:rsidR="009A6E48">
              <w:rPr>
                <w:b/>
                <w:bCs/>
                <w:i/>
                <w:sz w:val="28"/>
                <w:szCs w:val="28"/>
              </w:rPr>
              <w:t>-</w:t>
            </w:r>
            <w:r w:rsidR="00757E5E" w:rsidRPr="004B1300">
              <w:rPr>
                <w:b/>
                <w:bCs/>
                <w:i/>
                <w:sz w:val="28"/>
                <w:szCs w:val="28"/>
              </w:rPr>
              <w:t>Antecedentes</w:t>
            </w:r>
          </w:p>
          <w:p w:rsidR="00C172D7" w:rsidRPr="004B1300" w:rsidRDefault="00C172D7" w:rsidP="00FE2F3B">
            <w:pPr>
              <w:widowControl w:val="0"/>
              <w:jc w:val="both"/>
              <w:rPr>
                <w:bCs/>
                <w:i/>
                <w:sz w:val="28"/>
                <w:szCs w:val="28"/>
              </w:rPr>
            </w:pPr>
          </w:p>
          <w:p w:rsidR="00432F3D" w:rsidRDefault="00432F3D" w:rsidP="00F417C9">
            <w:pPr>
              <w:jc w:val="both"/>
              <w:rPr>
                <w:i/>
                <w:iCs/>
                <w:sz w:val="28"/>
                <w:szCs w:val="28"/>
              </w:rPr>
            </w:pPr>
            <w:r>
              <w:rPr>
                <w:i/>
                <w:iCs/>
                <w:sz w:val="28"/>
                <w:szCs w:val="28"/>
              </w:rPr>
              <w:t xml:space="preserve">El Consejo Superior en la sesión 102-17 del 9 de noviembre de 2017, artículo LVIII, conoció el oficio 1133-DICR-17 suscrito por el Director General del Organismo de Investigación Judicial y el Subjefe del Departamento de Investigaciones Criminales, donde se solicita el permiso con goce de salario para 6 puestos de Perita o Perito </w:t>
            </w:r>
            <w:r w:rsidR="00065BA0">
              <w:rPr>
                <w:i/>
                <w:iCs/>
                <w:sz w:val="28"/>
                <w:szCs w:val="28"/>
              </w:rPr>
              <w:t xml:space="preserve">Judicial </w:t>
            </w:r>
            <w:r>
              <w:rPr>
                <w:i/>
                <w:iCs/>
                <w:sz w:val="28"/>
                <w:szCs w:val="28"/>
              </w:rPr>
              <w:t>2, con el fin de atender casos de gran trascendencia como el de “INFOCOOP” y el del “cemento chino”</w:t>
            </w:r>
            <w:r w:rsidR="00065BA0">
              <w:rPr>
                <w:i/>
                <w:iCs/>
                <w:sz w:val="28"/>
                <w:szCs w:val="28"/>
              </w:rPr>
              <w:t>. Al respecto, dispuso</w:t>
            </w:r>
            <w:r w:rsidR="00CE7D0B">
              <w:rPr>
                <w:i/>
                <w:iCs/>
                <w:sz w:val="28"/>
                <w:szCs w:val="28"/>
              </w:rPr>
              <w:t xml:space="preserve"> conced</w:t>
            </w:r>
            <w:r w:rsidR="00065BA0">
              <w:rPr>
                <w:i/>
                <w:iCs/>
                <w:sz w:val="28"/>
                <w:szCs w:val="28"/>
              </w:rPr>
              <w:t>er</w:t>
            </w:r>
            <w:r w:rsidR="00CE7D0B">
              <w:rPr>
                <w:i/>
                <w:iCs/>
                <w:sz w:val="28"/>
                <w:szCs w:val="28"/>
              </w:rPr>
              <w:t xml:space="preserve"> los permisos del 10 de noviembre al 24 de diciembre de </w:t>
            </w:r>
            <w:r w:rsidR="00065BA0">
              <w:rPr>
                <w:i/>
                <w:iCs/>
                <w:sz w:val="28"/>
                <w:szCs w:val="28"/>
              </w:rPr>
              <w:t>2017</w:t>
            </w:r>
            <w:r w:rsidR="00CE7D0B">
              <w:rPr>
                <w:i/>
                <w:iCs/>
                <w:sz w:val="28"/>
                <w:szCs w:val="28"/>
              </w:rPr>
              <w:t>.</w:t>
            </w:r>
          </w:p>
          <w:p w:rsidR="00CE7D0B" w:rsidRDefault="00CE7D0B" w:rsidP="00F417C9">
            <w:pPr>
              <w:jc w:val="both"/>
              <w:rPr>
                <w:i/>
                <w:iCs/>
                <w:sz w:val="28"/>
                <w:szCs w:val="28"/>
              </w:rPr>
            </w:pPr>
          </w:p>
          <w:p w:rsidR="00EA38ED" w:rsidRDefault="00EA38ED" w:rsidP="00F417C9">
            <w:pPr>
              <w:jc w:val="both"/>
              <w:rPr>
                <w:i/>
                <w:iCs/>
                <w:sz w:val="28"/>
                <w:szCs w:val="28"/>
              </w:rPr>
            </w:pPr>
          </w:p>
          <w:p w:rsidR="00EA38ED" w:rsidRDefault="00EA38ED" w:rsidP="00F417C9">
            <w:pPr>
              <w:jc w:val="both"/>
              <w:rPr>
                <w:i/>
                <w:iCs/>
                <w:sz w:val="28"/>
                <w:szCs w:val="28"/>
              </w:rPr>
            </w:pPr>
          </w:p>
          <w:p w:rsidR="00CE7D0B" w:rsidRDefault="00CE7D0B" w:rsidP="00F417C9">
            <w:pPr>
              <w:jc w:val="both"/>
              <w:rPr>
                <w:i/>
                <w:iCs/>
                <w:sz w:val="28"/>
                <w:szCs w:val="28"/>
              </w:rPr>
            </w:pPr>
            <w:r>
              <w:rPr>
                <w:i/>
                <w:iCs/>
                <w:sz w:val="28"/>
                <w:szCs w:val="28"/>
              </w:rPr>
              <w:t xml:space="preserve">Posteriormente, en sesión del Consejo Superior 113-17 del 19 de diciembre de </w:t>
            </w:r>
            <w:r w:rsidR="00065BA0">
              <w:rPr>
                <w:i/>
                <w:iCs/>
                <w:sz w:val="28"/>
                <w:szCs w:val="28"/>
              </w:rPr>
              <w:t>2017</w:t>
            </w:r>
            <w:r>
              <w:rPr>
                <w:i/>
                <w:iCs/>
                <w:sz w:val="28"/>
                <w:szCs w:val="28"/>
              </w:rPr>
              <w:t>, artículo XCVI</w:t>
            </w:r>
            <w:r w:rsidR="00065BA0">
              <w:rPr>
                <w:i/>
                <w:iCs/>
                <w:sz w:val="28"/>
                <w:szCs w:val="28"/>
              </w:rPr>
              <w:t>,</w:t>
            </w:r>
            <w:r>
              <w:rPr>
                <w:i/>
                <w:iCs/>
                <w:sz w:val="28"/>
                <w:szCs w:val="28"/>
              </w:rPr>
              <w:t xml:space="preserve"> se prorrogaron los permisos del 8 de enero al 8 de febrero de </w:t>
            </w:r>
            <w:r w:rsidR="00065BA0">
              <w:rPr>
                <w:i/>
                <w:iCs/>
                <w:sz w:val="28"/>
                <w:szCs w:val="28"/>
              </w:rPr>
              <w:t>2018</w:t>
            </w:r>
            <w:r>
              <w:rPr>
                <w:i/>
                <w:iCs/>
                <w:sz w:val="28"/>
                <w:szCs w:val="28"/>
              </w:rPr>
              <w:t>.</w:t>
            </w:r>
          </w:p>
          <w:p w:rsidR="00CE7D0B" w:rsidRDefault="00CE7D0B" w:rsidP="00F417C9">
            <w:pPr>
              <w:jc w:val="both"/>
              <w:rPr>
                <w:i/>
                <w:iCs/>
                <w:sz w:val="28"/>
                <w:szCs w:val="28"/>
              </w:rPr>
            </w:pPr>
          </w:p>
          <w:p w:rsidR="006979B2" w:rsidRPr="004B1300" w:rsidRDefault="00CE7D0B" w:rsidP="00CE7D0B">
            <w:pPr>
              <w:jc w:val="both"/>
              <w:rPr>
                <w:b/>
                <w:bCs/>
                <w:i/>
                <w:sz w:val="28"/>
                <w:szCs w:val="28"/>
              </w:rPr>
            </w:pPr>
            <w:r>
              <w:rPr>
                <w:i/>
                <w:iCs/>
                <w:sz w:val="28"/>
                <w:szCs w:val="28"/>
              </w:rPr>
              <w:t xml:space="preserve">Finalmente, el Consejo Superior en sesión 11-18 celebrada el 8 de febrero del </w:t>
            </w:r>
            <w:r w:rsidR="00065BA0">
              <w:rPr>
                <w:i/>
                <w:iCs/>
                <w:sz w:val="28"/>
                <w:szCs w:val="28"/>
              </w:rPr>
              <w:t>2018</w:t>
            </w:r>
            <w:r>
              <w:rPr>
                <w:i/>
                <w:iCs/>
                <w:sz w:val="28"/>
                <w:szCs w:val="28"/>
              </w:rPr>
              <w:t>, artículo XLIX</w:t>
            </w:r>
            <w:r w:rsidR="00065BA0">
              <w:rPr>
                <w:i/>
                <w:iCs/>
                <w:sz w:val="28"/>
                <w:szCs w:val="28"/>
              </w:rPr>
              <w:t>,</w:t>
            </w:r>
            <w:r>
              <w:rPr>
                <w:i/>
                <w:iCs/>
                <w:sz w:val="28"/>
                <w:szCs w:val="28"/>
              </w:rPr>
              <w:t xml:space="preserve"> conoció el oficio 135-DG-2018 de la Dirección General del Organismo de Investigación Judicial, y ordenó prorrogar los permisos por tres meses más</w:t>
            </w:r>
            <w:r w:rsidR="00065BA0">
              <w:rPr>
                <w:i/>
                <w:iCs/>
                <w:sz w:val="28"/>
                <w:szCs w:val="28"/>
              </w:rPr>
              <w:t>,</w:t>
            </w:r>
            <w:r>
              <w:rPr>
                <w:i/>
                <w:iCs/>
                <w:sz w:val="28"/>
                <w:szCs w:val="28"/>
              </w:rPr>
              <w:t xml:space="preserve"> a partir del 9 de febrero del presente año.</w:t>
            </w:r>
          </w:p>
          <w:p w:rsidR="006979B2" w:rsidRDefault="006979B2" w:rsidP="00FE2F3B">
            <w:pPr>
              <w:widowControl w:val="0"/>
              <w:jc w:val="both"/>
              <w:rPr>
                <w:b/>
                <w:bCs/>
                <w:i/>
                <w:sz w:val="28"/>
                <w:szCs w:val="28"/>
              </w:rPr>
            </w:pPr>
          </w:p>
          <w:p w:rsidR="00BB1F62" w:rsidRPr="00065BA0" w:rsidRDefault="00BB1F62" w:rsidP="00D90A32">
            <w:pPr>
              <w:widowControl w:val="0"/>
              <w:jc w:val="both"/>
              <w:rPr>
                <w:b/>
                <w:bCs/>
                <w:i/>
                <w:sz w:val="28"/>
                <w:szCs w:val="28"/>
              </w:rPr>
            </w:pPr>
            <w:r w:rsidRPr="00065BA0">
              <w:rPr>
                <w:b/>
                <w:bCs/>
                <w:i/>
                <w:sz w:val="28"/>
                <w:szCs w:val="28"/>
              </w:rPr>
              <w:t>3.2.- Estructura de Per</w:t>
            </w:r>
            <w:r w:rsidR="00D90A32" w:rsidRPr="00065BA0">
              <w:rPr>
                <w:b/>
                <w:bCs/>
                <w:i/>
                <w:sz w:val="28"/>
                <w:szCs w:val="28"/>
              </w:rPr>
              <w:t>sonal</w:t>
            </w:r>
          </w:p>
          <w:p w:rsidR="00D90A32" w:rsidRPr="00D90A32" w:rsidRDefault="00D90A32" w:rsidP="00D90A32">
            <w:pPr>
              <w:widowControl w:val="0"/>
              <w:jc w:val="both"/>
              <w:rPr>
                <w:b/>
                <w:bCs/>
                <w:i/>
              </w:rPr>
            </w:pPr>
          </w:p>
          <w:p w:rsidR="00BB1F62" w:rsidRPr="00D90A32" w:rsidRDefault="00BB1F62" w:rsidP="00BB1F62">
            <w:pPr>
              <w:jc w:val="both"/>
              <w:rPr>
                <w:i/>
                <w:iCs/>
                <w:sz w:val="28"/>
                <w:szCs w:val="28"/>
              </w:rPr>
            </w:pPr>
            <w:r w:rsidRPr="00D90A32">
              <w:rPr>
                <w:i/>
                <w:iCs/>
                <w:sz w:val="28"/>
                <w:szCs w:val="28"/>
              </w:rPr>
              <w:t>En la siguiente tabla se muestra la cantidad y tipo de puestos adscritos a la Sección analizada:</w:t>
            </w:r>
          </w:p>
          <w:p w:rsidR="00BB1F62" w:rsidRPr="00DF1E7F" w:rsidRDefault="00BB1F62" w:rsidP="00BB1F62">
            <w:pPr>
              <w:jc w:val="center"/>
              <w:rPr>
                <w:rFonts w:ascii="Book Antiqua" w:hAnsi="Book Antiqua" w:cs="Book Antiqua"/>
                <w:b/>
                <w:bCs/>
              </w:rPr>
            </w:pPr>
          </w:p>
          <w:p w:rsidR="00BB1F62" w:rsidRPr="00DF1E7F" w:rsidRDefault="00D90A32" w:rsidP="00BB1F62">
            <w:pPr>
              <w:jc w:val="center"/>
              <w:rPr>
                <w:rFonts w:ascii="Book Antiqua" w:hAnsi="Book Antiqua" w:cs="Book Antiqua"/>
                <w:b/>
                <w:bCs/>
              </w:rPr>
            </w:pPr>
            <w:r>
              <w:rPr>
                <w:rFonts w:ascii="Book Antiqua" w:hAnsi="Book Antiqua" w:cs="Book Antiqua"/>
                <w:b/>
                <w:bCs/>
                <w:sz w:val="22"/>
                <w:szCs w:val="22"/>
              </w:rPr>
              <w:t xml:space="preserve">Tabla </w:t>
            </w:r>
            <w:r w:rsidR="00BB1F62" w:rsidRPr="00DF1E7F">
              <w:rPr>
                <w:rFonts w:ascii="Book Antiqua" w:hAnsi="Book Antiqua" w:cs="Book Antiqua"/>
                <w:b/>
                <w:bCs/>
                <w:sz w:val="22"/>
                <w:szCs w:val="22"/>
              </w:rPr>
              <w:t>1</w:t>
            </w:r>
          </w:p>
          <w:p w:rsidR="00065BA0" w:rsidRDefault="00BB1F62" w:rsidP="00BB1F62">
            <w:pPr>
              <w:jc w:val="center"/>
              <w:rPr>
                <w:rFonts w:ascii="Book Antiqua" w:hAnsi="Book Antiqua" w:cs="Book Antiqua"/>
                <w:b/>
                <w:bCs/>
              </w:rPr>
            </w:pPr>
            <w:r w:rsidRPr="00DF1E7F">
              <w:rPr>
                <w:rFonts w:ascii="Book Antiqua" w:hAnsi="Book Antiqua" w:cs="Book Antiqua"/>
                <w:b/>
                <w:bCs/>
                <w:sz w:val="22"/>
                <w:szCs w:val="22"/>
              </w:rPr>
              <w:t>C</w:t>
            </w:r>
            <w:r w:rsidR="00D90A32">
              <w:rPr>
                <w:rFonts w:ascii="Book Antiqua" w:hAnsi="Book Antiqua" w:cs="Book Antiqua"/>
                <w:b/>
                <w:bCs/>
                <w:sz w:val="22"/>
                <w:szCs w:val="22"/>
              </w:rPr>
              <w:t>antidad</w:t>
            </w:r>
            <w:r w:rsidRPr="00DF1E7F">
              <w:rPr>
                <w:rFonts w:ascii="Book Antiqua" w:hAnsi="Book Antiqua" w:cs="Book Antiqua"/>
                <w:b/>
                <w:bCs/>
                <w:sz w:val="22"/>
                <w:szCs w:val="22"/>
              </w:rPr>
              <w:t xml:space="preserve"> de personal asignado a la Sección de Delitos Económicos y Financieros del Departamento de Investigaciones</w:t>
            </w:r>
          </w:p>
          <w:p w:rsidR="00BB1F62" w:rsidRPr="00DF1E7F" w:rsidRDefault="00BB1F62" w:rsidP="00BB1F62">
            <w:pPr>
              <w:jc w:val="center"/>
              <w:rPr>
                <w:rFonts w:ascii="Book Antiqua" w:hAnsi="Book Antiqua" w:cs="Book Antiqua"/>
                <w:b/>
                <w:bCs/>
              </w:rPr>
            </w:pPr>
            <w:r w:rsidRPr="00DF1E7F">
              <w:rPr>
                <w:rFonts w:ascii="Book Antiqua" w:hAnsi="Book Antiqua" w:cs="Book Antiqua"/>
                <w:b/>
                <w:bCs/>
                <w:sz w:val="22"/>
                <w:szCs w:val="22"/>
              </w:rPr>
              <w:t>Criminales del O</w:t>
            </w:r>
            <w:r w:rsidR="00D90A32">
              <w:rPr>
                <w:rFonts w:ascii="Book Antiqua" w:hAnsi="Book Antiqua" w:cs="Book Antiqua"/>
                <w:b/>
                <w:bCs/>
                <w:sz w:val="22"/>
                <w:szCs w:val="22"/>
              </w:rPr>
              <w:t>.</w:t>
            </w:r>
            <w:r w:rsidRPr="00DF1E7F">
              <w:rPr>
                <w:rFonts w:ascii="Book Antiqua" w:hAnsi="Book Antiqua" w:cs="Book Antiqua"/>
                <w:b/>
                <w:bCs/>
                <w:sz w:val="22"/>
                <w:szCs w:val="22"/>
              </w:rPr>
              <w:t>I</w:t>
            </w:r>
            <w:r w:rsidR="00D90A32">
              <w:rPr>
                <w:rFonts w:ascii="Book Antiqua" w:hAnsi="Book Antiqua" w:cs="Book Antiqua"/>
                <w:b/>
                <w:bCs/>
                <w:sz w:val="22"/>
                <w:szCs w:val="22"/>
              </w:rPr>
              <w:t>.</w:t>
            </w:r>
            <w:r w:rsidRPr="00DF1E7F">
              <w:rPr>
                <w:rFonts w:ascii="Book Antiqua" w:hAnsi="Book Antiqua" w:cs="Book Antiqua"/>
                <w:b/>
                <w:bCs/>
                <w:sz w:val="22"/>
                <w:szCs w:val="22"/>
              </w:rPr>
              <w:t>J</w:t>
            </w:r>
            <w:r w:rsidR="00D90A32">
              <w:rPr>
                <w:rFonts w:ascii="Book Antiqua" w:hAnsi="Book Antiqua" w:cs="Book Antiqua"/>
                <w:b/>
                <w:bCs/>
                <w:sz w:val="22"/>
                <w:szCs w:val="22"/>
              </w:rPr>
              <w:t>.</w:t>
            </w:r>
          </w:p>
          <w:tbl>
            <w:tblPr>
              <w:tblW w:w="6126" w:type="dxa"/>
              <w:jc w:val="center"/>
              <w:tblLayout w:type="fixed"/>
              <w:tblCellMar>
                <w:left w:w="70" w:type="dxa"/>
                <w:right w:w="70" w:type="dxa"/>
              </w:tblCellMar>
              <w:tblLook w:val="0000"/>
            </w:tblPr>
            <w:tblGrid>
              <w:gridCol w:w="1417"/>
              <w:gridCol w:w="4709"/>
            </w:tblGrid>
            <w:tr w:rsidR="00BB1F62" w:rsidRPr="00DF1E7F" w:rsidTr="00065BA0">
              <w:trPr>
                <w:jc w:val="center"/>
              </w:trPr>
              <w:tc>
                <w:tcPr>
                  <w:tcW w:w="1417" w:type="dxa"/>
                  <w:tcBorders>
                    <w:top w:val="single" w:sz="4" w:space="0" w:color="auto"/>
                    <w:left w:val="nil"/>
                    <w:bottom w:val="single" w:sz="4" w:space="0" w:color="auto"/>
                    <w:right w:val="single" w:sz="4" w:space="0" w:color="auto"/>
                  </w:tcBorders>
                </w:tcPr>
                <w:p w:rsidR="00BB1F62" w:rsidRPr="00DF1E7F" w:rsidRDefault="00BB1F62" w:rsidP="00BB1F62">
                  <w:pPr>
                    <w:jc w:val="center"/>
                    <w:rPr>
                      <w:rFonts w:ascii="Book Antiqua" w:hAnsi="Book Antiqua" w:cs="Book Antiqua"/>
                      <w:b/>
                    </w:rPr>
                  </w:pPr>
                  <w:r w:rsidRPr="00DF1E7F">
                    <w:rPr>
                      <w:rFonts w:ascii="Book Antiqua" w:hAnsi="Book Antiqua" w:cs="Book Antiqua"/>
                      <w:b/>
                      <w:sz w:val="22"/>
                      <w:szCs w:val="22"/>
                    </w:rPr>
                    <w:t>Cantidad</w:t>
                  </w:r>
                </w:p>
              </w:tc>
              <w:tc>
                <w:tcPr>
                  <w:tcW w:w="4709" w:type="dxa"/>
                  <w:tcBorders>
                    <w:top w:val="single" w:sz="4" w:space="0" w:color="auto"/>
                    <w:left w:val="single" w:sz="4" w:space="0" w:color="auto"/>
                    <w:bottom w:val="single" w:sz="4" w:space="0" w:color="auto"/>
                    <w:right w:val="nil"/>
                  </w:tcBorders>
                </w:tcPr>
                <w:p w:rsidR="00BB1F62" w:rsidRPr="00DF1E7F" w:rsidRDefault="00BB1F62" w:rsidP="00BB1F62">
                  <w:pPr>
                    <w:jc w:val="center"/>
                    <w:rPr>
                      <w:rFonts w:ascii="Book Antiqua" w:hAnsi="Book Antiqua" w:cs="Book Antiqua"/>
                      <w:b/>
                    </w:rPr>
                  </w:pPr>
                  <w:r w:rsidRPr="00DF1E7F">
                    <w:rPr>
                      <w:rFonts w:ascii="Book Antiqua" w:hAnsi="Book Antiqua" w:cs="Book Antiqua"/>
                      <w:b/>
                      <w:sz w:val="22"/>
                      <w:szCs w:val="22"/>
                    </w:rPr>
                    <w:t>Puesto</w:t>
                  </w:r>
                </w:p>
              </w:tc>
            </w:tr>
            <w:tr w:rsidR="00BB1F62" w:rsidRPr="00DF1E7F" w:rsidTr="00065BA0">
              <w:trPr>
                <w:jc w:val="center"/>
              </w:trPr>
              <w:tc>
                <w:tcPr>
                  <w:tcW w:w="1417" w:type="dxa"/>
                  <w:tcBorders>
                    <w:top w:val="single" w:sz="4" w:space="0" w:color="auto"/>
                    <w:left w:val="nil"/>
                    <w:bottom w:val="nil"/>
                    <w:right w:val="single" w:sz="4" w:space="0" w:color="auto"/>
                  </w:tcBorders>
                </w:tcPr>
                <w:p w:rsidR="00BB1F62" w:rsidRPr="00DF1E7F" w:rsidRDefault="00BB1F62" w:rsidP="00BB1F62">
                  <w:pPr>
                    <w:jc w:val="center"/>
                    <w:rPr>
                      <w:rFonts w:ascii="Book Antiqua" w:hAnsi="Book Antiqua" w:cs="Book Antiqua"/>
                    </w:rPr>
                  </w:pPr>
                  <w:r w:rsidRPr="00DF1E7F">
                    <w:rPr>
                      <w:rFonts w:ascii="Book Antiqua" w:hAnsi="Book Antiqua" w:cs="Book Antiqua"/>
                      <w:sz w:val="22"/>
                      <w:szCs w:val="22"/>
                    </w:rPr>
                    <w:t>28</w:t>
                  </w:r>
                </w:p>
              </w:tc>
              <w:tc>
                <w:tcPr>
                  <w:tcW w:w="4709" w:type="dxa"/>
                  <w:tcBorders>
                    <w:top w:val="single" w:sz="4" w:space="0" w:color="auto"/>
                    <w:left w:val="single" w:sz="4" w:space="0" w:color="auto"/>
                    <w:bottom w:val="nil"/>
                    <w:right w:val="nil"/>
                  </w:tcBorders>
                </w:tcPr>
                <w:p w:rsidR="00BB1F62" w:rsidRPr="00DF1E7F" w:rsidRDefault="00D90A32" w:rsidP="00BB1F62">
                  <w:pPr>
                    <w:jc w:val="both"/>
                    <w:rPr>
                      <w:rFonts w:ascii="Book Antiqua" w:hAnsi="Book Antiqua" w:cs="Book Antiqua"/>
                    </w:rPr>
                  </w:pPr>
                  <w:r>
                    <w:rPr>
                      <w:rFonts w:ascii="Book Antiqua" w:hAnsi="Book Antiqua" w:cs="Book Antiqua"/>
                      <w:sz w:val="22"/>
                      <w:szCs w:val="22"/>
                    </w:rPr>
                    <w:t>Perita o Perito</w:t>
                  </w:r>
                  <w:r w:rsidR="00BB1F62" w:rsidRPr="00DF1E7F">
                    <w:rPr>
                      <w:rFonts w:ascii="Book Antiqua" w:hAnsi="Book Antiqua" w:cs="Book Antiqua"/>
                      <w:sz w:val="22"/>
                      <w:szCs w:val="22"/>
                    </w:rPr>
                    <w:t xml:space="preserve"> Judicial 2</w:t>
                  </w:r>
                </w:p>
              </w:tc>
            </w:tr>
            <w:tr w:rsidR="00BB1F62" w:rsidRPr="00DF1E7F" w:rsidTr="00065BA0">
              <w:trPr>
                <w:jc w:val="center"/>
              </w:trPr>
              <w:tc>
                <w:tcPr>
                  <w:tcW w:w="1417" w:type="dxa"/>
                  <w:tcBorders>
                    <w:top w:val="nil"/>
                    <w:left w:val="nil"/>
                    <w:right w:val="single" w:sz="4" w:space="0" w:color="auto"/>
                  </w:tcBorders>
                </w:tcPr>
                <w:p w:rsidR="00BB1F62" w:rsidRPr="00DF1E7F" w:rsidRDefault="00BB1F62" w:rsidP="00BB1F62">
                  <w:pPr>
                    <w:jc w:val="center"/>
                    <w:rPr>
                      <w:rFonts w:ascii="Book Antiqua" w:hAnsi="Book Antiqua" w:cs="Book Antiqua"/>
                    </w:rPr>
                  </w:pPr>
                  <w:r w:rsidRPr="00DF1E7F">
                    <w:rPr>
                      <w:rFonts w:ascii="Book Antiqua" w:hAnsi="Book Antiqua" w:cs="Book Antiqua"/>
                      <w:sz w:val="22"/>
                      <w:szCs w:val="22"/>
                    </w:rPr>
                    <w:t>1</w:t>
                  </w:r>
                </w:p>
              </w:tc>
              <w:tc>
                <w:tcPr>
                  <w:tcW w:w="4709" w:type="dxa"/>
                  <w:tcBorders>
                    <w:top w:val="nil"/>
                    <w:left w:val="single" w:sz="4" w:space="0" w:color="auto"/>
                    <w:right w:val="nil"/>
                  </w:tcBorders>
                </w:tcPr>
                <w:p w:rsidR="00BB1F62" w:rsidRPr="00DF1E7F" w:rsidRDefault="00D90A32" w:rsidP="00BB1F62">
                  <w:pPr>
                    <w:jc w:val="both"/>
                    <w:rPr>
                      <w:rFonts w:ascii="Book Antiqua" w:hAnsi="Book Antiqua" w:cs="Book Antiqua"/>
                    </w:rPr>
                  </w:pPr>
                  <w:r>
                    <w:rPr>
                      <w:rFonts w:ascii="Book Antiqua" w:hAnsi="Book Antiqua" w:cs="Book Antiqua"/>
                      <w:sz w:val="22"/>
                      <w:szCs w:val="22"/>
                    </w:rPr>
                    <w:t>Auxiliar Administrativa</w:t>
                  </w:r>
                  <w:r w:rsidR="00065BA0">
                    <w:rPr>
                      <w:rFonts w:ascii="Book Antiqua" w:hAnsi="Book Antiqua" w:cs="Book Antiqua"/>
                      <w:sz w:val="22"/>
                      <w:szCs w:val="22"/>
                    </w:rPr>
                    <w:t xml:space="preserve"> o Administrativo</w:t>
                  </w:r>
                </w:p>
              </w:tc>
            </w:tr>
            <w:tr w:rsidR="00BB1F62" w:rsidRPr="00DF1E7F" w:rsidTr="00065BA0">
              <w:trPr>
                <w:jc w:val="center"/>
              </w:trPr>
              <w:tc>
                <w:tcPr>
                  <w:tcW w:w="1417" w:type="dxa"/>
                  <w:tcBorders>
                    <w:top w:val="nil"/>
                    <w:left w:val="nil"/>
                    <w:bottom w:val="single" w:sz="4" w:space="0" w:color="auto"/>
                    <w:right w:val="single" w:sz="4" w:space="0" w:color="auto"/>
                  </w:tcBorders>
                </w:tcPr>
                <w:p w:rsidR="00BB1F62" w:rsidRPr="00DF1E7F" w:rsidRDefault="00BB1F62" w:rsidP="00BB1F62">
                  <w:pPr>
                    <w:jc w:val="center"/>
                    <w:rPr>
                      <w:rFonts w:ascii="Book Antiqua" w:hAnsi="Book Antiqua" w:cs="Book Antiqua"/>
                    </w:rPr>
                  </w:pPr>
                  <w:r w:rsidRPr="00DF1E7F">
                    <w:rPr>
                      <w:rFonts w:ascii="Book Antiqua" w:hAnsi="Book Antiqua" w:cs="Book Antiqua"/>
                      <w:sz w:val="22"/>
                      <w:szCs w:val="22"/>
                    </w:rPr>
                    <w:t>1</w:t>
                  </w:r>
                </w:p>
                <w:p w:rsidR="00BB1F62" w:rsidRPr="00DF1E7F" w:rsidRDefault="00BB1F62" w:rsidP="00BB1F62">
                  <w:pPr>
                    <w:jc w:val="center"/>
                    <w:rPr>
                      <w:rFonts w:ascii="Book Antiqua" w:hAnsi="Book Antiqua" w:cs="Book Antiqua"/>
                    </w:rPr>
                  </w:pPr>
                  <w:r w:rsidRPr="00DF1E7F">
                    <w:rPr>
                      <w:rFonts w:ascii="Book Antiqua" w:hAnsi="Book Antiqua" w:cs="Book Antiqua"/>
                      <w:sz w:val="22"/>
                      <w:szCs w:val="22"/>
                    </w:rPr>
                    <w:t>1</w:t>
                  </w:r>
                </w:p>
              </w:tc>
              <w:tc>
                <w:tcPr>
                  <w:tcW w:w="4709" w:type="dxa"/>
                  <w:tcBorders>
                    <w:top w:val="nil"/>
                    <w:left w:val="single" w:sz="4" w:space="0" w:color="auto"/>
                    <w:bottom w:val="single" w:sz="4" w:space="0" w:color="auto"/>
                    <w:right w:val="nil"/>
                  </w:tcBorders>
                </w:tcPr>
                <w:p w:rsidR="00BB1F62" w:rsidRPr="00DF1E7F" w:rsidRDefault="00BB1F62" w:rsidP="00BB1F62">
                  <w:pPr>
                    <w:jc w:val="both"/>
                    <w:rPr>
                      <w:rFonts w:ascii="Book Antiqua" w:hAnsi="Book Antiqua" w:cs="Book Antiqua"/>
                    </w:rPr>
                  </w:pPr>
                  <w:r w:rsidRPr="00DF1E7F">
                    <w:rPr>
                      <w:rFonts w:ascii="Book Antiqua" w:hAnsi="Book Antiqua" w:cs="Book Antiqua"/>
                      <w:sz w:val="22"/>
                      <w:szCs w:val="22"/>
                    </w:rPr>
                    <w:t xml:space="preserve">Secretaria </w:t>
                  </w:r>
                  <w:r w:rsidR="00065BA0">
                    <w:rPr>
                      <w:rFonts w:ascii="Book Antiqua" w:hAnsi="Book Antiqua" w:cs="Book Antiqua"/>
                      <w:sz w:val="22"/>
                      <w:szCs w:val="22"/>
                    </w:rPr>
                    <w:t>o Secretario</w:t>
                  </w:r>
                  <w:r w:rsidRPr="00DF1E7F">
                    <w:rPr>
                      <w:rFonts w:ascii="Book Antiqua" w:hAnsi="Book Antiqua" w:cs="Book Antiqua"/>
                      <w:sz w:val="22"/>
                      <w:szCs w:val="22"/>
                    </w:rPr>
                    <w:t>1</w:t>
                  </w:r>
                </w:p>
                <w:p w:rsidR="00BB1F62" w:rsidRPr="00DF1E7F" w:rsidRDefault="00BB1F62" w:rsidP="00BB1F62">
                  <w:pPr>
                    <w:jc w:val="both"/>
                    <w:rPr>
                      <w:rFonts w:ascii="Book Antiqua" w:hAnsi="Book Antiqua" w:cs="Book Antiqua"/>
                    </w:rPr>
                  </w:pPr>
                  <w:r w:rsidRPr="00DF1E7F">
                    <w:rPr>
                      <w:rFonts w:ascii="Book Antiqua" w:hAnsi="Book Antiqua" w:cs="Book Antiqua"/>
                      <w:sz w:val="22"/>
                      <w:szCs w:val="22"/>
                    </w:rPr>
                    <w:t>Auxiliar Servicios Generales 2</w:t>
                  </w:r>
                </w:p>
              </w:tc>
            </w:tr>
          </w:tbl>
          <w:p w:rsidR="00BB1F62" w:rsidRPr="0022685D" w:rsidRDefault="00BB1F62" w:rsidP="0022685D">
            <w:pPr>
              <w:ind w:right="-676"/>
              <w:rPr>
                <w:rFonts w:ascii="Book Antiqua" w:hAnsi="Book Antiqua" w:cs="Book Antiqua"/>
                <w:sz w:val="18"/>
                <w:szCs w:val="18"/>
              </w:rPr>
            </w:pPr>
            <w:r w:rsidRPr="0022685D">
              <w:rPr>
                <w:rFonts w:ascii="Book Antiqua" w:hAnsi="Book Antiqua" w:cs="Book Antiqua"/>
                <w:b/>
                <w:bCs/>
                <w:sz w:val="18"/>
                <w:szCs w:val="18"/>
              </w:rPr>
              <w:t>Fuente:</w:t>
            </w:r>
            <w:r w:rsidRPr="0022685D">
              <w:rPr>
                <w:rFonts w:ascii="Book Antiqua" w:hAnsi="Book Antiqua" w:cs="Book Antiqua"/>
                <w:sz w:val="18"/>
                <w:szCs w:val="18"/>
              </w:rPr>
              <w:t xml:space="preserve"> Relación de </w:t>
            </w:r>
            <w:r w:rsidR="00D90A32" w:rsidRPr="0022685D">
              <w:rPr>
                <w:rFonts w:ascii="Book Antiqua" w:hAnsi="Book Antiqua" w:cs="Book Antiqua"/>
                <w:sz w:val="18"/>
                <w:szCs w:val="18"/>
              </w:rPr>
              <w:t>Puestos del Poder Judicial, 2018</w:t>
            </w:r>
            <w:r w:rsidRPr="0022685D">
              <w:rPr>
                <w:rFonts w:ascii="Book Antiqua" w:hAnsi="Book Antiqua" w:cs="Book Antiqua"/>
                <w:sz w:val="18"/>
                <w:szCs w:val="18"/>
              </w:rPr>
              <w:t>.</w:t>
            </w:r>
          </w:p>
          <w:p w:rsidR="00BB1F62" w:rsidRPr="00DF1E7F" w:rsidRDefault="00BB1F62" w:rsidP="00BB1F62">
            <w:pPr>
              <w:jc w:val="both"/>
              <w:rPr>
                <w:rFonts w:ascii="Book Antiqua" w:hAnsi="Book Antiqua" w:cs="Book Antiqua"/>
              </w:rPr>
            </w:pPr>
          </w:p>
          <w:p w:rsidR="00BB1F62" w:rsidRPr="00D90A32" w:rsidRDefault="00BB1F62" w:rsidP="00BB1F62">
            <w:pPr>
              <w:jc w:val="both"/>
              <w:rPr>
                <w:i/>
                <w:iCs/>
                <w:sz w:val="28"/>
                <w:szCs w:val="28"/>
              </w:rPr>
            </w:pPr>
            <w:r w:rsidRPr="00D90A32">
              <w:rPr>
                <w:i/>
                <w:iCs/>
                <w:sz w:val="28"/>
                <w:szCs w:val="28"/>
              </w:rPr>
              <w:t xml:space="preserve">Además del personal indicado en la tabla anterior, esta Sección dispone de un puesto de Jefa o Jefe de Sección y cuatro </w:t>
            </w:r>
            <w:r w:rsidR="00C42D83">
              <w:rPr>
                <w:i/>
                <w:iCs/>
                <w:sz w:val="28"/>
                <w:szCs w:val="28"/>
              </w:rPr>
              <w:t>Auditores Supervisores o Auditoras Supervisoras</w:t>
            </w:r>
            <w:r w:rsidR="00DA7DCE">
              <w:rPr>
                <w:i/>
                <w:iCs/>
                <w:sz w:val="28"/>
                <w:szCs w:val="28"/>
              </w:rPr>
              <w:t xml:space="preserve"> que realizan labores de supervisión</w:t>
            </w:r>
            <w:r w:rsidRPr="00D90A32">
              <w:rPr>
                <w:i/>
                <w:iCs/>
                <w:sz w:val="28"/>
                <w:szCs w:val="28"/>
              </w:rPr>
              <w:t>, todas/os adscritas/os a la Dirección General del Organismo de Investigación Judicial.</w:t>
            </w:r>
          </w:p>
          <w:p w:rsidR="00BB1F62" w:rsidRPr="00D90A32" w:rsidRDefault="00BB1F62" w:rsidP="00BB1F62">
            <w:pPr>
              <w:jc w:val="both"/>
              <w:rPr>
                <w:i/>
                <w:iCs/>
                <w:sz w:val="28"/>
                <w:szCs w:val="28"/>
              </w:rPr>
            </w:pPr>
          </w:p>
          <w:p w:rsidR="00BB1F62" w:rsidRPr="00C42D83" w:rsidRDefault="0022685D" w:rsidP="00BB1F62">
            <w:pPr>
              <w:jc w:val="both"/>
              <w:rPr>
                <w:b/>
                <w:i/>
                <w:iCs/>
                <w:sz w:val="28"/>
                <w:szCs w:val="28"/>
              </w:rPr>
            </w:pPr>
            <w:r w:rsidRPr="00C42D83">
              <w:rPr>
                <w:b/>
                <w:i/>
                <w:iCs/>
                <w:sz w:val="28"/>
                <w:szCs w:val="28"/>
              </w:rPr>
              <w:t>Actualmente esta</w:t>
            </w:r>
            <w:r w:rsidR="00BB1F62" w:rsidRPr="00C42D83">
              <w:rPr>
                <w:b/>
                <w:i/>
                <w:iCs/>
                <w:sz w:val="28"/>
                <w:szCs w:val="28"/>
              </w:rPr>
              <w:t xml:space="preserve"> Sección </w:t>
            </w:r>
            <w:r w:rsidRPr="00C42D83">
              <w:rPr>
                <w:b/>
                <w:i/>
                <w:iCs/>
                <w:sz w:val="28"/>
                <w:szCs w:val="28"/>
              </w:rPr>
              <w:t>solamente cuenta con los 6 recursos concedidos por medio de permisos con goce de salario, bajo análisis en el presente informe.</w:t>
            </w:r>
          </w:p>
          <w:p w:rsidR="00AE74B0" w:rsidRDefault="00AE74B0" w:rsidP="00FE2F3B">
            <w:pPr>
              <w:widowControl w:val="0"/>
              <w:jc w:val="both"/>
              <w:rPr>
                <w:b/>
                <w:bCs/>
                <w:i/>
                <w:sz w:val="28"/>
                <w:szCs w:val="28"/>
              </w:rPr>
            </w:pPr>
          </w:p>
          <w:p w:rsidR="00EA38ED" w:rsidRDefault="00EA38ED" w:rsidP="00FE2F3B">
            <w:pPr>
              <w:widowControl w:val="0"/>
              <w:jc w:val="both"/>
              <w:rPr>
                <w:b/>
                <w:bCs/>
                <w:i/>
                <w:sz w:val="28"/>
                <w:szCs w:val="28"/>
              </w:rPr>
            </w:pPr>
          </w:p>
          <w:p w:rsidR="00EA38ED" w:rsidRDefault="00EA38ED" w:rsidP="00FE2F3B">
            <w:pPr>
              <w:widowControl w:val="0"/>
              <w:jc w:val="both"/>
              <w:rPr>
                <w:b/>
                <w:bCs/>
                <w:i/>
                <w:sz w:val="28"/>
                <w:szCs w:val="28"/>
              </w:rPr>
            </w:pPr>
          </w:p>
          <w:p w:rsidR="00EA38ED" w:rsidRDefault="00EA38ED" w:rsidP="00FE2F3B">
            <w:pPr>
              <w:widowControl w:val="0"/>
              <w:jc w:val="both"/>
              <w:rPr>
                <w:b/>
                <w:bCs/>
                <w:i/>
                <w:sz w:val="28"/>
                <w:szCs w:val="28"/>
              </w:rPr>
            </w:pPr>
          </w:p>
          <w:p w:rsidR="00200812" w:rsidRPr="00C42D83" w:rsidRDefault="00200812" w:rsidP="00FE2F3B">
            <w:pPr>
              <w:widowControl w:val="0"/>
              <w:jc w:val="both"/>
              <w:rPr>
                <w:b/>
                <w:bCs/>
                <w:i/>
                <w:sz w:val="28"/>
                <w:szCs w:val="28"/>
              </w:rPr>
            </w:pPr>
            <w:r w:rsidRPr="00C42D83">
              <w:rPr>
                <w:b/>
                <w:bCs/>
                <w:i/>
                <w:sz w:val="28"/>
                <w:szCs w:val="28"/>
              </w:rPr>
              <w:t>3.</w:t>
            </w:r>
            <w:r w:rsidR="00C42D83">
              <w:rPr>
                <w:b/>
                <w:bCs/>
                <w:i/>
                <w:sz w:val="28"/>
                <w:szCs w:val="28"/>
              </w:rPr>
              <w:t>3</w:t>
            </w:r>
            <w:r w:rsidRPr="00C42D83">
              <w:rPr>
                <w:b/>
                <w:bCs/>
                <w:i/>
                <w:sz w:val="28"/>
                <w:szCs w:val="28"/>
              </w:rPr>
              <w:t>.</w:t>
            </w:r>
            <w:r w:rsidR="002B553F" w:rsidRPr="00C42D83">
              <w:rPr>
                <w:b/>
                <w:bCs/>
                <w:i/>
                <w:sz w:val="28"/>
                <w:szCs w:val="28"/>
              </w:rPr>
              <w:t>- Situación actual de la oficina</w:t>
            </w:r>
          </w:p>
          <w:p w:rsidR="002B553F" w:rsidRPr="002B553F" w:rsidRDefault="002B553F" w:rsidP="00FE2F3B">
            <w:pPr>
              <w:widowControl w:val="0"/>
              <w:jc w:val="both"/>
              <w:rPr>
                <w:b/>
                <w:bCs/>
                <w:i/>
                <w:sz w:val="28"/>
                <w:szCs w:val="28"/>
              </w:rPr>
            </w:pPr>
          </w:p>
          <w:p w:rsidR="002B553F" w:rsidRDefault="002B553F" w:rsidP="00FE2F3B">
            <w:pPr>
              <w:widowControl w:val="0"/>
              <w:jc w:val="both"/>
              <w:rPr>
                <w:bCs/>
                <w:i/>
                <w:sz w:val="28"/>
                <w:szCs w:val="28"/>
              </w:rPr>
            </w:pPr>
            <w:r w:rsidRPr="002B553F">
              <w:rPr>
                <w:bCs/>
                <w:i/>
                <w:sz w:val="28"/>
                <w:szCs w:val="28"/>
              </w:rPr>
              <w:t xml:space="preserve">La Sección de Delitos Económicos y Financieros del O.I.J. </w:t>
            </w:r>
            <w:r w:rsidR="00F20FC9">
              <w:rPr>
                <w:bCs/>
                <w:i/>
                <w:sz w:val="28"/>
                <w:szCs w:val="28"/>
              </w:rPr>
              <w:t xml:space="preserve">tiene a su cargo la parte investigativa de los casos conocidos </w:t>
            </w:r>
            <w:r w:rsidR="00977D46">
              <w:rPr>
                <w:bCs/>
                <w:i/>
                <w:sz w:val="28"/>
                <w:szCs w:val="28"/>
              </w:rPr>
              <w:t>como “</w:t>
            </w:r>
            <w:r w:rsidR="00F20FC9">
              <w:rPr>
                <w:bCs/>
                <w:i/>
                <w:sz w:val="28"/>
                <w:szCs w:val="28"/>
              </w:rPr>
              <w:t>financieros” o de “</w:t>
            </w:r>
            <w:r w:rsidR="00977D46">
              <w:rPr>
                <w:bCs/>
                <w:i/>
                <w:sz w:val="28"/>
                <w:szCs w:val="28"/>
              </w:rPr>
              <w:t>cuello blanco</w:t>
            </w:r>
            <w:r w:rsidR="00F20FC9">
              <w:rPr>
                <w:bCs/>
                <w:i/>
                <w:sz w:val="28"/>
                <w:szCs w:val="28"/>
              </w:rPr>
              <w:t>”, que involucra llevar a cabo actividades de investigación y de peritaje.</w:t>
            </w:r>
          </w:p>
          <w:p w:rsidR="00977D46" w:rsidRDefault="00977D46" w:rsidP="00FE2F3B">
            <w:pPr>
              <w:widowControl w:val="0"/>
              <w:jc w:val="both"/>
              <w:rPr>
                <w:bCs/>
                <w:i/>
                <w:sz w:val="28"/>
                <w:szCs w:val="28"/>
              </w:rPr>
            </w:pPr>
          </w:p>
          <w:p w:rsidR="00534660" w:rsidRDefault="00534660" w:rsidP="00FE2F3B">
            <w:pPr>
              <w:widowControl w:val="0"/>
              <w:jc w:val="both"/>
              <w:rPr>
                <w:bCs/>
                <w:i/>
                <w:sz w:val="28"/>
                <w:szCs w:val="28"/>
              </w:rPr>
            </w:pPr>
            <w:r>
              <w:rPr>
                <w:bCs/>
                <w:i/>
                <w:sz w:val="28"/>
                <w:szCs w:val="28"/>
              </w:rPr>
              <w:t>Las pericias que debe llevar a cabo esta Sección van encaminadas a la identificación de la persona o grupo de personas responsables</w:t>
            </w:r>
            <w:r w:rsidR="00DE485A">
              <w:rPr>
                <w:bCs/>
                <w:i/>
                <w:sz w:val="28"/>
                <w:szCs w:val="28"/>
              </w:rPr>
              <w:t xml:space="preserve"> del acto delictivo</w:t>
            </w:r>
            <w:r>
              <w:rPr>
                <w:bCs/>
                <w:i/>
                <w:sz w:val="28"/>
                <w:szCs w:val="28"/>
              </w:rPr>
              <w:t>, la determinación de cómo se lleva a cabo el presunto delito y la cuantificación del daño patrimonial a la persona o grupo de personas ofendidas.</w:t>
            </w:r>
          </w:p>
          <w:p w:rsidR="00534660" w:rsidRDefault="00534660" w:rsidP="00FE2F3B">
            <w:pPr>
              <w:widowControl w:val="0"/>
              <w:jc w:val="both"/>
              <w:rPr>
                <w:bCs/>
                <w:i/>
                <w:sz w:val="28"/>
                <w:szCs w:val="28"/>
              </w:rPr>
            </w:pPr>
          </w:p>
          <w:p w:rsidR="00200812" w:rsidRPr="00747C05" w:rsidRDefault="00CE56D6" w:rsidP="00FE2F3B">
            <w:pPr>
              <w:widowControl w:val="0"/>
              <w:jc w:val="both"/>
              <w:rPr>
                <w:bCs/>
                <w:i/>
                <w:sz w:val="28"/>
                <w:szCs w:val="28"/>
              </w:rPr>
            </w:pPr>
            <w:r w:rsidRPr="00747C05">
              <w:rPr>
                <w:bCs/>
                <w:i/>
                <w:sz w:val="28"/>
                <w:szCs w:val="28"/>
              </w:rPr>
              <w:t xml:space="preserve">A partir de mediados del año pasado </w:t>
            </w:r>
            <w:r w:rsidR="00534660" w:rsidRPr="00747C05">
              <w:rPr>
                <w:bCs/>
                <w:i/>
                <w:sz w:val="28"/>
                <w:szCs w:val="28"/>
              </w:rPr>
              <w:t xml:space="preserve">han surgido </w:t>
            </w:r>
            <w:r w:rsidR="00335371" w:rsidRPr="00747C05">
              <w:rPr>
                <w:bCs/>
                <w:i/>
                <w:sz w:val="28"/>
                <w:szCs w:val="28"/>
              </w:rPr>
              <w:t xml:space="preserve">casos, que además de tener un alto impacto mediático, cuentan con un alto volumen de información, lo </w:t>
            </w:r>
            <w:r w:rsidR="00AF4E5F" w:rsidRPr="00747C05">
              <w:rPr>
                <w:bCs/>
                <w:i/>
                <w:sz w:val="28"/>
                <w:szCs w:val="28"/>
              </w:rPr>
              <w:t>que</w:t>
            </w:r>
            <w:r w:rsidR="00250FE1" w:rsidRPr="00747C05">
              <w:rPr>
                <w:bCs/>
                <w:i/>
                <w:sz w:val="28"/>
                <w:szCs w:val="28"/>
              </w:rPr>
              <w:t xml:space="preserve">ha </w:t>
            </w:r>
            <w:r w:rsidR="00335371" w:rsidRPr="00747C05">
              <w:rPr>
                <w:bCs/>
                <w:i/>
                <w:sz w:val="28"/>
                <w:szCs w:val="28"/>
              </w:rPr>
              <w:t>obliga</w:t>
            </w:r>
            <w:r w:rsidR="00250FE1" w:rsidRPr="00747C05">
              <w:rPr>
                <w:bCs/>
                <w:i/>
                <w:sz w:val="28"/>
                <w:szCs w:val="28"/>
              </w:rPr>
              <w:t xml:space="preserve">doa la Sección </w:t>
            </w:r>
            <w:r w:rsidR="00335371" w:rsidRPr="00747C05">
              <w:rPr>
                <w:bCs/>
                <w:i/>
                <w:sz w:val="28"/>
                <w:szCs w:val="28"/>
              </w:rPr>
              <w:t>a destinar recursos de manera exclusiva para su debida atención</w:t>
            </w:r>
            <w:r w:rsidR="00AF4E5F" w:rsidRPr="00747C05">
              <w:rPr>
                <w:bCs/>
                <w:i/>
                <w:sz w:val="28"/>
                <w:szCs w:val="28"/>
              </w:rPr>
              <w:t>, como lo</w:t>
            </w:r>
            <w:r w:rsidR="00194FED" w:rsidRPr="00747C05">
              <w:rPr>
                <w:bCs/>
                <w:i/>
                <w:sz w:val="28"/>
                <w:szCs w:val="28"/>
              </w:rPr>
              <w:t xml:space="preserve">s </w:t>
            </w:r>
            <w:r w:rsidR="00AF4E5F" w:rsidRPr="00747C05">
              <w:rPr>
                <w:bCs/>
                <w:i/>
                <w:sz w:val="28"/>
                <w:szCs w:val="28"/>
              </w:rPr>
              <w:t>conocidos de</w:t>
            </w:r>
            <w:r w:rsidR="00400345" w:rsidRPr="00747C05">
              <w:rPr>
                <w:bCs/>
                <w:i/>
                <w:sz w:val="28"/>
                <w:szCs w:val="28"/>
              </w:rPr>
              <w:t>l</w:t>
            </w:r>
            <w:r w:rsidR="00AF4E5F" w:rsidRPr="00747C05">
              <w:rPr>
                <w:bCs/>
                <w:i/>
                <w:sz w:val="28"/>
                <w:szCs w:val="28"/>
              </w:rPr>
              <w:t xml:space="preserve"> “INFOCOOP” y el del “cemento chino”, los cuales tienen posibles interrelaciones con otras causas, que </w:t>
            </w:r>
            <w:r w:rsidR="00AC5408" w:rsidRPr="00747C05">
              <w:rPr>
                <w:bCs/>
                <w:i/>
                <w:sz w:val="28"/>
                <w:szCs w:val="28"/>
              </w:rPr>
              <w:t>de igual manera deben ser investigadas para verificar las presuntas vinculaciones,</w:t>
            </w:r>
            <w:r w:rsidR="00A752A2" w:rsidRPr="00747C05">
              <w:rPr>
                <w:bCs/>
                <w:i/>
                <w:sz w:val="28"/>
                <w:szCs w:val="28"/>
              </w:rPr>
              <w:t xml:space="preserve"> con otros casos. </w:t>
            </w:r>
            <w:r w:rsidR="00721B7C" w:rsidRPr="00747C05">
              <w:rPr>
                <w:rStyle w:val="Refdenotaalpie"/>
                <w:bCs/>
                <w:i/>
                <w:sz w:val="28"/>
                <w:szCs w:val="28"/>
              </w:rPr>
              <w:footnoteReference w:id="3"/>
            </w:r>
            <w:r w:rsidR="00721B7C" w:rsidRPr="00747C05">
              <w:rPr>
                <w:bCs/>
                <w:i/>
                <w:sz w:val="28"/>
                <w:szCs w:val="28"/>
              </w:rPr>
              <w:t>.</w:t>
            </w:r>
          </w:p>
          <w:p w:rsidR="00060F29" w:rsidRPr="00747C05" w:rsidRDefault="00060F29" w:rsidP="00FE2F3B">
            <w:pPr>
              <w:widowControl w:val="0"/>
              <w:jc w:val="both"/>
              <w:rPr>
                <w:bCs/>
                <w:i/>
                <w:sz w:val="28"/>
                <w:szCs w:val="28"/>
              </w:rPr>
            </w:pPr>
          </w:p>
          <w:p w:rsidR="00060F29" w:rsidRDefault="00C2074F" w:rsidP="00FE2F3B">
            <w:pPr>
              <w:widowControl w:val="0"/>
              <w:jc w:val="both"/>
              <w:rPr>
                <w:bCs/>
                <w:i/>
                <w:sz w:val="28"/>
                <w:szCs w:val="28"/>
              </w:rPr>
            </w:pPr>
            <w:r w:rsidRPr="00747C05">
              <w:rPr>
                <w:bCs/>
                <w:i/>
                <w:sz w:val="28"/>
                <w:szCs w:val="28"/>
              </w:rPr>
              <w:t>Actualmente, los 6 recursos adicionales se encuentran distribuidos para la atención del caso conocido como el del “cemento chino” (3 plazas) y el del “INFOCOOP” (3 plazas)</w:t>
            </w:r>
            <w:r w:rsidR="00D0512B" w:rsidRPr="00747C05">
              <w:rPr>
                <w:bCs/>
                <w:i/>
                <w:sz w:val="28"/>
                <w:szCs w:val="28"/>
              </w:rPr>
              <w:t>. N</w:t>
            </w:r>
            <w:r w:rsidRPr="00747C05">
              <w:rPr>
                <w:bCs/>
                <w:i/>
                <w:sz w:val="28"/>
                <w:szCs w:val="28"/>
              </w:rPr>
              <w:t xml:space="preserve">o obstante, debido a la cantidad de información que debe someterse a análisis financiero, se ha tenido que </w:t>
            </w:r>
            <w:r w:rsidR="0060652D" w:rsidRPr="00747C05">
              <w:rPr>
                <w:bCs/>
                <w:i/>
                <w:sz w:val="28"/>
                <w:szCs w:val="28"/>
              </w:rPr>
              <w:t>reforzar</w:t>
            </w:r>
            <w:r w:rsidRPr="00747C05">
              <w:rPr>
                <w:bCs/>
                <w:i/>
                <w:sz w:val="28"/>
                <w:szCs w:val="28"/>
              </w:rPr>
              <w:t xml:space="preserve"> con personal ordinario para avanzar con las actividades de investigación de estas causas.</w:t>
            </w:r>
          </w:p>
          <w:p w:rsidR="001A4A83" w:rsidRDefault="001A4A83" w:rsidP="00FE2F3B">
            <w:pPr>
              <w:widowControl w:val="0"/>
              <w:jc w:val="both"/>
              <w:rPr>
                <w:bCs/>
                <w:i/>
                <w:sz w:val="28"/>
                <w:szCs w:val="28"/>
              </w:rPr>
            </w:pPr>
          </w:p>
          <w:p w:rsidR="001A4A83" w:rsidRDefault="001A4A83" w:rsidP="00FE2F3B">
            <w:pPr>
              <w:widowControl w:val="0"/>
              <w:jc w:val="both"/>
              <w:rPr>
                <w:bCs/>
                <w:i/>
                <w:sz w:val="28"/>
                <w:szCs w:val="28"/>
              </w:rPr>
            </w:pPr>
            <w:r>
              <w:rPr>
                <w:bCs/>
                <w:i/>
                <w:sz w:val="28"/>
                <w:szCs w:val="28"/>
              </w:rPr>
              <w:t>En lo que respecta al caso del “cemento chino”</w:t>
            </w:r>
            <w:r w:rsidR="000C2C9E">
              <w:rPr>
                <w:bCs/>
                <w:i/>
                <w:sz w:val="28"/>
                <w:szCs w:val="28"/>
              </w:rPr>
              <w:t>, el cual involucra la atención de tres causas interrelacionadas</w:t>
            </w:r>
            <w:r w:rsidR="00400345">
              <w:rPr>
                <w:bCs/>
                <w:i/>
                <w:sz w:val="28"/>
                <w:szCs w:val="28"/>
              </w:rPr>
              <w:t>, la</w:t>
            </w:r>
            <w:r w:rsidR="000C2C9E">
              <w:rPr>
                <w:bCs/>
                <w:i/>
                <w:sz w:val="28"/>
                <w:szCs w:val="28"/>
              </w:rPr>
              <w:t xml:space="preserve">s </w:t>
            </w:r>
            <w:r w:rsidR="00400345">
              <w:rPr>
                <w:bCs/>
                <w:i/>
                <w:sz w:val="28"/>
                <w:szCs w:val="28"/>
              </w:rPr>
              <w:t xml:space="preserve">peritas y </w:t>
            </w:r>
            <w:r w:rsidR="000C2C9E">
              <w:rPr>
                <w:bCs/>
                <w:i/>
                <w:sz w:val="28"/>
                <w:szCs w:val="28"/>
              </w:rPr>
              <w:t>peritos</w:t>
            </w:r>
            <w:r w:rsidR="00400345">
              <w:rPr>
                <w:bCs/>
                <w:i/>
                <w:sz w:val="28"/>
                <w:szCs w:val="28"/>
              </w:rPr>
              <w:t xml:space="preserve"> asignadas o asignados</w:t>
            </w:r>
            <w:r w:rsidR="000C2C9E">
              <w:rPr>
                <w:bCs/>
                <w:i/>
                <w:sz w:val="28"/>
                <w:szCs w:val="28"/>
              </w:rPr>
              <w:t xml:space="preserve"> deben analizar información bancaria, tributaria y aduanera de los sujetos </w:t>
            </w:r>
            <w:r w:rsidR="0060652D">
              <w:rPr>
                <w:bCs/>
                <w:i/>
                <w:sz w:val="28"/>
                <w:szCs w:val="28"/>
              </w:rPr>
              <w:t xml:space="preserve">que son </w:t>
            </w:r>
            <w:r w:rsidR="000C2C9E">
              <w:rPr>
                <w:bCs/>
                <w:i/>
                <w:sz w:val="28"/>
                <w:szCs w:val="28"/>
              </w:rPr>
              <w:t xml:space="preserve">parte del proceso y cualquier otro relacionado que surja como parte de la investigación. A manera de ejemplificar las dimensiones de las actividades que deben llevar a cabo las plazas de Perito o Perito Judicial 2 </w:t>
            </w:r>
            <w:r w:rsidR="000C2C9E">
              <w:rPr>
                <w:bCs/>
                <w:i/>
                <w:sz w:val="28"/>
                <w:szCs w:val="28"/>
              </w:rPr>
              <w:lastRenderedPageBreak/>
              <w:t xml:space="preserve">asignadas a este caso, solo una de las causas cuenta </w:t>
            </w:r>
            <w:r w:rsidR="004B2270">
              <w:rPr>
                <w:bCs/>
                <w:i/>
                <w:sz w:val="28"/>
                <w:szCs w:val="28"/>
              </w:rPr>
              <w:t>con transacciones que ascienden a los $43 millones de dólares americanos.</w:t>
            </w:r>
          </w:p>
          <w:p w:rsidR="004B2270" w:rsidRDefault="004B2270" w:rsidP="00FE2F3B">
            <w:pPr>
              <w:widowControl w:val="0"/>
              <w:jc w:val="both"/>
              <w:rPr>
                <w:bCs/>
                <w:i/>
                <w:sz w:val="28"/>
                <w:szCs w:val="28"/>
              </w:rPr>
            </w:pPr>
          </w:p>
          <w:p w:rsidR="004B2270" w:rsidRDefault="004B2270" w:rsidP="00FE2F3B">
            <w:pPr>
              <w:widowControl w:val="0"/>
              <w:jc w:val="both"/>
              <w:rPr>
                <w:bCs/>
                <w:i/>
                <w:sz w:val="28"/>
                <w:szCs w:val="28"/>
              </w:rPr>
            </w:pPr>
            <w:r>
              <w:rPr>
                <w:bCs/>
                <w:i/>
                <w:sz w:val="28"/>
                <w:szCs w:val="28"/>
              </w:rPr>
              <w:t>Para el caso del “INFOCOOP”</w:t>
            </w:r>
            <w:r w:rsidR="00A604E9">
              <w:rPr>
                <w:bCs/>
                <w:i/>
                <w:sz w:val="28"/>
                <w:szCs w:val="28"/>
              </w:rPr>
              <w:t xml:space="preserve">, se deben realizar </w:t>
            </w:r>
            <w:r w:rsidR="006F14C5">
              <w:rPr>
                <w:bCs/>
                <w:i/>
                <w:sz w:val="28"/>
                <w:szCs w:val="28"/>
              </w:rPr>
              <w:t xml:space="preserve">análisis de trazabilidad bancaria y tributaria de aproximadamente 47 operaciones de crédito, en la que el tiempo de atención de una sola de estas operaciones por parte de una Perita o Perito Judicial 2 ordinaria, con la carga de trabajo con que cuenta cada una de las plazas de esa Sección (10 casos por plaza) podría ameritar alrededor de cuatro meses en labores de revisión </w:t>
            </w:r>
            <w:r w:rsidR="00E73355">
              <w:rPr>
                <w:bCs/>
                <w:i/>
                <w:sz w:val="28"/>
                <w:szCs w:val="28"/>
              </w:rPr>
              <w:t xml:space="preserve">y elaboración del </w:t>
            </w:r>
            <w:r w:rsidR="006F14C5">
              <w:rPr>
                <w:bCs/>
                <w:i/>
                <w:sz w:val="28"/>
                <w:szCs w:val="28"/>
              </w:rPr>
              <w:t>informe de dicha operación financiera.</w:t>
            </w:r>
          </w:p>
          <w:p w:rsidR="004079CE" w:rsidRDefault="004079CE" w:rsidP="00FE2F3B">
            <w:pPr>
              <w:widowControl w:val="0"/>
              <w:jc w:val="both"/>
              <w:rPr>
                <w:bCs/>
                <w:i/>
                <w:sz w:val="28"/>
                <w:szCs w:val="28"/>
              </w:rPr>
            </w:pPr>
          </w:p>
          <w:p w:rsidR="004079CE" w:rsidRPr="0060652D" w:rsidRDefault="004079CE" w:rsidP="004079CE">
            <w:pPr>
              <w:widowControl w:val="0"/>
              <w:jc w:val="both"/>
              <w:rPr>
                <w:b/>
                <w:bCs/>
                <w:i/>
                <w:sz w:val="28"/>
                <w:szCs w:val="28"/>
              </w:rPr>
            </w:pPr>
            <w:r w:rsidRPr="0060652D">
              <w:rPr>
                <w:b/>
                <w:bCs/>
                <w:i/>
                <w:sz w:val="28"/>
                <w:szCs w:val="28"/>
              </w:rPr>
              <w:t>3.</w:t>
            </w:r>
            <w:r w:rsidR="0060652D" w:rsidRPr="0060652D">
              <w:rPr>
                <w:b/>
                <w:bCs/>
                <w:i/>
                <w:sz w:val="28"/>
                <w:szCs w:val="28"/>
              </w:rPr>
              <w:t>4</w:t>
            </w:r>
            <w:r w:rsidRPr="0060652D">
              <w:rPr>
                <w:b/>
                <w:bCs/>
                <w:i/>
                <w:sz w:val="28"/>
                <w:szCs w:val="28"/>
              </w:rPr>
              <w:t>.- Análisis de la información estadística</w:t>
            </w:r>
          </w:p>
          <w:p w:rsidR="004079CE" w:rsidRPr="002B5A8D" w:rsidRDefault="004079CE" w:rsidP="004079CE">
            <w:pPr>
              <w:widowControl w:val="0"/>
              <w:jc w:val="both"/>
              <w:rPr>
                <w:bCs/>
                <w:i/>
                <w:sz w:val="28"/>
                <w:szCs w:val="28"/>
              </w:rPr>
            </w:pPr>
          </w:p>
          <w:p w:rsidR="004079CE" w:rsidRDefault="002B5A8D" w:rsidP="004079CE">
            <w:pPr>
              <w:widowControl w:val="0"/>
              <w:jc w:val="both"/>
              <w:rPr>
                <w:bCs/>
                <w:i/>
                <w:sz w:val="28"/>
                <w:szCs w:val="28"/>
              </w:rPr>
            </w:pPr>
            <w:r w:rsidRPr="002B5A8D">
              <w:rPr>
                <w:bCs/>
                <w:i/>
                <w:sz w:val="28"/>
                <w:szCs w:val="28"/>
              </w:rPr>
              <w:t>Este apartado permit</w:t>
            </w:r>
            <w:r>
              <w:rPr>
                <w:bCs/>
                <w:i/>
                <w:sz w:val="28"/>
                <w:szCs w:val="28"/>
              </w:rPr>
              <w:t>e analizar los datos estadísticos que ha obtenido la Sección en el último quinquenio. El siguiente cuadro muestra el ingreso de casos de la oficina:</w:t>
            </w:r>
          </w:p>
          <w:p w:rsidR="0019092B" w:rsidRDefault="0019092B" w:rsidP="004079CE">
            <w:pPr>
              <w:widowControl w:val="0"/>
              <w:jc w:val="both"/>
              <w:rPr>
                <w:bCs/>
                <w:i/>
                <w:sz w:val="28"/>
                <w:szCs w:val="28"/>
              </w:rPr>
            </w:pPr>
          </w:p>
          <w:p w:rsidR="002B5A8D" w:rsidRPr="00CA3AFC" w:rsidRDefault="0019092B" w:rsidP="0019092B">
            <w:pPr>
              <w:widowControl w:val="0"/>
              <w:jc w:val="center"/>
              <w:rPr>
                <w:b/>
                <w:bCs/>
              </w:rPr>
            </w:pPr>
            <w:r w:rsidRPr="00CA3AFC">
              <w:rPr>
                <w:b/>
                <w:bCs/>
                <w:sz w:val="22"/>
                <w:szCs w:val="22"/>
              </w:rPr>
              <w:t>Cuadro 1</w:t>
            </w:r>
          </w:p>
          <w:p w:rsidR="0060652D" w:rsidRDefault="0019092B" w:rsidP="0019092B">
            <w:pPr>
              <w:widowControl w:val="0"/>
              <w:jc w:val="center"/>
              <w:rPr>
                <w:b/>
                <w:bCs/>
              </w:rPr>
            </w:pPr>
            <w:r w:rsidRPr="00CA3AFC">
              <w:rPr>
                <w:b/>
                <w:bCs/>
                <w:sz w:val="22"/>
                <w:szCs w:val="22"/>
              </w:rPr>
              <w:t>Casos ingresados a la Sección de Delitos Económicos y</w:t>
            </w:r>
          </w:p>
          <w:p w:rsidR="0019092B" w:rsidRPr="00CA3AFC" w:rsidRDefault="0019092B" w:rsidP="0019092B">
            <w:pPr>
              <w:widowControl w:val="0"/>
              <w:jc w:val="center"/>
              <w:rPr>
                <w:b/>
                <w:bCs/>
              </w:rPr>
            </w:pPr>
            <w:r w:rsidRPr="00CA3AFC">
              <w:rPr>
                <w:b/>
                <w:bCs/>
                <w:sz w:val="22"/>
                <w:szCs w:val="22"/>
              </w:rPr>
              <w:t>Financieros</w:t>
            </w:r>
            <w:r w:rsidR="0060652D">
              <w:rPr>
                <w:b/>
                <w:bCs/>
                <w:sz w:val="22"/>
                <w:szCs w:val="22"/>
              </w:rPr>
              <w:t xml:space="preserve">, durante el </w:t>
            </w:r>
            <w:r w:rsidR="00A73E4C">
              <w:rPr>
                <w:b/>
                <w:bCs/>
                <w:sz w:val="22"/>
                <w:szCs w:val="22"/>
              </w:rPr>
              <w:t>p</w:t>
            </w:r>
            <w:r w:rsidRPr="00CA3AFC">
              <w:rPr>
                <w:b/>
                <w:bCs/>
                <w:sz w:val="22"/>
                <w:szCs w:val="22"/>
              </w:rPr>
              <w:t>eríodo 2013-2017</w:t>
            </w:r>
          </w:p>
          <w:p w:rsidR="0019092B" w:rsidRPr="0019092B" w:rsidRDefault="0019092B" w:rsidP="0019092B">
            <w:pPr>
              <w:widowControl w:val="0"/>
              <w:jc w:val="center"/>
              <w:rPr>
                <w:rFonts w:ascii="Arial" w:hAnsi="Arial" w:cs="Arial"/>
                <w:b/>
                <w:bCs/>
                <w:sz w:val="18"/>
                <w:szCs w:val="18"/>
              </w:rPr>
            </w:pPr>
          </w:p>
          <w:tbl>
            <w:tblPr>
              <w:tblW w:w="6531" w:type="dxa"/>
              <w:jc w:val="center"/>
              <w:tblLayout w:type="fixed"/>
              <w:tblCellMar>
                <w:left w:w="70" w:type="dxa"/>
                <w:right w:w="70" w:type="dxa"/>
              </w:tblCellMar>
              <w:tblLook w:val="04A0"/>
            </w:tblPr>
            <w:tblGrid>
              <w:gridCol w:w="2751"/>
              <w:gridCol w:w="734"/>
              <w:gridCol w:w="737"/>
              <w:gridCol w:w="737"/>
              <w:gridCol w:w="737"/>
              <w:gridCol w:w="835"/>
            </w:tblGrid>
            <w:tr w:rsidR="0019092B" w:rsidRPr="008E5969" w:rsidTr="0014563A">
              <w:trPr>
                <w:trHeight w:val="256"/>
                <w:jc w:val="center"/>
              </w:trPr>
              <w:tc>
                <w:tcPr>
                  <w:tcW w:w="2751" w:type="dxa"/>
                  <w:tcBorders>
                    <w:top w:val="single" w:sz="8" w:space="0" w:color="auto"/>
                    <w:left w:val="single" w:sz="8" w:space="0" w:color="auto"/>
                    <w:bottom w:val="single" w:sz="12" w:space="0" w:color="auto"/>
                    <w:right w:val="single" w:sz="12"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Tipo de Entrados</w:t>
                  </w:r>
                </w:p>
              </w:tc>
              <w:tc>
                <w:tcPr>
                  <w:tcW w:w="734" w:type="dxa"/>
                  <w:tcBorders>
                    <w:top w:val="single" w:sz="8" w:space="0" w:color="auto"/>
                    <w:left w:val="nil"/>
                    <w:bottom w:val="single" w:sz="12" w:space="0" w:color="auto"/>
                    <w:right w:val="single" w:sz="12"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2013</w:t>
                  </w:r>
                </w:p>
              </w:tc>
              <w:tc>
                <w:tcPr>
                  <w:tcW w:w="737" w:type="dxa"/>
                  <w:tcBorders>
                    <w:top w:val="single" w:sz="8" w:space="0" w:color="auto"/>
                    <w:left w:val="nil"/>
                    <w:bottom w:val="single" w:sz="12" w:space="0" w:color="auto"/>
                    <w:right w:val="single" w:sz="12"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2014</w:t>
                  </w:r>
                </w:p>
              </w:tc>
              <w:tc>
                <w:tcPr>
                  <w:tcW w:w="737" w:type="dxa"/>
                  <w:tcBorders>
                    <w:top w:val="single" w:sz="8" w:space="0" w:color="auto"/>
                    <w:left w:val="nil"/>
                    <w:bottom w:val="single" w:sz="12" w:space="0" w:color="auto"/>
                    <w:right w:val="single" w:sz="12"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2015</w:t>
                  </w:r>
                </w:p>
              </w:tc>
              <w:tc>
                <w:tcPr>
                  <w:tcW w:w="737" w:type="dxa"/>
                  <w:tcBorders>
                    <w:top w:val="single" w:sz="8" w:space="0" w:color="auto"/>
                    <w:left w:val="nil"/>
                    <w:bottom w:val="single" w:sz="12" w:space="0" w:color="auto"/>
                    <w:right w:val="single" w:sz="12"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2016</w:t>
                  </w:r>
                </w:p>
              </w:tc>
              <w:tc>
                <w:tcPr>
                  <w:tcW w:w="835" w:type="dxa"/>
                  <w:tcBorders>
                    <w:top w:val="single" w:sz="8" w:space="0" w:color="auto"/>
                    <w:left w:val="nil"/>
                    <w:bottom w:val="single" w:sz="12" w:space="0" w:color="auto"/>
                    <w:right w:val="single" w:sz="8" w:space="0" w:color="auto"/>
                  </w:tcBorders>
                  <w:shd w:val="clear" w:color="000000" w:fill="BFBFB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2017</w:t>
                  </w:r>
                </w:p>
              </w:tc>
            </w:tr>
            <w:tr w:rsidR="0019092B" w:rsidRPr="008E5969" w:rsidTr="0014563A">
              <w:trPr>
                <w:trHeight w:val="301"/>
                <w:jc w:val="center"/>
              </w:trPr>
              <w:tc>
                <w:tcPr>
                  <w:tcW w:w="2751" w:type="dxa"/>
                  <w:tcBorders>
                    <w:top w:val="nil"/>
                    <w:left w:val="single" w:sz="8" w:space="0" w:color="auto"/>
                    <w:bottom w:val="single" w:sz="4" w:space="0" w:color="auto"/>
                    <w:right w:val="single" w:sz="4" w:space="0" w:color="auto"/>
                  </w:tcBorders>
                  <w:shd w:val="clear" w:color="000000" w:fill="FFFFFF"/>
                  <w:vAlign w:val="center"/>
                  <w:hideMark/>
                </w:tcPr>
                <w:p w:rsidR="0019092B" w:rsidRPr="008E5969" w:rsidRDefault="0019092B" w:rsidP="0019092B">
                  <w:pPr>
                    <w:rPr>
                      <w:rFonts w:ascii="Book Antiqua" w:hAnsi="Book Antiqua" w:cs="Arial"/>
                      <w:sz w:val="16"/>
                      <w:szCs w:val="16"/>
                    </w:rPr>
                  </w:pPr>
                  <w:r w:rsidRPr="008E5969">
                    <w:rPr>
                      <w:rFonts w:ascii="Book Antiqua" w:hAnsi="Book Antiqua" w:cs="Arial"/>
                      <w:sz w:val="16"/>
                      <w:szCs w:val="16"/>
                    </w:rPr>
                    <w:t>Delitos Económicos y Financieros</w:t>
                  </w:r>
                </w:p>
              </w:tc>
              <w:tc>
                <w:tcPr>
                  <w:tcW w:w="734"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361</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425</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446</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565</w:t>
                  </w:r>
                </w:p>
              </w:tc>
              <w:tc>
                <w:tcPr>
                  <w:tcW w:w="835" w:type="dxa"/>
                  <w:tcBorders>
                    <w:top w:val="nil"/>
                    <w:left w:val="nil"/>
                    <w:bottom w:val="single" w:sz="4" w:space="0" w:color="auto"/>
                    <w:right w:val="single" w:sz="8"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467</w:t>
                  </w:r>
                </w:p>
              </w:tc>
            </w:tr>
            <w:tr w:rsidR="0019092B" w:rsidRPr="008E5969" w:rsidTr="0014563A">
              <w:trPr>
                <w:trHeight w:val="294"/>
                <w:jc w:val="center"/>
              </w:trPr>
              <w:tc>
                <w:tcPr>
                  <w:tcW w:w="2751" w:type="dxa"/>
                  <w:tcBorders>
                    <w:top w:val="nil"/>
                    <w:left w:val="single" w:sz="8" w:space="0" w:color="auto"/>
                    <w:bottom w:val="single" w:sz="4" w:space="0" w:color="auto"/>
                    <w:right w:val="single" w:sz="4" w:space="0" w:color="auto"/>
                  </w:tcBorders>
                  <w:shd w:val="clear" w:color="000000" w:fill="FFFFFF"/>
                  <w:noWrap/>
                  <w:vAlign w:val="center"/>
                  <w:hideMark/>
                </w:tcPr>
                <w:p w:rsidR="0019092B" w:rsidRPr="008E5969" w:rsidRDefault="0019092B" w:rsidP="0019092B">
                  <w:pPr>
                    <w:rPr>
                      <w:rFonts w:ascii="Book Antiqua" w:hAnsi="Book Antiqua" w:cs="Arial"/>
                      <w:sz w:val="16"/>
                      <w:szCs w:val="16"/>
                    </w:rPr>
                  </w:pPr>
                  <w:r w:rsidRPr="008E5969">
                    <w:rPr>
                      <w:rFonts w:ascii="Book Antiqua" w:hAnsi="Book Antiqua" w:cs="Arial"/>
                      <w:sz w:val="16"/>
                      <w:szCs w:val="16"/>
                    </w:rPr>
                    <w:t xml:space="preserve">Diligencias menores </w:t>
                  </w:r>
                  <w:r w:rsidRPr="008E5969">
                    <w:rPr>
                      <w:rFonts w:ascii="Book Antiqua" w:hAnsi="Book Antiqua" w:cs="Arial"/>
                      <w:sz w:val="16"/>
                      <w:szCs w:val="16"/>
                      <w:vertAlign w:val="superscript"/>
                    </w:rPr>
                    <w:t>(1)</w:t>
                  </w:r>
                </w:p>
              </w:tc>
              <w:tc>
                <w:tcPr>
                  <w:tcW w:w="734"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11</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12</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9</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13</w:t>
                  </w:r>
                </w:p>
              </w:tc>
              <w:tc>
                <w:tcPr>
                  <w:tcW w:w="835" w:type="dxa"/>
                  <w:tcBorders>
                    <w:top w:val="nil"/>
                    <w:left w:val="nil"/>
                    <w:bottom w:val="single" w:sz="4" w:space="0" w:color="auto"/>
                    <w:right w:val="single" w:sz="8"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20</w:t>
                  </w:r>
                </w:p>
              </w:tc>
            </w:tr>
            <w:tr w:rsidR="0019092B" w:rsidRPr="008E5969" w:rsidTr="0014563A">
              <w:trPr>
                <w:trHeight w:val="245"/>
                <w:jc w:val="center"/>
              </w:trPr>
              <w:tc>
                <w:tcPr>
                  <w:tcW w:w="2751" w:type="dxa"/>
                  <w:tcBorders>
                    <w:top w:val="nil"/>
                    <w:left w:val="single" w:sz="8" w:space="0" w:color="auto"/>
                    <w:bottom w:val="single" w:sz="4" w:space="0" w:color="auto"/>
                    <w:right w:val="single" w:sz="4" w:space="0" w:color="auto"/>
                  </w:tcBorders>
                  <w:shd w:val="clear" w:color="000000" w:fill="FFFFFF"/>
                  <w:noWrap/>
                  <w:vAlign w:val="center"/>
                  <w:hideMark/>
                </w:tcPr>
                <w:p w:rsidR="0019092B" w:rsidRPr="008E5969" w:rsidRDefault="0019092B" w:rsidP="0014563A">
                  <w:pPr>
                    <w:jc w:val="right"/>
                    <w:rPr>
                      <w:rFonts w:ascii="Book Antiqua" w:hAnsi="Book Antiqua" w:cs="Arial"/>
                      <w:b/>
                      <w:bCs/>
                      <w:sz w:val="16"/>
                      <w:szCs w:val="16"/>
                    </w:rPr>
                  </w:pPr>
                  <w:r w:rsidRPr="008E5969">
                    <w:rPr>
                      <w:rFonts w:ascii="Book Antiqua" w:hAnsi="Book Antiqua" w:cs="Arial"/>
                      <w:b/>
                      <w:bCs/>
                      <w:sz w:val="16"/>
                      <w:szCs w:val="16"/>
                    </w:rPr>
                    <w:t>T</w:t>
                  </w:r>
                  <w:r w:rsidR="0014563A">
                    <w:rPr>
                      <w:rFonts w:ascii="Book Antiqua" w:hAnsi="Book Antiqua" w:cs="Arial"/>
                      <w:b/>
                      <w:bCs/>
                      <w:sz w:val="16"/>
                      <w:szCs w:val="16"/>
                    </w:rPr>
                    <w:t>OTAL</w:t>
                  </w:r>
                </w:p>
              </w:tc>
              <w:tc>
                <w:tcPr>
                  <w:tcW w:w="734"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372</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437</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455</w:t>
                  </w:r>
                </w:p>
              </w:tc>
              <w:tc>
                <w:tcPr>
                  <w:tcW w:w="737" w:type="dxa"/>
                  <w:tcBorders>
                    <w:top w:val="nil"/>
                    <w:left w:val="nil"/>
                    <w:bottom w:val="single" w:sz="4"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578</w:t>
                  </w:r>
                </w:p>
              </w:tc>
              <w:tc>
                <w:tcPr>
                  <w:tcW w:w="835" w:type="dxa"/>
                  <w:tcBorders>
                    <w:top w:val="nil"/>
                    <w:left w:val="nil"/>
                    <w:bottom w:val="single" w:sz="4" w:space="0" w:color="auto"/>
                    <w:right w:val="single" w:sz="8" w:space="0" w:color="auto"/>
                  </w:tcBorders>
                  <w:shd w:val="clear" w:color="000000" w:fill="FFFFFF"/>
                  <w:noWrap/>
                  <w:vAlign w:val="center"/>
                  <w:hideMark/>
                </w:tcPr>
                <w:p w:rsidR="0019092B" w:rsidRPr="008E5969" w:rsidRDefault="0019092B" w:rsidP="0019092B">
                  <w:pPr>
                    <w:jc w:val="center"/>
                    <w:rPr>
                      <w:rFonts w:ascii="Book Antiqua" w:hAnsi="Book Antiqua" w:cs="Arial"/>
                      <w:b/>
                      <w:bCs/>
                      <w:sz w:val="16"/>
                      <w:szCs w:val="16"/>
                    </w:rPr>
                  </w:pPr>
                  <w:r w:rsidRPr="008E5969">
                    <w:rPr>
                      <w:rFonts w:ascii="Book Antiqua" w:hAnsi="Book Antiqua" w:cs="Arial"/>
                      <w:b/>
                      <w:bCs/>
                      <w:sz w:val="16"/>
                      <w:szCs w:val="16"/>
                    </w:rPr>
                    <w:t>487</w:t>
                  </w:r>
                </w:p>
              </w:tc>
            </w:tr>
            <w:tr w:rsidR="0019092B" w:rsidRPr="008E5969" w:rsidTr="0014563A">
              <w:trPr>
                <w:trHeight w:val="282"/>
                <w:jc w:val="center"/>
              </w:trPr>
              <w:tc>
                <w:tcPr>
                  <w:tcW w:w="2751" w:type="dxa"/>
                  <w:tcBorders>
                    <w:top w:val="nil"/>
                    <w:left w:val="single" w:sz="8" w:space="0" w:color="auto"/>
                    <w:bottom w:val="single" w:sz="8" w:space="0" w:color="auto"/>
                    <w:right w:val="single" w:sz="4" w:space="0" w:color="auto"/>
                  </w:tcBorders>
                  <w:shd w:val="clear" w:color="000000" w:fill="FFFFFF"/>
                  <w:noWrap/>
                  <w:vAlign w:val="center"/>
                  <w:hideMark/>
                </w:tcPr>
                <w:p w:rsidR="0019092B" w:rsidRPr="008E5969" w:rsidRDefault="0019092B" w:rsidP="0019092B">
                  <w:pPr>
                    <w:rPr>
                      <w:rFonts w:ascii="Book Antiqua" w:hAnsi="Book Antiqua" w:cs="Arial"/>
                      <w:sz w:val="16"/>
                      <w:szCs w:val="16"/>
                    </w:rPr>
                  </w:pPr>
                  <w:r w:rsidRPr="008E5969">
                    <w:rPr>
                      <w:rFonts w:ascii="Book Antiqua" w:hAnsi="Book Antiqua" w:cs="Arial"/>
                      <w:sz w:val="16"/>
                      <w:szCs w:val="16"/>
                    </w:rPr>
                    <w:t>Ampliaciones</w:t>
                  </w:r>
                  <w:r w:rsidR="0014563A">
                    <w:rPr>
                      <w:rFonts w:ascii="Book Antiqua" w:hAnsi="Book Antiqua" w:cs="Arial"/>
                      <w:sz w:val="16"/>
                      <w:szCs w:val="16"/>
                    </w:rPr>
                    <w:t xml:space="preserve"> de informes</w:t>
                  </w:r>
                </w:p>
              </w:tc>
              <w:tc>
                <w:tcPr>
                  <w:tcW w:w="734" w:type="dxa"/>
                  <w:tcBorders>
                    <w:top w:val="nil"/>
                    <w:left w:val="nil"/>
                    <w:bottom w:val="single" w:sz="8"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111</w:t>
                  </w:r>
                </w:p>
              </w:tc>
              <w:tc>
                <w:tcPr>
                  <w:tcW w:w="737" w:type="dxa"/>
                  <w:tcBorders>
                    <w:top w:val="nil"/>
                    <w:left w:val="nil"/>
                    <w:bottom w:val="single" w:sz="8"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106</w:t>
                  </w:r>
                </w:p>
              </w:tc>
              <w:tc>
                <w:tcPr>
                  <w:tcW w:w="737" w:type="dxa"/>
                  <w:tcBorders>
                    <w:top w:val="nil"/>
                    <w:left w:val="nil"/>
                    <w:bottom w:val="single" w:sz="8"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130</w:t>
                  </w:r>
                </w:p>
              </w:tc>
              <w:tc>
                <w:tcPr>
                  <w:tcW w:w="737" w:type="dxa"/>
                  <w:tcBorders>
                    <w:top w:val="nil"/>
                    <w:left w:val="nil"/>
                    <w:bottom w:val="single" w:sz="8" w:space="0" w:color="auto"/>
                    <w:right w:val="single" w:sz="4"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131</w:t>
                  </w:r>
                </w:p>
              </w:tc>
              <w:tc>
                <w:tcPr>
                  <w:tcW w:w="835" w:type="dxa"/>
                  <w:tcBorders>
                    <w:top w:val="nil"/>
                    <w:left w:val="nil"/>
                    <w:bottom w:val="single" w:sz="8" w:space="0" w:color="auto"/>
                    <w:right w:val="single" w:sz="8" w:space="0" w:color="auto"/>
                  </w:tcBorders>
                  <w:shd w:val="clear" w:color="000000" w:fill="FFFFFF"/>
                  <w:noWrap/>
                  <w:vAlign w:val="center"/>
                  <w:hideMark/>
                </w:tcPr>
                <w:p w:rsidR="0019092B" w:rsidRPr="008E5969" w:rsidRDefault="0019092B" w:rsidP="0019092B">
                  <w:pPr>
                    <w:jc w:val="center"/>
                    <w:rPr>
                      <w:rFonts w:ascii="Book Antiqua" w:hAnsi="Book Antiqua" w:cs="Arial"/>
                      <w:sz w:val="16"/>
                      <w:szCs w:val="16"/>
                    </w:rPr>
                  </w:pPr>
                  <w:r w:rsidRPr="008E5969">
                    <w:rPr>
                      <w:rFonts w:ascii="Book Antiqua" w:hAnsi="Book Antiqua" w:cs="Arial"/>
                      <w:sz w:val="16"/>
                      <w:szCs w:val="16"/>
                    </w:rPr>
                    <w:t>97</w:t>
                  </w:r>
                </w:p>
              </w:tc>
            </w:tr>
            <w:tr w:rsidR="0019092B" w:rsidRPr="008E5969" w:rsidTr="0014563A">
              <w:trPr>
                <w:trHeight w:val="852"/>
                <w:jc w:val="center"/>
              </w:trPr>
              <w:tc>
                <w:tcPr>
                  <w:tcW w:w="6531" w:type="dxa"/>
                  <w:gridSpan w:val="6"/>
                  <w:tcBorders>
                    <w:top w:val="nil"/>
                    <w:left w:val="nil"/>
                    <w:bottom w:val="nil"/>
                    <w:right w:val="nil"/>
                  </w:tcBorders>
                  <w:shd w:val="clear" w:color="auto" w:fill="auto"/>
                  <w:hideMark/>
                </w:tcPr>
                <w:p w:rsidR="009F2EEC" w:rsidRDefault="0019092B" w:rsidP="009F2EEC">
                  <w:pPr>
                    <w:jc w:val="both"/>
                    <w:rPr>
                      <w:rFonts w:ascii="Book Antiqua" w:hAnsi="Book Antiqua" w:cs="Arial"/>
                      <w:sz w:val="16"/>
                      <w:szCs w:val="16"/>
                    </w:rPr>
                  </w:pPr>
                  <w:r w:rsidRPr="008E5969">
                    <w:rPr>
                      <w:rFonts w:ascii="Book Antiqua" w:hAnsi="Book Antiqua" w:cs="Arial"/>
                      <w:b/>
                      <w:bCs/>
                      <w:sz w:val="16"/>
                      <w:szCs w:val="16"/>
                    </w:rPr>
                    <w:t xml:space="preserve">Nota: </w:t>
                  </w:r>
                  <w:r w:rsidRPr="008E5969">
                    <w:rPr>
                      <w:rFonts w:ascii="Book Antiqua" w:hAnsi="Book Antiqua" w:cs="Arial"/>
                      <w:sz w:val="16"/>
                      <w:szCs w:val="16"/>
                    </w:rPr>
                    <w:t xml:space="preserve">(1) Diligencia Menor (DM): </w:t>
                  </w:r>
                  <w:r w:rsidRPr="008E5969">
                    <w:rPr>
                      <w:rFonts w:ascii="Book Antiqua" w:hAnsi="Book Antiqua" w:cs="Arial"/>
                      <w:i/>
                      <w:iCs/>
                      <w:sz w:val="16"/>
                      <w:szCs w:val="16"/>
                    </w:rPr>
                    <w:t>“Tarea específica solicitada por una autoridad judicial que está conociendo una causa”</w:t>
                  </w:r>
                  <w:r w:rsidRPr="008E5969">
                    <w:rPr>
                      <w:rFonts w:ascii="Book Antiqua" w:hAnsi="Book Antiqua" w:cs="Arial"/>
                      <w:sz w:val="16"/>
                      <w:szCs w:val="16"/>
                    </w:rPr>
                    <w:t xml:space="preserve">, según lo estableció la Oficina de </w:t>
                  </w:r>
                  <w:r w:rsidR="009F2EEC">
                    <w:rPr>
                      <w:rFonts w:ascii="Book Antiqua" w:hAnsi="Book Antiqua" w:cs="Arial"/>
                      <w:sz w:val="16"/>
                      <w:szCs w:val="16"/>
                    </w:rPr>
                    <w:t>Planes y Operaciones del O.I.J.</w:t>
                  </w:r>
                </w:p>
                <w:p w:rsidR="0019092B" w:rsidRPr="008E5969" w:rsidRDefault="0019092B" w:rsidP="009F2EEC">
                  <w:pPr>
                    <w:jc w:val="both"/>
                    <w:rPr>
                      <w:rFonts w:ascii="Book Antiqua" w:hAnsi="Book Antiqua" w:cs="Arial"/>
                      <w:sz w:val="16"/>
                      <w:szCs w:val="16"/>
                    </w:rPr>
                  </w:pPr>
                  <w:r w:rsidRPr="008E5969">
                    <w:rPr>
                      <w:rFonts w:ascii="Book Antiqua" w:hAnsi="Book Antiqua" w:cs="Arial"/>
                      <w:b/>
                      <w:bCs/>
                      <w:sz w:val="16"/>
                      <w:szCs w:val="16"/>
                    </w:rPr>
                    <w:t xml:space="preserve">Fuente: </w:t>
                  </w:r>
                  <w:r w:rsidRPr="008E5969">
                    <w:rPr>
                      <w:rFonts w:ascii="Book Antiqua" w:hAnsi="Book Antiqua" w:cs="Arial"/>
                      <w:sz w:val="16"/>
                      <w:szCs w:val="16"/>
                    </w:rPr>
                    <w:t xml:space="preserve">Elaboración propia con datos obtenidos por la Sección de Delitos Económicos y Financieros y </w:t>
                  </w:r>
                  <w:r>
                    <w:rPr>
                      <w:rFonts w:ascii="Book Antiqua" w:hAnsi="Book Antiqua" w:cs="Arial"/>
                      <w:sz w:val="16"/>
                      <w:szCs w:val="16"/>
                    </w:rPr>
                    <w:t xml:space="preserve">lo consignado en el estudio </w:t>
                  </w:r>
                  <w:r w:rsidRPr="008E5969">
                    <w:rPr>
                      <w:rFonts w:ascii="Book Antiqua" w:hAnsi="Book Antiqua" w:cs="Arial"/>
                      <w:sz w:val="16"/>
                      <w:szCs w:val="16"/>
                    </w:rPr>
                    <w:t>2085-PLA-2016.</w:t>
                  </w:r>
                </w:p>
              </w:tc>
            </w:tr>
          </w:tbl>
          <w:p w:rsidR="002B5A8D" w:rsidRDefault="002B5A8D" w:rsidP="004079CE">
            <w:pPr>
              <w:widowControl w:val="0"/>
              <w:jc w:val="both"/>
              <w:rPr>
                <w:bCs/>
                <w:i/>
                <w:sz w:val="28"/>
                <w:szCs w:val="28"/>
              </w:rPr>
            </w:pPr>
          </w:p>
          <w:p w:rsidR="0019092B" w:rsidRPr="00747C05" w:rsidRDefault="00060C43" w:rsidP="004079CE">
            <w:pPr>
              <w:widowControl w:val="0"/>
              <w:jc w:val="both"/>
              <w:rPr>
                <w:bCs/>
                <w:i/>
                <w:sz w:val="28"/>
                <w:szCs w:val="28"/>
              </w:rPr>
            </w:pPr>
            <w:r>
              <w:rPr>
                <w:bCs/>
                <w:i/>
                <w:sz w:val="28"/>
                <w:szCs w:val="28"/>
              </w:rPr>
              <w:t>Como se desprende de la información estadística, del 2013 al 2016</w:t>
            </w:r>
            <w:r w:rsidR="00956BB1">
              <w:rPr>
                <w:bCs/>
                <w:i/>
                <w:sz w:val="28"/>
                <w:szCs w:val="28"/>
              </w:rPr>
              <w:t>,</w:t>
            </w:r>
            <w:r>
              <w:rPr>
                <w:bCs/>
                <w:i/>
                <w:sz w:val="28"/>
                <w:szCs w:val="28"/>
              </w:rPr>
              <w:t xml:space="preserve"> la entrada de casos mostró un aumento de un 56%, teniendo una baja </w:t>
            </w:r>
            <w:r w:rsidR="00F842AE">
              <w:rPr>
                <w:bCs/>
                <w:i/>
                <w:sz w:val="28"/>
                <w:szCs w:val="28"/>
              </w:rPr>
              <w:t xml:space="preserve">considerable de </w:t>
            </w:r>
            <w:r>
              <w:rPr>
                <w:bCs/>
                <w:i/>
                <w:sz w:val="28"/>
                <w:szCs w:val="28"/>
              </w:rPr>
              <w:t>más de 100 casos en el 201</w:t>
            </w:r>
            <w:r w:rsidR="00956BB1">
              <w:rPr>
                <w:bCs/>
                <w:i/>
                <w:sz w:val="28"/>
                <w:szCs w:val="28"/>
              </w:rPr>
              <w:t xml:space="preserve">7, al igual que las </w:t>
            </w:r>
            <w:r w:rsidR="00956BB1" w:rsidRPr="00747C05">
              <w:rPr>
                <w:bCs/>
                <w:i/>
                <w:sz w:val="28"/>
                <w:szCs w:val="28"/>
              </w:rPr>
              <w:t>solicitudes de ampliaciones d</w:t>
            </w:r>
            <w:r w:rsidR="00400345" w:rsidRPr="00747C05">
              <w:rPr>
                <w:bCs/>
                <w:i/>
                <w:sz w:val="28"/>
                <w:szCs w:val="28"/>
              </w:rPr>
              <w:t>e estudios que cerraron en 97.</w:t>
            </w:r>
          </w:p>
          <w:p w:rsidR="00B740FE" w:rsidRDefault="00B740FE" w:rsidP="004079CE">
            <w:pPr>
              <w:widowControl w:val="0"/>
              <w:jc w:val="both"/>
              <w:rPr>
                <w:bCs/>
                <w:i/>
                <w:sz w:val="28"/>
                <w:szCs w:val="28"/>
              </w:rPr>
            </w:pPr>
          </w:p>
          <w:p w:rsidR="00EA38ED" w:rsidRDefault="00EA38ED" w:rsidP="004079CE">
            <w:pPr>
              <w:widowControl w:val="0"/>
              <w:jc w:val="both"/>
              <w:rPr>
                <w:bCs/>
                <w:i/>
                <w:sz w:val="28"/>
                <w:szCs w:val="28"/>
              </w:rPr>
            </w:pPr>
          </w:p>
          <w:p w:rsidR="00EA38ED" w:rsidRDefault="00EA38ED" w:rsidP="004079CE">
            <w:pPr>
              <w:widowControl w:val="0"/>
              <w:jc w:val="both"/>
              <w:rPr>
                <w:bCs/>
                <w:i/>
                <w:sz w:val="28"/>
                <w:szCs w:val="28"/>
              </w:rPr>
            </w:pPr>
          </w:p>
          <w:p w:rsidR="00EA38ED" w:rsidRDefault="00EA38ED" w:rsidP="004079CE">
            <w:pPr>
              <w:widowControl w:val="0"/>
              <w:jc w:val="both"/>
              <w:rPr>
                <w:bCs/>
                <w:i/>
                <w:sz w:val="28"/>
                <w:szCs w:val="28"/>
              </w:rPr>
            </w:pPr>
          </w:p>
          <w:p w:rsidR="00EA38ED" w:rsidRPr="00747C05" w:rsidRDefault="00EA38ED" w:rsidP="004079CE">
            <w:pPr>
              <w:widowControl w:val="0"/>
              <w:jc w:val="both"/>
              <w:rPr>
                <w:bCs/>
                <w:i/>
                <w:sz w:val="28"/>
                <w:szCs w:val="28"/>
              </w:rPr>
            </w:pPr>
          </w:p>
          <w:p w:rsidR="00B740FE" w:rsidRPr="00747C05" w:rsidRDefault="00B740FE" w:rsidP="004079CE">
            <w:pPr>
              <w:widowControl w:val="0"/>
              <w:jc w:val="both"/>
              <w:rPr>
                <w:bCs/>
                <w:i/>
                <w:sz w:val="28"/>
                <w:szCs w:val="28"/>
              </w:rPr>
            </w:pPr>
            <w:r w:rsidRPr="00747C05">
              <w:rPr>
                <w:bCs/>
                <w:i/>
                <w:sz w:val="28"/>
                <w:szCs w:val="28"/>
              </w:rPr>
              <w:t xml:space="preserve">Ahora bien, si esta carga de trabajo se distribuye entre las plazas de perita o perito judicial existentes en la Sección, para el 2017, </w:t>
            </w:r>
            <w:r w:rsidR="0014563A" w:rsidRPr="00747C05">
              <w:rPr>
                <w:bCs/>
                <w:i/>
                <w:sz w:val="28"/>
                <w:szCs w:val="28"/>
              </w:rPr>
              <w:t xml:space="preserve">a </w:t>
            </w:r>
            <w:r w:rsidRPr="00747C05">
              <w:rPr>
                <w:bCs/>
                <w:i/>
                <w:sz w:val="28"/>
                <w:szCs w:val="28"/>
              </w:rPr>
              <w:t xml:space="preserve">cada profesional se le asignó </w:t>
            </w:r>
            <w:r w:rsidR="0014563A" w:rsidRPr="00747C05">
              <w:rPr>
                <w:bCs/>
                <w:i/>
                <w:sz w:val="28"/>
                <w:szCs w:val="28"/>
              </w:rPr>
              <w:t>en</w:t>
            </w:r>
            <w:r w:rsidRPr="00747C05">
              <w:rPr>
                <w:bCs/>
                <w:i/>
                <w:sz w:val="28"/>
                <w:szCs w:val="28"/>
              </w:rPr>
              <w:t xml:space="preserve"> promedio 1,54 casos por mes, </w:t>
            </w:r>
            <w:r w:rsidR="006027FF" w:rsidRPr="00747C05">
              <w:rPr>
                <w:bCs/>
                <w:i/>
                <w:sz w:val="28"/>
                <w:szCs w:val="28"/>
              </w:rPr>
              <w:t>cantidad que</w:t>
            </w:r>
            <w:r w:rsidR="008C2701" w:rsidRPr="00747C05">
              <w:rPr>
                <w:bCs/>
                <w:i/>
                <w:sz w:val="28"/>
                <w:szCs w:val="28"/>
              </w:rPr>
              <w:t>se visualiza como manejable</w:t>
            </w:r>
            <w:r w:rsidR="0014563A" w:rsidRPr="00747C05">
              <w:rPr>
                <w:bCs/>
                <w:i/>
                <w:sz w:val="28"/>
                <w:szCs w:val="28"/>
              </w:rPr>
              <w:t>;</w:t>
            </w:r>
            <w:r w:rsidR="006027FF" w:rsidRPr="00747C05">
              <w:rPr>
                <w:bCs/>
                <w:i/>
                <w:sz w:val="28"/>
                <w:szCs w:val="28"/>
              </w:rPr>
              <w:t>no obstante</w:t>
            </w:r>
            <w:r w:rsidR="0014563A" w:rsidRPr="00747C05">
              <w:rPr>
                <w:bCs/>
                <w:i/>
                <w:sz w:val="28"/>
                <w:szCs w:val="28"/>
              </w:rPr>
              <w:t>,</w:t>
            </w:r>
            <w:r w:rsidR="006027FF" w:rsidRPr="00747C05">
              <w:rPr>
                <w:bCs/>
                <w:i/>
                <w:sz w:val="28"/>
                <w:szCs w:val="28"/>
              </w:rPr>
              <w:t xml:space="preserve"> se </w:t>
            </w:r>
            <w:r w:rsidR="008C2701" w:rsidRPr="00747C05">
              <w:rPr>
                <w:bCs/>
                <w:i/>
                <w:sz w:val="28"/>
                <w:szCs w:val="28"/>
              </w:rPr>
              <w:t xml:space="preserve">debe tomar en consideración otros factores como </w:t>
            </w:r>
            <w:r w:rsidR="00F6054E" w:rsidRPr="00747C05">
              <w:rPr>
                <w:bCs/>
                <w:i/>
                <w:sz w:val="28"/>
                <w:szCs w:val="28"/>
              </w:rPr>
              <w:t xml:space="preserve">el </w:t>
            </w:r>
            <w:r w:rsidR="008C2701" w:rsidRPr="00747C05">
              <w:rPr>
                <w:bCs/>
                <w:i/>
                <w:sz w:val="28"/>
                <w:szCs w:val="28"/>
              </w:rPr>
              <w:t xml:space="preserve">nivel de complejidad, lo que puede </w:t>
            </w:r>
            <w:r w:rsidR="0051651D" w:rsidRPr="00747C05">
              <w:rPr>
                <w:bCs/>
                <w:i/>
                <w:sz w:val="28"/>
                <w:szCs w:val="28"/>
              </w:rPr>
              <w:t>amerita</w:t>
            </w:r>
            <w:r w:rsidR="006027FF" w:rsidRPr="00747C05">
              <w:rPr>
                <w:bCs/>
                <w:i/>
                <w:sz w:val="28"/>
                <w:szCs w:val="28"/>
              </w:rPr>
              <w:t>r</w:t>
            </w:r>
            <w:r w:rsidR="0051651D" w:rsidRPr="00747C05">
              <w:rPr>
                <w:bCs/>
                <w:i/>
                <w:sz w:val="28"/>
                <w:szCs w:val="28"/>
              </w:rPr>
              <w:t xml:space="preserve"> dedicar </w:t>
            </w:r>
            <w:r w:rsidR="006027FF" w:rsidRPr="00747C05">
              <w:rPr>
                <w:bCs/>
                <w:i/>
                <w:sz w:val="28"/>
                <w:szCs w:val="28"/>
              </w:rPr>
              <w:t>un tiempo considerable</w:t>
            </w:r>
            <w:r w:rsidR="0051651D" w:rsidRPr="00747C05">
              <w:rPr>
                <w:bCs/>
                <w:i/>
                <w:sz w:val="28"/>
                <w:szCs w:val="28"/>
              </w:rPr>
              <w:t>, inclusive</w:t>
            </w:r>
            <w:r w:rsidR="0014563A" w:rsidRPr="00747C05">
              <w:rPr>
                <w:bCs/>
                <w:i/>
                <w:sz w:val="28"/>
                <w:szCs w:val="28"/>
              </w:rPr>
              <w:t xml:space="preserve"> de</w:t>
            </w:r>
            <w:r w:rsidR="008C2701" w:rsidRPr="00747C05">
              <w:rPr>
                <w:bCs/>
                <w:i/>
                <w:sz w:val="28"/>
                <w:szCs w:val="28"/>
              </w:rPr>
              <w:t xml:space="preserve"> meses en el análisis y construcción del respectivo informe</w:t>
            </w:r>
            <w:r w:rsidR="00C1314B" w:rsidRPr="00747C05">
              <w:rPr>
                <w:bCs/>
                <w:i/>
                <w:sz w:val="28"/>
                <w:szCs w:val="28"/>
              </w:rPr>
              <w:t xml:space="preserve"> para un solo caso.</w:t>
            </w:r>
          </w:p>
          <w:p w:rsidR="00E9570B" w:rsidRPr="00747C05" w:rsidRDefault="00E9570B" w:rsidP="004079CE">
            <w:pPr>
              <w:widowControl w:val="0"/>
              <w:jc w:val="both"/>
              <w:rPr>
                <w:bCs/>
                <w:i/>
                <w:sz w:val="28"/>
                <w:szCs w:val="28"/>
              </w:rPr>
            </w:pPr>
          </w:p>
          <w:p w:rsidR="00E9570B" w:rsidRDefault="0014563A" w:rsidP="004079CE">
            <w:pPr>
              <w:widowControl w:val="0"/>
              <w:jc w:val="both"/>
              <w:rPr>
                <w:bCs/>
                <w:i/>
                <w:sz w:val="28"/>
                <w:szCs w:val="28"/>
              </w:rPr>
            </w:pPr>
            <w:r w:rsidRPr="00747C05">
              <w:rPr>
                <w:bCs/>
                <w:i/>
                <w:sz w:val="28"/>
                <w:szCs w:val="28"/>
              </w:rPr>
              <w:t>E</w:t>
            </w:r>
            <w:r w:rsidR="00B06D10" w:rsidRPr="00747C05">
              <w:rPr>
                <w:bCs/>
                <w:i/>
                <w:sz w:val="28"/>
                <w:szCs w:val="28"/>
              </w:rPr>
              <w:t xml:space="preserve">n lo que respecta a las cargas de trabajo por Perita o Perito Judicial, </w:t>
            </w:r>
            <w:r w:rsidR="00E9570B" w:rsidRPr="00747C05">
              <w:rPr>
                <w:bCs/>
                <w:i/>
                <w:sz w:val="28"/>
                <w:szCs w:val="28"/>
              </w:rPr>
              <w:t xml:space="preserve">también </w:t>
            </w:r>
            <w:r w:rsidR="00B06D10" w:rsidRPr="00747C05">
              <w:rPr>
                <w:bCs/>
                <w:i/>
                <w:sz w:val="28"/>
                <w:szCs w:val="28"/>
              </w:rPr>
              <w:t xml:space="preserve">se </w:t>
            </w:r>
            <w:r w:rsidR="00E9570B" w:rsidRPr="00747C05">
              <w:rPr>
                <w:bCs/>
                <w:i/>
                <w:sz w:val="28"/>
                <w:szCs w:val="28"/>
              </w:rPr>
              <w:t xml:space="preserve">debe tomar en cuenta </w:t>
            </w:r>
            <w:r w:rsidR="00B06D10" w:rsidRPr="00747C05">
              <w:rPr>
                <w:bCs/>
                <w:i/>
                <w:sz w:val="28"/>
                <w:szCs w:val="28"/>
              </w:rPr>
              <w:t xml:space="preserve">en la distribución del trabajo, </w:t>
            </w:r>
            <w:r w:rsidR="00E9570B" w:rsidRPr="00747C05">
              <w:rPr>
                <w:bCs/>
                <w:i/>
                <w:sz w:val="28"/>
                <w:szCs w:val="28"/>
              </w:rPr>
              <w:t xml:space="preserve">el ingreso de las </w:t>
            </w:r>
            <w:r w:rsidRPr="00747C05">
              <w:rPr>
                <w:bCs/>
                <w:i/>
                <w:sz w:val="28"/>
                <w:szCs w:val="28"/>
              </w:rPr>
              <w:t>“</w:t>
            </w:r>
            <w:r w:rsidR="00E9570B" w:rsidRPr="00747C05">
              <w:rPr>
                <w:bCs/>
                <w:i/>
                <w:sz w:val="28"/>
                <w:szCs w:val="28"/>
              </w:rPr>
              <w:t>diligencias menores</w:t>
            </w:r>
            <w:r w:rsidRPr="00747C05">
              <w:rPr>
                <w:bCs/>
                <w:i/>
                <w:sz w:val="28"/>
                <w:szCs w:val="28"/>
              </w:rPr>
              <w:t>”</w:t>
            </w:r>
            <w:r w:rsidR="00E9570B" w:rsidRPr="00747C05">
              <w:rPr>
                <w:bCs/>
                <w:i/>
                <w:sz w:val="28"/>
                <w:szCs w:val="28"/>
              </w:rPr>
              <w:t xml:space="preserve">, que en el 2017 llegaron a 20 en total, </w:t>
            </w:r>
            <w:r w:rsidRPr="00747C05">
              <w:rPr>
                <w:bCs/>
                <w:i/>
                <w:sz w:val="28"/>
                <w:szCs w:val="28"/>
              </w:rPr>
              <w:t xml:space="preserve">siendo </w:t>
            </w:r>
            <w:r w:rsidR="00E9570B" w:rsidRPr="00747C05">
              <w:rPr>
                <w:bCs/>
                <w:i/>
                <w:sz w:val="28"/>
                <w:szCs w:val="28"/>
              </w:rPr>
              <w:t>la mayor cantidad reportada en el último quinquenio</w:t>
            </w:r>
            <w:r w:rsidR="00616CB2" w:rsidRPr="00747C05">
              <w:rPr>
                <w:bCs/>
                <w:i/>
                <w:sz w:val="28"/>
                <w:szCs w:val="28"/>
              </w:rPr>
              <w:t xml:space="preserve">, así como las </w:t>
            </w:r>
            <w:r w:rsidRPr="00747C05">
              <w:rPr>
                <w:bCs/>
                <w:i/>
                <w:sz w:val="28"/>
                <w:szCs w:val="28"/>
              </w:rPr>
              <w:t>“</w:t>
            </w:r>
            <w:r w:rsidR="00616CB2" w:rsidRPr="00747C05">
              <w:rPr>
                <w:bCs/>
                <w:i/>
                <w:sz w:val="28"/>
                <w:szCs w:val="28"/>
              </w:rPr>
              <w:t>ampliaciones de informes</w:t>
            </w:r>
            <w:r w:rsidRPr="00747C05">
              <w:rPr>
                <w:bCs/>
                <w:i/>
                <w:sz w:val="28"/>
                <w:szCs w:val="28"/>
              </w:rPr>
              <w:t>”</w:t>
            </w:r>
            <w:r w:rsidR="00616CB2" w:rsidRPr="00747C05">
              <w:rPr>
                <w:bCs/>
                <w:i/>
                <w:sz w:val="28"/>
                <w:szCs w:val="28"/>
              </w:rPr>
              <w:t xml:space="preserve">, que si bien es cierto no se </w:t>
            </w:r>
            <w:r w:rsidR="00F1313D" w:rsidRPr="00747C05">
              <w:rPr>
                <w:bCs/>
                <w:i/>
                <w:sz w:val="28"/>
                <w:szCs w:val="28"/>
              </w:rPr>
              <w:t>contemplan</w:t>
            </w:r>
            <w:r w:rsidR="00616CB2" w:rsidRPr="00747C05">
              <w:rPr>
                <w:bCs/>
                <w:i/>
                <w:sz w:val="28"/>
                <w:szCs w:val="28"/>
              </w:rPr>
              <w:t xml:space="preserve"> en el ingreso de </w:t>
            </w:r>
            <w:r w:rsidR="009B6640" w:rsidRPr="00747C05">
              <w:rPr>
                <w:bCs/>
                <w:i/>
                <w:sz w:val="28"/>
                <w:szCs w:val="28"/>
              </w:rPr>
              <w:t xml:space="preserve">nuevas </w:t>
            </w:r>
            <w:r w:rsidR="00616CB2" w:rsidRPr="00747C05">
              <w:rPr>
                <w:bCs/>
                <w:i/>
                <w:sz w:val="28"/>
                <w:szCs w:val="28"/>
              </w:rPr>
              <w:t>solicitudes, s</w:t>
            </w:r>
            <w:r w:rsidRPr="00747C05">
              <w:rPr>
                <w:bCs/>
                <w:i/>
                <w:sz w:val="28"/>
                <w:szCs w:val="28"/>
              </w:rPr>
              <w:t>í</w:t>
            </w:r>
            <w:r w:rsidR="00616CB2" w:rsidRPr="00747C05">
              <w:rPr>
                <w:bCs/>
                <w:i/>
                <w:sz w:val="28"/>
                <w:szCs w:val="28"/>
              </w:rPr>
              <w:t xml:space="preserve"> requieren la utilización de personal y tiempo para su debida atención.</w:t>
            </w:r>
          </w:p>
          <w:p w:rsidR="008C2701" w:rsidRDefault="008C2701" w:rsidP="004079CE">
            <w:pPr>
              <w:widowControl w:val="0"/>
              <w:jc w:val="both"/>
              <w:rPr>
                <w:bCs/>
                <w:i/>
                <w:sz w:val="28"/>
                <w:szCs w:val="28"/>
              </w:rPr>
            </w:pPr>
          </w:p>
          <w:p w:rsidR="00DD388E" w:rsidRPr="004B1300" w:rsidRDefault="00DD388E" w:rsidP="00DD388E">
            <w:pPr>
              <w:widowControl w:val="0"/>
              <w:jc w:val="both"/>
              <w:rPr>
                <w:b/>
                <w:bCs/>
                <w:i/>
                <w:sz w:val="28"/>
                <w:szCs w:val="28"/>
              </w:rPr>
            </w:pPr>
            <w:r>
              <w:rPr>
                <w:b/>
                <w:bCs/>
                <w:i/>
                <w:sz w:val="28"/>
                <w:szCs w:val="28"/>
              </w:rPr>
              <w:t>3.</w:t>
            </w:r>
            <w:r w:rsidR="00700BD2">
              <w:rPr>
                <w:b/>
                <w:bCs/>
                <w:i/>
                <w:sz w:val="28"/>
                <w:szCs w:val="28"/>
              </w:rPr>
              <w:t>5.-</w:t>
            </w:r>
            <w:r>
              <w:rPr>
                <w:b/>
                <w:bCs/>
                <w:i/>
                <w:sz w:val="28"/>
                <w:szCs w:val="28"/>
              </w:rPr>
              <w:t xml:space="preserve"> Entrevista</w:t>
            </w:r>
            <w:r w:rsidRPr="004B1300">
              <w:rPr>
                <w:b/>
                <w:bCs/>
                <w:i/>
                <w:sz w:val="28"/>
                <w:szCs w:val="28"/>
              </w:rPr>
              <w:t xml:space="preserve"> a la </w:t>
            </w:r>
            <w:r>
              <w:rPr>
                <w:b/>
                <w:bCs/>
                <w:i/>
                <w:sz w:val="28"/>
                <w:szCs w:val="28"/>
              </w:rPr>
              <w:t xml:space="preserve">jefatura de la </w:t>
            </w:r>
            <w:r w:rsidRPr="004B1300">
              <w:rPr>
                <w:b/>
                <w:bCs/>
                <w:i/>
                <w:sz w:val="28"/>
                <w:szCs w:val="28"/>
              </w:rPr>
              <w:t>oficina involuc</w:t>
            </w:r>
            <w:r>
              <w:rPr>
                <w:b/>
                <w:bCs/>
                <w:i/>
                <w:sz w:val="28"/>
                <w:szCs w:val="28"/>
              </w:rPr>
              <w:t>rada</w:t>
            </w:r>
          </w:p>
          <w:p w:rsidR="00A90F32" w:rsidRDefault="00A90F32" w:rsidP="004079CE">
            <w:pPr>
              <w:widowControl w:val="0"/>
              <w:jc w:val="both"/>
              <w:rPr>
                <w:bCs/>
                <w:i/>
                <w:sz w:val="28"/>
                <w:szCs w:val="28"/>
              </w:rPr>
            </w:pPr>
          </w:p>
          <w:p w:rsidR="00A90F32" w:rsidRDefault="008C2701" w:rsidP="004079CE">
            <w:pPr>
              <w:widowControl w:val="0"/>
              <w:jc w:val="both"/>
              <w:rPr>
                <w:bCs/>
                <w:i/>
                <w:sz w:val="28"/>
                <w:szCs w:val="28"/>
              </w:rPr>
            </w:pPr>
            <w:r>
              <w:rPr>
                <w:bCs/>
                <w:i/>
                <w:sz w:val="28"/>
                <w:szCs w:val="28"/>
              </w:rPr>
              <w:t>En entrevista realizada al Jefe de la Sección</w:t>
            </w:r>
            <w:r w:rsidR="0014563A">
              <w:rPr>
                <w:bCs/>
                <w:i/>
                <w:sz w:val="28"/>
                <w:szCs w:val="28"/>
              </w:rPr>
              <w:t>,</w:t>
            </w:r>
            <w:r w:rsidR="00DD2A62">
              <w:rPr>
                <w:bCs/>
                <w:i/>
                <w:sz w:val="28"/>
                <w:szCs w:val="28"/>
              </w:rPr>
              <w:t xml:space="preserve"> Lic. Reynaldo Velasquez Car</w:t>
            </w:r>
            <w:r w:rsidR="00A90F32">
              <w:rPr>
                <w:bCs/>
                <w:i/>
                <w:sz w:val="28"/>
                <w:szCs w:val="28"/>
              </w:rPr>
              <w:t>r</w:t>
            </w:r>
            <w:r w:rsidR="00DD2A62">
              <w:rPr>
                <w:bCs/>
                <w:i/>
                <w:sz w:val="28"/>
                <w:szCs w:val="28"/>
              </w:rPr>
              <w:t>illo</w:t>
            </w:r>
            <w:r w:rsidR="0014563A">
              <w:rPr>
                <w:bCs/>
                <w:i/>
                <w:sz w:val="28"/>
                <w:szCs w:val="28"/>
              </w:rPr>
              <w:t>,</w:t>
            </w:r>
            <w:r w:rsidR="00DD2A62">
              <w:rPr>
                <w:bCs/>
                <w:i/>
                <w:sz w:val="28"/>
                <w:szCs w:val="28"/>
              </w:rPr>
              <w:t xml:space="preserve"> indicó que actualmente la carga de trabajo por profesional oscila entre los 8 a 10 casos</w:t>
            </w:r>
            <w:r w:rsidR="0014563A">
              <w:rPr>
                <w:bCs/>
                <w:i/>
                <w:sz w:val="28"/>
                <w:szCs w:val="28"/>
              </w:rPr>
              <w:t xml:space="preserve"> como casos en trámite</w:t>
            </w:r>
            <w:r w:rsidR="00DD2A62">
              <w:rPr>
                <w:bCs/>
                <w:i/>
                <w:sz w:val="28"/>
                <w:szCs w:val="28"/>
              </w:rPr>
              <w:t xml:space="preserve">, </w:t>
            </w:r>
            <w:r w:rsidR="00A90F32">
              <w:rPr>
                <w:bCs/>
                <w:i/>
                <w:sz w:val="28"/>
                <w:szCs w:val="28"/>
              </w:rPr>
              <w:t xml:space="preserve">con un nivel de </w:t>
            </w:r>
            <w:r w:rsidR="00DD2A62">
              <w:rPr>
                <w:bCs/>
                <w:i/>
                <w:sz w:val="28"/>
                <w:szCs w:val="28"/>
              </w:rPr>
              <w:t xml:space="preserve">complejidad </w:t>
            </w:r>
            <w:r w:rsidR="003764C0">
              <w:rPr>
                <w:bCs/>
                <w:i/>
                <w:sz w:val="28"/>
                <w:szCs w:val="28"/>
              </w:rPr>
              <w:t>de intermedio a</w:t>
            </w:r>
            <w:r w:rsidR="00DD2A62">
              <w:rPr>
                <w:bCs/>
                <w:i/>
                <w:sz w:val="28"/>
                <w:szCs w:val="28"/>
              </w:rPr>
              <w:t xml:space="preserve"> alto</w:t>
            </w:r>
            <w:r w:rsidR="00A90F32">
              <w:rPr>
                <w:bCs/>
                <w:i/>
                <w:sz w:val="28"/>
                <w:szCs w:val="28"/>
              </w:rPr>
              <w:t xml:space="preserve">, </w:t>
            </w:r>
            <w:r w:rsidR="003764C0">
              <w:rPr>
                <w:bCs/>
                <w:i/>
                <w:sz w:val="28"/>
                <w:szCs w:val="28"/>
              </w:rPr>
              <w:t>por lo que</w:t>
            </w:r>
            <w:r w:rsidR="00A90F32">
              <w:rPr>
                <w:bCs/>
                <w:i/>
                <w:sz w:val="28"/>
                <w:szCs w:val="28"/>
              </w:rPr>
              <w:t xml:space="preserve"> el ingreso de los casos del “INFOCOOP” y el “cemento chino” </w:t>
            </w:r>
            <w:r w:rsidR="007D526D">
              <w:rPr>
                <w:bCs/>
                <w:i/>
                <w:sz w:val="28"/>
                <w:szCs w:val="28"/>
              </w:rPr>
              <w:t xml:space="preserve">de no </w:t>
            </w:r>
            <w:r w:rsidR="00E074A2">
              <w:rPr>
                <w:bCs/>
                <w:i/>
                <w:sz w:val="28"/>
                <w:szCs w:val="28"/>
              </w:rPr>
              <w:t xml:space="preserve">haber </w:t>
            </w:r>
            <w:r w:rsidR="007D526D">
              <w:rPr>
                <w:bCs/>
                <w:i/>
                <w:sz w:val="28"/>
                <w:szCs w:val="28"/>
              </w:rPr>
              <w:t>conta</w:t>
            </w:r>
            <w:r w:rsidR="00E074A2">
              <w:rPr>
                <w:bCs/>
                <w:i/>
                <w:sz w:val="28"/>
                <w:szCs w:val="28"/>
              </w:rPr>
              <w:t>do</w:t>
            </w:r>
            <w:r w:rsidR="007D526D">
              <w:rPr>
                <w:bCs/>
                <w:i/>
                <w:sz w:val="28"/>
                <w:szCs w:val="28"/>
              </w:rPr>
              <w:t xml:space="preserve"> con las 6 </w:t>
            </w:r>
            <w:r w:rsidR="00A90F32">
              <w:rPr>
                <w:bCs/>
                <w:i/>
                <w:sz w:val="28"/>
                <w:szCs w:val="28"/>
              </w:rPr>
              <w:t>plaza</w:t>
            </w:r>
            <w:r w:rsidR="007D526D">
              <w:rPr>
                <w:bCs/>
                <w:i/>
                <w:sz w:val="28"/>
                <w:szCs w:val="28"/>
              </w:rPr>
              <w:t>s adicionales de Perita o Perito Judicial 2, h</w:t>
            </w:r>
            <w:r w:rsidR="0014563A">
              <w:rPr>
                <w:bCs/>
                <w:i/>
                <w:sz w:val="28"/>
                <w:szCs w:val="28"/>
              </w:rPr>
              <w:t>abría</w:t>
            </w:r>
            <w:r w:rsidR="007D526D">
              <w:rPr>
                <w:bCs/>
                <w:i/>
                <w:sz w:val="28"/>
                <w:szCs w:val="28"/>
              </w:rPr>
              <w:t xml:space="preserve"> ameritado destacar personal ordinario</w:t>
            </w:r>
            <w:r w:rsidR="0014563A">
              <w:rPr>
                <w:bCs/>
                <w:i/>
                <w:sz w:val="28"/>
                <w:szCs w:val="28"/>
              </w:rPr>
              <w:t xml:space="preserve"> para su atención</w:t>
            </w:r>
            <w:r w:rsidR="007D526D">
              <w:rPr>
                <w:bCs/>
                <w:i/>
                <w:sz w:val="28"/>
                <w:szCs w:val="28"/>
              </w:rPr>
              <w:t>,</w:t>
            </w:r>
            <w:r w:rsidR="00700BD2">
              <w:rPr>
                <w:bCs/>
                <w:i/>
                <w:sz w:val="28"/>
                <w:szCs w:val="28"/>
              </w:rPr>
              <w:t xml:space="preserve">con consecuencias negativas para la Sección en el trámite de </w:t>
            </w:r>
            <w:r w:rsidR="007D526D">
              <w:rPr>
                <w:bCs/>
                <w:i/>
                <w:sz w:val="28"/>
                <w:szCs w:val="28"/>
              </w:rPr>
              <w:t>los casos en proceso de investigación.</w:t>
            </w:r>
          </w:p>
          <w:p w:rsidR="007D526D" w:rsidRDefault="007D526D" w:rsidP="004079CE">
            <w:pPr>
              <w:widowControl w:val="0"/>
              <w:jc w:val="both"/>
              <w:rPr>
                <w:bCs/>
                <w:i/>
                <w:sz w:val="28"/>
                <w:szCs w:val="28"/>
              </w:rPr>
            </w:pPr>
          </w:p>
          <w:p w:rsidR="00A90F32" w:rsidRDefault="00A90F32" w:rsidP="004079CE">
            <w:pPr>
              <w:widowControl w:val="0"/>
              <w:jc w:val="both"/>
              <w:rPr>
                <w:bCs/>
                <w:i/>
                <w:sz w:val="28"/>
                <w:szCs w:val="28"/>
              </w:rPr>
            </w:pPr>
            <w:r w:rsidRPr="00747C05">
              <w:rPr>
                <w:bCs/>
                <w:i/>
                <w:sz w:val="28"/>
                <w:szCs w:val="28"/>
              </w:rPr>
              <w:t>La complejidad de estas causas y lo mediático de amb</w:t>
            </w:r>
            <w:r w:rsidR="004F48B1" w:rsidRPr="00747C05">
              <w:rPr>
                <w:bCs/>
                <w:i/>
                <w:sz w:val="28"/>
                <w:szCs w:val="28"/>
              </w:rPr>
              <w:t>os casos ha ocasionado la pronta</w:t>
            </w:r>
            <w:r w:rsidRPr="00747C05">
              <w:rPr>
                <w:bCs/>
                <w:i/>
                <w:sz w:val="28"/>
                <w:szCs w:val="28"/>
              </w:rPr>
              <w:t xml:space="preserve"> atención de los procesos investigativos que lleva a cabo la Sección, que a pesar de los recursos adicionales otorgados ha sido necesario destinar personal ordinario para atender varias de las actividades que se tienen que </w:t>
            </w:r>
            <w:r w:rsidR="001B45F6" w:rsidRPr="00747C05">
              <w:rPr>
                <w:bCs/>
                <w:i/>
                <w:sz w:val="28"/>
                <w:szCs w:val="28"/>
              </w:rPr>
              <w:t>ejecuta</w:t>
            </w:r>
            <w:r w:rsidRPr="00747C05">
              <w:rPr>
                <w:bCs/>
                <w:i/>
                <w:sz w:val="28"/>
                <w:szCs w:val="28"/>
              </w:rPr>
              <w:t xml:space="preserve">r. Para ejemplificar lo anterior, el Lic. Velasquez Carrillo comentó que </w:t>
            </w:r>
            <w:r w:rsidR="004F48B1" w:rsidRPr="00747C05">
              <w:rPr>
                <w:bCs/>
                <w:i/>
                <w:sz w:val="28"/>
                <w:szCs w:val="28"/>
              </w:rPr>
              <w:t xml:space="preserve">durante </w:t>
            </w:r>
            <w:r w:rsidR="00700BD2" w:rsidRPr="00747C05">
              <w:rPr>
                <w:bCs/>
                <w:i/>
                <w:sz w:val="28"/>
                <w:szCs w:val="28"/>
              </w:rPr>
              <w:t>abril</w:t>
            </w:r>
            <w:r w:rsidR="00700BD2">
              <w:rPr>
                <w:bCs/>
                <w:i/>
                <w:sz w:val="28"/>
                <w:szCs w:val="28"/>
              </w:rPr>
              <w:t xml:space="preserve"> d</w:t>
            </w:r>
            <w:r w:rsidR="004F48B1">
              <w:rPr>
                <w:bCs/>
                <w:i/>
                <w:sz w:val="28"/>
                <w:szCs w:val="28"/>
              </w:rPr>
              <w:t xml:space="preserve">el presente </w:t>
            </w:r>
            <w:r w:rsidR="00700BD2">
              <w:rPr>
                <w:bCs/>
                <w:i/>
                <w:sz w:val="28"/>
                <w:szCs w:val="28"/>
              </w:rPr>
              <w:t>año se</w:t>
            </w:r>
            <w:r w:rsidR="006A6DEF">
              <w:rPr>
                <w:bCs/>
                <w:i/>
                <w:sz w:val="28"/>
                <w:szCs w:val="28"/>
              </w:rPr>
              <w:t xml:space="preserve"> destinar</w:t>
            </w:r>
            <w:r w:rsidR="00700BD2">
              <w:rPr>
                <w:bCs/>
                <w:i/>
                <w:sz w:val="28"/>
                <w:szCs w:val="28"/>
              </w:rPr>
              <w:t>on</w:t>
            </w:r>
            <w:r>
              <w:rPr>
                <w:bCs/>
                <w:i/>
                <w:sz w:val="28"/>
                <w:szCs w:val="28"/>
              </w:rPr>
              <w:t xml:space="preserve"> 11 recursos</w:t>
            </w:r>
            <w:r w:rsidR="004F48B1">
              <w:rPr>
                <w:bCs/>
                <w:i/>
                <w:sz w:val="28"/>
                <w:szCs w:val="28"/>
              </w:rPr>
              <w:t xml:space="preserve"> ordinarios </w:t>
            </w:r>
            <w:r w:rsidR="004F48B1">
              <w:rPr>
                <w:bCs/>
                <w:i/>
                <w:sz w:val="28"/>
                <w:szCs w:val="28"/>
              </w:rPr>
              <w:lastRenderedPageBreak/>
              <w:t>adicionales para impulsar el caso del “cemento chino”, lo cual amerita desatender de manera temporal los casos que ya tienen asignados cada uno de los peritos y peritas de la Sección y que de igual manera requieren pronta atención.</w:t>
            </w:r>
          </w:p>
          <w:p w:rsidR="004F48B1" w:rsidRDefault="004F48B1" w:rsidP="004079CE">
            <w:pPr>
              <w:widowControl w:val="0"/>
              <w:jc w:val="both"/>
              <w:rPr>
                <w:bCs/>
                <w:i/>
                <w:sz w:val="28"/>
                <w:szCs w:val="28"/>
              </w:rPr>
            </w:pPr>
          </w:p>
          <w:p w:rsidR="00700BD2" w:rsidRDefault="004F48B1" w:rsidP="004079CE">
            <w:pPr>
              <w:widowControl w:val="0"/>
              <w:jc w:val="both"/>
              <w:rPr>
                <w:bCs/>
                <w:i/>
                <w:sz w:val="28"/>
                <w:szCs w:val="28"/>
              </w:rPr>
            </w:pPr>
            <w:r>
              <w:rPr>
                <w:bCs/>
                <w:i/>
                <w:sz w:val="28"/>
                <w:szCs w:val="28"/>
              </w:rPr>
              <w:t xml:space="preserve">En lo que respecta al tiempo de duración de estos casos, el Lic. Velasquez Carrillo indicó que brindar una fecha de culminación de los procesos investigativos </w:t>
            </w:r>
            <w:r w:rsidR="00700BD2">
              <w:rPr>
                <w:bCs/>
                <w:i/>
                <w:sz w:val="28"/>
                <w:szCs w:val="28"/>
              </w:rPr>
              <w:t>es</w:t>
            </w:r>
            <w:r w:rsidR="007C5CE8">
              <w:rPr>
                <w:bCs/>
                <w:i/>
                <w:sz w:val="28"/>
                <w:szCs w:val="28"/>
              </w:rPr>
              <w:t xml:space="preserve"> dif</w:t>
            </w:r>
            <w:r w:rsidR="00700BD2">
              <w:rPr>
                <w:bCs/>
                <w:i/>
                <w:sz w:val="28"/>
                <w:szCs w:val="28"/>
              </w:rPr>
              <w:t>í</w:t>
            </w:r>
            <w:r w:rsidR="007C5CE8">
              <w:rPr>
                <w:bCs/>
                <w:i/>
                <w:sz w:val="28"/>
                <w:szCs w:val="28"/>
              </w:rPr>
              <w:t>c</w:t>
            </w:r>
            <w:r w:rsidR="00700BD2">
              <w:rPr>
                <w:bCs/>
                <w:i/>
                <w:sz w:val="28"/>
                <w:szCs w:val="28"/>
              </w:rPr>
              <w:t>il</w:t>
            </w:r>
            <w:r w:rsidR="007C5CE8">
              <w:rPr>
                <w:bCs/>
                <w:i/>
                <w:sz w:val="28"/>
                <w:szCs w:val="28"/>
              </w:rPr>
              <w:t xml:space="preserve">, ya que la complejidad de ambas causas vuelve incierto cualquier período de cierre de la etapa investigativa, </w:t>
            </w:r>
            <w:r w:rsidR="00203ECF">
              <w:rPr>
                <w:bCs/>
                <w:i/>
                <w:sz w:val="28"/>
                <w:szCs w:val="28"/>
              </w:rPr>
              <w:t>aunado a que en este tipo de ca</w:t>
            </w:r>
            <w:r w:rsidR="007C5CE8">
              <w:rPr>
                <w:bCs/>
                <w:i/>
                <w:sz w:val="28"/>
                <w:szCs w:val="28"/>
              </w:rPr>
              <w:t>s</w:t>
            </w:r>
            <w:r w:rsidR="00203ECF">
              <w:rPr>
                <w:bCs/>
                <w:i/>
                <w:sz w:val="28"/>
                <w:szCs w:val="28"/>
              </w:rPr>
              <w:t>o</w:t>
            </w:r>
            <w:r w:rsidR="007C5CE8">
              <w:rPr>
                <w:bCs/>
                <w:i/>
                <w:sz w:val="28"/>
                <w:szCs w:val="28"/>
              </w:rPr>
              <w:t xml:space="preserve">s las mismas actividades de análisis y revisión </w:t>
            </w:r>
            <w:r w:rsidR="00DD388E">
              <w:rPr>
                <w:bCs/>
                <w:i/>
                <w:sz w:val="28"/>
                <w:szCs w:val="28"/>
              </w:rPr>
              <w:t xml:space="preserve">que realiza la Sección dejan al descubierto nuevas conexiones, que generan más trabajo investigativo o la apertura de nuevos casos interrelacionados, como lo que pasó con lo del “cemento chino”, “Coopelesca” y “Grupo </w:t>
            </w:r>
            <w:r w:rsidR="00700BD2">
              <w:rPr>
                <w:bCs/>
                <w:i/>
                <w:sz w:val="28"/>
                <w:szCs w:val="28"/>
              </w:rPr>
              <w:t>L</w:t>
            </w:r>
            <w:r w:rsidR="00DD388E">
              <w:rPr>
                <w:bCs/>
                <w:i/>
                <w:sz w:val="28"/>
                <w:szCs w:val="28"/>
              </w:rPr>
              <w:t>os Sueños”.</w:t>
            </w:r>
          </w:p>
          <w:p w:rsidR="00700BD2" w:rsidRDefault="00700BD2" w:rsidP="004079CE">
            <w:pPr>
              <w:widowControl w:val="0"/>
              <w:jc w:val="both"/>
              <w:rPr>
                <w:bCs/>
                <w:i/>
                <w:sz w:val="28"/>
                <w:szCs w:val="28"/>
              </w:rPr>
            </w:pPr>
          </w:p>
          <w:p w:rsidR="004F48B1" w:rsidRDefault="00DD388E" w:rsidP="004079CE">
            <w:pPr>
              <w:widowControl w:val="0"/>
              <w:jc w:val="both"/>
              <w:rPr>
                <w:bCs/>
                <w:i/>
                <w:sz w:val="28"/>
                <w:szCs w:val="28"/>
              </w:rPr>
            </w:pPr>
            <w:r>
              <w:rPr>
                <w:bCs/>
                <w:i/>
                <w:sz w:val="28"/>
                <w:szCs w:val="28"/>
              </w:rPr>
              <w:t xml:space="preserve">En línea con lo anterior, también se </w:t>
            </w:r>
            <w:r w:rsidR="00BB2933">
              <w:rPr>
                <w:bCs/>
                <w:i/>
                <w:sz w:val="28"/>
                <w:szCs w:val="28"/>
              </w:rPr>
              <w:t xml:space="preserve">debe </w:t>
            </w:r>
            <w:r>
              <w:rPr>
                <w:bCs/>
                <w:i/>
                <w:sz w:val="28"/>
                <w:szCs w:val="28"/>
              </w:rPr>
              <w:t>toma</w:t>
            </w:r>
            <w:r w:rsidR="00BB2933">
              <w:rPr>
                <w:bCs/>
                <w:i/>
                <w:sz w:val="28"/>
                <w:szCs w:val="28"/>
              </w:rPr>
              <w:t>r</w:t>
            </w:r>
            <w:r>
              <w:rPr>
                <w:bCs/>
                <w:i/>
                <w:sz w:val="28"/>
                <w:szCs w:val="28"/>
              </w:rPr>
              <w:t xml:space="preserve"> en cuenta que </w:t>
            </w:r>
            <w:r w:rsidR="00BB2933">
              <w:rPr>
                <w:bCs/>
                <w:i/>
                <w:sz w:val="28"/>
                <w:szCs w:val="28"/>
              </w:rPr>
              <w:t>si bien es cierto el grueso del trabajo de la Sección concluye con la elaboración del informe, en caso de requerirse</w:t>
            </w:r>
            <w:r w:rsidR="006A6DEF">
              <w:rPr>
                <w:bCs/>
                <w:i/>
                <w:sz w:val="28"/>
                <w:szCs w:val="28"/>
              </w:rPr>
              <w:t>,</w:t>
            </w:r>
            <w:r w:rsidR="00700BD2">
              <w:rPr>
                <w:bCs/>
                <w:i/>
                <w:sz w:val="28"/>
                <w:szCs w:val="28"/>
              </w:rPr>
              <w:t xml:space="preserve">queda abierta la posibilidad de </w:t>
            </w:r>
            <w:r w:rsidR="00BB2933">
              <w:rPr>
                <w:bCs/>
                <w:i/>
                <w:sz w:val="28"/>
                <w:szCs w:val="28"/>
              </w:rPr>
              <w:t>brindar apoyo a las diferentes instancias judiciales hasta la finalización del proceso en sede penal.</w:t>
            </w:r>
          </w:p>
          <w:p w:rsidR="00CC26B1" w:rsidRDefault="00CC26B1" w:rsidP="004079CE">
            <w:pPr>
              <w:widowControl w:val="0"/>
              <w:jc w:val="both"/>
              <w:rPr>
                <w:bCs/>
                <w:i/>
                <w:sz w:val="28"/>
                <w:szCs w:val="28"/>
              </w:rPr>
            </w:pPr>
          </w:p>
          <w:p w:rsidR="00CC26B1" w:rsidRDefault="00700BD2" w:rsidP="004079CE">
            <w:pPr>
              <w:widowControl w:val="0"/>
              <w:jc w:val="both"/>
              <w:rPr>
                <w:bCs/>
                <w:i/>
                <w:sz w:val="28"/>
                <w:szCs w:val="28"/>
              </w:rPr>
            </w:pPr>
            <w:r>
              <w:rPr>
                <w:bCs/>
                <w:i/>
                <w:sz w:val="28"/>
                <w:szCs w:val="28"/>
              </w:rPr>
              <w:t>Por</w:t>
            </w:r>
            <w:r w:rsidR="00CC26B1">
              <w:rPr>
                <w:bCs/>
                <w:i/>
                <w:sz w:val="28"/>
                <w:szCs w:val="28"/>
              </w:rPr>
              <w:t xml:space="preserve"> lo anterior, el Lic. Reynaldo Velasquez</w:t>
            </w:r>
            <w:r w:rsidR="00E87D9A">
              <w:rPr>
                <w:bCs/>
                <w:i/>
                <w:sz w:val="28"/>
                <w:szCs w:val="28"/>
              </w:rPr>
              <w:t xml:space="preserve"> Carrillo</w:t>
            </w:r>
            <w:r w:rsidR="007E2110">
              <w:rPr>
                <w:bCs/>
                <w:i/>
                <w:sz w:val="28"/>
                <w:szCs w:val="28"/>
              </w:rPr>
              <w:t>,</w:t>
            </w:r>
            <w:r w:rsidR="00CC26B1">
              <w:rPr>
                <w:bCs/>
                <w:i/>
                <w:sz w:val="28"/>
                <w:szCs w:val="28"/>
              </w:rPr>
              <w:t xml:space="preserve"> indicó que las causas a las cuales están abocados los 6 permisos de Peritas o Peritos Judiciales se encuentran en etapas iniciales</w:t>
            </w:r>
            <w:r>
              <w:rPr>
                <w:bCs/>
                <w:i/>
                <w:sz w:val="28"/>
                <w:szCs w:val="28"/>
              </w:rPr>
              <w:t xml:space="preserve"> de investigación </w:t>
            </w:r>
            <w:r w:rsidR="00CC26B1">
              <w:rPr>
                <w:bCs/>
                <w:i/>
                <w:sz w:val="28"/>
                <w:szCs w:val="28"/>
              </w:rPr>
              <w:t xml:space="preserve">y requieren </w:t>
            </w:r>
            <w:r w:rsidR="00513E73">
              <w:rPr>
                <w:bCs/>
                <w:i/>
                <w:sz w:val="28"/>
                <w:szCs w:val="28"/>
              </w:rPr>
              <w:t xml:space="preserve">el </w:t>
            </w:r>
            <w:r w:rsidR="00CC26B1">
              <w:rPr>
                <w:bCs/>
                <w:i/>
                <w:sz w:val="28"/>
                <w:szCs w:val="28"/>
              </w:rPr>
              <w:t>análisis</w:t>
            </w:r>
            <w:r w:rsidR="00513E73">
              <w:rPr>
                <w:bCs/>
                <w:i/>
                <w:sz w:val="28"/>
                <w:szCs w:val="28"/>
              </w:rPr>
              <w:t xml:space="preserve"> de </w:t>
            </w:r>
            <w:r w:rsidR="0012267A">
              <w:rPr>
                <w:bCs/>
                <w:i/>
                <w:sz w:val="28"/>
                <w:szCs w:val="28"/>
              </w:rPr>
              <w:t>una considerable cantidad</w:t>
            </w:r>
            <w:r w:rsidR="00513E73">
              <w:rPr>
                <w:bCs/>
                <w:i/>
                <w:sz w:val="28"/>
                <w:szCs w:val="28"/>
              </w:rPr>
              <w:t xml:space="preserve"> de documentación</w:t>
            </w:r>
            <w:r w:rsidR="00CC26B1">
              <w:rPr>
                <w:bCs/>
                <w:i/>
                <w:sz w:val="28"/>
                <w:szCs w:val="28"/>
              </w:rPr>
              <w:t>, por lo que es</w:t>
            </w:r>
            <w:r>
              <w:rPr>
                <w:bCs/>
                <w:i/>
                <w:sz w:val="28"/>
                <w:szCs w:val="28"/>
              </w:rPr>
              <w:t>tima</w:t>
            </w:r>
            <w:r w:rsidR="00CC26B1">
              <w:rPr>
                <w:bCs/>
                <w:i/>
                <w:sz w:val="28"/>
                <w:szCs w:val="28"/>
              </w:rPr>
              <w:t xml:space="preserve"> probable la necesidad de </w:t>
            </w:r>
            <w:r w:rsidR="00A578C5">
              <w:rPr>
                <w:bCs/>
                <w:i/>
                <w:sz w:val="28"/>
                <w:szCs w:val="28"/>
              </w:rPr>
              <w:t xml:space="preserve">prorrogar estos </w:t>
            </w:r>
            <w:r w:rsidR="00CC26B1">
              <w:rPr>
                <w:bCs/>
                <w:i/>
                <w:sz w:val="28"/>
                <w:szCs w:val="28"/>
              </w:rPr>
              <w:t>recursos</w:t>
            </w:r>
            <w:r w:rsidR="00A578C5">
              <w:rPr>
                <w:bCs/>
                <w:i/>
                <w:sz w:val="28"/>
                <w:szCs w:val="28"/>
              </w:rPr>
              <w:t xml:space="preserve"> adicionales</w:t>
            </w:r>
            <w:r w:rsidR="00CC26B1">
              <w:rPr>
                <w:bCs/>
                <w:i/>
                <w:sz w:val="28"/>
                <w:szCs w:val="28"/>
              </w:rPr>
              <w:t xml:space="preserve"> por lo que resta del </w:t>
            </w:r>
            <w:r w:rsidR="007E2110">
              <w:rPr>
                <w:bCs/>
                <w:i/>
                <w:sz w:val="28"/>
                <w:szCs w:val="28"/>
              </w:rPr>
              <w:t xml:space="preserve">2018 </w:t>
            </w:r>
            <w:r w:rsidR="00CC26B1">
              <w:rPr>
                <w:bCs/>
                <w:i/>
                <w:sz w:val="28"/>
                <w:szCs w:val="28"/>
              </w:rPr>
              <w:t xml:space="preserve">e inclusive </w:t>
            </w:r>
            <w:r w:rsidR="00203ECF">
              <w:rPr>
                <w:bCs/>
                <w:i/>
                <w:sz w:val="28"/>
                <w:szCs w:val="28"/>
              </w:rPr>
              <w:t>exten</w:t>
            </w:r>
            <w:r>
              <w:rPr>
                <w:bCs/>
                <w:i/>
                <w:sz w:val="28"/>
                <w:szCs w:val="28"/>
              </w:rPr>
              <w:t xml:space="preserve">derlos en </w:t>
            </w:r>
            <w:r w:rsidR="00203ECF">
              <w:rPr>
                <w:bCs/>
                <w:i/>
                <w:sz w:val="28"/>
                <w:szCs w:val="28"/>
              </w:rPr>
              <w:t>el 2019.</w:t>
            </w:r>
          </w:p>
          <w:p w:rsidR="00DD388E" w:rsidRDefault="00DD388E" w:rsidP="004079CE">
            <w:pPr>
              <w:widowControl w:val="0"/>
              <w:jc w:val="both"/>
              <w:rPr>
                <w:bCs/>
                <w:i/>
                <w:sz w:val="28"/>
                <w:szCs w:val="28"/>
              </w:rPr>
            </w:pPr>
          </w:p>
          <w:p w:rsidR="00490C83" w:rsidRDefault="0012267A" w:rsidP="00490C83">
            <w:pPr>
              <w:jc w:val="both"/>
              <w:rPr>
                <w:b/>
                <w:bCs/>
                <w:i/>
                <w:iCs/>
                <w:sz w:val="28"/>
                <w:szCs w:val="28"/>
                <w:lang w:val="es-CR" w:eastAsia="es-CR"/>
              </w:rPr>
            </w:pPr>
            <w:r>
              <w:rPr>
                <w:b/>
                <w:bCs/>
                <w:i/>
                <w:iCs/>
                <w:sz w:val="28"/>
                <w:szCs w:val="28"/>
                <w:lang w:val="es-CR" w:eastAsia="es-CR"/>
              </w:rPr>
              <w:t>3.</w:t>
            </w:r>
            <w:r w:rsidR="009A6E48">
              <w:rPr>
                <w:b/>
                <w:bCs/>
                <w:i/>
                <w:iCs/>
                <w:sz w:val="28"/>
                <w:szCs w:val="28"/>
                <w:lang w:val="es-CR" w:eastAsia="es-CR"/>
              </w:rPr>
              <w:t>6</w:t>
            </w:r>
            <w:r w:rsidR="00490C83">
              <w:rPr>
                <w:b/>
                <w:bCs/>
                <w:i/>
                <w:iCs/>
                <w:sz w:val="28"/>
                <w:szCs w:val="28"/>
                <w:lang w:val="es-CR" w:eastAsia="es-CR"/>
              </w:rPr>
              <w:t>.</w:t>
            </w:r>
            <w:r w:rsidR="009A6E48">
              <w:rPr>
                <w:b/>
                <w:bCs/>
                <w:i/>
                <w:iCs/>
                <w:sz w:val="28"/>
                <w:szCs w:val="28"/>
                <w:lang w:val="es-CR" w:eastAsia="es-CR"/>
              </w:rPr>
              <w:t>-</w:t>
            </w:r>
            <w:r w:rsidR="00490C83">
              <w:rPr>
                <w:b/>
                <w:bCs/>
                <w:i/>
                <w:iCs/>
                <w:sz w:val="28"/>
                <w:szCs w:val="28"/>
                <w:lang w:val="es-CR" w:eastAsia="es-CR"/>
              </w:rPr>
              <w:t xml:space="preserve"> Medidas para la Contención del Gasto en el Poder Judicial</w:t>
            </w:r>
          </w:p>
          <w:p w:rsidR="00490C83" w:rsidRDefault="00490C83" w:rsidP="00490C83">
            <w:pPr>
              <w:jc w:val="both"/>
              <w:rPr>
                <w:i/>
                <w:iCs/>
                <w:sz w:val="28"/>
                <w:szCs w:val="28"/>
                <w:lang w:val="es-CR" w:eastAsia="es-CR"/>
              </w:rPr>
            </w:pPr>
          </w:p>
          <w:p w:rsidR="00490C83" w:rsidRDefault="00490C83" w:rsidP="00490C83">
            <w:pPr>
              <w:jc w:val="both"/>
              <w:rPr>
                <w:i/>
                <w:iCs/>
                <w:sz w:val="28"/>
                <w:szCs w:val="28"/>
                <w:lang w:val="es-CR" w:eastAsia="es-CR"/>
              </w:rPr>
            </w:pPr>
            <w:r>
              <w:rPr>
                <w:i/>
                <w:iCs/>
                <w:sz w:val="28"/>
                <w:szCs w:val="28"/>
                <w:lang w:val="es-CR" w:eastAsia="es-CR"/>
              </w:rPr>
              <w:t>La Corte Plena en la sesión 27-17 del 21 de agosto del 2017, artículo XVI, aprobó el punto primero de las “</w:t>
            </w:r>
            <w:r>
              <w:rPr>
                <w:b/>
                <w:bCs/>
                <w:i/>
                <w:iCs/>
                <w:sz w:val="28"/>
                <w:szCs w:val="28"/>
                <w:lang w:val="es-CR" w:eastAsia="es-CR"/>
              </w:rPr>
              <w:t>Medidas de Adopción Inmediata</w:t>
            </w:r>
            <w:r>
              <w:rPr>
                <w:i/>
                <w:iCs/>
                <w:sz w:val="28"/>
                <w:szCs w:val="28"/>
                <w:lang w:val="es-CR" w:eastAsia="es-CR"/>
              </w:rPr>
              <w:t>” contenido en el informe de las Medidas para la Contención del Gasto en el Poder Judicial, en los siguientes términos:</w:t>
            </w:r>
          </w:p>
          <w:p w:rsidR="00490C83" w:rsidRDefault="00490C83" w:rsidP="00490C83">
            <w:pPr>
              <w:rPr>
                <w:rFonts w:ascii="Book Antiqua" w:hAnsi="Book Antiqua"/>
                <w:lang w:val="es-CR"/>
              </w:rPr>
            </w:pPr>
          </w:p>
          <w:p w:rsidR="00EA38ED" w:rsidRDefault="00EA38ED" w:rsidP="00490C83">
            <w:pPr>
              <w:rPr>
                <w:rFonts w:ascii="Book Antiqua" w:hAnsi="Book Antiqua"/>
                <w:lang w:val="es-CR"/>
              </w:rPr>
            </w:pPr>
          </w:p>
          <w:p w:rsidR="00490C83" w:rsidRDefault="00490C83" w:rsidP="00490C83">
            <w:pPr>
              <w:ind w:left="709" w:right="618"/>
              <w:jc w:val="both"/>
              <w:rPr>
                <w:i/>
                <w:iCs/>
                <w:sz w:val="28"/>
                <w:szCs w:val="28"/>
                <w:lang w:val="es-CR" w:eastAsia="en-US"/>
              </w:rPr>
            </w:pPr>
            <w:r>
              <w:rPr>
                <w:i/>
                <w:iCs/>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490C83" w:rsidRDefault="00490C83" w:rsidP="00490C83">
            <w:pPr>
              <w:ind w:left="709" w:right="618"/>
              <w:jc w:val="both"/>
              <w:rPr>
                <w:rFonts w:ascii="Calibri" w:hAnsi="Calibri" w:cs="Calibri"/>
                <w:i/>
                <w:iCs/>
                <w:sz w:val="28"/>
                <w:szCs w:val="28"/>
                <w:lang w:val="es-CR"/>
              </w:rPr>
            </w:pPr>
          </w:p>
          <w:p w:rsidR="00490C83" w:rsidRDefault="00490C83" w:rsidP="00490C83">
            <w:pPr>
              <w:pStyle w:val="Prrafodelista"/>
              <w:spacing w:before="0" w:beforeAutospacing="0" w:after="0" w:afterAutospacing="0"/>
              <w:jc w:val="both"/>
              <w:rPr>
                <w:i/>
                <w:iCs/>
                <w:sz w:val="28"/>
                <w:szCs w:val="28"/>
              </w:rPr>
            </w:pPr>
            <w:r>
              <w:rPr>
                <w:i/>
                <w:iCs/>
                <w:color w:val="000000"/>
                <w:sz w:val="28"/>
                <w:szCs w:val="28"/>
              </w:rPr>
              <w:t xml:space="preserve">Este tema fue incorporado dentro de las </w:t>
            </w:r>
            <w:r>
              <w:rPr>
                <w:i/>
                <w:iCs/>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E21706" w:rsidRDefault="00E21706" w:rsidP="00490C83">
            <w:pPr>
              <w:pStyle w:val="Prrafodelista"/>
              <w:spacing w:before="0" w:beforeAutospacing="0" w:after="0" w:afterAutospacing="0"/>
              <w:jc w:val="both"/>
              <w:rPr>
                <w:i/>
                <w:iCs/>
                <w:sz w:val="28"/>
                <w:szCs w:val="28"/>
              </w:rPr>
            </w:pPr>
          </w:p>
          <w:p w:rsidR="00E21706" w:rsidRPr="00747C05" w:rsidRDefault="009F3A22" w:rsidP="00490C83">
            <w:pPr>
              <w:pStyle w:val="Prrafodelista"/>
              <w:spacing w:before="0" w:beforeAutospacing="0" w:after="0" w:afterAutospacing="0"/>
              <w:jc w:val="both"/>
              <w:rPr>
                <w:i/>
                <w:iCs/>
                <w:sz w:val="28"/>
                <w:szCs w:val="28"/>
              </w:rPr>
            </w:pPr>
            <w:r w:rsidRPr="00747C05">
              <w:rPr>
                <w:i/>
                <w:iCs/>
                <w:sz w:val="28"/>
                <w:szCs w:val="28"/>
              </w:rPr>
              <w:t>No obstante, se considera importante lo que indica la Ley Orgánica del Poder Judicial en el artículo 44:</w:t>
            </w:r>
          </w:p>
          <w:p w:rsidR="009F3A22" w:rsidRPr="00747C05" w:rsidRDefault="009F3A22" w:rsidP="00490C83">
            <w:pPr>
              <w:pStyle w:val="Prrafodelista"/>
              <w:spacing w:before="0" w:beforeAutospacing="0" w:after="0" w:afterAutospacing="0"/>
              <w:jc w:val="both"/>
              <w:rPr>
                <w:i/>
                <w:iCs/>
                <w:sz w:val="28"/>
                <w:szCs w:val="28"/>
              </w:rPr>
            </w:pPr>
          </w:p>
          <w:p w:rsidR="009F3A22" w:rsidRPr="00747C05" w:rsidRDefault="009F3A22" w:rsidP="00747C05">
            <w:pPr>
              <w:ind w:left="709" w:right="618"/>
              <w:jc w:val="both"/>
              <w:rPr>
                <w:i/>
                <w:iCs/>
                <w:sz w:val="28"/>
                <w:szCs w:val="28"/>
              </w:rPr>
            </w:pPr>
            <w:r w:rsidRPr="00747C05">
              <w:rPr>
                <w:i/>
                <w:iCs/>
                <w:sz w:val="28"/>
                <w:szCs w:val="28"/>
                <w:lang w:val="es-CR"/>
              </w:rPr>
              <w:t>“En casos muy calificados y para asuntos que interesen al Poder Judicial, la Corte podrá conceder licencias con goce de sueldo o sin él a los Magistrados y el Consejo a los demás servidores hasta por un año prorrogable por períodos iguales, a fin de que los servidores judiciales se desempeñen temporalmente en otras dependencias del Estado, o bien cuando les encargue labores y estudios especiales.”</w:t>
            </w:r>
          </w:p>
          <w:p w:rsidR="00DA5C42" w:rsidRPr="00747C05" w:rsidRDefault="00DA5C42" w:rsidP="00747C05">
            <w:pPr>
              <w:ind w:left="709" w:right="618"/>
              <w:jc w:val="both"/>
              <w:rPr>
                <w:i/>
                <w:iCs/>
                <w:sz w:val="28"/>
                <w:szCs w:val="28"/>
              </w:rPr>
            </w:pPr>
          </w:p>
          <w:p w:rsidR="00DA5C42" w:rsidRPr="00747C05" w:rsidRDefault="00DA5C42" w:rsidP="00747C05">
            <w:pPr>
              <w:ind w:right="618"/>
              <w:jc w:val="both"/>
              <w:rPr>
                <w:i/>
                <w:iCs/>
                <w:sz w:val="28"/>
                <w:szCs w:val="28"/>
              </w:rPr>
            </w:pPr>
            <w:r w:rsidRPr="00747C05">
              <w:rPr>
                <w:i/>
                <w:iCs/>
                <w:sz w:val="28"/>
                <w:szCs w:val="28"/>
                <w:lang w:val="es-CR"/>
              </w:rPr>
              <w:t>Se estima que esa potestad le confiere al Consejo Superior la asignación de recursos para atender situaciones o requerimientos de carácter transitorio</w:t>
            </w:r>
            <w:r w:rsidR="00FD166C" w:rsidRPr="00747C05">
              <w:rPr>
                <w:i/>
                <w:iCs/>
                <w:sz w:val="28"/>
                <w:szCs w:val="28"/>
                <w:lang w:val="es-CR"/>
              </w:rPr>
              <w:t>.</w:t>
            </w:r>
          </w:p>
          <w:p w:rsidR="00FB5EEA" w:rsidRDefault="00FB5EEA"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Default="00EA38ED" w:rsidP="00490C83">
            <w:pPr>
              <w:pStyle w:val="Prrafodelista"/>
              <w:spacing w:before="0" w:beforeAutospacing="0" w:after="0" w:afterAutospacing="0"/>
              <w:jc w:val="both"/>
              <w:rPr>
                <w:i/>
                <w:iCs/>
                <w:sz w:val="28"/>
                <w:szCs w:val="28"/>
              </w:rPr>
            </w:pPr>
          </w:p>
          <w:p w:rsidR="00EA38ED" w:rsidRPr="00747C05" w:rsidRDefault="00EA38ED" w:rsidP="00490C83">
            <w:pPr>
              <w:pStyle w:val="Prrafodelista"/>
              <w:spacing w:before="0" w:beforeAutospacing="0" w:after="0" w:afterAutospacing="0"/>
              <w:jc w:val="both"/>
              <w:rPr>
                <w:i/>
                <w:iCs/>
                <w:sz w:val="28"/>
                <w:szCs w:val="28"/>
              </w:rPr>
            </w:pPr>
          </w:p>
          <w:p w:rsidR="00FB5EEA" w:rsidRPr="00747C05" w:rsidRDefault="00FB5EEA" w:rsidP="00490C83">
            <w:pPr>
              <w:pStyle w:val="Prrafodelista"/>
              <w:spacing w:before="0" w:beforeAutospacing="0" w:after="0" w:afterAutospacing="0"/>
              <w:jc w:val="both"/>
              <w:rPr>
                <w:b/>
                <w:i/>
                <w:iCs/>
                <w:sz w:val="28"/>
                <w:szCs w:val="28"/>
              </w:rPr>
            </w:pPr>
            <w:r w:rsidRPr="00747C05">
              <w:rPr>
                <w:b/>
                <w:i/>
                <w:iCs/>
                <w:sz w:val="28"/>
                <w:szCs w:val="28"/>
              </w:rPr>
              <w:t xml:space="preserve">3.7.- Utilización de la metodología de </w:t>
            </w:r>
            <w:r w:rsidR="00081612" w:rsidRPr="00747C05">
              <w:rPr>
                <w:b/>
                <w:i/>
                <w:iCs/>
                <w:sz w:val="28"/>
                <w:szCs w:val="28"/>
              </w:rPr>
              <w:t xml:space="preserve">administración de </w:t>
            </w:r>
            <w:r w:rsidRPr="00747C05">
              <w:rPr>
                <w:b/>
                <w:i/>
                <w:iCs/>
                <w:sz w:val="28"/>
                <w:szCs w:val="28"/>
              </w:rPr>
              <w:t>proyectos para la solicitud de estudio</w:t>
            </w:r>
            <w:r w:rsidR="00ED7E9C" w:rsidRPr="00747C05">
              <w:rPr>
                <w:b/>
                <w:i/>
                <w:iCs/>
                <w:sz w:val="28"/>
                <w:szCs w:val="28"/>
              </w:rPr>
              <w:t>s</w:t>
            </w:r>
            <w:r w:rsidRPr="00747C05">
              <w:rPr>
                <w:b/>
                <w:i/>
                <w:iCs/>
                <w:sz w:val="28"/>
                <w:szCs w:val="28"/>
              </w:rPr>
              <w:t xml:space="preserve"> a la Dirección de Planificación</w:t>
            </w:r>
          </w:p>
          <w:p w:rsidR="00FB5EEA" w:rsidRPr="00747C05" w:rsidRDefault="00FB5EEA" w:rsidP="00490C83">
            <w:pPr>
              <w:pStyle w:val="Prrafodelista"/>
              <w:spacing w:before="0" w:beforeAutospacing="0" w:after="0" w:afterAutospacing="0"/>
              <w:jc w:val="both"/>
              <w:rPr>
                <w:i/>
                <w:iCs/>
                <w:sz w:val="28"/>
                <w:szCs w:val="28"/>
              </w:rPr>
            </w:pPr>
          </w:p>
          <w:p w:rsidR="00FB5EEA" w:rsidRPr="00747C05" w:rsidRDefault="00FB5EEA">
            <w:pPr>
              <w:pStyle w:val="Prrafodelista"/>
              <w:spacing w:before="0" w:beforeAutospacing="0" w:after="0" w:afterAutospacing="0"/>
              <w:jc w:val="both"/>
              <w:rPr>
                <w:i/>
                <w:iCs/>
                <w:sz w:val="28"/>
                <w:szCs w:val="28"/>
              </w:rPr>
            </w:pPr>
            <w:r w:rsidRPr="00747C05">
              <w:rPr>
                <w:i/>
                <w:iCs/>
                <w:sz w:val="28"/>
                <w:szCs w:val="28"/>
              </w:rPr>
              <w:t>E</w:t>
            </w:r>
            <w:r w:rsidR="005B79B5" w:rsidRPr="00747C05">
              <w:rPr>
                <w:i/>
                <w:iCs/>
                <w:sz w:val="28"/>
                <w:szCs w:val="28"/>
              </w:rPr>
              <w:t>l Consejo Superior en sesión 7-18 celebrada el 25 de enero de 2018</w:t>
            </w:r>
            <w:r w:rsidR="002F0E6B" w:rsidRPr="00747C05">
              <w:rPr>
                <w:i/>
                <w:iCs/>
                <w:sz w:val="28"/>
                <w:szCs w:val="28"/>
              </w:rPr>
              <w:t>, artículo LX</w:t>
            </w:r>
            <w:r w:rsidR="003F73E6" w:rsidRPr="00747C05">
              <w:rPr>
                <w:rStyle w:val="Refdenotaalpie"/>
                <w:i/>
                <w:iCs/>
                <w:sz w:val="28"/>
                <w:szCs w:val="28"/>
              </w:rPr>
              <w:footnoteReference w:id="4"/>
            </w:r>
            <w:r w:rsidR="002F0E6B" w:rsidRPr="00747C05">
              <w:rPr>
                <w:i/>
                <w:iCs/>
                <w:sz w:val="28"/>
                <w:szCs w:val="28"/>
              </w:rPr>
              <w:t xml:space="preserve">, </w:t>
            </w:r>
            <w:r w:rsidR="00C8678A" w:rsidRPr="00747C05">
              <w:rPr>
                <w:i/>
                <w:iCs/>
                <w:sz w:val="28"/>
                <w:szCs w:val="28"/>
              </w:rPr>
              <w:t xml:space="preserve">debido  a las constantes solicitudes de estudios </w:t>
            </w:r>
            <w:r w:rsidR="000D00E8" w:rsidRPr="00747C05">
              <w:rPr>
                <w:i/>
                <w:iCs/>
                <w:sz w:val="28"/>
                <w:szCs w:val="28"/>
              </w:rPr>
              <w:t xml:space="preserve">para dotación de recurso humano </w:t>
            </w:r>
            <w:r w:rsidR="00C8678A" w:rsidRPr="00747C05">
              <w:rPr>
                <w:i/>
                <w:iCs/>
                <w:sz w:val="28"/>
                <w:szCs w:val="28"/>
              </w:rPr>
              <w:t>que realizan las oficinas y despachos judiciales</w:t>
            </w:r>
            <w:r w:rsidR="005B79B5" w:rsidRPr="00747C05">
              <w:rPr>
                <w:i/>
                <w:iCs/>
                <w:sz w:val="28"/>
                <w:szCs w:val="28"/>
              </w:rPr>
              <w:t xml:space="preserve">, </w:t>
            </w:r>
            <w:r w:rsidR="000D00E8" w:rsidRPr="00747C05">
              <w:rPr>
                <w:i/>
                <w:iCs/>
                <w:sz w:val="28"/>
                <w:szCs w:val="28"/>
              </w:rPr>
              <w:t xml:space="preserve">con el propósito de </w:t>
            </w:r>
            <w:r w:rsidR="00241FAB" w:rsidRPr="00747C05">
              <w:rPr>
                <w:i/>
                <w:iCs/>
                <w:sz w:val="28"/>
                <w:szCs w:val="28"/>
              </w:rPr>
              <w:t xml:space="preserve">reforzar labores de tramitación y </w:t>
            </w:r>
            <w:r w:rsidR="000D00E8" w:rsidRPr="00747C05">
              <w:rPr>
                <w:i/>
                <w:iCs/>
                <w:sz w:val="28"/>
                <w:szCs w:val="28"/>
              </w:rPr>
              <w:t>hacerles</w:t>
            </w:r>
            <w:r w:rsidR="00C8678A" w:rsidRPr="00747C05">
              <w:rPr>
                <w:i/>
                <w:iCs/>
                <w:sz w:val="28"/>
                <w:szCs w:val="28"/>
              </w:rPr>
              <w:t xml:space="preserve"> frente </w:t>
            </w:r>
            <w:r w:rsidR="005B79B5" w:rsidRPr="00747C05">
              <w:rPr>
                <w:i/>
                <w:iCs/>
                <w:sz w:val="28"/>
                <w:szCs w:val="28"/>
              </w:rPr>
              <w:t xml:space="preserve">a las cargas de trabajo existentes, </w:t>
            </w:r>
            <w:r w:rsidR="00C8678A" w:rsidRPr="00747C05">
              <w:rPr>
                <w:i/>
                <w:iCs/>
                <w:sz w:val="28"/>
                <w:szCs w:val="28"/>
              </w:rPr>
              <w:t>acordó lo siguiente:</w:t>
            </w:r>
          </w:p>
          <w:p w:rsidR="00C8678A" w:rsidRPr="00747C05" w:rsidRDefault="00C8678A">
            <w:pPr>
              <w:pStyle w:val="Prrafodelista"/>
              <w:spacing w:before="0" w:beforeAutospacing="0" w:after="0" w:afterAutospacing="0"/>
              <w:jc w:val="both"/>
              <w:rPr>
                <w:i/>
                <w:iCs/>
                <w:sz w:val="28"/>
                <w:szCs w:val="28"/>
              </w:rPr>
            </w:pPr>
          </w:p>
          <w:p w:rsidR="00C8678A" w:rsidRPr="00747C05" w:rsidRDefault="000D00E8" w:rsidP="00747C05">
            <w:pPr>
              <w:ind w:left="709" w:right="618"/>
              <w:jc w:val="both"/>
              <w:rPr>
                <w:i/>
                <w:iCs/>
                <w:sz w:val="28"/>
                <w:szCs w:val="28"/>
              </w:rPr>
            </w:pPr>
            <w:r w:rsidRPr="00747C05">
              <w:rPr>
                <w:i/>
                <w:iCs/>
                <w:sz w:val="28"/>
                <w:szCs w:val="28"/>
                <w:lang w:val="es-CR"/>
              </w:rPr>
              <w:t>“Comunicar a la Dirección de Gestión Humana que no extenderá ninguna certificación de contenido presupuestario, hasta tanto la dependencia judicial que la solicite se ajuste al procedimiento de informes técnicos o bien complete en su totalidad las consideraciones contenidas en el protocolo de “Formulario de solicitud de estudio a la Dirección de Planificación para aprobar por el Consejo Superior” (de conformidad con lo dispuesto por este órgano mediante circular N° 9-18 del 30 de enero de 2018)...”</w:t>
            </w:r>
          </w:p>
          <w:p w:rsidR="00FB5EEA" w:rsidRPr="00747C05" w:rsidRDefault="00FB5EEA" w:rsidP="00490C83">
            <w:pPr>
              <w:pStyle w:val="Prrafodelista"/>
              <w:spacing w:before="0" w:beforeAutospacing="0" w:after="0" w:afterAutospacing="0"/>
              <w:jc w:val="both"/>
              <w:rPr>
                <w:i/>
                <w:iCs/>
                <w:sz w:val="28"/>
                <w:szCs w:val="28"/>
              </w:rPr>
            </w:pPr>
          </w:p>
          <w:p w:rsidR="0015014D" w:rsidRDefault="00790C41" w:rsidP="00490C83">
            <w:pPr>
              <w:pStyle w:val="Prrafodelista"/>
              <w:spacing w:before="0" w:beforeAutospacing="0" w:after="0" w:afterAutospacing="0"/>
              <w:jc w:val="both"/>
              <w:rPr>
                <w:i/>
                <w:iCs/>
                <w:sz w:val="28"/>
                <w:szCs w:val="28"/>
              </w:rPr>
            </w:pPr>
            <w:r w:rsidRPr="00747C05">
              <w:rPr>
                <w:i/>
                <w:iCs/>
                <w:sz w:val="28"/>
                <w:szCs w:val="28"/>
              </w:rPr>
              <w:t xml:space="preserve">Lo anterior, con la finalidad </w:t>
            </w:r>
            <w:r w:rsidR="005233C6" w:rsidRPr="00747C05">
              <w:rPr>
                <w:i/>
                <w:iCs/>
                <w:sz w:val="28"/>
                <w:szCs w:val="28"/>
              </w:rPr>
              <w:t xml:space="preserve">de </w:t>
            </w:r>
            <w:r w:rsidR="00BD416C" w:rsidRPr="00747C05">
              <w:rPr>
                <w:i/>
                <w:iCs/>
                <w:sz w:val="28"/>
                <w:szCs w:val="28"/>
              </w:rPr>
              <w:t>darle un mayor sustento a las solicitudes de</w:t>
            </w:r>
            <w:r w:rsidR="005233C6" w:rsidRPr="00747C05">
              <w:rPr>
                <w:i/>
                <w:iCs/>
                <w:sz w:val="28"/>
                <w:szCs w:val="28"/>
              </w:rPr>
              <w:t xml:space="preserve"> plazas adicionales,</w:t>
            </w:r>
            <w:r w:rsidR="00BD416C" w:rsidRPr="00747C05">
              <w:rPr>
                <w:i/>
                <w:iCs/>
                <w:sz w:val="28"/>
                <w:szCs w:val="28"/>
              </w:rPr>
              <w:t xml:space="preserve"> mediante la metodología de administración de proyectos</w:t>
            </w:r>
            <w:r w:rsidR="005233C6" w:rsidRPr="00747C05">
              <w:rPr>
                <w:i/>
                <w:iCs/>
                <w:sz w:val="28"/>
                <w:szCs w:val="28"/>
              </w:rPr>
              <w:t>, y procurar el mayor aprovechamiento del recurso humano a otorgar para esos fines.</w:t>
            </w:r>
          </w:p>
          <w:p w:rsidR="00FB5EEA" w:rsidRDefault="00FB5EEA" w:rsidP="00490C83">
            <w:pPr>
              <w:pStyle w:val="Prrafodelista"/>
              <w:spacing w:before="0" w:beforeAutospacing="0" w:after="0" w:afterAutospacing="0"/>
              <w:jc w:val="both"/>
              <w:rPr>
                <w:i/>
                <w:iCs/>
                <w:sz w:val="28"/>
                <w:szCs w:val="28"/>
              </w:rPr>
            </w:pPr>
          </w:p>
          <w:p w:rsidR="0012267A" w:rsidRDefault="0012267A" w:rsidP="00490C83">
            <w:pPr>
              <w:pStyle w:val="Prrafodelista"/>
              <w:spacing w:before="0" w:beforeAutospacing="0" w:after="0" w:afterAutospacing="0"/>
              <w:jc w:val="both"/>
              <w:rPr>
                <w:i/>
                <w:iCs/>
                <w:sz w:val="28"/>
                <w:szCs w:val="28"/>
              </w:rPr>
            </w:pPr>
          </w:p>
          <w:p w:rsidR="0012267A" w:rsidRDefault="0012267A" w:rsidP="0012267A">
            <w:pPr>
              <w:widowControl w:val="0"/>
              <w:jc w:val="both"/>
              <w:rPr>
                <w:b/>
                <w:bCs/>
                <w:i/>
                <w:sz w:val="28"/>
                <w:szCs w:val="28"/>
              </w:rPr>
            </w:pPr>
            <w:r>
              <w:rPr>
                <w:b/>
                <w:bCs/>
                <w:i/>
                <w:sz w:val="28"/>
                <w:szCs w:val="28"/>
              </w:rPr>
              <w:t>3.</w:t>
            </w:r>
            <w:r w:rsidR="00EE4DEA">
              <w:rPr>
                <w:b/>
                <w:bCs/>
                <w:i/>
                <w:sz w:val="28"/>
                <w:szCs w:val="28"/>
              </w:rPr>
              <w:t>8</w:t>
            </w:r>
            <w:r w:rsidR="009A6E48">
              <w:rPr>
                <w:b/>
                <w:bCs/>
                <w:i/>
                <w:sz w:val="28"/>
                <w:szCs w:val="28"/>
              </w:rPr>
              <w:t>.-</w:t>
            </w:r>
            <w:r w:rsidRPr="004B1300">
              <w:rPr>
                <w:b/>
                <w:bCs/>
                <w:i/>
                <w:sz w:val="28"/>
                <w:szCs w:val="28"/>
              </w:rPr>
              <w:t xml:space="preserve"> Criterio de la Dirección de Planificación </w:t>
            </w:r>
          </w:p>
          <w:p w:rsidR="0012267A" w:rsidRDefault="0012267A" w:rsidP="0012267A">
            <w:pPr>
              <w:widowControl w:val="0"/>
              <w:jc w:val="both"/>
              <w:rPr>
                <w:b/>
                <w:bCs/>
                <w:i/>
                <w:sz w:val="28"/>
                <w:szCs w:val="28"/>
              </w:rPr>
            </w:pPr>
          </w:p>
          <w:p w:rsidR="0012267A" w:rsidRDefault="0012267A" w:rsidP="0012267A">
            <w:pPr>
              <w:widowControl w:val="0"/>
              <w:jc w:val="both"/>
              <w:rPr>
                <w:bCs/>
                <w:i/>
                <w:sz w:val="28"/>
                <w:szCs w:val="28"/>
              </w:rPr>
            </w:pPr>
            <w:r>
              <w:rPr>
                <w:bCs/>
                <w:i/>
                <w:sz w:val="28"/>
                <w:szCs w:val="28"/>
              </w:rPr>
              <w:t xml:space="preserve">De la información analizada en el presente estudio, esta Dirección es consciente de la alta carga de trabajo que ha  generado el ingreso de los casos de “INFOCOOP” y el “cemento chino” en la Sección de Delitos Económicos y Financieros del O.I.J., y que los recursos adicionales han permitido darle una debida atención, que con el recurso ordinario existente se hubiera dificultado y generado retrasos en la atención de los demás casos que lleva la Sección, pero </w:t>
            </w:r>
            <w:r>
              <w:rPr>
                <w:bCs/>
                <w:i/>
                <w:sz w:val="28"/>
                <w:szCs w:val="28"/>
              </w:rPr>
              <w:lastRenderedPageBreak/>
              <w:t>también queda claro que el ingreso de estos casos se debe a hechos particulares suscitados en un momento determinado, que tienen una fecha de inicio y de finalización.</w:t>
            </w:r>
          </w:p>
          <w:p w:rsidR="0012267A" w:rsidRDefault="0012267A" w:rsidP="0012267A">
            <w:pPr>
              <w:widowControl w:val="0"/>
              <w:jc w:val="both"/>
              <w:rPr>
                <w:bCs/>
                <w:i/>
                <w:sz w:val="28"/>
                <w:szCs w:val="28"/>
              </w:rPr>
            </w:pPr>
          </w:p>
          <w:p w:rsidR="0012267A" w:rsidRDefault="0012267A" w:rsidP="0012267A">
            <w:pPr>
              <w:widowControl w:val="0"/>
              <w:jc w:val="both"/>
              <w:rPr>
                <w:bCs/>
                <w:i/>
                <w:sz w:val="28"/>
                <w:szCs w:val="28"/>
              </w:rPr>
            </w:pPr>
            <w:r>
              <w:rPr>
                <w:bCs/>
                <w:i/>
                <w:sz w:val="28"/>
                <w:szCs w:val="28"/>
              </w:rPr>
              <w:t xml:space="preserve">Con base en lo anterior, y en línea con las Medidas para la Contención del Gasto del Poder Judicial establecidas por Corte Plena, se considera que la dotación de los recursos se tiene que ir realizando de forma paulatina, de conformidad con el avance de los casos, para evitar la asignación de recursos a largo plazo, hasta tanto se cuente con información que permita establecer si los incrementos de la carga de trabajo serán permanentes en el tiempo o solo </w:t>
            </w:r>
            <w:r w:rsidR="009A6E48">
              <w:rPr>
                <w:bCs/>
                <w:i/>
                <w:sz w:val="28"/>
                <w:szCs w:val="28"/>
              </w:rPr>
              <w:t>respondieron a situaciones coyunturales suscitadas en un momento específico.</w:t>
            </w:r>
          </w:p>
          <w:p w:rsidR="009F3A22" w:rsidRDefault="009F3A22" w:rsidP="0012267A">
            <w:pPr>
              <w:widowControl w:val="0"/>
              <w:jc w:val="both"/>
              <w:rPr>
                <w:bCs/>
                <w:i/>
                <w:sz w:val="28"/>
                <w:szCs w:val="28"/>
              </w:rPr>
            </w:pPr>
          </w:p>
          <w:p w:rsidR="009F3A22" w:rsidRPr="00CA3AFC" w:rsidRDefault="009F3A22" w:rsidP="0012267A">
            <w:pPr>
              <w:widowControl w:val="0"/>
              <w:jc w:val="both"/>
              <w:rPr>
                <w:bCs/>
                <w:i/>
                <w:sz w:val="28"/>
                <w:szCs w:val="28"/>
              </w:rPr>
            </w:pPr>
            <w:r>
              <w:rPr>
                <w:bCs/>
                <w:i/>
                <w:sz w:val="28"/>
                <w:szCs w:val="28"/>
              </w:rPr>
              <w:t>Para los efectos anteriores, se considera de especial relevancia la utilización de la metodología de</w:t>
            </w:r>
            <w:r w:rsidR="000E6729">
              <w:rPr>
                <w:bCs/>
                <w:i/>
                <w:sz w:val="28"/>
                <w:szCs w:val="28"/>
              </w:rPr>
              <w:t xml:space="preserve"> administración de </w:t>
            </w:r>
            <w:r>
              <w:rPr>
                <w:bCs/>
                <w:i/>
                <w:sz w:val="28"/>
                <w:szCs w:val="28"/>
              </w:rPr>
              <w:t>proyectos</w:t>
            </w:r>
            <w:r w:rsidR="00EE4DEA">
              <w:rPr>
                <w:bCs/>
                <w:i/>
                <w:sz w:val="28"/>
                <w:szCs w:val="28"/>
              </w:rPr>
              <w:t xml:space="preserve"> avalada institucionalmente</w:t>
            </w:r>
            <w:r>
              <w:rPr>
                <w:bCs/>
                <w:i/>
                <w:sz w:val="28"/>
                <w:szCs w:val="28"/>
              </w:rPr>
              <w:t>, que permitirá una mayor claridad sobre el uso y el tiempo</w:t>
            </w:r>
            <w:r w:rsidR="0080753F">
              <w:rPr>
                <w:bCs/>
                <w:i/>
                <w:sz w:val="28"/>
                <w:szCs w:val="28"/>
              </w:rPr>
              <w:t xml:space="preserve"> estimado</w:t>
            </w:r>
            <w:r w:rsidR="00DD11D2">
              <w:rPr>
                <w:bCs/>
                <w:i/>
                <w:sz w:val="28"/>
                <w:szCs w:val="28"/>
              </w:rPr>
              <w:t xml:space="preserve">de los recursos adicionales que se </w:t>
            </w:r>
            <w:r w:rsidR="008C0449">
              <w:rPr>
                <w:bCs/>
                <w:i/>
                <w:sz w:val="28"/>
                <w:szCs w:val="28"/>
              </w:rPr>
              <w:t>asignen a la oficina</w:t>
            </w:r>
            <w:r w:rsidR="000E6729">
              <w:rPr>
                <w:bCs/>
                <w:i/>
                <w:sz w:val="28"/>
                <w:szCs w:val="28"/>
              </w:rPr>
              <w:t xml:space="preserve"> y su vinculación con los planes de trabajo (operativos y estratégicos).</w:t>
            </w:r>
          </w:p>
          <w:p w:rsidR="00490C83" w:rsidRPr="00747C05" w:rsidRDefault="00490C83" w:rsidP="00490C83">
            <w:pPr>
              <w:pStyle w:val="Prrafodelista"/>
              <w:spacing w:before="0" w:beforeAutospacing="0" w:after="0" w:afterAutospacing="0"/>
              <w:jc w:val="both"/>
              <w:rPr>
                <w:i/>
                <w:iCs/>
                <w:sz w:val="28"/>
                <w:szCs w:val="28"/>
                <w:lang w:val="es-ES"/>
              </w:rPr>
            </w:pPr>
          </w:p>
          <w:p w:rsidR="00490C83" w:rsidRDefault="00490C83" w:rsidP="00490C83">
            <w:pPr>
              <w:jc w:val="both"/>
              <w:rPr>
                <w:b/>
                <w:bCs/>
                <w:i/>
                <w:iCs/>
                <w:sz w:val="28"/>
                <w:szCs w:val="28"/>
                <w:lang w:val="es-CR" w:eastAsia="es-CR"/>
              </w:rPr>
            </w:pPr>
            <w:r>
              <w:rPr>
                <w:b/>
                <w:bCs/>
                <w:i/>
                <w:iCs/>
                <w:sz w:val="28"/>
                <w:szCs w:val="28"/>
                <w:lang w:val="es-CR" w:eastAsia="es-CR"/>
              </w:rPr>
              <w:t>3.</w:t>
            </w:r>
            <w:r w:rsidR="00EE4DEA">
              <w:rPr>
                <w:b/>
                <w:bCs/>
                <w:i/>
                <w:iCs/>
                <w:sz w:val="28"/>
                <w:szCs w:val="28"/>
                <w:lang w:val="es-CR" w:eastAsia="es-CR"/>
              </w:rPr>
              <w:t>9</w:t>
            </w:r>
            <w:r>
              <w:rPr>
                <w:b/>
                <w:bCs/>
                <w:i/>
                <w:iCs/>
                <w:sz w:val="28"/>
                <w:szCs w:val="28"/>
                <w:lang w:val="es-CR" w:eastAsia="es-CR"/>
              </w:rPr>
              <w:t>.- Otras consideraciones</w:t>
            </w:r>
          </w:p>
          <w:p w:rsidR="00490C83" w:rsidRDefault="00490C83" w:rsidP="00490C83">
            <w:pPr>
              <w:jc w:val="both"/>
              <w:rPr>
                <w:i/>
                <w:iCs/>
                <w:sz w:val="28"/>
                <w:szCs w:val="28"/>
                <w:lang w:val="es-CR" w:eastAsia="es-CR"/>
              </w:rPr>
            </w:pPr>
          </w:p>
          <w:p w:rsidR="00490C83" w:rsidRDefault="00490C83" w:rsidP="00490C83">
            <w:pPr>
              <w:jc w:val="both"/>
              <w:rPr>
                <w:i/>
                <w:iCs/>
                <w:sz w:val="28"/>
                <w:szCs w:val="28"/>
                <w:lang w:val="es-CR" w:eastAsia="es-CR"/>
              </w:rPr>
            </w:pPr>
            <w:r>
              <w:rPr>
                <w:i/>
                <w:iCs/>
                <w:sz w:val="28"/>
                <w:szCs w:val="28"/>
                <w:lang w:val="es-CR" w:eastAsia="es-CR"/>
              </w:rPr>
              <w:t>Cabe señalar que las plazas analizadas en el presente estudio, son parte de las prioridades establecidas por la Dirección General del OIJ para asumir los proyectos o necesidades existentes que se vienen atendiendo bajo la modalidad de permisos con goce de salario; motivo por el cual el Consejo Superior en la sesión 112-17 del 14 de diciembre del 2017, artículo LXXXIII, acordó convocar a los Directores de Planificación y de Gestión Humana, con el fin de que informaran al Consejo Superior sobre la situación de las plazas referidas por el Lic. Walter Espinoza Espinoza, Director General.</w:t>
            </w:r>
          </w:p>
          <w:p w:rsidR="00490C83" w:rsidRDefault="00490C83" w:rsidP="00490C83">
            <w:pPr>
              <w:jc w:val="both"/>
              <w:rPr>
                <w:i/>
                <w:iCs/>
                <w:sz w:val="28"/>
                <w:szCs w:val="28"/>
                <w:lang w:val="es-CR" w:eastAsia="es-CR"/>
              </w:rPr>
            </w:pPr>
          </w:p>
          <w:p w:rsidR="00EA38ED" w:rsidRDefault="00EA38ED" w:rsidP="00490C83">
            <w:pPr>
              <w:jc w:val="both"/>
              <w:rPr>
                <w:i/>
                <w:iCs/>
                <w:sz w:val="28"/>
                <w:szCs w:val="28"/>
                <w:lang w:val="es-CR" w:eastAsia="es-CR"/>
              </w:rPr>
            </w:pPr>
          </w:p>
          <w:p w:rsidR="00EA38ED" w:rsidRDefault="00EA38ED" w:rsidP="00490C83">
            <w:pPr>
              <w:jc w:val="both"/>
              <w:rPr>
                <w:i/>
                <w:iCs/>
                <w:sz w:val="28"/>
                <w:szCs w:val="28"/>
                <w:lang w:val="es-CR" w:eastAsia="es-CR"/>
              </w:rPr>
            </w:pPr>
          </w:p>
          <w:p w:rsidR="00EA38ED" w:rsidRDefault="00EA38ED" w:rsidP="00490C83">
            <w:pPr>
              <w:jc w:val="both"/>
              <w:rPr>
                <w:i/>
                <w:iCs/>
                <w:sz w:val="28"/>
                <w:szCs w:val="28"/>
                <w:lang w:val="es-CR" w:eastAsia="es-CR"/>
              </w:rPr>
            </w:pPr>
          </w:p>
          <w:p w:rsidR="00EA38ED" w:rsidRDefault="00EA38ED" w:rsidP="00490C83">
            <w:pPr>
              <w:jc w:val="both"/>
              <w:rPr>
                <w:i/>
                <w:iCs/>
                <w:sz w:val="28"/>
                <w:szCs w:val="28"/>
                <w:lang w:val="es-CR" w:eastAsia="es-CR"/>
              </w:rPr>
            </w:pPr>
          </w:p>
          <w:p w:rsidR="00EA38ED" w:rsidRDefault="00EA38ED" w:rsidP="00490C83">
            <w:pPr>
              <w:jc w:val="both"/>
              <w:rPr>
                <w:i/>
                <w:iCs/>
                <w:sz w:val="28"/>
                <w:szCs w:val="28"/>
                <w:lang w:val="es-CR" w:eastAsia="es-CR"/>
              </w:rPr>
            </w:pPr>
          </w:p>
          <w:p w:rsidR="00EA38ED" w:rsidRDefault="00EA38ED" w:rsidP="00490C83">
            <w:pPr>
              <w:jc w:val="both"/>
              <w:rPr>
                <w:i/>
                <w:iCs/>
                <w:sz w:val="28"/>
                <w:szCs w:val="28"/>
                <w:lang w:val="es-CR" w:eastAsia="es-CR"/>
              </w:rPr>
            </w:pPr>
          </w:p>
          <w:p w:rsidR="00A4667A" w:rsidRDefault="00490C83" w:rsidP="00757E5E">
            <w:pPr>
              <w:jc w:val="both"/>
              <w:rPr>
                <w:i/>
                <w:sz w:val="28"/>
                <w:szCs w:val="28"/>
              </w:rPr>
            </w:pPr>
            <w:r>
              <w:rPr>
                <w:i/>
                <w:iCs/>
                <w:sz w:val="28"/>
                <w:szCs w:val="28"/>
                <w:lang w:val="es-CR" w:eastAsia="es-CR"/>
              </w:rPr>
              <w:t>Esa convocatoria se llevó a cabo en febrero anterior, donde la Dirección de Planificación</w:t>
            </w:r>
            <w:r w:rsidR="006A5C8F">
              <w:rPr>
                <w:i/>
                <w:iCs/>
                <w:sz w:val="28"/>
                <w:szCs w:val="28"/>
                <w:lang w:val="es-CR" w:eastAsia="es-CR"/>
              </w:rPr>
              <w:t>,</w:t>
            </w:r>
            <w:r>
              <w:rPr>
                <w:i/>
                <w:iCs/>
                <w:sz w:val="28"/>
                <w:szCs w:val="28"/>
                <w:lang w:val="es-CR" w:eastAsia="es-CR"/>
              </w:rPr>
              <w:t xml:space="preserve"> presentó el oficio 145-PLA-2018 del 7 de febrero del 2018, y se está a la espera de la comunicación del acuerdo emitido por el órgano superior. Sin embargo, se estima pertinente abordar estos requerimientos dentro del Anteproyecto de Presupuesto 2019, con el fin de tomar las previsiones del caso y no afectar la continuidad de las labores del OIJ, cuando así resulte oportuno para el buen servicio público.</w:t>
            </w:r>
          </w:p>
          <w:p w:rsidR="0014536C" w:rsidRPr="00490C83" w:rsidRDefault="0014536C" w:rsidP="00757E5E">
            <w:pPr>
              <w:jc w:val="both"/>
              <w:rPr>
                <w:i/>
                <w:iCs/>
                <w:sz w:val="28"/>
                <w:szCs w:val="28"/>
                <w:lang w:val="es-CR" w:eastAsia="es-CR"/>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5D64DC" w:rsidRDefault="00A4667A" w:rsidP="00983D13">
            <w:pPr>
              <w:pStyle w:val="Prrafodelista"/>
              <w:spacing w:before="0" w:beforeAutospacing="0" w:after="0" w:afterAutospacing="0"/>
              <w:jc w:val="both"/>
              <w:rPr>
                <w:i/>
                <w:color w:val="000000"/>
                <w:sz w:val="28"/>
                <w:szCs w:val="28"/>
                <w:lang w:val="es-ES" w:eastAsia="es-ES"/>
              </w:rPr>
            </w:pPr>
            <w:r w:rsidRPr="00316FB2">
              <w:rPr>
                <w:b/>
                <w:i/>
                <w:color w:val="000000"/>
                <w:sz w:val="28"/>
                <w:szCs w:val="28"/>
                <w:lang w:val="es-ES" w:eastAsia="es-ES"/>
              </w:rPr>
              <w:t>4.1</w:t>
            </w:r>
            <w:r w:rsidR="00490C83">
              <w:rPr>
                <w:b/>
                <w:i/>
                <w:color w:val="000000"/>
                <w:sz w:val="28"/>
                <w:szCs w:val="28"/>
                <w:lang w:val="es-ES" w:eastAsia="es-ES"/>
              </w:rPr>
              <w:t>.</w:t>
            </w:r>
            <w:r w:rsidR="0014536C">
              <w:rPr>
                <w:b/>
                <w:i/>
                <w:color w:val="000000"/>
                <w:sz w:val="28"/>
                <w:szCs w:val="28"/>
                <w:lang w:val="es-ES" w:eastAsia="es-ES"/>
              </w:rPr>
              <w:t>-</w:t>
            </w:r>
            <w:r w:rsidR="00114162">
              <w:rPr>
                <w:i/>
                <w:color w:val="000000"/>
                <w:sz w:val="28"/>
                <w:szCs w:val="28"/>
                <w:lang w:val="es-ES" w:eastAsia="es-ES"/>
              </w:rPr>
              <w:t>El Consejo Superior en sesión 1</w:t>
            </w:r>
            <w:r w:rsidR="0088329E">
              <w:rPr>
                <w:i/>
                <w:color w:val="000000"/>
                <w:sz w:val="28"/>
                <w:szCs w:val="28"/>
                <w:lang w:val="es-ES" w:eastAsia="es-ES"/>
              </w:rPr>
              <w:t>0</w:t>
            </w:r>
            <w:r w:rsidR="00114162">
              <w:rPr>
                <w:i/>
                <w:color w:val="000000"/>
                <w:sz w:val="28"/>
                <w:szCs w:val="28"/>
                <w:lang w:val="es-ES" w:eastAsia="es-ES"/>
              </w:rPr>
              <w:t xml:space="preserve">2-17 del </w:t>
            </w:r>
            <w:r w:rsidR="0088329E">
              <w:rPr>
                <w:i/>
                <w:color w:val="000000"/>
                <w:sz w:val="28"/>
                <w:szCs w:val="28"/>
                <w:lang w:val="es-ES" w:eastAsia="es-ES"/>
              </w:rPr>
              <w:t>9</w:t>
            </w:r>
            <w:r w:rsidR="00114162">
              <w:rPr>
                <w:i/>
                <w:color w:val="000000"/>
                <w:sz w:val="28"/>
                <w:szCs w:val="28"/>
                <w:lang w:val="es-ES" w:eastAsia="es-ES"/>
              </w:rPr>
              <w:t xml:space="preserve"> de </w:t>
            </w:r>
            <w:r w:rsidR="0088329E">
              <w:rPr>
                <w:i/>
                <w:color w:val="000000"/>
                <w:sz w:val="28"/>
                <w:szCs w:val="28"/>
                <w:lang w:val="es-ES" w:eastAsia="es-ES"/>
              </w:rPr>
              <w:t>novi</w:t>
            </w:r>
            <w:r w:rsidR="00114162">
              <w:rPr>
                <w:i/>
                <w:color w:val="000000"/>
                <w:sz w:val="28"/>
                <w:szCs w:val="28"/>
                <w:lang w:val="es-ES" w:eastAsia="es-ES"/>
              </w:rPr>
              <w:t>embre de 2017, artículo L</w:t>
            </w:r>
            <w:r w:rsidR="0088329E">
              <w:rPr>
                <w:i/>
                <w:color w:val="000000"/>
                <w:sz w:val="28"/>
                <w:szCs w:val="28"/>
                <w:lang w:val="es-ES" w:eastAsia="es-ES"/>
              </w:rPr>
              <w:t>V</w:t>
            </w:r>
            <w:r w:rsidR="00114162">
              <w:rPr>
                <w:i/>
                <w:color w:val="000000"/>
                <w:sz w:val="28"/>
                <w:szCs w:val="28"/>
                <w:lang w:val="es-ES" w:eastAsia="es-ES"/>
              </w:rPr>
              <w:t xml:space="preserve">III, aprobó </w:t>
            </w:r>
            <w:r w:rsidR="0088329E">
              <w:rPr>
                <w:i/>
                <w:color w:val="000000"/>
                <w:sz w:val="28"/>
                <w:szCs w:val="28"/>
                <w:lang w:val="es-ES" w:eastAsia="es-ES"/>
              </w:rPr>
              <w:t xml:space="preserve">el permiso con goce de 6 plazas de Perita o Perito Judicial 2 por el período de noviembre y diciembre de 2017, asignados a la Sección de Delitos Económicos y Financieros del O.I.J. para la atención de los casos </w:t>
            </w:r>
            <w:r w:rsidR="00E904B8">
              <w:rPr>
                <w:i/>
                <w:color w:val="000000"/>
                <w:sz w:val="28"/>
                <w:szCs w:val="28"/>
                <w:lang w:val="es-ES" w:eastAsia="es-ES"/>
              </w:rPr>
              <w:t>conocidos como</w:t>
            </w:r>
            <w:r w:rsidR="0088329E">
              <w:rPr>
                <w:i/>
                <w:color w:val="000000"/>
                <w:sz w:val="28"/>
                <w:szCs w:val="28"/>
                <w:lang w:val="es-ES" w:eastAsia="es-ES"/>
              </w:rPr>
              <w:t xml:space="preserve"> “INFOCOOP” y el “cemento chino”</w:t>
            </w:r>
            <w:r w:rsidR="006F11A8">
              <w:rPr>
                <w:i/>
                <w:color w:val="000000"/>
                <w:sz w:val="28"/>
                <w:szCs w:val="28"/>
                <w:lang w:val="es-ES" w:eastAsia="es-ES"/>
              </w:rPr>
              <w:t>.</w:t>
            </w:r>
          </w:p>
          <w:p w:rsidR="00983D13" w:rsidRDefault="00983D13" w:rsidP="00983D13">
            <w:pPr>
              <w:pStyle w:val="Prrafodelista"/>
              <w:spacing w:before="0" w:beforeAutospacing="0" w:after="0" w:afterAutospacing="0"/>
              <w:jc w:val="both"/>
              <w:rPr>
                <w:i/>
                <w:color w:val="000000"/>
                <w:sz w:val="28"/>
                <w:szCs w:val="28"/>
                <w:lang w:val="es-ES" w:eastAsia="es-ES"/>
              </w:rPr>
            </w:pPr>
          </w:p>
          <w:p w:rsidR="00E904B8" w:rsidRDefault="00E904B8" w:rsidP="00983D13">
            <w:pPr>
              <w:pStyle w:val="Prrafodelista"/>
              <w:spacing w:before="0" w:beforeAutospacing="0" w:after="0" w:afterAutospacing="0"/>
              <w:jc w:val="both"/>
              <w:rPr>
                <w:i/>
                <w:color w:val="000000"/>
                <w:sz w:val="28"/>
                <w:szCs w:val="28"/>
                <w:lang w:val="es-ES" w:eastAsia="es-ES"/>
              </w:rPr>
            </w:pPr>
            <w:r w:rsidRPr="00E904B8">
              <w:rPr>
                <w:b/>
                <w:i/>
                <w:color w:val="000000"/>
                <w:sz w:val="28"/>
                <w:szCs w:val="28"/>
                <w:lang w:val="es-ES" w:eastAsia="es-ES"/>
              </w:rPr>
              <w:t>4.2.</w:t>
            </w:r>
            <w:r w:rsidR="0014536C">
              <w:rPr>
                <w:b/>
                <w:i/>
                <w:color w:val="000000"/>
                <w:sz w:val="28"/>
                <w:szCs w:val="28"/>
                <w:lang w:val="es-ES" w:eastAsia="es-ES"/>
              </w:rPr>
              <w:t>-</w:t>
            </w:r>
            <w:r>
              <w:rPr>
                <w:i/>
                <w:color w:val="000000"/>
                <w:sz w:val="28"/>
                <w:szCs w:val="28"/>
                <w:lang w:val="es-ES" w:eastAsia="es-ES"/>
              </w:rPr>
              <w:t>En sesiones del Consejo Superior 113-17 del 19 de diciembre de 2017, artículo XCVI y la 11-18 del 8 de febrero del 2018, artículo XLIX, los permisos se han ido prorrogando hasta el 8 de mayo del presente año.</w:t>
            </w:r>
          </w:p>
          <w:p w:rsidR="00983D13" w:rsidRDefault="00983D13" w:rsidP="00983D13">
            <w:pPr>
              <w:pStyle w:val="Prrafodelista"/>
              <w:spacing w:before="0" w:beforeAutospacing="0" w:after="0" w:afterAutospacing="0"/>
              <w:jc w:val="both"/>
              <w:rPr>
                <w:i/>
                <w:color w:val="000000"/>
                <w:sz w:val="28"/>
                <w:szCs w:val="28"/>
                <w:lang w:val="es-ES" w:eastAsia="es-ES"/>
              </w:rPr>
            </w:pPr>
          </w:p>
          <w:p w:rsidR="00E904B8" w:rsidRDefault="00E904B8" w:rsidP="00983D13">
            <w:pPr>
              <w:pStyle w:val="Prrafodelista"/>
              <w:spacing w:before="0" w:beforeAutospacing="0" w:after="0" w:afterAutospacing="0"/>
              <w:jc w:val="both"/>
              <w:rPr>
                <w:i/>
                <w:color w:val="000000"/>
                <w:sz w:val="28"/>
                <w:szCs w:val="28"/>
                <w:lang w:val="es-ES" w:eastAsia="es-ES"/>
              </w:rPr>
            </w:pPr>
            <w:r w:rsidRPr="00E904B8">
              <w:rPr>
                <w:b/>
                <w:i/>
                <w:color w:val="000000"/>
                <w:sz w:val="28"/>
                <w:szCs w:val="28"/>
                <w:lang w:val="es-ES" w:eastAsia="es-ES"/>
              </w:rPr>
              <w:t>4.3.</w:t>
            </w:r>
            <w:r w:rsidR="0014536C">
              <w:rPr>
                <w:b/>
                <w:i/>
                <w:color w:val="000000"/>
                <w:sz w:val="28"/>
                <w:szCs w:val="28"/>
                <w:lang w:val="es-ES" w:eastAsia="es-ES"/>
              </w:rPr>
              <w:t>-</w:t>
            </w:r>
            <w:r>
              <w:rPr>
                <w:i/>
                <w:color w:val="000000"/>
                <w:sz w:val="28"/>
                <w:szCs w:val="28"/>
                <w:lang w:val="es-ES" w:eastAsia="es-ES"/>
              </w:rPr>
              <w:t xml:space="preserve">La Sección de Delitos Económicos y Financieros del O.I.J. </w:t>
            </w:r>
            <w:r w:rsidR="004E2968">
              <w:rPr>
                <w:i/>
                <w:color w:val="000000"/>
                <w:sz w:val="28"/>
                <w:szCs w:val="28"/>
                <w:lang w:val="es-ES" w:eastAsia="es-ES"/>
              </w:rPr>
              <w:t>cuenta con una estructura de recurso humano de 1</w:t>
            </w:r>
            <w:r w:rsidR="002054C4">
              <w:rPr>
                <w:i/>
                <w:color w:val="000000"/>
                <w:sz w:val="28"/>
                <w:szCs w:val="28"/>
                <w:lang w:val="es-ES" w:eastAsia="es-ES"/>
              </w:rPr>
              <w:t>Jef</w:t>
            </w:r>
            <w:r w:rsidR="0014536C">
              <w:rPr>
                <w:i/>
                <w:color w:val="000000"/>
                <w:sz w:val="28"/>
                <w:szCs w:val="28"/>
                <w:lang w:val="es-ES" w:eastAsia="es-ES"/>
              </w:rPr>
              <w:t>a</w:t>
            </w:r>
            <w:r w:rsidR="002054C4">
              <w:rPr>
                <w:i/>
                <w:color w:val="000000"/>
                <w:sz w:val="28"/>
                <w:szCs w:val="28"/>
                <w:lang w:val="es-ES" w:eastAsia="es-ES"/>
              </w:rPr>
              <w:t xml:space="preserve"> o Jef</w:t>
            </w:r>
            <w:r w:rsidR="0014536C">
              <w:rPr>
                <w:i/>
                <w:color w:val="000000"/>
                <w:sz w:val="28"/>
                <w:szCs w:val="28"/>
                <w:lang w:val="es-ES" w:eastAsia="es-ES"/>
              </w:rPr>
              <w:t>e</w:t>
            </w:r>
            <w:r w:rsidR="002054C4">
              <w:rPr>
                <w:i/>
                <w:color w:val="000000"/>
                <w:sz w:val="28"/>
                <w:szCs w:val="28"/>
                <w:lang w:val="es-ES" w:eastAsia="es-ES"/>
              </w:rPr>
              <w:t xml:space="preserve"> de Sección, </w:t>
            </w:r>
            <w:r w:rsidR="006A3C22">
              <w:rPr>
                <w:i/>
                <w:color w:val="000000"/>
                <w:sz w:val="28"/>
                <w:szCs w:val="28"/>
                <w:lang w:val="es-ES" w:eastAsia="es-ES"/>
              </w:rPr>
              <w:t xml:space="preserve">4 Auditoras o Auditores Supervisores, </w:t>
            </w:r>
            <w:r w:rsidR="00252AFD">
              <w:rPr>
                <w:i/>
                <w:color w:val="000000"/>
                <w:sz w:val="28"/>
                <w:szCs w:val="28"/>
                <w:lang w:val="es-ES" w:eastAsia="es-ES"/>
              </w:rPr>
              <w:t>28</w:t>
            </w:r>
            <w:r w:rsidR="004E2968">
              <w:rPr>
                <w:i/>
                <w:color w:val="000000"/>
                <w:sz w:val="28"/>
                <w:szCs w:val="28"/>
                <w:lang w:val="es-ES" w:eastAsia="es-ES"/>
              </w:rPr>
              <w:t xml:space="preserve"> Peritas o Peritos Judiciales</w:t>
            </w:r>
            <w:r w:rsidR="002054C4">
              <w:rPr>
                <w:i/>
                <w:color w:val="000000"/>
                <w:sz w:val="28"/>
                <w:szCs w:val="28"/>
                <w:lang w:val="es-ES" w:eastAsia="es-ES"/>
              </w:rPr>
              <w:t xml:space="preserve"> 2</w:t>
            </w:r>
            <w:r w:rsidR="006A3C22">
              <w:rPr>
                <w:i/>
                <w:color w:val="000000"/>
                <w:sz w:val="28"/>
                <w:szCs w:val="28"/>
                <w:lang w:val="es-ES" w:eastAsia="es-ES"/>
              </w:rPr>
              <w:t xml:space="preserve">, </w:t>
            </w:r>
            <w:r w:rsidR="00B83554">
              <w:rPr>
                <w:i/>
                <w:color w:val="000000"/>
                <w:sz w:val="28"/>
                <w:szCs w:val="28"/>
                <w:lang w:val="es-ES" w:eastAsia="es-ES"/>
              </w:rPr>
              <w:t xml:space="preserve">1 Auxiliar Administrativa o Administrativo, </w:t>
            </w:r>
            <w:r w:rsidR="002054C4">
              <w:rPr>
                <w:i/>
                <w:color w:val="000000"/>
                <w:sz w:val="28"/>
                <w:szCs w:val="28"/>
                <w:lang w:val="es-ES" w:eastAsia="es-ES"/>
              </w:rPr>
              <w:t xml:space="preserve">1 Secretaria o Secretario </w:t>
            </w:r>
            <w:r w:rsidR="00B83554">
              <w:rPr>
                <w:i/>
                <w:color w:val="000000"/>
                <w:sz w:val="28"/>
                <w:szCs w:val="28"/>
                <w:lang w:val="es-ES" w:eastAsia="es-ES"/>
              </w:rPr>
              <w:t xml:space="preserve">1 </w:t>
            </w:r>
            <w:r w:rsidR="002054C4">
              <w:rPr>
                <w:i/>
                <w:color w:val="000000"/>
                <w:sz w:val="28"/>
                <w:szCs w:val="28"/>
                <w:lang w:val="es-ES" w:eastAsia="es-ES"/>
              </w:rPr>
              <w:t>y 1 Auxiliar de Servicios Generales 2</w:t>
            </w:r>
            <w:r w:rsidR="00252AFD">
              <w:rPr>
                <w:i/>
                <w:color w:val="000000"/>
                <w:sz w:val="28"/>
                <w:szCs w:val="28"/>
                <w:lang w:val="es-ES" w:eastAsia="es-ES"/>
              </w:rPr>
              <w:t>.</w:t>
            </w:r>
          </w:p>
          <w:p w:rsidR="00983D13" w:rsidRDefault="00983D13" w:rsidP="00983D13">
            <w:pPr>
              <w:pStyle w:val="Prrafodelista"/>
              <w:spacing w:before="0" w:beforeAutospacing="0" w:after="0" w:afterAutospacing="0"/>
              <w:jc w:val="both"/>
              <w:rPr>
                <w:i/>
                <w:color w:val="000000"/>
                <w:sz w:val="28"/>
                <w:szCs w:val="28"/>
                <w:lang w:val="es-ES" w:eastAsia="es-ES"/>
              </w:rPr>
            </w:pPr>
          </w:p>
          <w:p w:rsidR="00B83554" w:rsidRPr="00983D13" w:rsidRDefault="00B83554" w:rsidP="00983D13">
            <w:pPr>
              <w:pStyle w:val="Prrafodelista"/>
              <w:spacing w:before="0" w:beforeAutospacing="0" w:after="0" w:afterAutospacing="0"/>
              <w:jc w:val="both"/>
              <w:rPr>
                <w:b/>
                <w:i/>
                <w:color w:val="000000"/>
                <w:sz w:val="28"/>
                <w:szCs w:val="28"/>
                <w:lang w:val="es-ES" w:eastAsia="es-ES"/>
              </w:rPr>
            </w:pPr>
            <w:r w:rsidRPr="00983D13">
              <w:rPr>
                <w:b/>
                <w:i/>
                <w:color w:val="000000"/>
                <w:sz w:val="28"/>
                <w:szCs w:val="28"/>
                <w:lang w:val="es-ES" w:eastAsia="es-ES"/>
              </w:rPr>
              <w:t>Además, los 6 permisos con goce de salario de Perita o Perito Judicial 2, objeto del presente estudio.</w:t>
            </w:r>
          </w:p>
          <w:p w:rsidR="00983D13" w:rsidRDefault="00983D13" w:rsidP="00983D13">
            <w:pPr>
              <w:pStyle w:val="Prrafodelista"/>
              <w:spacing w:before="0" w:beforeAutospacing="0" w:after="0" w:afterAutospacing="0"/>
              <w:jc w:val="both"/>
              <w:rPr>
                <w:i/>
                <w:color w:val="000000"/>
                <w:sz w:val="28"/>
                <w:szCs w:val="28"/>
                <w:lang w:val="es-ES" w:eastAsia="es-ES"/>
              </w:rPr>
            </w:pPr>
          </w:p>
          <w:p w:rsidR="00252AFD" w:rsidRDefault="00252AFD" w:rsidP="00983D13">
            <w:pPr>
              <w:pStyle w:val="Prrafodelista"/>
              <w:spacing w:before="0" w:beforeAutospacing="0" w:after="0" w:afterAutospacing="0"/>
              <w:jc w:val="both"/>
              <w:rPr>
                <w:i/>
                <w:color w:val="000000"/>
                <w:sz w:val="28"/>
                <w:szCs w:val="28"/>
                <w:lang w:val="es-ES" w:eastAsia="es-ES"/>
              </w:rPr>
            </w:pPr>
            <w:r w:rsidRPr="00252AFD">
              <w:rPr>
                <w:b/>
                <w:i/>
                <w:color w:val="000000"/>
                <w:sz w:val="28"/>
                <w:szCs w:val="28"/>
                <w:lang w:val="es-ES" w:eastAsia="es-ES"/>
              </w:rPr>
              <w:t>4.4.</w:t>
            </w:r>
            <w:r w:rsidR="00B83554">
              <w:rPr>
                <w:b/>
                <w:i/>
                <w:color w:val="000000"/>
                <w:sz w:val="28"/>
                <w:szCs w:val="28"/>
                <w:lang w:val="es-ES" w:eastAsia="es-ES"/>
              </w:rPr>
              <w:t>-</w:t>
            </w:r>
            <w:r w:rsidR="00791425">
              <w:rPr>
                <w:i/>
                <w:color w:val="000000"/>
                <w:sz w:val="28"/>
                <w:szCs w:val="28"/>
                <w:lang w:val="es-ES" w:eastAsia="es-ES"/>
              </w:rPr>
              <w:t>La Sección de Delitos Económicos y Financieros del O.I.J. se encarga de llevar a cabo todos los procesos investigativos de los casos conocidos como “financieros” o de “cuello blanco” y dichas pericias van enfocadas a la identificación de la persona o grupo de personas responsables, determinación de cómo se lleva a cabo el presunto delito y la cuantificación del daño patrimonial.</w:t>
            </w:r>
          </w:p>
          <w:p w:rsidR="00983D13" w:rsidRDefault="00983D13" w:rsidP="00983D13">
            <w:pPr>
              <w:pStyle w:val="Prrafodelista"/>
              <w:spacing w:before="0" w:beforeAutospacing="0" w:after="0" w:afterAutospacing="0"/>
              <w:jc w:val="both"/>
              <w:rPr>
                <w:i/>
                <w:color w:val="000000"/>
                <w:sz w:val="28"/>
                <w:szCs w:val="28"/>
                <w:lang w:val="es-ES" w:eastAsia="es-ES"/>
              </w:rPr>
            </w:pPr>
          </w:p>
          <w:p w:rsidR="00EA38ED" w:rsidRDefault="00EA38ED" w:rsidP="00983D13">
            <w:pPr>
              <w:pStyle w:val="Prrafodelista"/>
              <w:spacing w:before="0" w:beforeAutospacing="0" w:after="0" w:afterAutospacing="0"/>
              <w:jc w:val="both"/>
              <w:rPr>
                <w:i/>
                <w:color w:val="000000"/>
                <w:sz w:val="28"/>
                <w:szCs w:val="28"/>
                <w:lang w:val="es-ES" w:eastAsia="es-ES"/>
              </w:rPr>
            </w:pPr>
          </w:p>
          <w:p w:rsidR="00791425" w:rsidRDefault="00791425" w:rsidP="00983D13">
            <w:pPr>
              <w:pStyle w:val="Prrafodelista"/>
              <w:tabs>
                <w:tab w:val="left" w:pos="5578"/>
              </w:tabs>
              <w:spacing w:before="0" w:beforeAutospacing="0" w:after="0" w:afterAutospacing="0"/>
              <w:jc w:val="both"/>
              <w:rPr>
                <w:i/>
                <w:color w:val="000000"/>
                <w:sz w:val="28"/>
                <w:szCs w:val="28"/>
                <w:lang w:val="es-ES" w:eastAsia="es-ES"/>
              </w:rPr>
            </w:pPr>
            <w:r w:rsidRPr="00791425">
              <w:rPr>
                <w:b/>
                <w:i/>
                <w:color w:val="000000"/>
                <w:sz w:val="28"/>
                <w:szCs w:val="28"/>
                <w:lang w:val="es-ES" w:eastAsia="es-ES"/>
              </w:rPr>
              <w:t>4.5.</w:t>
            </w:r>
            <w:r w:rsidR="00B83554">
              <w:rPr>
                <w:b/>
                <w:i/>
                <w:color w:val="000000"/>
                <w:sz w:val="28"/>
                <w:szCs w:val="28"/>
                <w:lang w:val="es-ES" w:eastAsia="es-ES"/>
              </w:rPr>
              <w:t>-</w:t>
            </w:r>
            <w:r>
              <w:rPr>
                <w:i/>
                <w:color w:val="000000"/>
                <w:sz w:val="28"/>
                <w:szCs w:val="28"/>
                <w:lang w:val="es-ES" w:eastAsia="es-ES"/>
              </w:rPr>
              <w:t>A mediados del 2017 ingresaron a esa Sección una serie de casos de especial relevancia como lo son el de “INFOCOOP</w:t>
            </w:r>
            <w:r w:rsidR="0051651D">
              <w:rPr>
                <w:i/>
                <w:color w:val="000000"/>
                <w:sz w:val="28"/>
                <w:szCs w:val="28"/>
                <w:lang w:val="es-ES" w:eastAsia="es-ES"/>
              </w:rPr>
              <w:t>”</w:t>
            </w:r>
            <w:r>
              <w:rPr>
                <w:i/>
                <w:color w:val="000000"/>
                <w:sz w:val="28"/>
                <w:szCs w:val="28"/>
                <w:lang w:val="es-ES" w:eastAsia="es-ES"/>
              </w:rPr>
              <w:t xml:space="preserve"> y el del “cemento chino”, </w:t>
            </w:r>
            <w:r w:rsidR="00C073E4">
              <w:rPr>
                <w:i/>
                <w:color w:val="000000"/>
                <w:sz w:val="28"/>
                <w:szCs w:val="28"/>
                <w:lang w:val="es-ES" w:eastAsia="es-ES"/>
              </w:rPr>
              <w:t>que,</w:t>
            </w:r>
            <w:r>
              <w:rPr>
                <w:i/>
                <w:color w:val="000000"/>
                <w:sz w:val="28"/>
                <w:szCs w:val="28"/>
                <w:lang w:val="es-ES" w:eastAsia="es-ES"/>
              </w:rPr>
              <w:t xml:space="preserve"> por su exposición mediática, generaron un aumento en la carga de trabajo de la oficina</w:t>
            </w:r>
            <w:r w:rsidR="00EF7858">
              <w:rPr>
                <w:i/>
                <w:color w:val="000000"/>
                <w:sz w:val="28"/>
                <w:szCs w:val="28"/>
                <w:lang w:val="es-ES" w:eastAsia="es-ES"/>
              </w:rPr>
              <w:t xml:space="preserve"> para su pronta atención.</w:t>
            </w:r>
          </w:p>
          <w:p w:rsidR="00983D13" w:rsidRDefault="00983D13" w:rsidP="00983D13">
            <w:pPr>
              <w:pStyle w:val="Prrafodelista"/>
              <w:tabs>
                <w:tab w:val="left" w:pos="5578"/>
              </w:tabs>
              <w:spacing w:before="0" w:beforeAutospacing="0" w:after="0" w:afterAutospacing="0"/>
              <w:jc w:val="both"/>
              <w:rPr>
                <w:i/>
                <w:color w:val="000000"/>
                <w:sz w:val="28"/>
                <w:szCs w:val="28"/>
                <w:lang w:val="es-ES" w:eastAsia="es-ES"/>
              </w:rPr>
            </w:pPr>
          </w:p>
          <w:p w:rsidR="00791425" w:rsidRDefault="00791425" w:rsidP="00983D13">
            <w:pPr>
              <w:pStyle w:val="Prrafodelista"/>
              <w:spacing w:before="0" w:beforeAutospacing="0" w:after="0" w:afterAutospacing="0"/>
              <w:jc w:val="both"/>
              <w:rPr>
                <w:i/>
                <w:color w:val="000000"/>
                <w:sz w:val="28"/>
                <w:szCs w:val="28"/>
                <w:lang w:val="es-ES" w:eastAsia="es-ES"/>
              </w:rPr>
            </w:pPr>
            <w:r w:rsidRPr="00791425">
              <w:rPr>
                <w:b/>
                <w:i/>
                <w:color w:val="000000"/>
                <w:sz w:val="28"/>
                <w:szCs w:val="28"/>
                <w:lang w:val="es-ES" w:eastAsia="es-ES"/>
              </w:rPr>
              <w:t>4.6.</w:t>
            </w:r>
            <w:r w:rsidR="00983D13">
              <w:rPr>
                <w:b/>
                <w:i/>
                <w:color w:val="000000"/>
                <w:sz w:val="28"/>
                <w:szCs w:val="28"/>
                <w:lang w:val="es-ES" w:eastAsia="es-ES"/>
              </w:rPr>
              <w:t>-</w:t>
            </w:r>
            <w:r w:rsidR="00C073E4">
              <w:rPr>
                <w:i/>
                <w:color w:val="000000"/>
                <w:sz w:val="28"/>
                <w:szCs w:val="28"/>
                <w:lang w:val="es-ES" w:eastAsia="es-ES"/>
              </w:rPr>
              <w:t>Los 6 recursos adicionales asignados a esta Sección, mediante la figura del permiso con goce de salario</w:t>
            </w:r>
            <w:r w:rsidR="006667A9">
              <w:rPr>
                <w:i/>
                <w:color w:val="000000"/>
                <w:sz w:val="28"/>
                <w:szCs w:val="28"/>
                <w:lang w:val="es-ES" w:eastAsia="es-ES"/>
              </w:rPr>
              <w:t xml:space="preserve">, fueron divididos en cantidades iguales para efectos de la atención de </w:t>
            </w:r>
            <w:r w:rsidR="00494121">
              <w:rPr>
                <w:i/>
                <w:color w:val="000000"/>
                <w:sz w:val="28"/>
                <w:szCs w:val="28"/>
                <w:lang w:val="es-ES" w:eastAsia="es-ES"/>
              </w:rPr>
              <w:t>los casos mencionados</w:t>
            </w:r>
            <w:r w:rsidR="006667A9">
              <w:rPr>
                <w:i/>
                <w:color w:val="000000"/>
                <w:sz w:val="28"/>
                <w:szCs w:val="28"/>
                <w:lang w:val="es-ES" w:eastAsia="es-ES"/>
              </w:rPr>
              <w:t xml:space="preserve"> en el punto anterior.</w:t>
            </w:r>
          </w:p>
          <w:p w:rsidR="00983D13" w:rsidRDefault="00983D13" w:rsidP="00983D13">
            <w:pPr>
              <w:pStyle w:val="Prrafodelista"/>
              <w:spacing w:before="0" w:beforeAutospacing="0" w:after="0" w:afterAutospacing="0"/>
              <w:jc w:val="both"/>
              <w:rPr>
                <w:i/>
                <w:color w:val="000000"/>
                <w:sz w:val="28"/>
                <w:szCs w:val="28"/>
                <w:lang w:val="es-ES" w:eastAsia="es-ES"/>
              </w:rPr>
            </w:pPr>
          </w:p>
          <w:p w:rsidR="00983D13" w:rsidRDefault="006667A9" w:rsidP="00983D13">
            <w:pPr>
              <w:pStyle w:val="Prrafodelista"/>
              <w:spacing w:before="0" w:beforeAutospacing="0" w:after="0" w:afterAutospacing="0"/>
              <w:jc w:val="both"/>
              <w:rPr>
                <w:i/>
                <w:color w:val="000000"/>
                <w:sz w:val="28"/>
                <w:szCs w:val="28"/>
                <w:lang w:val="es-ES" w:eastAsia="es-ES"/>
              </w:rPr>
            </w:pPr>
            <w:r w:rsidRPr="006667A9">
              <w:rPr>
                <w:b/>
                <w:i/>
                <w:color w:val="000000"/>
                <w:sz w:val="28"/>
                <w:szCs w:val="28"/>
                <w:lang w:val="es-ES" w:eastAsia="es-ES"/>
              </w:rPr>
              <w:t>4.7.</w:t>
            </w:r>
            <w:r w:rsidR="00983D13">
              <w:rPr>
                <w:b/>
                <w:i/>
                <w:color w:val="000000"/>
                <w:sz w:val="28"/>
                <w:szCs w:val="28"/>
                <w:lang w:val="es-ES" w:eastAsia="es-ES"/>
              </w:rPr>
              <w:t>-</w:t>
            </w:r>
            <w:r w:rsidR="00494121">
              <w:rPr>
                <w:i/>
                <w:color w:val="000000"/>
                <w:sz w:val="28"/>
                <w:szCs w:val="28"/>
                <w:lang w:val="es-ES" w:eastAsia="es-ES"/>
              </w:rPr>
              <w:t>Esta Sección experimentó un aumento en el ingreso de casos</w:t>
            </w:r>
            <w:r w:rsidR="0051651D">
              <w:rPr>
                <w:i/>
                <w:color w:val="000000"/>
                <w:sz w:val="28"/>
                <w:szCs w:val="28"/>
                <w:lang w:val="es-ES" w:eastAsia="es-ES"/>
              </w:rPr>
              <w:t xml:space="preserve"> de un 56%</w:t>
            </w:r>
            <w:r w:rsidR="00983D13">
              <w:rPr>
                <w:i/>
                <w:color w:val="000000"/>
                <w:sz w:val="28"/>
                <w:szCs w:val="28"/>
                <w:lang w:val="es-ES" w:eastAsia="es-ES"/>
              </w:rPr>
              <w:t xml:space="preserve"> (del 2013 al 2016)</w:t>
            </w:r>
            <w:r w:rsidR="0051651D">
              <w:rPr>
                <w:i/>
                <w:color w:val="000000"/>
                <w:sz w:val="28"/>
                <w:szCs w:val="28"/>
                <w:lang w:val="es-ES" w:eastAsia="es-ES"/>
              </w:rPr>
              <w:t>,</w:t>
            </w:r>
            <w:r w:rsidR="009F4889">
              <w:rPr>
                <w:i/>
                <w:color w:val="000000"/>
                <w:sz w:val="28"/>
                <w:szCs w:val="28"/>
                <w:lang w:val="es-ES" w:eastAsia="es-ES"/>
              </w:rPr>
              <w:t xml:space="preserve">en contraposición con el </w:t>
            </w:r>
            <w:r w:rsidR="00983D13">
              <w:rPr>
                <w:i/>
                <w:color w:val="000000"/>
                <w:sz w:val="28"/>
                <w:szCs w:val="28"/>
                <w:lang w:val="es-ES" w:eastAsia="es-ES"/>
              </w:rPr>
              <w:t>2017</w:t>
            </w:r>
            <w:r w:rsidR="009F4889">
              <w:rPr>
                <w:i/>
                <w:color w:val="000000"/>
                <w:sz w:val="28"/>
                <w:szCs w:val="28"/>
                <w:lang w:val="es-ES" w:eastAsia="es-ES"/>
              </w:rPr>
              <w:t xml:space="preserve"> donde ingresaron 467 casos, 100 causas menos </w:t>
            </w:r>
            <w:r w:rsidR="00983D13">
              <w:rPr>
                <w:i/>
                <w:color w:val="000000"/>
                <w:sz w:val="28"/>
                <w:szCs w:val="28"/>
                <w:lang w:val="es-ES" w:eastAsia="es-ES"/>
              </w:rPr>
              <w:t>d</w:t>
            </w:r>
            <w:r w:rsidR="009F4889">
              <w:rPr>
                <w:i/>
                <w:color w:val="000000"/>
                <w:sz w:val="28"/>
                <w:szCs w:val="28"/>
                <w:lang w:val="es-ES" w:eastAsia="es-ES"/>
              </w:rPr>
              <w:t xml:space="preserve">e lo reportado </w:t>
            </w:r>
            <w:r w:rsidR="00983D13">
              <w:rPr>
                <w:i/>
                <w:color w:val="000000"/>
                <w:sz w:val="28"/>
                <w:szCs w:val="28"/>
                <w:lang w:val="es-ES" w:eastAsia="es-ES"/>
              </w:rPr>
              <w:t>un año antes</w:t>
            </w:r>
            <w:r w:rsidR="009F4889">
              <w:rPr>
                <w:i/>
                <w:color w:val="000000"/>
                <w:sz w:val="28"/>
                <w:szCs w:val="28"/>
                <w:lang w:val="es-ES" w:eastAsia="es-ES"/>
              </w:rPr>
              <w:t>.</w:t>
            </w:r>
          </w:p>
          <w:p w:rsidR="006667A9" w:rsidRDefault="006667A9" w:rsidP="00983D13">
            <w:pPr>
              <w:pStyle w:val="Prrafodelista"/>
              <w:spacing w:before="0" w:beforeAutospacing="0" w:after="0" w:afterAutospacing="0"/>
              <w:jc w:val="both"/>
              <w:rPr>
                <w:i/>
                <w:color w:val="000000"/>
                <w:sz w:val="28"/>
                <w:szCs w:val="28"/>
                <w:lang w:val="es-ES" w:eastAsia="es-ES"/>
              </w:rPr>
            </w:pPr>
          </w:p>
          <w:p w:rsidR="009F4889" w:rsidRPr="00747C05" w:rsidRDefault="009F4889" w:rsidP="00983D13">
            <w:pPr>
              <w:pStyle w:val="Prrafodelista"/>
              <w:spacing w:before="0" w:beforeAutospacing="0" w:after="0" w:afterAutospacing="0"/>
              <w:jc w:val="both"/>
              <w:rPr>
                <w:i/>
                <w:color w:val="000000"/>
                <w:sz w:val="28"/>
                <w:szCs w:val="28"/>
                <w:lang w:val="es-ES" w:eastAsia="es-ES"/>
              </w:rPr>
            </w:pPr>
            <w:r w:rsidRPr="009F4889">
              <w:rPr>
                <w:b/>
                <w:i/>
                <w:color w:val="000000"/>
                <w:sz w:val="28"/>
                <w:szCs w:val="28"/>
                <w:lang w:val="es-ES" w:eastAsia="es-ES"/>
              </w:rPr>
              <w:t>4.8.</w:t>
            </w:r>
            <w:r w:rsidR="00983D13">
              <w:rPr>
                <w:b/>
                <w:i/>
                <w:color w:val="000000"/>
                <w:sz w:val="28"/>
                <w:szCs w:val="28"/>
                <w:lang w:val="es-ES" w:eastAsia="es-ES"/>
              </w:rPr>
              <w:t>-</w:t>
            </w:r>
            <w:r w:rsidR="00572BC2">
              <w:rPr>
                <w:i/>
                <w:color w:val="000000"/>
                <w:sz w:val="28"/>
                <w:szCs w:val="28"/>
                <w:lang w:val="es-ES" w:eastAsia="es-ES"/>
              </w:rPr>
              <w:t>En el 2017, en promedio cada Perita o Perito Judicial 2 le fue asignado 1,54 casos por mes, cantidad que se podría considerar manejable en lo que respecta a carga de trabajo</w:t>
            </w:r>
            <w:r w:rsidR="00983D13">
              <w:rPr>
                <w:i/>
                <w:color w:val="000000"/>
                <w:sz w:val="28"/>
                <w:szCs w:val="28"/>
                <w:lang w:val="es-ES" w:eastAsia="es-ES"/>
              </w:rPr>
              <w:t>;</w:t>
            </w:r>
            <w:r w:rsidR="00572BC2">
              <w:rPr>
                <w:i/>
                <w:color w:val="000000"/>
                <w:sz w:val="28"/>
                <w:szCs w:val="28"/>
                <w:lang w:val="es-ES" w:eastAsia="es-ES"/>
              </w:rPr>
              <w:t xml:space="preserve"> no obstante, debe </w:t>
            </w:r>
            <w:r w:rsidR="00572BC2" w:rsidRPr="00747C05">
              <w:rPr>
                <w:i/>
                <w:color w:val="000000"/>
                <w:sz w:val="28"/>
                <w:szCs w:val="28"/>
                <w:lang w:val="es-ES" w:eastAsia="es-ES"/>
              </w:rPr>
              <w:t>tomarse en consideración el nivel de complejidad del caso,</w:t>
            </w:r>
            <w:r w:rsidR="002B408A" w:rsidRPr="00747C05">
              <w:rPr>
                <w:i/>
                <w:color w:val="000000"/>
                <w:sz w:val="28"/>
                <w:szCs w:val="28"/>
                <w:lang w:val="es-ES" w:eastAsia="es-ES"/>
              </w:rPr>
              <w:t xml:space="preserve"> que </w:t>
            </w:r>
            <w:r w:rsidR="00572BC2" w:rsidRPr="00747C05">
              <w:rPr>
                <w:i/>
                <w:color w:val="000000"/>
                <w:sz w:val="28"/>
                <w:szCs w:val="28"/>
                <w:lang w:val="es-ES" w:eastAsia="es-ES"/>
              </w:rPr>
              <w:t>por l</w:t>
            </w:r>
            <w:r w:rsidR="00F6054E" w:rsidRPr="00747C05">
              <w:rPr>
                <w:i/>
                <w:color w:val="000000"/>
                <w:sz w:val="28"/>
                <w:szCs w:val="28"/>
                <w:lang w:val="es-ES" w:eastAsia="es-ES"/>
              </w:rPr>
              <w:t xml:space="preserve">os </w:t>
            </w:r>
            <w:r w:rsidR="00572BC2" w:rsidRPr="00747C05">
              <w:rPr>
                <w:i/>
                <w:color w:val="000000"/>
                <w:sz w:val="28"/>
                <w:szCs w:val="28"/>
                <w:lang w:val="es-ES" w:eastAsia="es-ES"/>
              </w:rPr>
              <w:t>tipo</w:t>
            </w:r>
            <w:r w:rsidR="00F6054E" w:rsidRPr="00747C05">
              <w:rPr>
                <w:i/>
                <w:color w:val="000000"/>
                <w:sz w:val="28"/>
                <w:szCs w:val="28"/>
                <w:lang w:val="es-ES" w:eastAsia="es-ES"/>
              </w:rPr>
              <w:t>s</w:t>
            </w:r>
            <w:r w:rsidR="00572BC2" w:rsidRPr="00747C05">
              <w:rPr>
                <w:i/>
                <w:color w:val="000000"/>
                <w:sz w:val="28"/>
                <w:szCs w:val="28"/>
                <w:lang w:val="es-ES" w:eastAsia="es-ES"/>
              </w:rPr>
              <w:t xml:space="preserve"> de delito</w:t>
            </w:r>
            <w:r w:rsidR="00F6054E" w:rsidRPr="00747C05">
              <w:rPr>
                <w:i/>
                <w:color w:val="000000"/>
                <w:sz w:val="28"/>
                <w:szCs w:val="28"/>
                <w:lang w:val="es-ES" w:eastAsia="es-ES"/>
              </w:rPr>
              <w:t>s que</w:t>
            </w:r>
            <w:r w:rsidR="00983D13" w:rsidRPr="00747C05">
              <w:rPr>
                <w:i/>
                <w:color w:val="000000"/>
                <w:sz w:val="28"/>
                <w:szCs w:val="28"/>
                <w:lang w:val="es-ES" w:eastAsia="es-ES"/>
              </w:rPr>
              <w:t xml:space="preserve"> investiga</w:t>
            </w:r>
            <w:r w:rsidR="00F6054E" w:rsidRPr="00747C05">
              <w:rPr>
                <w:i/>
                <w:color w:val="000000"/>
                <w:sz w:val="28"/>
                <w:szCs w:val="28"/>
                <w:lang w:val="es-ES" w:eastAsia="es-ES"/>
              </w:rPr>
              <w:t xml:space="preserve"> esta Sección</w:t>
            </w:r>
            <w:r w:rsidR="00983D13" w:rsidRPr="00747C05">
              <w:rPr>
                <w:i/>
                <w:color w:val="000000"/>
                <w:sz w:val="28"/>
                <w:szCs w:val="28"/>
                <w:lang w:val="es-ES" w:eastAsia="es-ES"/>
              </w:rPr>
              <w:t>.</w:t>
            </w:r>
          </w:p>
          <w:p w:rsidR="00983D13" w:rsidRPr="00747C05" w:rsidRDefault="00983D13" w:rsidP="00983D13">
            <w:pPr>
              <w:pStyle w:val="Prrafodelista"/>
              <w:spacing w:before="0" w:beforeAutospacing="0" w:after="0" w:afterAutospacing="0"/>
              <w:jc w:val="both"/>
              <w:rPr>
                <w:i/>
                <w:color w:val="000000"/>
                <w:sz w:val="28"/>
                <w:szCs w:val="28"/>
                <w:lang w:val="es-ES" w:eastAsia="es-ES"/>
              </w:rPr>
            </w:pPr>
          </w:p>
          <w:p w:rsidR="00F6054E" w:rsidRPr="00747C05" w:rsidRDefault="00F6054E" w:rsidP="00983D13">
            <w:pPr>
              <w:pStyle w:val="Prrafodelista"/>
              <w:spacing w:before="0" w:beforeAutospacing="0" w:after="0" w:afterAutospacing="0"/>
              <w:jc w:val="both"/>
              <w:rPr>
                <w:i/>
                <w:color w:val="000000"/>
                <w:sz w:val="28"/>
                <w:szCs w:val="28"/>
                <w:lang w:val="es-ES" w:eastAsia="es-ES"/>
              </w:rPr>
            </w:pPr>
            <w:r w:rsidRPr="00747C05">
              <w:rPr>
                <w:b/>
                <w:i/>
                <w:color w:val="000000"/>
                <w:sz w:val="28"/>
                <w:szCs w:val="28"/>
                <w:lang w:val="es-ES" w:eastAsia="es-ES"/>
              </w:rPr>
              <w:t>4.9.</w:t>
            </w:r>
            <w:r w:rsidR="00983D13" w:rsidRPr="00747C05">
              <w:rPr>
                <w:b/>
                <w:i/>
                <w:color w:val="000000"/>
                <w:sz w:val="28"/>
                <w:szCs w:val="28"/>
                <w:lang w:val="es-ES" w:eastAsia="es-ES"/>
              </w:rPr>
              <w:t>-</w:t>
            </w:r>
            <w:r w:rsidRPr="00747C05">
              <w:rPr>
                <w:i/>
                <w:color w:val="000000"/>
                <w:sz w:val="28"/>
                <w:szCs w:val="28"/>
                <w:lang w:val="es-ES" w:eastAsia="es-ES"/>
              </w:rPr>
              <w:t>Actualmente cada Perita o Perito Judicial 2 tiene en promedio un total de 8 a 10 casos</w:t>
            </w:r>
            <w:r w:rsidR="00983D13" w:rsidRPr="00747C05">
              <w:rPr>
                <w:i/>
                <w:color w:val="000000"/>
                <w:sz w:val="28"/>
                <w:szCs w:val="28"/>
                <w:lang w:val="es-ES" w:eastAsia="es-ES"/>
              </w:rPr>
              <w:t xml:space="preserve"> asignados</w:t>
            </w:r>
            <w:r w:rsidRPr="00747C05">
              <w:rPr>
                <w:i/>
                <w:color w:val="000000"/>
                <w:sz w:val="28"/>
                <w:szCs w:val="28"/>
                <w:lang w:val="es-ES" w:eastAsia="es-ES"/>
              </w:rPr>
              <w:t xml:space="preserve">, de un nivel de complejidad </w:t>
            </w:r>
            <w:r w:rsidR="00E40B1E" w:rsidRPr="00747C05">
              <w:rPr>
                <w:i/>
                <w:color w:val="000000"/>
                <w:sz w:val="28"/>
                <w:szCs w:val="28"/>
                <w:lang w:val="es-ES" w:eastAsia="es-ES"/>
              </w:rPr>
              <w:t xml:space="preserve">de </w:t>
            </w:r>
            <w:r w:rsidRPr="00747C05">
              <w:rPr>
                <w:i/>
                <w:color w:val="000000"/>
                <w:sz w:val="28"/>
                <w:szCs w:val="28"/>
                <w:lang w:val="es-ES" w:eastAsia="es-ES"/>
              </w:rPr>
              <w:t xml:space="preserve">intermedia </w:t>
            </w:r>
            <w:r w:rsidR="00E40B1E" w:rsidRPr="00747C05">
              <w:rPr>
                <w:i/>
                <w:color w:val="000000"/>
                <w:sz w:val="28"/>
                <w:szCs w:val="28"/>
                <w:lang w:val="es-ES" w:eastAsia="es-ES"/>
              </w:rPr>
              <w:t>a</w:t>
            </w:r>
            <w:r w:rsidRPr="00747C05">
              <w:rPr>
                <w:i/>
                <w:color w:val="000000"/>
                <w:sz w:val="28"/>
                <w:szCs w:val="28"/>
                <w:lang w:val="es-ES" w:eastAsia="es-ES"/>
              </w:rPr>
              <w:t xml:space="preserve"> alta.</w:t>
            </w:r>
          </w:p>
          <w:p w:rsidR="00983D13" w:rsidRPr="00747C05" w:rsidRDefault="00983D13" w:rsidP="00983D13">
            <w:pPr>
              <w:pStyle w:val="Prrafodelista"/>
              <w:spacing w:before="0" w:beforeAutospacing="0" w:after="0" w:afterAutospacing="0"/>
              <w:jc w:val="both"/>
              <w:rPr>
                <w:i/>
                <w:color w:val="000000"/>
                <w:sz w:val="28"/>
                <w:szCs w:val="28"/>
                <w:lang w:val="es-ES" w:eastAsia="es-ES"/>
              </w:rPr>
            </w:pPr>
          </w:p>
          <w:p w:rsidR="00F6054E" w:rsidRDefault="00F6054E" w:rsidP="00983D13">
            <w:pPr>
              <w:pStyle w:val="Prrafodelista"/>
              <w:spacing w:before="0" w:beforeAutospacing="0" w:after="0" w:afterAutospacing="0"/>
              <w:jc w:val="both"/>
              <w:rPr>
                <w:i/>
                <w:color w:val="000000"/>
                <w:sz w:val="28"/>
                <w:szCs w:val="28"/>
                <w:lang w:val="es-ES" w:eastAsia="es-ES"/>
              </w:rPr>
            </w:pPr>
            <w:r w:rsidRPr="00747C05">
              <w:rPr>
                <w:b/>
                <w:i/>
                <w:color w:val="000000"/>
                <w:sz w:val="28"/>
                <w:szCs w:val="28"/>
                <w:lang w:val="es-ES" w:eastAsia="es-ES"/>
              </w:rPr>
              <w:t>4.10.</w:t>
            </w:r>
            <w:r w:rsidR="00983D13" w:rsidRPr="00747C05">
              <w:rPr>
                <w:b/>
                <w:i/>
                <w:color w:val="000000"/>
                <w:sz w:val="28"/>
                <w:szCs w:val="28"/>
                <w:lang w:val="es-ES" w:eastAsia="es-ES"/>
              </w:rPr>
              <w:t>-</w:t>
            </w:r>
            <w:r w:rsidRPr="00747C05">
              <w:rPr>
                <w:i/>
                <w:color w:val="000000"/>
                <w:sz w:val="28"/>
                <w:szCs w:val="28"/>
                <w:lang w:val="es-ES" w:eastAsia="es-ES"/>
              </w:rPr>
              <w:t>De conformidad con el</w:t>
            </w:r>
            <w:r>
              <w:rPr>
                <w:i/>
                <w:color w:val="000000"/>
                <w:sz w:val="28"/>
                <w:szCs w:val="28"/>
                <w:lang w:val="es-ES" w:eastAsia="es-ES"/>
              </w:rPr>
              <w:t xml:space="preserve"> Licenciado Reynaldo Velasquez Carrillo,</w:t>
            </w:r>
            <w:r w:rsidR="00E40B1E">
              <w:rPr>
                <w:i/>
                <w:color w:val="000000"/>
                <w:sz w:val="28"/>
                <w:szCs w:val="28"/>
                <w:lang w:val="es-ES" w:eastAsia="es-ES"/>
              </w:rPr>
              <w:t>Jefe de la Sección de Delitos Económicos y Financieros,</w:t>
            </w:r>
            <w:r>
              <w:rPr>
                <w:i/>
                <w:color w:val="000000"/>
                <w:sz w:val="28"/>
                <w:szCs w:val="28"/>
                <w:lang w:val="es-ES" w:eastAsia="es-ES"/>
              </w:rPr>
              <w:t xml:space="preserve"> la atención de los casos de “INFOCOOP” y el del “cemento chino” </w:t>
            </w:r>
            <w:r w:rsidR="008A4A24">
              <w:rPr>
                <w:i/>
                <w:color w:val="000000"/>
                <w:sz w:val="28"/>
                <w:szCs w:val="28"/>
                <w:lang w:val="es-ES" w:eastAsia="es-ES"/>
              </w:rPr>
              <w:t>por las 6 plazas adicionales, ha permitido que el personal ordinario no desatienda por completo los casos que ya se encuentran en proceso de investigación y de igual forma requieren de pronta atención.</w:t>
            </w:r>
          </w:p>
          <w:p w:rsidR="00983D13" w:rsidRDefault="00983D13" w:rsidP="00983D13">
            <w:pPr>
              <w:pStyle w:val="Prrafodelista"/>
              <w:spacing w:before="0" w:beforeAutospacing="0" w:after="0" w:afterAutospacing="0"/>
              <w:jc w:val="both"/>
              <w:rPr>
                <w:i/>
                <w:color w:val="000000"/>
                <w:sz w:val="28"/>
                <w:szCs w:val="28"/>
                <w:lang w:val="es-ES" w:eastAsia="es-ES"/>
              </w:rPr>
            </w:pPr>
          </w:p>
          <w:p w:rsidR="00203ECF" w:rsidRDefault="00203ECF" w:rsidP="00983D13">
            <w:pPr>
              <w:pStyle w:val="Prrafodelista"/>
              <w:spacing w:before="0" w:beforeAutospacing="0" w:after="0" w:afterAutospacing="0"/>
              <w:jc w:val="both"/>
              <w:rPr>
                <w:i/>
                <w:color w:val="000000"/>
                <w:sz w:val="28"/>
                <w:szCs w:val="28"/>
                <w:lang w:val="es-ES" w:eastAsia="es-ES"/>
              </w:rPr>
            </w:pPr>
            <w:r w:rsidRPr="00203ECF">
              <w:rPr>
                <w:b/>
                <w:i/>
                <w:color w:val="000000"/>
                <w:sz w:val="28"/>
                <w:szCs w:val="28"/>
                <w:lang w:val="es-ES" w:eastAsia="es-ES"/>
              </w:rPr>
              <w:t>4.11.</w:t>
            </w:r>
            <w:r w:rsidR="00983D13">
              <w:rPr>
                <w:b/>
                <w:i/>
                <w:color w:val="000000"/>
                <w:sz w:val="28"/>
                <w:szCs w:val="28"/>
                <w:lang w:val="es-ES" w:eastAsia="es-ES"/>
              </w:rPr>
              <w:t>-</w:t>
            </w:r>
            <w:r>
              <w:rPr>
                <w:i/>
                <w:color w:val="000000"/>
                <w:sz w:val="28"/>
                <w:szCs w:val="28"/>
                <w:lang w:val="es-ES" w:eastAsia="es-ES"/>
              </w:rPr>
              <w:t>El Lic. Velasquez Carrillo fue cla</w:t>
            </w:r>
            <w:r w:rsidR="003E76D9">
              <w:rPr>
                <w:i/>
                <w:color w:val="000000"/>
                <w:sz w:val="28"/>
                <w:szCs w:val="28"/>
                <w:lang w:val="es-ES" w:eastAsia="es-ES"/>
              </w:rPr>
              <w:t>ro</w:t>
            </w:r>
            <w:r>
              <w:rPr>
                <w:i/>
                <w:color w:val="000000"/>
                <w:sz w:val="28"/>
                <w:szCs w:val="28"/>
                <w:lang w:val="es-ES" w:eastAsia="es-ES"/>
              </w:rPr>
              <w:t xml:space="preserve"> en indicar la dificultad de brindar una fecha de finalización de estos casos (“INFOCOOP” y “cemento chino”), debido a la complejidad de </w:t>
            </w:r>
            <w:r w:rsidR="00010CD9">
              <w:rPr>
                <w:i/>
                <w:color w:val="000000"/>
                <w:sz w:val="28"/>
                <w:szCs w:val="28"/>
                <w:lang w:val="es-ES" w:eastAsia="es-ES"/>
              </w:rPr>
              <w:t>ambas causas</w:t>
            </w:r>
            <w:r w:rsidR="00983D13">
              <w:rPr>
                <w:i/>
                <w:color w:val="000000"/>
                <w:sz w:val="28"/>
                <w:szCs w:val="28"/>
                <w:lang w:val="es-ES" w:eastAsia="es-ES"/>
              </w:rPr>
              <w:t>;</w:t>
            </w:r>
            <w:r w:rsidR="003E76D9">
              <w:rPr>
                <w:i/>
                <w:color w:val="000000"/>
                <w:sz w:val="28"/>
                <w:szCs w:val="28"/>
                <w:lang w:val="es-ES" w:eastAsia="es-ES"/>
              </w:rPr>
              <w:t xml:space="preserve"> no </w:t>
            </w:r>
            <w:r w:rsidR="006351C3">
              <w:rPr>
                <w:i/>
                <w:color w:val="000000"/>
                <w:sz w:val="28"/>
                <w:szCs w:val="28"/>
                <w:lang w:val="es-ES" w:eastAsia="es-ES"/>
              </w:rPr>
              <w:t>obstante,</w:t>
            </w:r>
            <w:r w:rsidR="008363B8">
              <w:rPr>
                <w:i/>
                <w:color w:val="000000"/>
                <w:sz w:val="28"/>
                <w:szCs w:val="28"/>
                <w:lang w:val="es-ES" w:eastAsia="es-ES"/>
              </w:rPr>
              <w:t>de acuerdo con el</w:t>
            </w:r>
            <w:r w:rsidR="003E76D9">
              <w:rPr>
                <w:i/>
                <w:color w:val="000000"/>
                <w:sz w:val="28"/>
                <w:szCs w:val="28"/>
                <w:lang w:val="es-ES" w:eastAsia="es-ES"/>
              </w:rPr>
              <w:t xml:space="preserve"> avance de los procesos de investigación de ambas causas</w:t>
            </w:r>
            <w:r w:rsidR="009A2DED">
              <w:rPr>
                <w:i/>
                <w:color w:val="000000"/>
                <w:sz w:val="28"/>
                <w:szCs w:val="28"/>
                <w:lang w:val="es-ES" w:eastAsia="es-ES"/>
              </w:rPr>
              <w:t>,</w:t>
            </w:r>
            <w:r w:rsidR="003E76D9">
              <w:rPr>
                <w:i/>
                <w:color w:val="000000"/>
                <w:sz w:val="28"/>
                <w:szCs w:val="28"/>
                <w:lang w:val="es-ES" w:eastAsia="es-ES"/>
              </w:rPr>
              <w:t xml:space="preserve"> estima que los recursos se requieren por el resto </w:t>
            </w:r>
            <w:r w:rsidR="003E76D9">
              <w:rPr>
                <w:i/>
                <w:color w:val="000000"/>
                <w:sz w:val="28"/>
                <w:szCs w:val="28"/>
                <w:lang w:val="es-ES" w:eastAsia="es-ES"/>
              </w:rPr>
              <w:lastRenderedPageBreak/>
              <w:t xml:space="preserve">del presente año y </w:t>
            </w:r>
            <w:r w:rsidR="006351C3">
              <w:rPr>
                <w:i/>
                <w:color w:val="000000"/>
                <w:sz w:val="28"/>
                <w:szCs w:val="28"/>
                <w:lang w:val="es-ES" w:eastAsia="es-ES"/>
              </w:rPr>
              <w:t>podría extenderse po</w:t>
            </w:r>
            <w:r w:rsidR="003E76D9">
              <w:rPr>
                <w:i/>
                <w:color w:val="000000"/>
                <w:sz w:val="28"/>
                <w:szCs w:val="28"/>
                <w:lang w:val="es-ES" w:eastAsia="es-ES"/>
              </w:rPr>
              <w:t>r el 2019.</w:t>
            </w:r>
          </w:p>
          <w:p w:rsidR="00983D13" w:rsidRDefault="00983D13" w:rsidP="00983D13">
            <w:pPr>
              <w:pStyle w:val="Prrafodelista"/>
              <w:spacing w:before="0" w:beforeAutospacing="0" w:after="0" w:afterAutospacing="0"/>
              <w:jc w:val="both"/>
              <w:rPr>
                <w:i/>
                <w:color w:val="000000"/>
                <w:sz w:val="28"/>
                <w:szCs w:val="28"/>
                <w:lang w:val="es-ES" w:eastAsia="es-ES"/>
              </w:rPr>
            </w:pPr>
          </w:p>
          <w:p w:rsidR="00CB2DF8" w:rsidRDefault="005F3B21" w:rsidP="00983D13">
            <w:pPr>
              <w:pStyle w:val="Prrafodelista"/>
              <w:spacing w:before="0" w:beforeAutospacing="0" w:after="0" w:afterAutospacing="0"/>
              <w:jc w:val="both"/>
              <w:rPr>
                <w:i/>
                <w:color w:val="000000"/>
                <w:sz w:val="28"/>
                <w:szCs w:val="28"/>
                <w:lang w:val="es-ES" w:eastAsia="es-ES"/>
              </w:rPr>
            </w:pPr>
            <w:r>
              <w:rPr>
                <w:b/>
                <w:i/>
                <w:color w:val="000000"/>
                <w:sz w:val="28"/>
                <w:szCs w:val="28"/>
                <w:lang w:val="es-ES" w:eastAsia="es-ES"/>
              </w:rPr>
              <w:t>4.12</w:t>
            </w:r>
            <w:r w:rsidR="00CB2DF8" w:rsidRPr="00CB2DF8">
              <w:rPr>
                <w:b/>
                <w:i/>
                <w:color w:val="000000"/>
                <w:sz w:val="28"/>
                <w:szCs w:val="28"/>
                <w:lang w:val="es-ES" w:eastAsia="es-ES"/>
              </w:rPr>
              <w:t>.</w:t>
            </w:r>
            <w:r w:rsidR="00983D13">
              <w:rPr>
                <w:b/>
                <w:i/>
                <w:color w:val="000000"/>
                <w:sz w:val="28"/>
                <w:szCs w:val="28"/>
                <w:lang w:val="es-ES" w:eastAsia="es-ES"/>
              </w:rPr>
              <w:t>-</w:t>
            </w:r>
            <w:r w:rsidR="00CB2DF8">
              <w:rPr>
                <w:i/>
                <w:color w:val="000000"/>
                <w:sz w:val="28"/>
                <w:szCs w:val="28"/>
                <w:lang w:val="es-ES" w:eastAsia="es-ES"/>
              </w:rPr>
              <w:t>La Corte Plena en la sesión 27-17 del 21 de agosto del 2017, artículo XVI indicó lo siguiente:</w:t>
            </w:r>
          </w:p>
          <w:p w:rsidR="00983D13" w:rsidRDefault="00983D13" w:rsidP="00983D13">
            <w:pPr>
              <w:pStyle w:val="Prrafodelista"/>
              <w:spacing w:before="0" w:beforeAutospacing="0" w:after="0" w:afterAutospacing="0"/>
              <w:jc w:val="both"/>
              <w:rPr>
                <w:i/>
                <w:color w:val="000000"/>
                <w:sz w:val="28"/>
                <w:szCs w:val="28"/>
                <w:lang w:val="es-ES" w:eastAsia="es-ES"/>
              </w:rPr>
            </w:pPr>
          </w:p>
          <w:p w:rsidR="00CB2DF8" w:rsidRDefault="00CB2DF8" w:rsidP="00983D13">
            <w:pPr>
              <w:ind w:left="709" w:right="618"/>
              <w:jc w:val="both"/>
              <w:rPr>
                <w:i/>
                <w:iCs/>
                <w:sz w:val="28"/>
                <w:szCs w:val="28"/>
                <w:lang w:val="es-CR"/>
              </w:rPr>
            </w:pPr>
            <w:r>
              <w:rPr>
                <w:i/>
                <w:iCs/>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983D13" w:rsidRDefault="00983D13" w:rsidP="00983D13">
            <w:pPr>
              <w:ind w:left="709" w:right="618"/>
              <w:jc w:val="both"/>
              <w:rPr>
                <w:i/>
                <w:iCs/>
                <w:sz w:val="28"/>
                <w:szCs w:val="28"/>
                <w:lang w:val="es-CR" w:eastAsia="en-US"/>
              </w:rPr>
            </w:pPr>
          </w:p>
          <w:p w:rsidR="00983D13" w:rsidRDefault="00983D13" w:rsidP="00983D13">
            <w:pPr>
              <w:pStyle w:val="Prrafodelista"/>
              <w:spacing w:before="0" w:beforeAutospacing="0" w:after="0" w:afterAutospacing="0"/>
              <w:jc w:val="both"/>
              <w:rPr>
                <w:i/>
                <w:iCs/>
                <w:sz w:val="28"/>
                <w:szCs w:val="28"/>
              </w:rPr>
            </w:pPr>
            <w:r>
              <w:rPr>
                <w:i/>
                <w:iCs/>
                <w:color w:val="000000"/>
                <w:sz w:val="28"/>
                <w:szCs w:val="28"/>
              </w:rPr>
              <w:t xml:space="preserve">Este tema fue incorporado dentro de las </w:t>
            </w:r>
            <w:r>
              <w:rPr>
                <w:i/>
                <w:iCs/>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EE4DEA" w:rsidRDefault="00EE4DEA" w:rsidP="00983D13">
            <w:pPr>
              <w:pStyle w:val="Prrafodelista"/>
              <w:spacing w:before="0" w:beforeAutospacing="0" w:after="0" w:afterAutospacing="0"/>
              <w:jc w:val="both"/>
              <w:rPr>
                <w:i/>
                <w:iCs/>
                <w:sz w:val="28"/>
                <w:szCs w:val="28"/>
              </w:rPr>
            </w:pPr>
          </w:p>
          <w:p w:rsidR="00EE4DEA" w:rsidRPr="00747C05" w:rsidRDefault="00EE4DEA" w:rsidP="00983D13">
            <w:pPr>
              <w:pStyle w:val="Prrafodelista"/>
              <w:spacing w:before="0" w:beforeAutospacing="0" w:after="0" w:afterAutospacing="0"/>
              <w:jc w:val="both"/>
              <w:rPr>
                <w:i/>
                <w:iCs/>
                <w:sz w:val="28"/>
                <w:szCs w:val="28"/>
              </w:rPr>
            </w:pPr>
            <w:r w:rsidRPr="00747C05">
              <w:rPr>
                <w:b/>
                <w:i/>
                <w:iCs/>
                <w:sz w:val="28"/>
                <w:szCs w:val="28"/>
              </w:rPr>
              <w:t>4.13.-</w:t>
            </w:r>
            <w:r w:rsidRPr="00747C05">
              <w:rPr>
                <w:i/>
                <w:iCs/>
                <w:sz w:val="28"/>
                <w:szCs w:val="28"/>
              </w:rPr>
              <w:t xml:space="preserve"> El Consejo Superior en sesión 7-18 celebrada el 25 de enero de 2018, artículo LX, acordó lo siguiente:</w:t>
            </w:r>
          </w:p>
          <w:p w:rsidR="00EE4DEA" w:rsidRPr="00747C05" w:rsidRDefault="00EE4DEA" w:rsidP="00983D13">
            <w:pPr>
              <w:pStyle w:val="Prrafodelista"/>
              <w:spacing w:before="0" w:beforeAutospacing="0" w:after="0" w:afterAutospacing="0"/>
              <w:jc w:val="both"/>
              <w:rPr>
                <w:i/>
                <w:iCs/>
                <w:sz w:val="28"/>
                <w:szCs w:val="28"/>
              </w:rPr>
            </w:pPr>
          </w:p>
          <w:p w:rsidR="00EE4DEA" w:rsidRPr="00747C05" w:rsidRDefault="00EE4DEA" w:rsidP="00EE4DEA">
            <w:pPr>
              <w:ind w:left="709" w:right="618"/>
              <w:jc w:val="both"/>
              <w:rPr>
                <w:i/>
                <w:iCs/>
                <w:sz w:val="28"/>
                <w:szCs w:val="28"/>
                <w:lang w:val="es-CR"/>
              </w:rPr>
            </w:pPr>
            <w:r w:rsidRPr="00747C05">
              <w:rPr>
                <w:i/>
                <w:iCs/>
                <w:sz w:val="28"/>
                <w:szCs w:val="28"/>
                <w:lang w:val="es-CR"/>
              </w:rPr>
              <w:t>“Comunicar a la Dirección de Gestión Humana que no extenderá ninguna certificación de contenido presupuestario, hasta tanto la dependencia judicial que la solicite se ajuste al procedimiento de informes técnicos o bien complete en su totalidad las consideraciones contenidas en el protocolo de “Formulario de solicitud de estudio a la Dirección de Planificación para aprobar por el Consejo Superior” (de conformidad con lo dispuesto por este órgano mediante circular N° 9-18 del 30 de enero de 2018)...”</w:t>
            </w:r>
          </w:p>
          <w:p w:rsidR="00983D13" w:rsidRPr="00747C05" w:rsidRDefault="00983D13" w:rsidP="00983D13">
            <w:pPr>
              <w:pStyle w:val="Prrafodelista"/>
              <w:spacing w:before="0" w:beforeAutospacing="0" w:after="0" w:afterAutospacing="0"/>
              <w:jc w:val="both"/>
              <w:rPr>
                <w:b/>
                <w:i/>
                <w:color w:val="000000"/>
                <w:sz w:val="28"/>
                <w:szCs w:val="28"/>
                <w:lang w:val="es-ES" w:eastAsia="es-ES"/>
              </w:rPr>
            </w:pPr>
          </w:p>
          <w:p w:rsidR="00EE4DEA" w:rsidRDefault="005F3B21" w:rsidP="00983D13">
            <w:pPr>
              <w:pStyle w:val="Prrafodelista"/>
              <w:spacing w:before="0" w:beforeAutospacing="0" w:after="0" w:afterAutospacing="0"/>
              <w:jc w:val="both"/>
              <w:rPr>
                <w:i/>
                <w:color w:val="000000"/>
                <w:sz w:val="28"/>
                <w:szCs w:val="28"/>
                <w:lang w:val="es-ES" w:eastAsia="es-ES"/>
              </w:rPr>
            </w:pPr>
            <w:r w:rsidRPr="00747C05">
              <w:rPr>
                <w:b/>
                <w:i/>
                <w:color w:val="000000"/>
                <w:sz w:val="28"/>
                <w:szCs w:val="28"/>
                <w:lang w:val="es-ES" w:eastAsia="es-ES"/>
              </w:rPr>
              <w:t>4.1</w:t>
            </w:r>
            <w:r w:rsidR="00EE4DEA" w:rsidRPr="00747C05">
              <w:rPr>
                <w:b/>
                <w:i/>
                <w:color w:val="000000"/>
                <w:sz w:val="28"/>
                <w:szCs w:val="28"/>
                <w:lang w:val="es-ES" w:eastAsia="es-ES"/>
              </w:rPr>
              <w:t>4</w:t>
            </w:r>
            <w:r w:rsidRPr="00747C05">
              <w:rPr>
                <w:b/>
                <w:i/>
                <w:color w:val="000000"/>
                <w:sz w:val="28"/>
                <w:szCs w:val="28"/>
                <w:lang w:val="es-ES" w:eastAsia="es-ES"/>
              </w:rPr>
              <w:t>.</w:t>
            </w:r>
            <w:r w:rsidR="00983D13" w:rsidRPr="00747C05">
              <w:rPr>
                <w:b/>
                <w:i/>
                <w:color w:val="000000"/>
                <w:sz w:val="28"/>
                <w:szCs w:val="28"/>
                <w:lang w:val="es-ES" w:eastAsia="es-ES"/>
              </w:rPr>
              <w:t>-</w:t>
            </w:r>
            <w:r w:rsidRPr="00747C05">
              <w:rPr>
                <w:i/>
                <w:color w:val="000000"/>
                <w:sz w:val="28"/>
                <w:szCs w:val="28"/>
                <w:lang w:val="es-ES" w:eastAsia="es-ES"/>
              </w:rPr>
              <w:t>La Dirección de Planificación es consciente</w:t>
            </w:r>
            <w:r>
              <w:rPr>
                <w:i/>
                <w:color w:val="000000"/>
                <w:sz w:val="28"/>
                <w:szCs w:val="28"/>
                <w:lang w:val="es-ES" w:eastAsia="es-ES"/>
              </w:rPr>
              <w:t xml:space="preserve"> del aporte que han brindado los recursos adicionales en la atención de los casos del “INFOCOOP” y el “cemento chino”, pero es claro que esos casos s</w:t>
            </w:r>
            <w:r w:rsidR="00983D13">
              <w:rPr>
                <w:i/>
                <w:color w:val="000000"/>
                <w:sz w:val="28"/>
                <w:szCs w:val="28"/>
                <w:lang w:val="es-ES" w:eastAsia="es-ES"/>
              </w:rPr>
              <w:t xml:space="preserve">urgieron producto de </w:t>
            </w:r>
            <w:r>
              <w:rPr>
                <w:i/>
                <w:color w:val="000000"/>
                <w:sz w:val="28"/>
                <w:szCs w:val="28"/>
                <w:lang w:val="es-ES" w:eastAsia="es-ES"/>
              </w:rPr>
              <w:t>hechos particulares suscitados en un momento determinado, los cuales tienen una fecha de inicio y de finalización.</w:t>
            </w:r>
          </w:p>
          <w:p w:rsidR="00EE4DEA" w:rsidRDefault="00EE4DEA" w:rsidP="00983D13">
            <w:pPr>
              <w:pStyle w:val="Prrafodelista"/>
              <w:spacing w:before="0" w:beforeAutospacing="0" w:after="0" w:afterAutospacing="0"/>
              <w:jc w:val="both"/>
              <w:rPr>
                <w:i/>
                <w:color w:val="000000"/>
                <w:sz w:val="28"/>
                <w:szCs w:val="28"/>
                <w:lang w:val="es-ES" w:eastAsia="es-ES"/>
              </w:rPr>
            </w:pPr>
          </w:p>
          <w:p w:rsidR="00EA38ED" w:rsidRDefault="00EA38ED" w:rsidP="00983D13">
            <w:pPr>
              <w:pStyle w:val="Prrafodelista"/>
              <w:spacing w:before="0" w:beforeAutospacing="0" w:after="0" w:afterAutospacing="0"/>
              <w:jc w:val="both"/>
              <w:rPr>
                <w:i/>
                <w:color w:val="000000"/>
                <w:sz w:val="28"/>
                <w:szCs w:val="28"/>
                <w:lang w:val="es-ES" w:eastAsia="es-ES"/>
              </w:rPr>
            </w:pPr>
          </w:p>
          <w:p w:rsidR="00EA38ED" w:rsidRDefault="00EA38ED" w:rsidP="00983D13">
            <w:pPr>
              <w:pStyle w:val="Prrafodelista"/>
              <w:spacing w:before="0" w:beforeAutospacing="0" w:after="0" w:afterAutospacing="0"/>
              <w:jc w:val="both"/>
              <w:rPr>
                <w:i/>
                <w:color w:val="000000"/>
                <w:sz w:val="28"/>
                <w:szCs w:val="28"/>
                <w:lang w:val="es-ES" w:eastAsia="es-ES"/>
              </w:rPr>
            </w:pPr>
          </w:p>
          <w:p w:rsidR="005F3B21" w:rsidRPr="00081612" w:rsidRDefault="00EE4DEA" w:rsidP="00983D13">
            <w:pPr>
              <w:pStyle w:val="Prrafodelista"/>
              <w:spacing w:before="0" w:beforeAutospacing="0" w:after="0" w:afterAutospacing="0"/>
              <w:jc w:val="both"/>
              <w:rPr>
                <w:i/>
                <w:color w:val="000000"/>
                <w:sz w:val="28"/>
                <w:szCs w:val="28"/>
                <w:lang w:val="es-ES" w:eastAsia="es-ES"/>
              </w:rPr>
            </w:pPr>
            <w:r w:rsidRPr="00747C05">
              <w:rPr>
                <w:b/>
                <w:i/>
                <w:color w:val="000000"/>
                <w:sz w:val="28"/>
                <w:szCs w:val="28"/>
                <w:lang w:val="es-ES" w:eastAsia="es-ES"/>
              </w:rPr>
              <w:t>4.15.-</w:t>
            </w:r>
            <w:r w:rsidR="002E77AC" w:rsidRPr="00747C05">
              <w:rPr>
                <w:bCs/>
                <w:i/>
                <w:sz w:val="28"/>
                <w:szCs w:val="28"/>
              </w:rPr>
              <w:t>Se considera de especial relevancia la utilización de la metodología de administración de proyectos avalada institucionalmente, que permitirá una mayor claridad sobre el uso y el tiempo estimado de los recursos adicionales que se asignen a la oficina y su vinculación con los planes de trabajo (operativos y estratégicos).</w:t>
            </w:r>
          </w:p>
          <w:p w:rsidR="00983D13" w:rsidRDefault="00983D13" w:rsidP="00983D13">
            <w:pPr>
              <w:pStyle w:val="Prrafodelista"/>
              <w:spacing w:before="0" w:beforeAutospacing="0" w:after="0" w:afterAutospacing="0"/>
              <w:jc w:val="both"/>
              <w:rPr>
                <w:i/>
                <w:color w:val="000000"/>
                <w:sz w:val="28"/>
                <w:szCs w:val="28"/>
                <w:lang w:val="es-ES" w:eastAsia="es-ES"/>
              </w:rPr>
            </w:pPr>
          </w:p>
          <w:p w:rsidR="00284FA9" w:rsidRDefault="00CB2DF8" w:rsidP="00983D13">
            <w:pPr>
              <w:pStyle w:val="Prrafodelista"/>
              <w:spacing w:before="0" w:beforeAutospacing="0" w:after="0" w:afterAutospacing="0"/>
              <w:jc w:val="both"/>
              <w:rPr>
                <w:i/>
                <w:color w:val="000000"/>
                <w:sz w:val="28"/>
                <w:szCs w:val="28"/>
                <w:lang w:eastAsia="es-ES"/>
              </w:rPr>
            </w:pPr>
            <w:r w:rsidRPr="00CB2DF8">
              <w:rPr>
                <w:b/>
                <w:i/>
                <w:color w:val="000000"/>
                <w:sz w:val="28"/>
                <w:szCs w:val="28"/>
                <w:lang w:eastAsia="es-ES"/>
              </w:rPr>
              <w:t>4.1</w:t>
            </w:r>
            <w:r w:rsidR="00EE4DEA">
              <w:rPr>
                <w:b/>
                <w:i/>
                <w:color w:val="000000"/>
                <w:sz w:val="28"/>
                <w:szCs w:val="28"/>
                <w:lang w:eastAsia="es-ES"/>
              </w:rPr>
              <w:t>6</w:t>
            </w:r>
            <w:r w:rsidRPr="00CB2DF8">
              <w:rPr>
                <w:b/>
                <w:i/>
                <w:color w:val="000000"/>
                <w:sz w:val="28"/>
                <w:szCs w:val="28"/>
                <w:lang w:eastAsia="es-ES"/>
              </w:rPr>
              <w:t>.</w:t>
            </w:r>
            <w:r w:rsidR="00983D13">
              <w:rPr>
                <w:b/>
                <w:i/>
                <w:color w:val="000000"/>
                <w:sz w:val="28"/>
                <w:szCs w:val="28"/>
                <w:lang w:eastAsia="es-ES"/>
              </w:rPr>
              <w:t>-</w:t>
            </w:r>
            <w:r>
              <w:rPr>
                <w:i/>
                <w:color w:val="000000"/>
                <w:sz w:val="28"/>
                <w:szCs w:val="28"/>
                <w:lang w:eastAsia="es-ES"/>
              </w:rPr>
              <w:t xml:space="preserve">Las plazas analizadas en el presente estudio han sido consideradas como prioridad por la Dirección General del O.I.J. para asumir proyectos o necesidades existentes, bajo la modalidad de permisos con goce de salario, </w:t>
            </w:r>
            <w:r w:rsidR="00BA1012">
              <w:rPr>
                <w:i/>
                <w:color w:val="000000"/>
                <w:sz w:val="28"/>
                <w:szCs w:val="28"/>
                <w:lang w:eastAsia="es-ES"/>
              </w:rPr>
              <w:t>y el Consejo Superior ha venido prorrogando su continuidad por el presente año (ú</w:t>
            </w:r>
            <w:r w:rsidR="00284FA9">
              <w:rPr>
                <w:i/>
                <w:color w:val="000000"/>
                <w:sz w:val="28"/>
                <w:szCs w:val="28"/>
                <w:lang w:eastAsia="es-ES"/>
              </w:rPr>
              <w:t>ltima prórroga hasta mayo 2018) a solicitud de la Dirección General del O.I.J.</w:t>
            </w:r>
          </w:p>
          <w:p w:rsidR="00983D13" w:rsidRPr="00CB2DF8" w:rsidRDefault="00983D13" w:rsidP="00983D13">
            <w:pPr>
              <w:pStyle w:val="Prrafodelista"/>
              <w:spacing w:before="0" w:beforeAutospacing="0" w:after="0" w:afterAutospacing="0"/>
              <w:jc w:val="both"/>
              <w:rPr>
                <w:i/>
                <w:color w:val="5B9BD5"/>
                <w:sz w:val="28"/>
                <w:szCs w:val="28"/>
              </w:rPr>
            </w:pPr>
          </w:p>
        </w:tc>
      </w:tr>
      <w:tr w:rsidR="00A4667A" w:rsidRPr="00723CF6" w:rsidTr="00663B34">
        <w:trPr>
          <w:trHeight w:val="1239"/>
        </w:trPr>
        <w:tc>
          <w:tcPr>
            <w:tcW w:w="2518" w:type="dxa"/>
            <w:shd w:val="clear" w:color="auto" w:fill="C0C0C0"/>
          </w:tcPr>
          <w:p w:rsidR="00A4667A" w:rsidRPr="00723CF6" w:rsidRDefault="00195610" w:rsidP="00195610">
            <w:pPr>
              <w:jc w:val="right"/>
              <w:rPr>
                <w:b/>
                <w:color w:val="5B9BD5"/>
                <w:sz w:val="28"/>
                <w:szCs w:val="28"/>
              </w:rPr>
            </w:pPr>
            <w:r w:rsidRPr="00675B1D">
              <w:rPr>
                <w:b/>
                <w:sz w:val="28"/>
                <w:szCs w:val="28"/>
              </w:rPr>
              <w:lastRenderedPageBreak/>
              <w:t>V. Re</w:t>
            </w:r>
            <w:r>
              <w:rPr>
                <w:b/>
                <w:sz w:val="28"/>
                <w:szCs w:val="28"/>
              </w:rPr>
              <w:t>comen-daciones</w:t>
            </w:r>
          </w:p>
        </w:tc>
        <w:tc>
          <w:tcPr>
            <w:tcW w:w="8080" w:type="dxa"/>
          </w:tcPr>
          <w:p w:rsidR="00DC7D5A" w:rsidRPr="00747C05" w:rsidRDefault="00A4667A" w:rsidP="00DC7D5A">
            <w:pPr>
              <w:jc w:val="both"/>
              <w:rPr>
                <w:i/>
                <w:sz w:val="28"/>
                <w:szCs w:val="28"/>
              </w:rPr>
            </w:pPr>
            <w:r w:rsidRPr="00747C05">
              <w:rPr>
                <w:b/>
                <w:i/>
                <w:sz w:val="28"/>
                <w:szCs w:val="28"/>
              </w:rPr>
              <w:t>5.</w:t>
            </w:r>
            <w:r w:rsidR="002E61E9" w:rsidRPr="00747C05">
              <w:rPr>
                <w:b/>
                <w:i/>
                <w:sz w:val="28"/>
                <w:szCs w:val="28"/>
              </w:rPr>
              <w:t>1.</w:t>
            </w:r>
            <w:r w:rsidR="00A30E78" w:rsidRPr="00747C05">
              <w:rPr>
                <w:b/>
                <w:i/>
                <w:sz w:val="28"/>
                <w:szCs w:val="28"/>
              </w:rPr>
              <w:t>-</w:t>
            </w:r>
            <w:r w:rsidR="002E61E9" w:rsidRPr="00747C05">
              <w:rPr>
                <w:i/>
                <w:sz w:val="28"/>
                <w:szCs w:val="28"/>
              </w:rPr>
              <w:t xml:space="preserve">Del análisis anterior y en línea con las medidas de contención del gasto establecidas por Corte Plena, </w:t>
            </w:r>
            <w:r w:rsidR="00747C05" w:rsidRPr="00747C05">
              <w:rPr>
                <w:i/>
                <w:sz w:val="28"/>
                <w:szCs w:val="28"/>
              </w:rPr>
              <w:t>no</w:t>
            </w:r>
            <w:r w:rsidR="002E61E9" w:rsidRPr="00747C05">
              <w:rPr>
                <w:i/>
                <w:sz w:val="28"/>
                <w:szCs w:val="28"/>
              </w:rPr>
              <w:t xml:space="preserve">se recomienda </w:t>
            </w:r>
            <w:r w:rsidR="001842AB" w:rsidRPr="00747C05">
              <w:rPr>
                <w:i/>
                <w:sz w:val="28"/>
                <w:szCs w:val="28"/>
              </w:rPr>
              <w:t xml:space="preserve">la </w:t>
            </w:r>
            <w:r w:rsidR="002E61E9" w:rsidRPr="00747C05">
              <w:rPr>
                <w:i/>
                <w:sz w:val="28"/>
                <w:szCs w:val="28"/>
              </w:rPr>
              <w:t>crea</w:t>
            </w:r>
            <w:r w:rsidR="001842AB" w:rsidRPr="00747C05">
              <w:rPr>
                <w:i/>
                <w:sz w:val="28"/>
                <w:szCs w:val="28"/>
              </w:rPr>
              <w:t xml:space="preserve">ciónde </w:t>
            </w:r>
            <w:r w:rsidR="00A30E78" w:rsidRPr="00747C05">
              <w:rPr>
                <w:i/>
                <w:sz w:val="28"/>
                <w:szCs w:val="28"/>
              </w:rPr>
              <w:t>plazas para la Sección de Delitos Económicos y Financieros, en forma ordinaria o extraordinaria,</w:t>
            </w:r>
            <w:r w:rsidR="002E61E9" w:rsidRPr="00747C05">
              <w:rPr>
                <w:i/>
                <w:sz w:val="28"/>
                <w:szCs w:val="28"/>
              </w:rPr>
              <w:t xml:space="preserve"> por el período 2019, ya que </w:t>
            </w:r>
            <w:r w:rsidR="00DC7D5A" w:rsidRPr="00747C05">
              <w:rPr>
                <w:i/>
                <w:sz w:val="28"/>
                <w:szCs w:val="28"/>
              </w:rPr>
              <w:t xml:space="preserve">los casos que están atendiendo </w:t>
            </w:r>
            <w:r w:rsidR="00A30E78" w:rsidRPr="00747C05">
              <w:rPr>
                <w:i/>
                <w:sz w:val="28"/>
                <w:szCs w:val="28"/>
              </w:rPr>
              <w:t>los recursos adicionalesno son permanentes en el tiempo</w:t>
            </w:r>
            <w:r w:rsidR="00DC7D5A" w:rsidRPr="00747C05">
              <w:rPr>
                <w:i/>
                <w:sz w:val="28"/>
                <w:szCs w:val="28"/>
              </w:rPr>
              <w:t xml:space="preserve"> y no se considera oportuno crear recursos</w:t>
            </w:r>
            <w:r w:rsidR="00496F48" w:rsidRPr="00747C05">
              <w:rPr>
                <w:i/>
                <w:sz w:val="28"/>
                <w:szCs w:val="28"/>
              </w:rPr>
              <w:t xml:space="preserve"> adicionales</w:t>
            </w:r>
            <w:r w:rsidR="00A30E78" w:rsidRPr="00747C05">
              <w:rPr>
                <w:i/>
                <w:sz w:val="28"/>
                <w:szCs w:val="28"/>
              </w:rPr>
              <w:t>bajo esas condiciones</w:t>
            </w:r>
            <w:r w:rsidR="00DC7D5A" w:rsidRPr="00747C05">
              <w:rPr>
                <w:i/>
                <w:sz w:val="28"/>
                <w:szCs w:val="28"/>
              </w:rPr>
              <w:t>.</w:t>
            </w:r>
          </w:p>
          <w:p w:rsidR="006B3FF7" w:rsidRPr="00747C05" w:rsidRDefault="006B3FF7" w:rsidP="00DC7D5A">
            <w:pPr>
              <w:jc w:val="both"/>
              <w:rPr>
                <w:i/>
                <w:sz w:val="28"/>
                <w:szCs w:val="28"/>
              </w:rPr>
            </w:pPr>
          </w:p>
          <w:p w:rsidR="00333398" w:rsidRPr="00747C05" w:rsidRDefault="00333398" w:rsidP="00333398">
            <w:pPr>
              <w:jc w:val="both"/>
              <w:rPr>
                <w:i/>
                <w:sz w:val="28"/>
                <w:szCs w:val="28"/>
              </w:rPr>
            </w:pPr>
            <w:r w:rsidRPr="00747C05">
              <w:rPr>
                <w:i/>
                <w:sz w:val="28"/>
                <w:szCs w:val="28"/>
              </w:rPr>
              <w:t>No obstante, es importante mencionar lo establecido en el artículo 44 de la Ley Orgánica del Poder Judicial:</w:t>
            </w:r>
          </w:p>
          <w:p w:rsidR="00333398" w:rsidRPr="00747C05" w:rsidRDefault="00333398" w:rsidP="00333398">
            <w:pPr>
              <w:jc w:val="both"/>
              <w:rPr>
                <w:i/>
                <w:sz w:val="28"/>
                <w:szCs w:val="28"/>
              </w:rPr>
            </w:pPr>
          </w:p>
          <w:p w:rsidR="00333398" w:rsidRPr="00747C05" w:rsidRDefault="00333398" w:rsidP="00333398">
            <w:pPr>
              <w:ind w:left="920" w:right="1003"/>
              <w:jc w:val="both"/>
              <w:rPr>
                <w:i/>
                <w:iCs/>
                <w:sz w:val="28"/>
                <w:szCs w:val="28"/>
                <w:lang w:val="es-CR"/>
              </w:rPr>
            </w:pPr>
            <w:r w:rsidRPr="00747C05">
              <w:rPr>
                <w:i/>
                <w:iCs/>
                <w:sz w:val="28"/>
                <w:szCs w:val="28"/>
                <w:lang w:val="es-CR"/>
              </w:rPr>
              <w:t>“En casos muy calificados y para asuntos que interesen al Poder Judicial, la Corte podrá conceder licencias con goce de sueldo o sin él a los Magistrados y el Consejo a los demás servidores hasta por un año prorrogable por períodos iguales, a fin de que los servidores judiciales se desempeñen temporalmente en otras dependencias del Estado, o bien cuando les encargue labores y estudios especiales.”</w:t>
            </w:r>
          </w:p>
          <w:p w:rsidR="00813BF4" w:rsidRDefault="00813BF4" w:rsidP="00747C05">
            <w:pPr>
              <w:ind w:right="1003"/>
              <w:jc w:val="both"/>
              <w:rPr>
                <w:i/>
                <w:iCs/>
                <w:sz w:val="28"/>
                <w:szCs w:val="28"/>
                <w:lang w:val="es-CR"/>
              </w:rPr>
            </w:pPr>
          </w:p>
          <w:p w:rsidR="00EA38ED" w:rsidRDefault="00EA38ED" w:rsidP="00747C05">
            <w:pPr>
              <w:ind w:right="1003"/>
              <w:jc w:val="both"/>
              <w:rPr>
                <w:i/>
                <w:iCs/>
                <w:sz w:val="28"/>
                <w:szCs w:val="28"/>
                <w:lang w:val="es-CR"/>
              </w:rPr>
            </w:pPr>
          </w:p>
          <w:p w:rsidR="00EA38ED" w:rsidRDefault="00EA38ED" w:rsidP="00747C05">
            <w:pPr>
              <w:ind w:right="1003"/>
              <w:jc w:val="both"/>
              <w:rPr>
                <w:i/>
                <w:iCs/>
                <w:sz w:val="28"/>
                <w:szCs w:val="28"/>
                <w:lang w:val="es-CR"/>
              </w:rPr>
            </w:pPr>
          </w:p>
          <w:p w:rsidR="00EA38ED" w:rsidRPr="00747C05" w:rsidRDefault="00EA38ED" w:rsidP="00747C05">
            <w:pPr>
              <w:ind w:right="1003"/>
              <w:jc w:val="both"/>
              <w:rPr>
                <w:i/>
                <w:iCs/>
                <w:sz w:val="28"/>
                <w:szCs w:val="28"/>
                <w:lang w:val="es-CR"/>
              </w:rPr>
            </w:pPr>
          </w:p>
          <w:p w:rsidR="00813BF4" w:rsidRPr="00747C05" w:rsidRDefault="00813BF4" w:rsidP="00813BF4">
            <w:pPr>
              <w:ind w:right="618"/>
              <w:jc w:val="both"/>
              <w:rPr>
                <w:i/>
                <w:iCs/>
                <w:sz w:val="28"/>
                <w:szCs w:val="28"/>
                <w:lang w:val="es-CR"/>
              </w:rPr>
            </w:pPr>
            <w:r w:rsidRPr="00747C05">
              <w:rPr>
                <w:i/>
                <w:iCs/>
                <w:sz w:val="28"/>
                <w:szCs w:val="28"/>
                <w:lang w:val="es-CR"/>
              </w:rPr>
              <w:t>Se estima que esa potestad le confiere al Consejo Superior la asignación de recursos para atender situaciones o requerimientos de carácter transitorio.</w:t>
            </w:r>
          </w:p>
          <w:p w:rsidR="00333398" w:rsidRPr="00747C05" w:rsidRDefault="00333398" w:rsidP="00333398">
            <w:pPr>
              <w:ind w:left="920" w:right="1003"/>
              <w:jc w:val="both"/>
              <w:rPr>
                <w:i/>
                <w:sz w:val="28"/>
                <w:szCs w:val="28"/>
              </w:rPr>
            </w:pPr>
          </w:p>
          <w:p w:rsidR="00A03B8A" w:rsidRPr="00747C05" w:rsidRDefault="00333398">
            <w:pPr>
              <w:jc w:val="both"/>
              <w:rPr>
                <w:rFonts w:cs="Arial"/>
                <w:i/>
                <w:sz w:val="28"/>
                <w:szCs w:val="28"/>
              </w:rPr>
            </w:pPr>
            <w:r w:rsidRPr="00747C05">
              <w:rPr>
                <w:b/>
                <w:i/>
                <w:sz w:val="28"/>
                <w:szCs w:val="28"/>
              </w:rPr>
              <w:t xml:space="preserve">5.2.- </w:t>
            </w:r>
            <w:r w:rsidRPr="00747C05">
              <w:rPr>
                <w:i/>
                <w:sz w:val="28"/>
                <w:szCs w:val="28"/>
              </w:rPr>
              <w:t xml:space="preserve">Se reitera la necesidad de que las solicitudes de estudios de recurso humano </w:t>
            </w:r>
            <w:r w:rsidR="00813BF4" w:rsidRPr="00747C05">
              <w:rPr>
                <w:i/>
                <w:sz w:val="28"/>
                <w:szCs w:val="28"/>
              </w:rPr>
              <w:t xml:space="preserve">utilicen </w:t>
            </w:r>
            <w:r w:rsidRPr="00747C05">
              <w:rPr>
                <w:i/>
                <w:sz w:val="28"/>
                <w:szCs w:val="28"/>
              </w:rPr>
              <w:t xml:space="preserve">la metodología </w:t>
            </w:r>
            <w:r w:rsidR="00747C05" w:rsidRPr="00747C05">
              <w:rPr>
                <w:i/>
                <w:sz w:val="28"/>
                <w:szCs w:val="28"/>
              </w:rPr>
              <w:t>aprobada</w:t>
            </w:r>
            <w:r w:rsidR="00004BA4" w:rsidRPr="00747C05">
              <w:rPr>
                <w:i/>
                <w:sz w:val="28"/>
                <w:szCs w:val="28"/>
              </w:rPr>
              <w:t xml:space="preserve"> en la Circular del Consejo Superior N°13-2018</w:t>
            </w:r>
            <w:r w:rsidR="00701DDD" w:rsidRPr="00747C05">
              <w:rPr>
                <w:i/>
                <w:sz w:val="28"/>
                <w:szCs w:val="28"/>
              </w:rPr>
              <w:t xml:space="preserve"> (ver anexo 1).</w:t>
            </w:r>
            <w:bookmarkStart w:id="2" w:name="_GoBack"/>
            <w:bookmarkEnd w:id="2"/>
          </w:p>
        </w:tc>
      </w:tr>
      <w:tr w:rsidR="00A4667A" w:rsidRPr="00723CF6" w:rsidTr="00486C67">
        <w:trPr>
          <w:trHeight w:val="333"/>
        </w:trPr>
        <w:tc>
          <w:tcPr>
            <w:tcW w:w="2518" w:type="dxa"/>
            <w:shd w:val="clear" w:color="auto" w:fill="B3B3B3"/>
          </w:tcPr>
          <w:p w:rsidR="00A4667A" w:rsidRPr="00DE5FEF" w:rsidRDefault="00A4667A" w:rsidP="00FE2F3B">
            <w:pPr>
              <w:jc w:val="right"/>
              <w:rPr>
                <w:b/>
              </w:rPr>
            </w:pPr>
            <w:r w:rsidRPr="00DE5FEF">
              <w:rPr>
                <w:b/>
              </w:rPr>
              <w:lastRenderedPageBreak/>
              <w:t>Realizado por:</w:t>
            </w:r>
          </w:p>
        </w:tc>
        <w:tc>
          <w:tcPr>
            <w:tcW w:w="8080" w:type="dxa"/>
          </w:tcPr>
          <w:p w:rsidR="00A4667A" w:rsidRPr="00B20331" w:rsidRDefault="00FD1064" w:rsidP="00FE2F3B">
            <w:pPr>
              <w:pStyle w:val="Cuerpodetexto"/>
              <w:spacing w:after="0" w:line="240" w:lineRule="auto"/>
              <w:jc w:val="both"/>
              <w:rPr>
                <w:bCs/>
                <w:i/>
                <w:color w:val="5B9BD5"/>
                <w:sz w:val="26"/>
                <w:szCs w:val="26"/>
              </w:rPr>
            </w:pPr>
            <w:r>
              <w:rPr>
                <w:bCs/>
                <w:i/>
                <w:sz w:val="26"/>
                <w:szCs w:val="26"/>
              </w:rPr>
              <w:t>Lic. Christian Quirós Vargas</w:t>
            </w:r>
            <w:r w:rsidR="00A4667A" w:rsidRPr="00B20331">
              <w:rPr>
                <w:bCs/>
                <w:i/>
                <w:sz w:val="26"/>
                <w:szCs w:val="26"/>
              </w:rPr>
              <w:t>, Profesional 2</w:t>
            </w:r>
          </w:p>
        </w:tc>
      </w:tr>
      <w:tr w:rsidR="00A4667A" w:rsidRPr="00723CF6" w:rsidTr="00B20331">
        <w:trPr>
          <w:trHeight w:val="279"/>
        </w:trPr>
        <w:tc>
          <w:tcPr>
            <w:tcW w:w="2518" w:type="dxa"/>
            <w:shd w:val="clear" w:color="auto" w:fill="B3B3B3"/>
          </w:tcPr>
          <w:p w:rsidR="00A4667A" w:rsidRPr="00DE5FEF" w:rsidRDefault="00A4667A" w:rsidP="00FE2F3B">
            <w:pPr>
              <w:jc w:val="right"/>
              <w:rPr>
                <w:b/>
              </w:rPr>
            </w:pPr>
            <w:r w:rsidRPr="00DE5FEF">
              <w:rPr>
                <w:b/>
              </w:rPr>
              <w:t>Aprobado por:</w:t>
            </w:r>
          </w:p>
        </w:tc>
        <w:tc>
          <w:tcPr>
            <w:tcW w:w="8080" w:type="dxa"/>
          </w:tcPr>
          <w:p w:rsidR="00A4667A" w:rsidRPr="00B20331" w:rsidRDefault="00FD1064" w:rsidP="00B20331">
            <w:pPr>
              <w:pStyle w:val="Cuerpodetexto"/>
              <w:spacing w:after="0" w:line="240" w:lineRule="auto"/>
              <w:jc w:val="both"/>
              <w:rPr>
                <w:bCs/>
                <w:i/>
                <w:color w:val="5B9BD5"/>
                <w:sz w:val="26"/>
                <w:szCs w:val="26"/>
                <w:lang w:val="es-ES" w:bidi="ar-SA"/>
              </w:rPr>
            </w:pPr>
            <w:r>
              <w:rPr>
                <w:bCs/>
                <w:i/>
                <w:sz w:val="26"/>
                <w:szCs w:val="26"/>
              </w:rPr>
              <w:t xml:space="preserve">Lic. Minor Anchía Vargas, </w:t>
            </w:r>
            <w:r w:rsidR="00A4667A" w:rsidRPr="00B20331">
              <w:rPr>
                <w:bCs/>
                <w:i/>
                <w:sz w:val="26"/>
                <w:szCs w:val="26"/>
              </w:rPr>
              <w:t>Jefe</w:t>
            </w:r>
            <w:r w:rsidR="00DE6AD4">
              <w:rPr>
                <w:bCs/>
                <w:i/>
                <w:sz w:val="26"/>
                <w:szCs w:val="26"/>
              </w:rPr>
              <w:t>a.i.</w:t>
            </w:r>
            <w:r w:rsidR="00A4667A" w:rsidRPr="00B20331">
              <w:rPr>
                <w:bCs/>
                <w:i/>
                <w:sz w:val="26"/>
                <w:szCs w:val="26"/>
              </w:rPr>
              <w:t>Subproceso Organización Institucional</w:t>
            </w:r>
          </w:p>
        </w:tc>
      </w:tr>
      <w:tr w:rsidR="00A4667A" w:rsidRPr="00723CF6" w:rsidTr="00B20331">
        <w:trPr>
          <w:trHeight w:val="294"/>
        </w:trPr>
        <w:tc>
          <w:tcPr>
            <w:tcW w:w="2518" w:type="dxa"/>
            <w:shd w:val="clear" w:color="auto" w:fill="B3B3B3"/>
          </w:tcPr>
          <w:p w:rsidR="00A4667A" w:rsidRPr="00DE5FEF" w:rsidRDefault="00A4667A" w:rsidP="00FE2F3B">
            <w:pPr>
              <w:jc w:val="right"/>
              <w:rPr>
                <w:b/>
              </w:rPr>
            </w:pPr>
            <w:r w:rsidRPr="00DE5FEF">
              <w:rPr>
                <w:b/>
              </w:rPr>
              <w:t>Visto bueno:</w:t>
            </w:r>
          </w:p>
        </w:tc>
        <w:tc>
          <w:tcPr>
            <w:tcW w:w="8080" w:type="dxa"/>
          </w:tcPr>
          <w:p w:rsidR="00A4667A" w:rsidRPr="00B20331" w:rsidRDefault="00A4667A" w:rsidP="00FE2F3B">
            <w:pPr>
              <w:suppressLineNumbers/>
              <w:tabs>
                <w:tab w:val="left" w:pos="708"/>
              </w:tabs>
              <w:suppressAutoHyphens/>
              <w:jc w:val="both"/>
              <w:rPr>
                <w:bCs/>
                <w:i/>
                <w:color w:val="5B9BD5"/>
                <w:sz w:val="26"/>
                <w:szCs w:val="26"/>
              </w:rPr>
            </w:pPr>
            <w:r w:rsidRPr="00B20331">
              <w:rPr>
                <w:bCs/>
                <w:i/>
                <w:sz w:val="26"/>
                <w:szCs w:val="26"/>
              </w:rPr>
              <w:t>Licda. Nacira Valverde Bermúdez, Directora de Planificación</w:t>
            </w:r>
          </w:p>
        </w:tc>
      </w:tr>
    </w:tbl>
    <w:p w:rsidR="007C2E10" w:rsidRPr="00C918D1" w:rsidRDefault="007C2E10" w:rsidP="00486C67">
      <w:pPr>
        <w:rPr>
          <w:sz w:val="28"/>
          <w:szCs w:val="28"/>
        </w:rPr>
      </w:pPr>
    </w:p>
    <w:p w:rsidR="007C2E10" w:rsidRDefault="007C2E10" w:rsidP="00486C67">
      <w:pPr>
        <w:rPr>
          <w:b/>
          <w:sz w:val="28"/>
          <w:szCs w:val="28"/>
        </w:rPr>
      </w:pPr>
      <w:r w:rsidRPr="00C918D1">
        <w:rPr>
          <w:b/>
          <w:sz w:val="28"/>
          <w:szCs w:val="28"/>
        </w:rPr>
        <w:t>Ref</w:t>
      </w:r>
      <w:r w:rsidR="00C918D1" w:rsidRPr="00C918D1">
        <w:rPr>
          <w:b/>
          <w:sz w:val="28"/>
          <w:szCs w:val="28"/>
        </w:rPr>
        <w:t>erencias SICE:</w:t>
      </w:r>
      <w:r w:rsidRPr="00C918D1">
        <w:rPr>
          <w:b/>
          <w:sz w:val="28"/>
          <w:szCs w:val="28"/>
        </w:rPr>
        <w:t xml:space="preserve"> 1758-2017, 12-18</w:t>
      </w:r>
    </w:p>
    <w:p w:rsidR="00701DDD" w:rsidRDefault="00701DDD" w:rsidP="00486C67">
      <w:pPr>
        <w:rPr>
          <w:b/>
          <w:sz w:val="28"/>
          <w:szCs w:val="28"/>
        </w:rPr>
      </w:pPr>
    </w:p>
    <w:p w:rsidR="00701DDD" w:rsidRDefault="00701DDD" w:rsidP="00486C67">
      <w:pPr>
        <w:rPr>
          <w:b/>
          <w:sz w:val="28"/>
          <w:szCs w:val="28"/>
        </w:rPr>
      </w:pPr>
    </w:p>
    <w:p w:rsidR="00701DDD" w:rsidRDefault="00701DDD" w:rsidP="00747C05">
      <w:pPr>
        <w:jc w:val="center"/>
        <w:rPr>
          <w:b/>
          <w:sz w:val="28"/>
          <w:szCs w:val="28"/>
        </w:rPr>
      </w:pPr>
      <w:r>
        <w:rPr>
          <w:b/>
          <w:sz w:val="28"/>
          <w:szCs w:val="28"/>
        </w:rPr>
        <w:t>Anexo 1</w:t>
      </w:r>
    </w:p>
    <w:p w:rsidR="00701DDD" w:rsidRDefault="00701DDD" w:rsidP="00747C05">
      <w:pPr>
        <w:jc w:val="center"/>
        <w:rPr>
          <w:b/>
          <w:sz w:val="28"/>
          <w:szCs w:val="28"/>
        </w:rPr>
      </w:pPr>
      <w:r>
        <w:rPr>
          <w:b/>
          <w:sz w:val="28"/>
          <w:szCs w:val="28"/>
        </w:rPr>
        <w:t>Circular del Consejo Superior 13-2018</w:t>
      </w:r>
    </w:p>
    <w:p w:rsidR="00701DDD" w:rsidRDefault="00701DDD" w:rsidP="00747C05">
      <w:pPr>
        <w:jc w:val="center"/>
        <w:rPr>
          <w:b/>
          <w:sz w:val="28"/>
          <w:szCs w:val="28"/>
        </w:rPr>
      </w:pPr>
    </w:p>
    <w:bookmarkStart w:id="3" w:name="_MON_1585117993"/>
    <w:bookmarkEnd w:id="3"/>
    <w:p w:rsidR="00701DDD" w:rsidRDefault="007721B1" w:rsidP="00747C05">
      <w:pPr>
        <w:jc w:val="center"/>
        <w:rPr>
          <w:b/>
          <w:sz w:val="28"/>
          <w:szCs w:val="28"/>
        </w:rPr>
      </w:pPr>
      <w:r w:rsidRPr="00294040">
        <w:rPr>
          <w:b/>
          <w:sz w:val="28"/>
          <w:szCs w:val="28"/>
        </w:rPr>
        <w:object w:dxaOrig="1531" w:dyaOrig="1002">
          <v:shape id="_x0000_i1025" type="#_x0000_t75" style="width:76.65pt;height:50.65pt" o:ole="">
            <v:imagedata r:id="rId12" o:title=""/>
          </v:shape>
          <o:OLEObject Type="Embed" ProgID="Word.Document.12" ShapeID="_x0000_i1025" DrawAspect="Icon" ObjectID="_1585123017" r:id="rId13">
            <o:FieldCodes>\s</o:FieldCodes>
          </o:OLEObject>
        </w:object>
      </w:r>
    </w:p>
    <w:p w:rsidR="00701DDD" w:rsidRDefault="00701DDD" w:rsidP="00747C05">
      <w:pPr>
        <w:jc w:val="center"/>
        <w:rPr>
          <w:b/>
          <w:sz w:val="28"/>
          <w:szCs w:val="28"/>
        </w:rPr>
      </w:pPr>
    </w:p>
    <w:p w:rsidR="00701DDD" w:rsidRDefault="00701DDD" w:rsidP="00747C05">
      <w:pPr>
        <w:jc w:val="center"/>
        <w:rPr>
          <w:b/>
          <w:sz w:val="28"/>
          <w:szCs w:val="28"/>
        </w:rPr>
      </w:pPr>
      <w:r>
        <w:rPr>
          <w:b/>
          <w:sz w:val="28"/>
          <w:szCs w:val="28"/>
        </w:rPr>
        <w:t>Anexo 2</w:t>
      </w:r>
    </w:p>
    <w:p w:rsidR="00701DDD" w:rsidRDefault="00701DDD" w:rsidP="00747C05">
      <w:pPr>
        <w:jc w:val="center"/>
        <w:rPr>
          <w:b/>
          <w:sz w:val="28"/>
          <w:szCs w:val="28"/>
        </w:rPr>
      </w:pPr>
      <w:r>
        <w:rPr>
          <w:b/>
          <w:sz w:val="28"/>
          <w:szCs w:val="28"/>
        </w:rPr>
        <w:t>Formularios de la Metodología de Administración de Proyectos</w:t>
      </w:r>
    </w:p>
    <w:p w:rsidR="00701DDD" w:rsidRDefault="00701DDD" w:rsidP="00747C05">
      <w:pPr>
        <w:jc w:val="center"/>
        <w:rPr>
          <w:b/>
          <w:sz w:val="28"/>
          <w:szCs w:val="28"/>
        </w:rPr>
      </w:pPr>
    </w:p>
    <w:bookmarkStart w:id="4" w:name="_MON_1585118956"/>
    <w:bookmarkEnd w:id="4"/>
    <w:p w:rsidR="00701DDD" w:rsidRPr="00C918D1" w:rsidRDefault="00701DDD" w:rsidP="00747C05">
      <w:pPr>
        <w:jc w:val="center"/>
        <w:rPr>
          <w:b/>
          <w:sz w:val="28"/>
          <w:szCs w:val="28"/>
        </w:rPr>
      </w:pPr>
      <w:r>
        <w:object w:dxaOrig="1531" w:dyaOrig="1002">
          <v:shape id="_x0000_i1026" type="#_x0000_t75" style="width:76.65pt;height:50.65pt" o:ole="">
            <v:imagedata r:id="rId14" o:title=""/>
          </v:shape>
          <o:OLEObject Type="Embed" ProgID="Word.Document.12" ShapeID="_x0000_i1026" DrawAspect="Icon" ObjectID="_1585123018" r:id="rId15">
            <o:FieldCodes>\s</o:FieldCodes>
          </o:OLEObject>
        </w:object>
      </w:r>
      <w:r>
        <w:object w:dxaOrig="1531" w:dyaOrig="1002">
          <v:shape id="_x0000_i1027" type="#_x0000_t75" style="width:76.65pt;height:50.65pt" o:ole="">
            <v:imagedata r:id="rId16" o:title=""/>
          </v:shape>
          <o:OLEObject Type="Embed" ProgID="Word.Document.12" ShapeID="_x0000_i1027" DrawAspect="Icon" ObjectID="_1585123019" r:id="rId17">
            <o:FieldCodes>\s</o:FieldCodes>
          </o:OLEObject>
        </w:object>
      </w:r>
      <w:r>
        <w:object w:dxaOrig="1531" w:dyaOrig="1002">
          <v:shape id="_x0000_i1028" type="#_x0000_t75" style="width:76.65pt;height:50.65pt" o:ole="">
            <v:imagedata r:id="rId18" o:title=""/>
          </v:shape>
          <o:OLEObject Type="Embed" ProgID="Word.Document.12" ShapeID="_x0000_i1028" DrawAspect="Icon" ObjectID="_1585123020" r:id="rId19">
            <o:FieldCodes>\s</o:FieldCodes>
          </o:OLEObject>
        </w:object>
      </w:r>
    </w:p>
    <w:sectPr w:rsidR="00701DDD" w:rsidRPr="00C918D1" w:rsidSect="00C538E8">
      <w:headerReference w:type="default" r:id="rId20"/>
      <w:footerReference w:type="default" r:id="rId21"/>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B6" w:rsidRDefault="003024B6" w:rsidP="00A4667A">
      <w:r>
        <w:separator/>
      </w:r>
    </w:p>
  </w:endnote>
  <w:endnote w:type="continuationSeparator" w:id="0">
    <w:p w:rsidR="003024B6" w:rsidRDefault="003024B6"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ED7E9C" w:rsidRDefault="00294040">
        <w:pPr>
          <w:pStyle w:val="Piedepgina"/>
          <w:jc w:val="right"/>
        </w:pPr>
        <w:r>
          <w:fldChar w:fldCharType="begin"/>
        </w:r>
        <w:r w:rsidR="00ED7E9C">
          <w:instrText xml:space="preserve"> PAGE   \* MERGEFORMAT </w:instrText>
        </w:r>
        <w:r>
          <w:fldChar w:fldCharType="separate"/>
        </w:r>
        <w:r w:rsidR="002029C6">
          <w:rPr>
            <w:noProof/>
          </w:rPr>
          <w:t>1</w:t>
        </w:r>
        <w:r>
          <w:rPr>
            <w:noProof/>
          </w:rPr>
          <w:fldChar w:fldCharType="end"/>
        </w:r>
      </w:p>
    </w:sdtContent>
  </w:sdt>
  <w:p w:rsidR="00ED7E9C" w:rsidRDefault="00ED7E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B6" w:rsidRDefault="003024B6" w:rsidP="00A4667A">
      <w:r>
        <w:separator/>
      </w:r>
    </w:p>
  </w:footnote>
  <w:footnote w:type="continuationSeparator" w:id="0">
    <w:p w:rsidR="003024B6" w:rsidRDefault="003024B6" w:rsidP="00A4667A">
      <w:r>
        <w:continuationSeparator/>
      </w:r>
    </w:p>
  </w:footnote>
  <w:footnote w:id="1">
    <w:p w:rsidR="00ED7E9C" w:rsidRDefault="00ED7E9C" w:rsidP="0086682A">
      <w:pPr>
        <w:ind w:right="51"/>
        <w:jc w:val="both"/>
        <w:rPr>
          <w:sz w:val="20"/>
          <w:szCs w:val="20"/>
        </w:rPr>
      </w:pPr>
      <w:bookmarkStart w:id="0" w:name="_Hlk509836843"/>
      <w:bookmarkStart w:id="1" w:name="_Hlk509836842"/>
      <w:r>
        <w:rPr>
          <w:rStyle w:val="Refdenotaalpie"/>
          <w:lang w:val="es-CR"/>
        </w:rPr>
        <w:t>[1]</w:t>
      </w:r>
      <w:r>
        <w:rPr>
          <w:sz w:val="20"/>
          <w:szCs w:val="20"/>
          <w:lang w:val="es-CR"/>
        </w:rPr>
        <w:t>Los proyectos mencionados por la Dirección General fueron los siguientes:</w:t>
      </w:r>
    </w:p>
    <w:p w:rsidR="00ED7E9C" w:rsidRDefault="00ED7E9C" w:rsidP="0086682A">
      <w:pPr>
        <w:ind w:right="51"/>
        <w:jc w:val="both"/>
        <w:rPr>
          <w:rFonts w:ascii="Calibri" w:hAnsi="Calibri" w:cs="Calibri"/>
          <w:sz w:val="20"/>
          <w:szCs w:val="20"/>
          <w:lang w:val="es-CR" w:eastAsia="en-US"/>
        </w:rPr>
      </w:pPr>
      <w:r>
        <w:rPr>
          <w:sz w:val="20"/>
          <w:szCs w:val="20"/>
          <w:lang w:val="es-CR"/>
        </w:rPr>
        <w:t>-- Acreditación internacional bajo la norma ISO 17025:2005 del Departamento de Ciencias Forenses.</w:t>
      </w:r>
    </w:p>
    <w:p w:rsidR="00ED7E9C" w:rsidRDefault="00ED7E9C" w:rsidP="0086682A">
      <w:pPr>
        <w:ind w:right="51"/>
        <w:jc w:val="both"/>
        <w:rPr>
          <w:sz w:val="20"/>
          <w:szCs w:val="20"/>
          <w:lang w:val="es-CR"/>
        </w:rPr>
      </w:pPr>
      <w:r>
        <w:rPr>
          <w:sz w:val="20"/>
          <w:szCs w:val="20"/>
          <w:lang w:val="es-CR"/>
        </w:rPr>
        <w:t>-- Contar con la Unidad de Potencial Interno de la Administración del OIJ.</w:t>
      </w:r>
    </w:p>
    <w:p w:rsidR="00ED7E9C" w:rsidRDefault="00ED7E9C" w:rsidP="0086682A">
      <w:pPr>
        <w:ind w:right="51"/>
        <w:jc w:val="both"/>
        <w:rPr>
          <w:sz w:val="20"/>
          <w:szCs w:val="20"/>
          <w:lang w:val="es-CR"/>
        </w:rPr>
      </w:pPr>
      <w:r>
        <w:rPr>
          <w:sz w:val="20"/>
          <w:szCs w:val="20"/>
          <w:lang w:val="es-CR"/>
        </w:rPr>
        <w:t>-- Reforzamiento de personal técnico en la Unidad de Taller Mecánico de la Sección de Transportes.</w:t>
      </w:r>
    </w:p>
    <w:p w:rsidR="00ED7E9C" w:rsidRDefault="00ED7E9C" w:rsidP="0086682A">
      <w:pPr>
        <w:ind w:right="51"/>
        <w:jc w:val="both"/>
        <w:rPr>
          <w:sz w:val="20"/>
          <w:szCs w:val="20"/>
          <w:lang w:val="es-CR"/>
        </w:rPr>
      </w:pPr>
      <w:r>
        <w:rPr>
          <w:sz w:val="20"/>
          <w:szCs w:val="20"/>
          <w:lang w:val="es-CR"/>
        </w:rPr>
        <w:t>-- Dotar a la Oficina de Prensa de un técnico en audiovisuales.</w:t>
      </w:r>
    </w:p>
    <w:p w:rsidR="00ED7E9C" w:rsidRDefault="00ED7E9C" w:rsidP="0086682A">
      <w:pPr>
        <w:ind w:right="51"/>
        <w:jc w:val="both"/>
        <w:rPr>
          <w:sz w:val="20"/>
          <w:szCs w:val="20"/>
          <w:lang w:val="es-CR"/>
        </w:rPr>
      </w:pPr>
      <w:r>
        <w:rPr>
          <w:sz w:val="20"/>
          <w:szCs w:val="20"/>
          <w:lang w:val="es-CR"/>
        </w:rPr>
        <w:t xml:space="preserve">-- Reforzamiento del personal de la Sección de Delitos Informáticos y Sección de Delitos Económicos y Financieros, con la finalidad que se atiendan casos complejos y de interés Nacional que ingresan a dichas Secciones. </w:t>
      </w:r>
    </w:p>
    <w:p w:rsidR="00ED7E9C" w:rsidRDefault="00ED7E9C" w:rsidP="0086682A">
      <w:pPr>
        <w:ind w:right="51"/>
        <w:jc w:val="both"/>
        <w:rPr>
          <w:sz w:val="20"/>
          <w:szCs w:val="20"/>
          <w:lang w:val="es-CR"/>
        </w:rPr>
      </w:pPr>
      <w:r>
        <w:rPr>
          <w:sz w:val="20"/>
          <w:szCs w:val="20"/>
          <w:lang w:val="es-CR"/>
        </w:rPr>
        <w:t xml:space="preserve">-- Reforzar las oficinas en las cuales se detectó mediante un estudio de cargas de trabajo la necesidad de contar con más plazas que permitan la atención oportuna de los casos que ingresan.  </w:t>
      </w:r>
      <w:bookmarkEnd w:id="0"/>
      <w:bookmarkEnd w:id="1"/>
    </w:p>
  </w:footnote>
  <w:footnote w:id="2">
    <w:p w:rsidR="00ED7E9C" w:rsidRDefault="00ED7E9C" w:rsidP="0086682A">
      <w:pPr>
        <w:pStyle w:val="Textonotapie"/>
        <w:jc w:val="both"/>
        <w:rPr>
          <w:lang w:val="es-CR"/>
        </w:rPr>
      </w:pPr>
      <w:r>
        <w:rPr>
          <w:rStyle w:val="Refdenotaalpie"/>
        </w:rPr>
        <w:t>[2]</w:t>
      </w:r>
      <w:r>
        <w:t xml:space="preserve"> Las dependencias policiales mencionadas por el Lic. Espinoza Espinoza fueron las siguientes: Departamento Laboratorio de Ciencias Forenses (oficio 379-DCF-2017); Oficina de Planes y Operaciones (oficio 0535-OPO-2017); Administración del OIJ (oficio 734-ADM-OIJ-2017); Secretaría General del OIJ (oficio 807-SEC-2017); Oficina de Prensa (oficio 938-OP-2017); Departamento de Investigaciones Criminales (oficio 1215-DICR-2017) y Dirección General (oficio 1438-DG-2017).</w:t>
      </w:r>
    </w:p>
  </w:footnote>
  <w:footnote w:id="3">
    <w:p w:rsidR="00ED7E9C" w:rsidRPr="00721B7C" w:rsidRDefault="00ED7E9C">
      <w:pPr>
        <w:pStyle w:val="Textonotapie"/>
        <w:rPr>
          <w:lang w:val="es-CR"/>
        </w:rPr>
      </w:pPr>
      <w:r>
        <w:rPr>
          <w:rStyle w:val="Refdenotaalpie"/>
        </w:rPr>
        <w:footnoteRef/>
      </w:r>
      <w:r>
        <w:rPr>
          <w:lang w:val="es-CR"/>
        </w:rPr>
        <w:t>El primero seguido por presunto delito de Peculado y el segundo por Tráfico de Influencias.</w:t>
      </w:r>
    </w:p>
  </w:footnote>
  <w:footnote w:id="4">
    <w:p w:rsidR="00ED7E9C" w:rsidRPr="00747C05" w:rsidRDefault="00ED7E9C">
      <w:pPr>
        <w:pStyle w:val="Textonotapie"/>
        <w:rPr>
          <w:lang w:val="es-CR"/>
        </w:rPr>
      </w:pPr>
      <w:r>
        <w:rPr>
          <w:rStyle w:val="Refdenotaalpie"/>
        </w:rPr>
        <w:footnoteRef/>
      </w:r>
      <w:r w:rsidRPr="00747C05">
        <w:rPr>
          <w:lang w:val="es-CR"/>
        </w:rPr>
        <w:t>De este acuerdo en firme se emitió la Circular 13-2018 dirigida a las Jefaturas de Oficina y Despachos Judiciales del país</w:t>
      </w:r>
      <w:r w:rsidR="00697EE4" w:rsidRPr="00747C05">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9C" w:rsidRDefault="00ED7E9C">
    <w:pPr>
      <w:pStyle w:val="Encabezado"/>
    </w:pP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294040" w:rsidRPr="00294040">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ED7E9C" w:rsidRPr="00BC690B" w:rsidRDefault="00ED7E9C" w:rsidP="00FE2F3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ED7E9C" w:rsidRPr="00BC690B" w:rsidRDefault="00ED7E9C" w:rsidP="00FE2F3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ED7E9C" w:rsidRPr="00BC690B" w:rsidRDefault="00ED7E9C" w:rsidP="00FE2F3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ED7E9C" w:rsidRPr="00BC690B" w:rsidRDefault="00ED7E9C" w:rsidP="00FE2F3B"/>
            </w:txbxContent>
          </v:textbox>
        </v:shape>
      </w:pict>
    </w:r>
  </w:p>
  <w:p w:rsidR="00ED7E9C" w:rsidRDefault="00ED7E9C">
    <w:pPr>
      <w:pStyle w:val="Encabezado"/>
    </w:pPr>
  </w:p>
  <w:p w:rsidR="00ED7E9C" w:rsidRDefault="00ED7E9C">
    <w:pPr>
      <w:pStyle w:val="Encabezado"/>
    </w:pPr>
  </w:p>
  <w:p w:rsidR="00ED7E9C" w:rsidRDefault="00ED7E9C">
    <w:pPr>
      <w:pStyle w:val="Encabezado"/>
      <w:pBdr>
        <w:bottom w:val="single" w:sz="12" w:space="1" w:color="auto"/>
      </w:pBdr>
    </w:pPr>
  </w:p>
  <w:p w:rsidR="00ED7E9C" w:rsidRDefault="00ED7E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645D4B"/>
    <w:multiLevelType w:val="hybridMultilevel"/>
    <w:tmpl w:val="8F82DE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3758A9"/>
    <w:multiLevelType w:val="hybridMultilevel"/>
    <w:tmpl w:val="3A180A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3">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8E559B"/>
    <w:multiLevelType w:val="hybridMultilevel"/>
    <w:tmpl w:val="DC821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5"/>
  </w:num>
  <w:num w:numId="5">
    <w:abstractNumId w:val="11"/>
  </w:num>
  <w:num w:numId="6">
    <w:abstractNumId w:val="15"/>
  </w:num>
  <w:num w:numId="7">
    <w:abstractNumId w:val="22"/>
  </w:num>
  <w:num w:numId="8">
    <w:abstractNumId w:val="4"/>
  </w:num>
  <w:num w:numId="9">
    <w:abstractNumId w:val="7"/>
  </w:num>
  <w:num w:numId="10">
    <w:abstractNumId w:val="8"/>
  </w:num>
  <w:num w:numId="11">
    <w:abstractNumId w:val="10"/>
  </w:num>
  <w:num w:numId="12">
    <w:abstractNumId w:val="3"/>
  </w:num>
  <w:num w:numId="13">
    <w:abstractNumId w:val="2"/>
  </w:num>
  <w:num w:numId="14">
    <w:abstractNumId w:val="19"/>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6"/>
  </w:num>
  <w:num w:numId="24">
    <w:abstractNumId w:val="20"/>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CR" w:vendorID="64" w:dllVersion="6" w:nlCheck="1" w:checkStyle="1"/>
  <w:activeWritingStyle w:appName="MSWord" w:lang="es-ES" w:vendorID="64" w:dllVersion="131078" w:nlCheck="1" w:checkStyle="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667A"/>
    <w:rsid w:val="0000370A"/>
    <w:rsid w:val="00004BA4"/>
    <w:rsid w:val="000058A0"/>
    <w:rsid w:val="000062A5"/>
    <w:rsid w:val="000103B3"/>
    <w:rsid w:val="00010CD9"/>
    <w:rsid w:val="000115D0"/>
    <w:rsid w:val="000602C6"/>
    <w:rsid w:val="00060C43"/>
    <w:rsid w:val="00060F29"/>
    <w:rsid w:val="00065BA0"/>
    <w:rsid w:val="000777BB"/>
    <w:rsid w:val="00081612"/>
    <w:rsid w:val="00096B7A"/>
    <w:rsid w:val="000A10A2"/>
    <w:rsid w:val="000A474C"/>
    <w:rsid w:val="000B0D91"/>
    <w:rsid w:val="000B6E50"/>
    <w:rsid w:val="000B76E8"/>
    <w:rsid w:val="000C0572"/>
    <w:rsid w:val="000C2C9E"/>
    <w:rsid w:val="000C7249"/>
    <w:rsid w:val="000D00E8"/>
    <w:rsid w:val="000D026D"/>
    <w:rsid w:val="000D1046"/>
    <w:rsid w:val="000D2F8A"/>
    <w:rsid w:val="000D645A"/>
    <w:rsid w:val="000D770E"/>
    <w:rsid w:val="000E4522"/>
    <w:rsid w:val="000E6729"/>
    <w:rsid w:val="000E6953"/>
    <w:rsid w:val="000F53D3"/>
    <w:rsid w:val="001009D3"/>
    <w:rsid w:val="001016D6"/>
    <w:rsid w:val="00114162"/>
    <w:rsid w:val="0012267A"/>
    <w:rsid w:val="00124691"/>
    <w:rsid w:val="00130848"/>
    <w:rsid w:val="001313A2"/>
    <w:rsid w:val="00134BBF"/>
    <w:rsid w:val="001375CB"/>
    <w:rsid w:val="0014536C"/>
    <w:rsid w:val="0014563A"/>
    <w:rsid w:val="0015014D"/>
    <w:rsid w:val="001616FC"/>
    <w:rsid w:val="00162DE1"/>
    <w:rsid w:val="00162E1F"/>
    <w:rsid w:val="00174401"/>
    <w:rsid w:val="00181802"/>
    <w:rsid w:val="001842AB"/>
    <w:rsid w:val="0019092B"/>
    <w:rsid w:val="00194FED"/>
    <w:rsid w:val="00195610"/>
    <w:rsid w:val="00197F5E"/>
    <w:rsid w:val="001A45E8"/>
    <w:rsid w:val="001A4A83"/>
    <w:rsid w:val="001B45F6"/>
    <w:rsid w:val="001C12C7"/>
    <w:rsid w:val="001C44F7"/>
    <w:rsid w:val="001C5382"/>
    <w:rsid w:val="001D3593"/>
    <w:rsid w:val="001D6638"/>
    <w:rsid w:val="001E1971"/>
    <w:rsid w:val="001F69C9"/>
    <w:rsid w:val="001F761A"/>
    <w:rsid w:val="00200812"/>
    <w:rsid w:val="002029C6"/>
    <w:rsid w:val="00203ECF"/>
    <w:rsid w:val="002054C4"/>
    <w:rsid w:val="00206539"/>
    <w:rsid w:val="00210615"/>
    <w:rsid w:val="00225297"/>
    <w:rsid w:val="0022685D"/>
    <w:rsid w:val="002352A1"/>
    <w:rsid w:val="00236140"/>
    <w:rsid w:val="00237AFE"/>
    <w:rsid w:val="00241FAB"/>
    <w:rsid w:val="002467E8"/>
    <w:rsid w:val="00250CF7"/>
    <w:rsid w:val="00250FE1"/>
    <w:rsid w:val="00252AFD"/>
    <w:rsid w:val="00263635"/>
    <w:rsid w:val="002661A7"/>
    <w:rsid w:val="00266846"/>
    <w:rsid w:val="00281E7A"/>
    <w:rsid w:val="00284FA9"/>
    <w:rsid w:val="002907AA"/>
    <w:rsid w:val="00294040"/>
    <w:rsid w:val="002A0578"/>
    <w:rsid w:val="002A0A5C"/>
    <w:rsid w:val="002A23FD"/>
    <w:rsid w:val="002A6026"/>
    <w:rsid w:val="002B0650"/>
    <w:rsid w:val="002B408A"/>
    <w:rsid w:val="002B553F"/>
    <w:rsid w:val="002B5A8D"/>
    <w:rsid w:val="002D1080"/>
    <w:rsid w:val="002D13D0"/>
    <w:rsid w:val="002E05B2"/>
    <w:rsid w:val="002E2CAF"/>
    <w:rsid w:val="002E61E9"/>
    <w:rsid w:val="002E77AC"/>
    <w:rsid w:val="002F0E6B"/>
    <w:rsid w:val="002F570D"/>
    <w:rsid w:val="002F6544"/>
    <w:rsid w:val="003024B6"/>
    <w:rsid w:val="00302BF7"/>
    <w:rsid w:val="00306486"/>
    <w:rsid w:val="00312045"/>
    <w:rsid w:val="00314593"/>
    <w:rsid w:val="00316527"/>
    <w:rsid w:val="003174E9"/>
    <w:rsid w:val="00320EC2"/>
    <w:rsid w:val="0032214F"/>
    <w:rsid w:val="0032619F"/>
    <w:rsid w:val="0032671F"/>
    <w:rsid w:val="00333398"/>
    <w:rsid w:val="0033503B"/>
    <w:rsid w:val="00335371"/>
    <w:rsid w:val="00340FD0"/>
    <w:rsid w:val="003433A3"/>
    <w:rsid w:val="003439AB"/>
    <w:rsid w:val="003475C7"/>
    <w:rsid w:val="003764C0"/>
    <w:rsid w:val="00385D47"/>
    <w:rsid w:val="003C66BC"/>
    <w:rsid w:val="003D0A69"/>
    <w:rsid w:val="003E31CF"/>
    <w:rsid w:val="003E76D9"/>
    <w:rsid w:val="003F712D"/>
    <w:rsid w:val="003F73E6"/>
    <w:rsid w:val="00400345"/>
    <w:rsid w:val="00400A9E"/>
    <w:rsid w:val="004079CE"/>
    <w:rsid w:val="004105C0"/>
    <w:rsid w:val="004128E9"/>
    <w:rsid w:val="0041522D"/>
    <w:rsid w:val="004174BD"/>
    <w:rsid w:val="00420827"/>
    <w:rsid w:val="0042339B"/>
    <w:rsid w:val="00432DA3"/>
    <w:rsid w:val="00432F3D"/>
    <w:rsid w:val="0044602F"/>
    <w:rsid w:val="00455277"/>
    <w:rsid w:val="00461A5E"/>
    <w:rsid w:val="0046512C"/>
    <w:rsid w:val="0047455F"/>
    <w:rsid w:val="004779BF"/>
    <w:rsid w:val="00486C67"/>
    <w:rsid w:val="004874BD"/>
    <w:rsid w:val="00490C83"/>
    <w:rsid w:val="00493EDD"/>
    <w:rsid w:val="00494121"/>
    <w:rsid w:val="00496F48"/>
    <w:rsid w:val="004A2CD2"/>
    <w:rsid w:val="004B1300"/>
    <w:rsid w:val="004B2270"/>
    <w:rsid w:val="004B3B66"/>
    <w:rsid w:val="004D09B1"/>
    <w:rsid w:val="004E2884"/>
    <w:rsid w:val="004E2968"/>
    <w:rsid w:val="004E370B"/>
    <w:rsid w:val="004F12B9"/>
    <w:rsid w:val="004F48B1"/>
    <w:rsid w:val="00501113"/>
    <w:rsid w:val="00506F06"/>
    <w:rsid w:val="005070F9"/>
    <w:rsid w:val="00513E73"/>
    <w:rsid w:val="0051651D"/>
    <w:rsid w:val="005233C6"/>
    <w:rsid w:val="00534660"/>
    <w:rsid w:val="00535BDE"/>
    <w:rsid w:val="00536071"/>
    <w:rsid w:val="00541CB1"/>
    <w:rsid w:val="0055110F"/>
    <w:rsid w:val="00562EA6"/>
    <w:rsid w:val="005706B8"/>
    <w:rsid w:val="00572BC2"/>
    <w:rsid w:val="00577D36"/>
    <w:rsid w:val="00582DE0"/>
    <w:rsid w:val="00585301"/>
    <w:rsid w:val="005905F6"/>
    <w:rsid w:val="0059285B"/>
    <w:rsid w:val="005B0065"/>
    <w:rsid w:val="005B6169"/>
    <w:rsid w:val="005B79B5"/>
    <w:rsid w:val="005C080E"/>
    <w:rsid w:val="005C4925"/>
    <w:rsid w:val="005D231A"/>
    <w:rsid w:val="005D250B"/>
    <w:rsid w:val="005D64DC"/>
    <w:rsid w:val="005E49DD"/>
    <w:rsid w:val="005F3B21"/>
    <w:rsid w:val="00602636"/>
    <w:rsid w:val="00602712"/>
    <w:rsid w:val="006027FF"/>
    <w:rsid w:val="006048B1"/>
    <w:rsid w:val="0060652D"/>
    <w:rsid w:val="0061052E"/>
    <w:rsid w:val="00613F37"/>
    <w:rsid w:val="00615B48"/>
    <w:rsid w:val="00616040"/>
    <w:rsid w:val="00616CB2"/>
    <w:rsid w:val="006173F5"/>
    <w:rsid w:val="00623D16"/>
    <w:rsid w:val="00631E28"/>
    <w:rsid w:val="006351C3"/>
    <w:rsid w:val="006408FC"/>
    <w:rsid w:val="00650A79"/>
    <w:rsid w:val="006515DD"/>
    <w:rsid w:val="00654A5C"/>
    <w:rsid w:val="00655B0D"/>
    <w:rsid w:val="00663B34"/>
    <w:rsid w:val="006667A9"/>
    <w:rsid w:val="006668ED"/>
    <w:rsid w:val="00671FBF"/>
    <w:rsid w:val="006979B2"/>
    <w:rsid w:val="00697C28"/>
    <w:rsid w:val="00697EE4"/>
    <w:rsid w:val="006A3C22"/>
    <w:rsid w:val="006A5C8F"/>
    <w:rsid w:val="006A6DEF"/>
    <w:rsid w:val="006B1629"/>
    <w:rsid w:val="006B3FF7"/>
    <w:rsid w:val="006B5270"/>
    <w:rsid w:val="006C2DF9"/>
    <w:rsid w:val="006C572D"/>
    <w:rsid w:val="006C7CBD"/>
    <w:rsid w:val="006D3146"/>
    <w:rsid w:val="006D4C02"/>
    <w:rsid w:val="006D5B46"/>
    <w:rsid w:val="006E4808"/>
    <w:rsid w:val="006F11A8"/>
    <w:rsid w:val="006F14C5"/>
    <w:rsid w:val="006F613F"/>
    <w:rsid w:val="00700358"/>
    <w:rsid w:val="00700BD2"/>
    <w:rsid w:val="00701DDD"/>
    <w:rsid w:val="00704EB4"/>
    <w:rsid w:val="0071022D"/>
    <w:rsid w:val="007104D5"/>
    <w:rsid w:val="00715AD9"/>
    <w:rsid w:val="00721B7C"/>
    <w:rsid w:val="00727317"/>
    <w:rsid w:val="0074180A"/>
    <w:rsid w:val="00741CDF"/>
    <w:rsid w:val="00747C05"/>
    <w:rsid w:val="007529B0"/>
    <w:rsid w:val="00757E5E"/>
    <w:rsid w:val="007721B1"/>
    <w:rsid w:val="00775E0B"/>
    <w:rsid w:val="00786993"/>
    <w:rsid w:val="00790C41"/>
    <w:rsid w:val="00791425"/>
    <w:rsid w:val="00792536"/>
    <w:rsid w:val="007950F8"/>
    <w:rsid w:val="007A42AC"/>
    <w:rsid w:val="007C2E10"/>
    <w:rsid w:val="007C51AC"/>
    <w:rsid w:val="007C5CE8"/>
    <w:rsid w:val="007D526D"/>
    <w:rsid w:val="007D6650"/>
    <w:rsid w:val="007E2110"/>
    <w:rsid w:val="007E304B"/>
    <w:rsid w:val="007E5DBE"/>
    <w:rsid w:val="007F6626"/>
    <w:rsid w:val="007F6B72"/>
    <w:rsid w:val="007F6FE1"/>
    <w:rsid w:val="0080211F"/>
    <w:rsid w:val="00802EA5"/>
    <w:rsid w:val="008061BD"/>
    <w:rsid w:val="0080661C"/>
    <w:rsid w:val="0080753F"/>
    <w:rsid w:val="00811EA0"/>
    <w:rsid w:val="00812873"/>
    <w:rsid w:val="00813BF4"/>
    <w:rsid w:val="0082082D"/>
    <w:rsid w:val="00823D4B"/>
    <w:rsid w:val="00835F14"/>
    <w:rsid w:val="008363B8"/>
    <w:rsid w:val="008375F3"/>
    <w:rsid w:val="00841EB8"/>
    <w:rsid w:val="00857CD0"/>
    <w:rsid w:val="0086682A"/>
    <w:rsid w:val="00875335"/>
    <w:rsid w:val="008760C2"/>
    <w:rsid w:val="0088329E"/>
    <w:rsid w:val="008A022D"/>
    <w:rsid w:val="008A4A24"/>
    <w:rsid w:val="008B31B4"/>
    <w:rsid w:val="008B43FB"/>
    <w:rsid w:val="008B7B9F"/>
    <w:rsid w:val="008C0449"/>
    <w:rsid w:val="008C2701"/>
    <w:rsid w:val="008D3EF1"/>
    <w:rsid w:val="008E15D9"/>
    <w:rsid w:val="008E1F5E"/>
    <w:rsid w:val="00902B0E"/>
    <w:rsid w:val="0091108D"/>
    <w:rsid w:val="009156B2"/>
    <w:rsid w:val="009174BA"/>
    <w:rsid w:val="009252E9"/>
    <w:rsid w:val="00925B73"/>
    <w:rsid w:val="00942307"/>
    <w:rsid w:val="00942BDB"/>
    <w:rsid w:val="0095024F"/>
    <w:rsid w:val="009528D1"/>
    <w:rsid w:val="0095317B"/>
    <w:rsid w:val="009569E0"/>
    <w:rsid w:val="00956BB1"/>
    <w:rsid w:val="00972091"/>
    <w:rsid w:val="00977D46"/>
    <w:rsid w:val="00983D13"/>
    <w:rsid w:val="00990311"/>
    <w:rsid w:val="009A15F0"/>
    <w:rsid w:val="009A2DED"/>
    <w:rsid w:val="009A6E48"/>
    <w:rsid w:val="009B6640"/>
    <w:rsid w:val="009C5867"/>
    <w:rsid w:val="009D7349"/>
    <w:rsid w:val="009E7621"/>
    <w:rsid w:val="009F1C7D"/>
    <w:rsid w:val="009F2664"/>
    <w:rsid w:val="009F2EEC"/>
    <w:rsid w:val="009F3A22"/>
    <w:rsid w:val="009F45D0"/>
    <w:rsid w:val="009F4889"/>
    <w:rsid w:val="009F7EF4"/>
    <w:rsid w:val="00A03B8A"/>
    <w:rsid w:val="00A04706"/>
    <w:rsid w:val="00A102FD"/>
    <w:rsid w:val="00A17A68"/>
    <w:rsid w:val="00A23448"/>
    <w:rsid w:val="00A24454"/>
    <w:rsid w:val="00A24F4D"/>
    <w:rsid w:val="00A30E78"/>
    <w:rsid w:val="00A35B34"/>
    <w:rsid w:val="00A420A3"/>
    <w:rsid w:val="00A4667A"/>
    <w:rsid w:val="00A51A79"/>
    <w:rsid w:val="00A56D6E"/>
    <w:rsid w:val="00A578C5"/>
    <w:rsid w:val="00A604E6"/>
    <w:rsid w:val="00A604E9"/>
    <w:rsid w:val="00A73E4C"/>
    <w:rsid w:val="00A752A2"/>
    <w:rsid w:val="00A75985"/>
    <w:rsid w:val="00A76207"/>
    <w:rsid w:val="00A818A6"/>
    <w:rsid w:val="00A83C50"/>
    <w:rsid w:val="00A841A9"/>
    <w:rsid w:val="00A85D79"/>
    <w:rsid w:val="00A90332"/>
    <w:rsid w:val="00A90F32"/>
    <w:rsid w:val="00A96EA3"/>
    <w:rsid w:val="00AA1609"/>
    <w:rsid w:val="00AA72FB"/>
    <w:rsid w:val="00AB03AD"/>
    <w:rsid w:val="00AB5F34"/>
    <w:rsid w:val="00AB643F"/>
    <w:rsid w:val="00AB6B7C"/>
    <w:rsid w:val="00AC489E"/>
    <w:rsid w:val="00AC5408"/>
    <w:rsid w:val="00AD235C"/>
    <w:rsid w:val="00AE2922"/>
    <w:rsid w:val="00AE3DF8"/>
    <w:rsid w:val="00AE74B0"/>
    <w:rsid w:val="00AF0EF1"/>
    <w:rsid w:val="00AF1A64"/>
    <w:rsid w:val="00AF4E5F"/>
    <w:rsid w:val="00B01309"/>
    <w:rsid w:val="00B0483C"/>
    <w:rsid w:val="00B06D10"/>
    <w:rsid w:val="00B20331"/>
    <w:rsid w:val="00B203A6"/>
    <w:rsid w:val="00B21153"/>
    <w:rsid w:val="00B2457A"/>
    <w:rsid w:val="00B25B2E"/>
    <w:rsid w:val="00B339F7"/>
    <w:rsid w:val="00B33E53"/>
    <w:rsid w:val="00B5305B"/>
    <w:rsid w:val="00B71AD6"/>
    <w:rsid w:val="00B71DCD"/>
    <w:rsid w:val="00B740FE"/>
    <w:rsid w:val="00B83554"/>
    <w:rsid w:val="00B83E6F"/>
    <w:rsid w:val="00B85EC9"/>
    <w:rsid w:val="00B8754B"/>
    <w:rsid w:val="00B9145E"/>
    <w:rsid w:val="00B928DE"/>
    <w:rsid w:val="00BA1012"/>
    <w:rsid w:val="00BA10A9"/>
    <w:rsid w:val="00BA4B13"/>
    <w:rsid w:val="00BA7816"/>
    <w:rsid w:val="00BB1F62"/>
    <w:rsid w:val="00BB2933"/>
    <w:rsid w:val="00BB39E0"/>
    <w:rsid w:val="00BB78C7"/>
    <w:rsid w:val="00BC4CDF"/>
    <w:rsid w:val="00BC5DFC"/>
    <w:rsid w:val="00BD0C23"/>
    <w:rsid w:val="00BD416C"/>
    <w:rsid w:val="00BD4DF6"/>
    <w:rsid w:val="00BE2210"/>
    <w:rsid w:val="00BE47C9"/>
    <w:rsid w:val="00BF134B"/>
    <w:rsid w:val="00BF1C84"/>
    <w:rsid w:val="00C0222F"/>
    <w:rsid w:val="00C06019"/>
    <w:rsid w:val="00C0718F"/>
    <w:rsid w:val="00C073E4"/>
    <w:rsid w:val="00C1314B"/>
    <w:rsid w:val="00C148E7"/>
    <w:rsid w:val="00C172D7"/>
    <w:rsid w:val="00C2074F"/>
    <w:rsid w:val="00C2392A"/>
    <w:rsid w:val="00C23A84"/>
    <w:rsid w:val="00C32F93"/>
    <w:rsid w:val="00C402F5"/>
    <w:rsid w:val="00C42D83"/>
    <w:rsid w:val="00C517B2"/>
    <w:rsid w:val="00C538E8"/>
    <w:rsid w:val="00C54D90"/>
    <w:rsid w:val="00C6676B"/>
    <w:rsid w:val="00C80C18"/>
    <w:rsid w:val="00C8678A"/>
    <w:rsid w:val="00C918D1"/>
    <w:rsid w:val="00C92E1F"/>
    <w:rsid w:val="00CA3AFC"/>
    <w:rsid w:val="00CB2DF8"/>
    <w:rsid w:val="00CC26B1"/>
    <w:rsid w:val="00CD13D4"/>
    <w:rsid w:val="00CD3550"/>
    <w:rsid w:val="00CE56D6"/>
    <w:rsid w:val="00CE7D0B"/>
    <w:rsid w:val="00D01ED8"/>
    <w:rsid w:val="00D0512B"/>
    <w:rsid w:val="00D06DA4"/>
    <w:rsid w:val="00D07361"/>
    <w:rsid w:val="00D117E2"/>
    <w:rsid w:val="00D1217F"/>
    <w:rsid w:val="00D3784B"/>
    <w:rsid w:val="00D41467"/>
    <w:rsid w:val="00D42BB1"/>
    <w:rsid w:val="00D562EF"/>
    <w:rsid w:val="00D61959"/>
    <w:rsid w:val="00D62AED"/>
    <w:rsid w:val="00D64B1C"/>
    <w:rsid w:val="00D659B6"/>
    <w:rsid w:val="00D8650C"/>
    <w:rsid w:val="00D90A32"/>
    <w:rsid w:val="00D97E5C"/>
    <w:rsid w:val="00DA5C42"/>
    <w:rsid w:val="00DA7DCE"/>
    <w:rsid w:val="00DC0F22"/>
    <w:rsid w:val="00DC7D5A"/>
    <w:rsid w:val="00DD11D2"/>
    <w:rsid w:val="00DD2A62"/>
    <w:rsid w:val="00DD388E"/>
    <w:rsid w:val="00DD6A8A"/>
    <w:rsid w:val="00DE485A"/>
    <w:rsid w:val="00DE6AD4"/>
    <w:rsid w:val="00DE7E59"/>
    <w:rsid w:val="00E03852"/>
    <w:rsid w:val="00E04A4B"/>
    <w:rsid w:val="00E074A2"/>
    <w:rsid w:val="00E11DF7"/>
    <w:rsid w:val="00E167C7"/>
    <w:rsid w:val="00E16A68"/>
    <w:rsid w:val="00E21706"/>
    <w:rsid w:val="00E40AAB"/>
    <w:rsid w:val="00E40B1E"/>
    <w:rsid w:val="00E52C1F"/>
    <w:rsid w:val="00E54640"/>
    <w:rsid w:val="00E5611A"/>
    <w:rsid w:val="00E62C10"/>
    <w:rsid w:val="00E62DC1"/>
    <w:rsid w:val="00E63BDD"/>
    <w:rsid w:val="00E73355"/>
    <w:rsid w:val="00E734F7"/>
    <w:rsid w:val="00E77762"/>
    <w:rsid w:val="00E77E34"/>
    <w:rsid w:val="00E82066"/>
    <w:rsid w:val="00E87D9A"/>
    <w:rsid w:val="00E904B8"/>
    <w:rsid w:val="00E92D46"/>
    <w:rsid w:val="00E9570B"/>
    <w:rsid w:val="00EA38ED"/>
    <w:rsid w:val="00EA5123"/>
    <w:rsid w:val="00EA782D"/>
    <w:rsid w:val="00EB0B9F"/>
    <w:rsid w:val="00EC1951"/>
    <w:rsid w:val="00EC1A8F"/>
    <w:rsid w:val="00EC6416"/>
    <w:rsid w:val="00EC729D"/>
    <w:rsid w:val="00ED3544"/>
    <w:rsid w:val="00ED48FD"/>
    <w:rsid w:val="00ED7E9C"/>
    <w:rsid w:val="00EE2135"/>
    <w:rsid w:val="00EE4DEA"/>
    <w:rsid w:val="00EF7858"/>
    <w:rsid w:val="00F10619"/>
    <w:rsid w:val="00F1313D"/>
    <w:rsid w:val="00F20FC9"/>
    <w:rsid w:val="00F23153"/>
    <w:rsid w:val="00F26E15"/>
    <w:rsid w:val="00F34518"/>
    <w:rsid w:val="00F3607E"/>
    <w:rsid w:val="00F36F4E"/>
    <w:rsid w:val="00F417C9"/>
    <w:rsid w:val="00F5572C"/>
    <w:rsid w:val="00F60453"/>
    <w:rsid w:val="00F6054E"/>
    <w:rsid w:val="00F62FE6"/>
    <w:rsid w:val="00F6332C"/>
    <w:rsid w:val="00F63F15"/>
    <w:rsid w:val="00F65862"/>
    <w:rsid w:val="00F842AE"/>
    <w:rsid w:val="00F86A78"/>
    <w:rsid w:val="00F90DFB"/>
    <w:rsid w:val="00F9248C"/>
    <w:rsid w:val="00F948EF"/>
    <w:rsid w:val="00F97F52"/>
    <w:rsid w:val="00FA2879"/>
    <w:rsid w:val="00FB46B2"/>
    <w:rsid w:val="00FB5EEA"/>
    <w:rsid w:val="00FC0A30"/>
    <w:rsid w:val="00FC4CE2"/>
    <w:rsid w:val="00FC6D87"/>
    <w:rsid w:val="00FD1064"/>
    <w:rsid w:val="00FD113B"/>
    <w:rsid w:val="00FD166C"/>
    <w:rsid w:val="00FD2C3E"/>
    <w:rsid w:val="00FD3768"/>
    <w:rsid w:val="00FE02A8"/>
    <w:rsid w:val="00FE1666"/>
    <w:rsid w:val="00FE2F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uiPriority w:val="99"/>
    <w:semiHidden/>
    <w:rsid w:val="00A4667A"/>
    <w:rPr>
      <w:sz w:val="20"/>
      <w:szCs w:val="20"/>
    </w:rPr>
  </w:style>
  <w:style w:type="character" w:customStyle="1" w:styleId="TextonotapieCar">
    <w:name w:val="Texto nota pie Car"/>
    <w:basedOn w:val="Fuentedeprrafopredeter"/>
    <w:link w:val="Textonotapie"/>
    <w:uiPriority w:val="99"/>
    <w:semiHidden/>
    <w:rsid w:val="00A4667A"/>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6027519">
      <w:bodyDiv w:val="1"/>
      <w:marLeft w:val="0"/>
      <w:marRight w:val="0"/>
      <w:marTop w:val="0"/>
      <w:marBottom w:val="0"/>
      <w:divBdr>
        <w:top w:val="none" w:sz="0" w:space="0" w:color="auto"/>
        <w:left w:val="none" w:sz="0" w:space="0" w:color="auto"/>
        <w:bottom w:val="none" w:sz="0" w:space="0" w:color="auto"/>
        <w:right w:val="none" w:sz="0" w:space="0" w:color="auto"/>
      </w:divBdr>
    </w:div>
    <w:div w:id="161704749">
      <w:bodyDiv w:val="1"/>
      <w:marLeft w:val="0"/>
      <w:marRight w:val="0"/>
      <w:marTop w:val="0"/>
      <w:marBottom w:val="0"/>
      <w:divBdr>
        <w:top w:val="none" w:sz="0" w:space="0" w:color="auto"/>
        <w:left w:val="none" w:sz="0" w:space="0" w:color="auto"/>
        <w:bottom w:val="none" w:sz="0" w:space="0" w:color="auto"/>
        <w:right w:val="none" w:sz="0" w:space="0" w:color="auto"/>
      </w:divBdr>
    </w:div>
    <w:div w:id="505246423">
      <w:bodyDiv w:val="1"/>
      <w:marLeft w:val="0"/>
      <w:marRight w:val="0"/>
      <w:marTop w:val="0"/>
      <w:marBottom w:val="0"/>
      <w:divBdr>
        <w:top w:val="none" w:sz="0" w:space="0" w:color="auto"/>
        <w:left w:val="none" w:sz="0" w:space="0" w:color="auto"/>
        <w:bottom w:val="none" w:sz="0" w:space="0" w:color="auto"/>
        <w:right w:val="none" w:sz="0" w:space="0" w:color="auto"/>
      </w:divBdr>
    </w:div>
    <w:div w:id="753674110">
      <w:bodyDiv w:val="1"/>
      <w:marLeft w:val="0"/>
      <w:marRight w:val="0"/>
      <w:marTop w:val="0"/>
      <w:marBottom w:val="0"/>
      <w:divBdr>
        <w:top w:val="none" w:sz="0" w:space="0" w:color="auto"/>
        <w:left w:val="none" w:sz="0" w:space="0" w:color="auto"/>
        <w:bottom w:val="none" w:sz="0" w:space="0" w:color="auto"/>
        <w:right w:val="none" w:sz="0" w:space="0" w:color="auto"/>
      </w:divBdr>
    </w:div>
    <w:div w:id="772282178">
      <w:bodyDiv w:val="1"/>
      <w:marLeft w:val="0"/>
      <w:marRight w:val="0"/>
      <w:marTop w:val="0"/>
      <w:marBottom w:val="0"/>
      <w:divBdr>
        <w:top w:val="none" w:sz="0" w:space="0" w:color="auto"/>
        <w:left w:val="none" w:sz="0" w:space="0" w:color="auto"/>
        <w:bottom w:val="none" w:sz="0" w:space="0" w:color="auto"/>
        <w:right w:val="none" w:sz="0" w:space="0" w:color="auto"/>
      </w:divBdr>
    </w:div>
    <w:div w:id="915747001">
      <w:bodyDiv w:val="1"/>
      <w:marLeft w:val="0"/>
      <w:marRight w:val="0"/>
      <w:marTop w:val="0"/>
      <w:marBottom w:val="0"/>
      <w:divBdr>
        <w:top w:val="none" w:sz="0" w:space="0" w:color="auto"/>
        <w:left w:val="none" w:sz="0" w:space="0" w:color="auto"/>
        <w:bottom w:val="none" w:sz="0" w:space="0" w:color="auto"/>
        <w:right w:val="none" w:sz="0" w:space="0" w:color="auto"/>
      </w:divBdr>
    </w:div>
    <w:div w:id="1207446741">
      <w:bodyDiv w:val="1"/>
      <w:marLeft w:val="0"/>
      <w:marRight w:val="0"/>
      <w:marTop w:val="0"/>
      <w:marBottom w:val="0"/>
      <w:divBdr>
        <w:top w:val="none" w:sz="0" w:space="0" w:color="auto"/>
        <w:left w:val="none" w:sz="0" w:space="0" w:color="auto"/>
        <w:bottom w:val="none" w:sz="0" w:space="0" w:color="auto"/>
        <w:right w:val="none" w:sz="0" w:space="0" w:color="auto"/>
      </w:divBdr>
    </w:div>
    <w:div w:id="1632829763">
      <w:bodyDiv w:val="1"/>
      <w:marLeft w:val="0"/>
      <w:marRight w:val="0"/>
      <w:marTop w:val="0"/>
      <w:marBottom w:val="0"/>
      <w:divBdr>
        <w:top w:val="none" w:sz="0" w:space="0" w:color="auto"/>
        <w:left w:val="none" w:sz="0" w:space="0" w:color="auto"/>
        <w:bottom w:val="none" w:sz="0" w:space="0" w:color="auto"/>
        <w:right w:val="none" w:sz="0" w:space="0" w:color="auto"/>
      </w:divBdr>
    </w:div>
    <w:div w:id="1825776211">
      <w:bodyDiv w:val="1"/>
      <w:marLeft w:val="0"/>
      <w:marRight w:val="0"/>
      <w:marTop w:val="0"/>
      <w:marBottom w:val="0"/>
      <w:divBdr>
        <w:top w:val="none" w:sz="0" w:space="0" w:color="auto"/>
        <w:left w:val="none" w:sz="0" w:space="0" w:color="auto"/>
        <w:bottom w:val="none" w:sz="0" w:space="0" w:color="auto"/>
        <w:right w:val="none" w:sz="0" w:space="0" w:color="auto"/>
      </w:divBdr>
    </w:div>
    <w:div w:id="1999533276">
      <w:bodyDiv w:val="1"/>
      <w:marLeft w:val="0"/>
      <w:marRight w:val="0"/>
      <w:marTop w:val="0"/>
      <w:marBottom w:val="0"/>
      <w:divBdr>
        <w:top w:val="none" w:sz="0" w:space="0" w:color="auto"/>
        <w:left w:val="none" w:sz="0" w:space="0" w:color="auto"/>
        <w:bottom w:val="none" w:sz="0" w:space="0" w:color="auto"/>
        <w:right w:val="none" w:sz="0" w:space="0" w:color="auto"/>
      </w:divBdr>
    </w:div>
    <w:div w:id="2126145445">
      <w:bodyDiv w:val="1"/>
      <w:marLeft w:val="0"/>
      <w:marRight w:val="0"/>
      <w:marTop w:val="0"/>
      <w:marBottom w:val="0"/>
      <w:divBdr>
        <w:top w:val="none" w:sz="0" w:space="0" w:color="auto"/>
        <w:left w:val="none" w:sz="0" w:space="0" w:color="auto"/>
        <w:bottom w:val="none" w:sz="0" w:space="0" w:color="auto"/>
        <w:right w:val="none" w:sz="0" w:space="0" w:color="auto"/>
      </w:divBdr>
    </w:div>
    <w:div w:id="21388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Documento_de_Microsoft_Office_Word3.doc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Documento_de_Microsoft_Office_Word2.docx"/><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package" Target="embeddings/Documento_de_Microsoft_Office_Word4.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2A63-7E50-43B9-A950-4CB483E8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3840</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Quirós Vargas</dc:creator>
  <cp:lastModifiedBy>ltorrentes</cp:lastModifiedBy>
  <cp:revision>3</cp:revision>
  <dcterms:created xsi:type="dcterms:W3CDTF">2018-04-13T17:08:00Z</dcterms:created>
  <dcterms:modified xsi:type="dcterms:W3CDTF">2018-04-13T17:10:00Z</dcterms:modified>
</cp:coreProperties>
</file>